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Layout w:type="fixed"/>
        <w:tblCellMar>
          <w:left w:w="0" w:type="dxa"/>
          <w:right w:w="0" w:type="dxa"/>
        </w:tblCellMar>
        <w:tblLook w:val="0000" w:firstRow="0" w:lastRow="0" w:firstColumn="0" w:lastColumn="0" w:noHBand="0" w:noVBand="0"/>
      </w:tblPr>
      <w:tblGrid>
        <w:gridCol w:w="4253"/>
        <w:gridCol w:w="4678"/>
      </w:tblGrid>
      <w:tr w:rsidR="00E47AB8" w:rsidRPr="008B2F8A" w14:paraId="7FCB4C15" w14:textId="77777777" w:rsidTr="00422306">
        <w:trPr>
          <w:cantSplit/>
          <w:trHeight w:hRule="exact" w:val="3969"/>
        </w:trPr>
        <w:tc>
          <w:tcPr>
            <w:tcW w:w="4253" w:type="dxa"/>
            <w:shd w:val="clear" w:color="auto" w:fill="auto"/>
            <w:vAlign w:val="bottom"/>
          </w:tcPr>
          <w:p w14:paraId="171A3976" w14:textId="77777777" w:rsidR="00E47AB8" w:rsidRPr="008B2F8A" w:rsidRDefault="00E47AB8" w:rsidP="00422306">
            <w:pPr>
              <w:spacing w:after="240"/>
              <w:ind w:left="1760"/>
              <w:rPr>
                <w:rFonts w:ascii="Garamond" w:eastAsia="Times New Roman" w:hAnsi="Garamond"/>
                <w:sz w:val="24"/>
                <w:szCs w:val="20"/>
                <w:lang w:eastAsia="en-AU"/>
              </w:rPr>
            </w:pPr>
            <w:bookmarkStart w:id="0" w:name="macroMarkHere"/>
            <w:bookmarkEnd w:id="0"/>
          </w:p>
        </w:tc>
        <w:tc>
          <w:tcPr>
            <w:tcW w:w="4678" w:type="dxa"/>
            <w:shd w:val="clear" w:color="auto" w:fill="auto"/>
            <w:vAlign w:val="bottom"/>
          </w:tcPr>
          <w:p w14:paraId="641B20EF" w14:textId="77777777" w:rsidR="00E47AB8" w:rsidRPr="008B2F8A" w:rsidRDefault="00E47AB8" w:rsidP="00422306">
            <w:pPr>
              <w:spacing w:after="240"/>
              <w:ind w:right="113"/>
              <w:jc w:val="right"/>
              <w:rPr>
                <w:rFonts w:ascii="Arial" w:eastAsia="Times New Roman" w:hAnsi="Arial"/>
                <w:b/>
                <w:i/>
                <w:sz w:val="44"/>
                <w:szCs w:val="20"/>
                <w:lang w:eastAsia="en-AU"/>
              </w:rPr>
            </w:pPr>
            <w:r w:rsidRPr="008B2F8A">
              <w:rPr>
                <w:rFonts w:ascii="Arial" w:eastAsia="Times New Roman" w:hAnsi="Arial"/>
                <w:b/>
                <w:i/>
                <w:sz w:val="44"/>
                <w:szCs w:val="20"/>
                <w:lang w:eastAsia="en-AU"/>
              </w:rPr>
              <w:t>Breast magnetic resonance imaging (MRI) for screening of high-risk women</w:t>
            </w:r>
          </w:p>
        </w:tc>
      </w:tr>
      <w:tr w:rsidR="00E47AB8" w:rsidRPr="008B2F8A" w14:paraId="46CD0F63" w14:textId="77777777" w:rsidTr="00422306">
        <w:trPr>
          <w:cantSplit/>
          <w:trHeight w:hRule="exact" w:val="425"/>
        </w:trPr>
        <w:tc>
          <w:tcPr>
            <w:tcW w:w="4253" w:type="dxa"/>
            <w:shd w:val="clear" w:color="auto" w:fill="auto"/>
            <w:vAlign w:val="bottom"/>
          </w:tcPr>
          <w:p w14:paraId="3532CAF9" w14:textId="77777777" w:rsidR="00E47AB8" w:rsidRPr="008B2F8A" w:rsidRDefault="00E47AB8" w:rsidP="00422306">
            <w:pPr>
              <w:spacing w:after="240"/>
              <w:ind w:left="720"/>
              <w:rPr>
                <w:rFonts w:ascii="Garamond" w:eastAsia="Times New Roman" w:hAnsi="Garamond"/>
                <w:sz w:val="24"/>
                <w:szCs w:val="20"/>
                <w:lang w:eastAsia="en-AU"/>
              </w:rPr>
            </w:pPr>
          </w:p>
        </w:tc>
        <w:tc>
          <w:tcPr>
            <w:tcW w:w="4678" w:type="dxa"/>
            <w:shd w:val="clear" w:color="auto" w:fill="auto"/>
            <w:vAlign w:val="bottom"/>
          </w:tcPr>
          <w:p w14:paraId="78A18A58" w14:textId="77777777" w:rsidR="00E47AB8" w:rsidRPr="008B2F8A" w:rsidRDefault="00E47AB8" w:rsidP="00422306">
            <w:pPr>
              <w:keepNext/>
              <w:pageBreakBefore/>
              <w:pBdr>
                <w:bottom w:val="single" w:sz="4" w:space="1" w:color="auto"/>
              </w:pBdr>
              <w:spacing w:after="360"/>
              <w:ind w:left="3402" w:hanging="3402"/>
              <w:outlineLvl w:val="0"/>
              <w:rPr>
                <w:rFonts w:ascii="Tahoma" w:eastAsia="Times New Roman" w:hAnsi="Tahoma"/>
                <w:b/>
                <w:sz w:val="44"/>
                <w:szCs w:val="20"/>
                <w:lang w:eastAsia="en-AU"/>
              </w:rPr>
            </w:pPr>
          </w:p>
          <w:p w14:paraId="684554A4" w14:textId="77777777" w:rsidR="00E47AB8" w:rsidRPr="008B2F8A" w:rsidRDefault="00E47AB8" w:rsidP="00422306">
            <w:pPr>
              <w:spacing w:after="240"/>
              <w:ind w:left="720"/>
              <w:rPr>
                <w:rFonts w:ascii="Garamond" w:eastAsia="Times New Roman" w:hAnsi="Garamond"/>
                <w:b/>
                <w:i/>
                <w:sz w:val="24"/>
                <w:szCs w:val="20"/>
                <w:lang w:eastAsia="en-AU"/>
              </w:rPr>
            </w:pPr>
          </w:p>
        </w:tc>
      </w:tr>
      <w:tr w:rsidR="00E47AB8" w:rsidRPr="008B2F8A" w14:paraId="7B37DBCB" w14:textId="77777777" w:rsidTr="00422306">
        <w:trPr>
          <w:cantSplit/>
          <w:trHeight w:hRule="exact" w:val="2132"/>
        </w:trPr>
        <w:tc>
          <w:tcPr>
            <w:tcW w:w="4253" w:type="dxa"/>
            <w:shd w:val="clear" w:color="auto" w:fill="auto"/>
            <w:vAlign w:val="center"/>
          </w:tcPr>
          <w:p w14:paraId="43D433D0" w14:textId="77777777" w:rsidR="00E47AB8" w:rsidRPr="008B2F8A" w:rsidRDefault="00E47AB8" w:rsidP="00422306">
            <w:pPr>
              <w:spacing w:after="240"/>
              <w:ind w:left="720" w:right="113"/>
              <w:jc w:val="right"/>
              <w:rPr>
                <w:rFonts w:ascii="Arial" w:eastAsia="Times New Roman" w:hAnsi="Arial"/>
                <w:b/>
                <w:sz w:val="36"/>
                <w:szCs w:val="20"/>
                <w:lang w:eastAsia="en-AU"/>
              </w:rPr>
            </w:pPr>
          </w:p>
        </w:tc>
        <w:tc>
          <w:tcPr>
            <w:tcW w:w="4678" w:type="dxa"/>
            <w:shd w:val="clear" w:color="auto" w:fill="auto"/>
            <w:vAlign w:val="center"/>
          </w:tcPr>
          <w:p w14:paraId="3ED48D27" w14:textId="77777777" w:rsidR="00E47AB8" w:rsidRPr="008B2F8A" w:rsidRDefault="00E47AB8" w:rsidP="00422306">
            <w:pPr>
              <w:spacing w:after="240"/>
              <w:ind w:left="720" w:right="113"/>
              <w:jc w:val="right"/>
              <w:rPr>
                <w:rFonts w:ascii="Arial" w:eastAsia="Times New Roman" w:hAnsi="Arial" w:cs="Arial"/>
                <w:b/>
                <w:sz w:val="36"/>
                <w:szCs w:val="20"/>
                <w:lang w:eastAsia="en-AU"/>
              </w:rPr>
            </w:pPr>
            <w:r w:rsidRPr="008B2F8A">
              <w:rPr>
                <w:rFonts w:ascii="Arial" w:eastAsia="Times New Roman" w:hAnsi="Arial" w:cs="Arial"/>
                <w:b/>
                <w:sz w:val="36"/>
                <w:szCs w:val="20"/>
                <w:lang w:eastAsia="en-AU"/>
              </w:rPr>
              <w:t xml:space="preserve">February 2014 </w:t>
            </w:r>
          </w:p>
        </w:tc>
      </w:tr>
      <w:tr w:rsidR="00E47AB8" w:rsidRPr="008B2F8A" w14:paraId="1B03A95A" w14:textId="77777777" w:rsidTr="00422306">
        <w:trPr>
          <w:cantSplit/>
          <w:trHeight w:hRule="exact" w:val="2543"/>
        </w:trPr>
        <w:tc>
          <w:tcPr>
            <w:tcW w:w="4253" w:type="dxa"/>
            <w:shd w:val="clear" w:color="auto" w:fill="auto"/>
          </w:tcPr>
          <w:p w14:paraId="28F7F7A7" w14:textId="77777777" w:rsidR="00E47AB8" w:rsidRPr="008B2F8A" w:rsidRDefault="00E47AB8" w:rsidP="00422306">
            <w:pPr>
              <w:spacing w:after="240"/>
              <w:ind w:left="720"/>
              <w:rPr>
                <w:rFonts w:ascii="Garamond" w:eastAsia="Times New Roman" w:hAnsi="Garamond"/>
                <w:sz w:val="24"/>
                <w:szCs w:val="20"/>
                <w:lang w:eastAsia="en-AU"/>
              </w:rPr>
            </w:pPr>
          </w:p>
        </w:tc>
        <w:tc>
          <w:tcPr>
            <w:tcW w:w="4678" w:type="dxa"/>
            <w:shd w:val="clear" w:color="auto" w:fill="auto"/>
          </w:tcPr>
          <w:p w14:paraId="4BE493B7" w14:textId="77777777" w:rsidR="00E47AB8" w:rsidRPr="002D45F6" w:rsidRDefault="00E47AB8" w:rsidP="00422306">
            <w:pPr>
              <w:spacing w:after="240"/>
              <w:ind w:left="720" w:right="113"/>
              <w:jc w:val="right"/>
              <w:rPr>
                <w:rFonts w:ascii="Garamond" w:eastAsia="Times New Roman" w:hAnsi="Garamond"/>
                <w:i/>
                <w:sz w:val="24"/>
                <w:szCs w:val="20"/>
                <w:lang w:eastAsia="en-AU"/>
              </w:rPr>
            </w:pPr>
          </w:p>
        </w:tc>
      </w:tr>
      <w:tr w:rsidR="00E47AB8" w:rsidRPr="008B2F8A" w14:paraId="359BC7E1" w14:textId="77777777" w:rsidTr="00422306">
        <w:trPr>
          <w:cantSplit/>
          <w:trHeight w:hRule="exact" w:val="4536"/>
        </w:trPr>
        <w:tc>
          <w:tcPr>
            <w:tcW w:w="4253" w:type="dxa"/>
            <w:shd w:val="clear" w:color="auto" w:fill="auto"/>
          </w:tcPr>
          <w:p w14:paraId="76849B50" w14:textId="77777777" w:rsidR="00E47AB8" w:rsidRPr="008B2F8A" w:rsidRDefault="00E47AB8" w:rsidP="00422306">
            <w:pPr>
              <w:spacing w:after="240"/>
              <w:ind w:right="113"/>
              <w:jc w:val="right"/>
              <w:rPr>
                <w:rFonts w:ascii="Arial" w:eastAsia="Times New Roman" w:hAnsi="Arial"/>
                <w:b/>
                <w:sz w:val="32"/>
                <w:szCs w:val="20"/>
                <w:lang w:eastAsia="en-AU"/>
              </w:rPr>
            </w:pPr>
          </w:p>
        </w:tc>
        <w:tc>
          <w:tcPr>
            <w:tcW w:w="4678" w:type="dxa"/>
            <w:shd w:val="clear" w:color="auto" w:fill="auto"/>
          </w:tcPr>
          <w:p w14:paraId="5847400D" w14:textId="77777777" w:rsidR="00E47AB8" w:rsidRPr="008B2F8A" w:rsidRDefault="00E47AB8" w:rsidP="00422306">
            <w:pPr>
              <w:spacing w:after="240"/>
              <w:ind w:right="113"/>
              <w:jc w:val="right"/>
              <w:rPr>
                <w:rFonts w:ascii="Arial" w:eastAsia="Times New Roman" w:hAnsi="Arial"/>
                <w:sz w:val="32"/>
                <w:szCs w:val="20"/>
                <w:lang w:eastAsia="en-AU"/>
              </w:rPr>
            </w:pPr>
            <w:r w:rsidRPr="008B2F8A">
              <w:rPr>
                <w:rFonts w:ascii="Arial" w:eastAsia="Times New Roman" w:hAnsi="Arial"/>
                <w:sz w:val="32"/>
                <w:szCs w:val="20"/>
                <w:lang w:eastAsia="en-AU"/>
              </w:rPr>
              <w:t>MSAC application no 1098.1</w:t>
            </w:r>
          </w:p>
          <w:p w14:paraId="40711375" w14:textId="77777777" w:rsidR="00E47AB8" w:rsidRPr="008B2F8A" w:rsidRDefault="00E47AB8" w:rsidP="00422306">
            <w:pPr>
              <w:spacing w:after="240"/>
              <w:ind w:right="113"/>
              <w:jc w:val="right"/>
              <w:rPr>
                <w:rFonts w:ascii="Arial" w:eastAsia="Times New Roman" w:hAnsi="Arial"/>
                <w:sz w:val="32"/>
                <w:szCs w:val="20"/>
                <w:lang w:eastAsia="en-AU"/>
              </w:rPr>
            </w:pPr>
          </w:p>
          <w:p w14:paraId="4D043616" w14:textId="77777777" w:rsidR="00E47AB8" w:rsidRPr="008B2F8A" w:rsidRDefault="00E47AB8" w:rsidP="00422306">
            <w:pPr>
              <w:spacing w:after="240"/>
              <w:ind w:right="113"/>
              <w:jc w:val="right"/>
              <w:rPr>
                <w:rFonts w:ascii="Arial" w:eastAsia="Times New Roman" w:hAnsi="Arial"/>
                <w:b/>
                <w:i/>
                <w:sz w:val="32"/>
                <w:szCs w:val="20"/>
                <w:lang w:eastAsia="en-AU"/>
              </w:rPr>
            </w:pPr>
            <w:r w:rsidRPr="008B2F8A">
              <w:rPr>
                <w:rFonts w:ascii="Arial" w:eastAsia="Times New Roman" w:hAnsi="Arial"/>
                <w:b/>
                <w:sz w:val="32"/>
                <w:szCs w:val="20"/>
                <w:lang w:eastAsia="en-AU"/>
              </w:rPr>
              <w:br/>
              <w:t>Assessment report</w:t>
            </w:r>
          </w:p>
        </w:tc>
      </w:tr>
      <w:tr w:rsidR="003105F5" w:rsidRPr="008B2F8A" w14:paraId="5E66A679" w14:textId="77777777" w:rsidTr="00422306">
        <w:trPr>
          <w:cantSplit/>
          <w:trHeight w:hRule="exact" w:val="4536"/>
        </w:trPr>
        <w:tc>
          <w:tcPr>
            <w:tcW w:w="4253" w:type="dxa"/>
            <w:shd w:val="clear" w:color="auto" w:fill="auto"/>
          </w:tcPr>
          <w:p w14:paraId="18E85B45" w14:textId="77777777" w:rsidR="003105F5" w:rsidRPr="008B2F8A" w:rsidRDefault="003105F5" w:rsidP="00422306">
            <w:pPr>
              <w:spacing w:after="240"/>
              <w:ind w:right="113"/>
              <w:jc w:val="right"/>
              <w:rPr>
                <w:rFonts w:ascii="Arial" w:eastAsia="Times New Roman" w:hAnsi="Arial"/>
                <w:b/>
                <w:sz w:val="32"/>
                <w:szCs w:val="20"/>
                <w:lang w:eastAsia="en-AU"/>
              </w:rPr>
            </w:pPr>
          </w:p>
        </w:tc>
        <w:tc>
          <w:tcPr>
            <w:tcW w:w="4678" w:type="dxa"/>
            <w:shd w:val="clear" w:color="auto" w:fill="auto"/>
          </w:tcPr>
          <w:p w14:paraId="25022588" w14:textId="77777777" w:rsidR="003105F5" w:rsidRPr="008B2F8A" w:rsidRDefault="003105F5" w:rsidP="00422306">
            <w:pPr>
              <w:spacing w:after="240"/>
              <w:ind w:right="113"/>
              <w:jc w:val="right"/>
              <w:rPr>
                <w:rFonts w:ascii="Arial" w:eastAsia="Times New Roman" w:hAnsi="Arial"/>
                <w:sz w:val="32"/>
                <w:szCs w:val="20"/>
                <w:lang w:eastAsia="en-AU"/>
              </w:rPr>
            </w:pPr>
          </w:p>
        </w:tc>
      </w:tr>
    </w:tbl>
    <w:p w14:paraId="344FCD11" w14:textId="77777777" w:rsidR="00E47AB8" w:rsidRPr="008B2F8A" w:rsidRDefault="00E47AB8" w:rsidP="00422306">
      <w:pPr>
        <w:spacing w:after="240"/>
        <w:ind w:left="720"/>
        <w:rPr>
          <w:rFonts w:ascii="Garamond" w:eastAsia="Times New Roman" w:hAnsi="Garamond"/>
          <w:b/>
          <w:sz w:val="20"/>
          <w:szCs w:val="20"/>
          <w:lang w:eastAsia="en-AU"/>
        </w:rPr>
      </w:pPr>
    </w:p>
    <w:p w14:paraId="747AE634" w14:textId="3F6DAFFA" w:rsidR="00E47AB8" w:rsidRPr="008B2F8A" w:rsidRDefault="00E47AB8" w:rsidP="00422306">
      <w:pPr>
        <w:spacing w:after="240"/>
        <w:ind w:left="720"/>
        <w:rPr>
          <w:rFonts w:ascii="Garamond" w:eastAsia="Times New Roman" w:hAnsi="Garamond"/>
          <w:b/>
          <w:sz w:val="20"/>
          <w:szCs w:val="20"/>
          <w:lang w:eastAsia="en-AU"/>
        </w:rPr>
      </w:pPr>
      <w:r w:rsidRPr="008B2F8A">
        <w:rPr>
          <w:rFonts w:ascii="Garamond" w:eastAsia="Times New Roman" w:hAnsi="Garamond"/>
          <w:b/>
          <w:sz w:val="20"/>
          <w:szCs w:val="20"/>
          <w:lang w:eastAsia="en-AU"/>
        </w:rPr>
        <w:t xml:space="preserve">© Commonwealth of Australia </w:t>
      </w:r>
      <w:r w:rsidR="005839BC">
        <w:rPr>
          <w:rFonts w:ascii="Garamond" w:eastAsia="Times New Roman" w:hAnsi="Garamond"/>
          <w:b/>
          <w:sz w:val="20"/>
          <w:szCs w:val="20"/>
          <w:lang w:eastAsia="en-AU"/>
        </w:rPr>
        <w:t>2014</w:t>
      </w:r>
    </w:p>
    <w:p w14:paraId="7791AF1E" w14:textId="77777777" w:rsidR="005839BC" w:rsidRDefault="00E47AB8" w:rsidP="00422306">
      <w:pPr>
        <w:spacing w:after="240"/>
        <w:ind w:left="720"/>
        <w:rPr>
          <w:rFonts w:ascii="Garamond" w:eastAsia="Times New Roman" w:hAnsi="Garamond"/>
          <w:b/>
          <w:i/>
          <w:sz w:val="20"/>
          <w:szCs w:val="20"/>
          <w:lang w:eastAsia="en-AU"/>
        </w:rPr>
      </w:pPr>
      <w:r w:rsidRPr="008B2F8A">
        <w:rPr>
          <w:rFonts w:ascii="Garamond" w:eastAsia="Times New Roman" w:hAnsi="Garamond"/>
          <w:b/>
          <w:sz w:val="20"/>
          <w:szCs w:val="20"/>
          <w:lang w:eastAsia="en-AU"/>
        </w:rPr>
        <w:t xml:space="preserve">ISBN (Online) </w:t>
      </w:r>
      <w:r w:rsidR="005839BC" w:rsidRPr="005839BC">
        <w:rPr>
          <w:rFonts w:ascii="Garamond" w:eastAsia="Times New Roman" w:hAnsi="Garamond"/>
          <w:b/>
          <w:i/>
          <w:sz w:val="20"/>
          <w:szCs w:val="20"/>
          <w:lang w:eastAsia="en-AU"/>
        </w:rPr>
        <w:t>978-1-74186-137-2</w:t>
      </w:r>
    </w:p>
    <w:p w14:paraId="535750AB" w14:textId="2AF81373" w:rsidR="00E47AB8" w:rsidRDefault="00E47AB8" w:rsidP="00422306">
      <w:pPr>
        <w:spacing w:after="240"/>
        <w:ind w:left="720"/>
        <w:rPr>
          <w:rFonts w:ascii="Garamond" w:eastAsia="Times New Roman" w:hAnsi="Garamond"/>
          <w:b/>
          <w:sz w:val="20"/>
          <w:szCs w:val="20"/>
          <w:lang w:eastAsia="en-AU"/>
        </w:rPr>
      </w:pPr>
      <w:r w:rsidRPr="008B2F8A">
        <w:rPr>
          <w:rFonts w:ascii="Garamond" w:eastAsia="Times New Roman" w:hAnsi="Garamond"/>
          <w:b/>
          <w:sz w:val="20"/>
          <w:szCs w:val="20"/>
          <w:lang w:eastAsia="en-AU"/>
        </w:rPr>
        <w:t>ISSN (Online) 1443-7139</w:t>
      </w:r>
    </w:p>
    <w:p w14:paraId="3EFF00D8" w14:textId="3913D18B" w:rsidR="005839BC" w:rsidRPr="008B2F8A" w:rsidRDefault="005839BC" w:rsidP="00422306">
      <w:pPr>
        <w:spacing w:after="240"/>
        <w:ind w:left="720"/>
        <w:rPr>
          <w:rFonts w:ascii="Garamond" w:eastAsia="Times New Roman" w:hAnsi="Garamond"/>
          <w:b/>
          <w:sz w:val="20"/>
          <w:szCs w:val="20"/>
          <w:lang w:eastAsia="en-AU"/>
        </w:rPr>
      </w:pPr>
      <w:r w:rsidRPr="005839BC">
        <w:rPr>
          <w:rFonts w:ascii="Garamond" w:eastAsia="Times New Roman" w:hAnsi="Garamond"/>
          <w:b/>
          <w:sz w:val="20"/>
          <w:szCs w:val="20"/>
          <w:lang w:eastAsia="en-AU"/>
        </w:rPr>
        <w:t xml:space="preserve">Publication approval number: </w:t>
      </w:r>
      <w:r>
        <w:rPr>
          <w:rFonts w:ascii="Garamond" w:eastAsia="Times New Roman" w:hAnsi="Garamond"/>
          <w:b/>
          <w:sz w:val="20"/>
          <w:szCs w:val="20"/>
          <w:lang w:eastAsia="en-AU"/>
        </w:rPr>
        <w:t>10780</w:t>
      </w:r>
    </w:p>
    <w:p w14:paraId="57BE89E2" w14:textId="77777777" w:rsidR="00E47AB8" w:rsidRPr="008B2F8A" w:rsidRDefault="00E47AB8" w:rsidP="00422306">
      <w:pPr>
        <w:spacing w:after="0"/>
        <w:ind w:left="720"/>
        <w:rPr>
          <w:rFonts w:ascii="Garamond" w:eastAsia="Times New Roman" w:hAnsi="Garamond"/>
          <w:b/>
          <w:bCs/>
          <w:sz w:val="20"/>
          <w:szCs w:val="20"/>
          <w:lang w:eastAsia="en-AU"/>
        </w:rPr>
      </w:pPr>
    </w:p>
    <w:p w14:paraId="43BC942B" w14:textId="77777777" w:rsidR="00E47AB8" w:rsidRPr="008B2F8A" w:rsidRDefault="00E47AB8" w:rsidP="00422306">
      <w:pPr>
        <w:spacing w:after="0"/>
        <w:ind w:left="720"/>
        <w:rPr>
          <w:rFonts w:ascii="Garamond" w:eastAsia="Times New Roman" w:hAnsi="Garamond"/>
          <w:b/>
          <w:bCs/>
          <w:sz w:val="20"/>
          <w:szCs w:val="20"/>
          <w:lang w:eastAsia="en-AU"/>
        </w:rPr>
      </w:pPr>
      <w:r w:rsidRPr="008B2F8A">
        <w:rPr>
          <w:rFonts w:ascii="Garamond" w:eastAsia="Times New Roman" w:hAnsi="Garamond"/>
          <w:b/>
          <w:bCs/>
          <w:sz w:val="20"/>
          <w:szCs w:val="20"/>
          <w:lang w:eastAsia="en-AU"/>
        </w:rPr>
        <w:t>Internet sites</w:t>
      </w:r>
    </w:p>
    <w:p w14:paraId="348D1322" w14:textId="25C76F2A" w:rsidR="00E47AB8" w:rsidRPr="008B2F8A" w:rsidRDefault="00E47AB8" w:rsidP="00422306">
      <w:pPr>
        <w:spacing w:after="0"/>
        <w:ind w:left="720"/>
        <w:rPr>
          <w:rFonts w:ascii="Garamond" w:eastAsia="Times New Roman" w:hAnsi="Garamond"/>
          <w:sz w:val="20"/>
          <w:szCs w:val="20"/>
          <w:lang w:eastAsia="en-AU"/>
        </w:rPr>
      </w:pPr>
      <w:r w:rsidRPr="008B2F8A">
        <w:rPr>
          <w:rFonts w:ascii="Garamond" w:eastAsia="Times New Roman" w:hAnsi="Garamond"/>
          <w:sz w:val="20"/>
          <w:szCs w:val="20"/>
          <w:lang w:eastAsia="en-AU"/>
        </w:rPr>
        <w:t>© Commonwealth of Australia [Year]</w:t>
      </w:r>
      <w:r w:rsidRPr="008B2F8A">
        <w:rPr>
          <w:rFonts w:ascii="Garamond" w:eastAsia="Times New Roman" w:hAnsi="Garamond"/>
          <w:sz w:val="20"/>
          <w:szCs w:val="20"/>
          <w:lang w:eastAsia="en-AU"/>
        </w:rPr>
        <w:br/>
        <w:t xml:space="preserve">This work is copyright. You may download, display, print and reproduce this material in unaltered form only (retaining this notice) for your personal, non-commercial use or use within your organisation. Apart from any use as permitted under the Copyright Act 1968, all other rights are reserved. Requests and enquiries concerning reproduction and rights should be addressed to Commonwealth Copyright Administration, Attorney General’s Department, Robert Garran Offices, National Circuit, Barton ACT 2600 or posted at </w:t>
      </w:r>
      <w:hyperlink r:id="rId9" w:tooltip="Attorney General's Department website" w:history="1">
        <w:r w:rsidRPr="008B2F8A">
          <w:rPr>
            <w:rFonts w:ascii="Garamond" w:eastAsia="Times New Roman" w:hAnsi="Garamond"/>
            <w:color w:val="0000FF"/>
            <w:sz w:val="20"/>
            <w:szCs w:val="20"/>
            <w:u w:val="single"/>
            <w:lang w:eastAsia="en-AU"/>
          </w:rPr>
          <w:t>http://www.ag.gov.au/cca</w:t>
        </w:r>
      </w:hyperlink>
    </w:p>
    <w:p w14:paraId="2323CD34" w14:textId="77777777" w:rsidR="00E47AB8" w:rsidRPr="008B2F8A" w:rsidRDefault="00E47AB8" w:rsidP="00422306">
      <w:pPr>
        <w:spacing w:after="40"/>
        <w:ind w:left="720"/>
        <w:rPr>
          <w:rFonts w:ascii="Garamond" w:eastAsia="Times New Roman" w:hAnsi="Garamond"/>
          <w:sz w:val="20"/>
          <w:szCs w:val="20"/>
          <w:lang w:eastAsia="en-AU"/>
        </w:rPr>
      </w:pPr>
    </w:p>
    <w:p w14:paraId="2F84132B" w14:textId="6092F5AA" w:rsidR="00E47AB8" w:rsidRPr="008B2F8A" w:rsidRDefault="00E47AB8" w:rsidP="00422306">
      <w:pPr>
        <w:spacing w:after="240"/>
        <w:ind w:left="720"/>
        <w:rPr>
          <w:rFonts w:ascii="Garamond" w:eastAsia="Times New Roman" w:hAnsi="Garamond"/>
          <w:sz w:val="20"/>
          <w:szCs w:val="20"/>
          <w:lang w:eastAsia="en-AU"/>
        </w:rPr>
      </w:pPr>
      <w:r w:rsidRPr="008B2F8A">
        <w:rPr>
          <w:rFonts w:ascii="Garamond" w:eastAsia="Times New Roman" w:hAnsi="Garamond"/>
          <w:sz w:val="20"/>
          <w:szCs w:val="20"/>
          <w:lang w:eastAsia="en-AU"/>
        </w:rPr>
        <w:t xml:space="preserve">Electronic copies of the report can be obtained from the Medical Service Advisory Committee’s Internet site at </w:t>
      </w:r>
      <w:hyperlink r:id="rId10" w:tooltip="Medical Services Advisory Committee website" w:history="1">
        <w:r w:rsidRPr="008B2F8A">
          <w:rPr>
            <w:rStyle w:val="Hyperlink"/>
            <w:rFonts w:ascii="Garamond" w:eastAsia="Times New Roman" w:hAnsi="Garamond"/>
            <w:lang w:eastAsia="en-AU"/>
          </w:rPr>
          <w:t>http://www.msac.gov.au/</w:t>
        </w:r>
      </w:hyperlink>
    </w:p>
    <w:p w14:paraId="78E012D6" w14:textId="77777777" w:rsidR="00E47AB8" w:rsidRPr="008B2F8A" w:rsidRDefault="00E47AB8" w:rsidP="00422306">
      <w:pPr>
        <w:spacing w:after="240"/>
        <w:ind w:left="720"/>
        <w:rPr>
          <w:rFonts w:ascii="Garamond" w:eastAsia="Times New Roman" w:hAnsi="Garamond"/>
          <w:sz w:val="20"/>
          <w:szCs w:val="20"/>
          <w:lang w:eastAsia="en-AU"/>
        </w:rPr>
      </w:pPr>
      <w:r w:rsidRPr="008B2F8A">
        <w:rPr>
          <w:rFonts w:ascii="Garamond" w:eastAsia="Times New Roman" w:hAnsi="Garamond"/>
          <w:sz w:val="20"/>
          <w:szCs w:val="20"/>
          <w:lang w:eastAsia="en-AU"/>
        </w:rPr>
        <w:t>Printed copies of the report can be obtained from:</w:t>
      </w:r>
    </w:p>
    <w:p w14:paraId="473FA11D" w14:textId="77777777" w:rsidR="00E47AB8" w:rsidRPr="008B2F8A" w:rsidRDefault="00E47AB8" w:rsidP="00422306">
      <w:pPr>
        <w:spacing w:after="40"/>
        <w:ind w:left="720"/>
        <w:rPr>
          <w:rFonts w:ascii="Garamond" w:eastAsia="Times New Roman" w:hAnsi="Garamond"/>
          <w:sz w:val="20"/>
          <w:szCs w:val="20"/>
          <w:lang w:eastAsia="en-AU"/>
        </w:rPr>
      </w:pPr>
      <w:r w:rsidRPr="008B2F8A">
        <w:rPr>
          <w:rFonts w:ascii="Garamond" w:eastAsia="Times New Roman" w:hAnsi="Garamond"/>
          <w:sz w:val="20"/>
          <w:szCs w:val="20"/>
          <w:lang w:eastAsia="en-AU"/>
        </w:rPr>
        <w:t>The Secretary</w:t>
      </w:r>
    </w:p>
    <w:p w14:paraId="6F14BBA9" w14:textId="77777777" w:rsidR="00E47AB8" w:rsidRPr="008B2F8A" w:rsidRDefault="00E47AB8" w:rsidP="00422306">
      <w:pPr>
        <w:spacing w:after="40"/>
        <w:ind w:left="720"/>
        <w:rPr>
          <w:rFonts w:ascii="Garamond" w:eastAsia="Times New Roman" w:hAnsi="Garamond"/>
          <w:sz w:val="20"/>
          <w:szCs w:val="20"/>
          <w:lang w:eastAsia="en-AU"/>
        </w:rPr>
      </w:pPr>
      <w:r w:rsidRPr="008B2F8A">
        <w:rPr>
          <w:rFonts w:ascii="Garamond" w:eastAsia="Times New Roman" w:hAnsi="Garamond"/>
          <w:sz w:val="20"/>
          <w:szCs w:val="20"/>
          <w:lang w:eastAsia="en-AU"/>
        </w:rPr>
        <w:t>Medical Services Advisory Committee</w:t>
      </w:r>
    </w:p>
    <w:p w14:paraId="09703257" w14:textId="77777777" w:rsidR="00E47AB8" w:rsidRPr="008B2F8A" w:rsidRDefault="00E47AB8" w:rsidP="00422306">
      <w:pPr>
        <w:spacing w:after="40"/>
        <w:ind w:left="720"/>
        <w:rPr>
          <w:rFonts w:ascii="Garamond" w:eastAsia="Times New Roman" w:hAnsi="Garamond"/>
          <w:sz w:val="20"/>
          <w:szCs w:val="20"/>
          <w:lang w:eastAsia="en-AU"/>
        </w:rPr>
      </w:pPr>
      <w:r w:rsidRPr="008B2F8A">
        <w:rPr>
          <w:rFonts w:ascii="Garamond" w:eastAsia="Times New Roman" w:hAnsi="Garamond"/>
          <w:sz w:val="20"/>
          <w:szCs w:val="20"/>
          <w:lang w:eastAsia="en-AU"/>
        </w:rPr>
        <w:t>Department of Health and Ageing</w:t>
      </w:r>
    </w:p>
    <w:p w14:paraId="3047F578" w14:textId="77777777" w:rsidR="00E47AB8" w:rsidRPr="008B2F8A" w:rsidRDefault="00E47AB8" w:rsidP="00422306">
      <w:pPr>
        <w:spacing w:after="40"/>
        <w:ind w:left="720"/>
        <w:rPr>
          <w:rFonts w:ascii="Garamond" w:eastAsia="Times New Roman" w:hAnsi="Garamond"/>
          <w:sz w:val="20"/>
          <w:szCs w:val="20"/>
          <w:lang w:eastAsia="en-AU"/>
        </w:rPr>
      </w:pPr>
      <w:r w:rsidRPr="008B2F8A">
        <w:rPr>
          <w:rFonts w:ascii="Garamond" w:eastAsia="Times New Roman" w:hAnsi="Garamond"/>
          <w:sz w:val="20"/>
          <w:szCs w:val="20"/>
          <w:lang w:eastAsia="en-AU"/>
        </w:rPr>
        <w:t>Mail Drop 106</w:t>
      </w:r>
    </w:p>
    <w:p w14:paraId="53A0C978" w14:textId="77777777" w:rsidR="00E47AB8" w:rsidRPr="008B2F8A" w:rsidRDefault="00E47AB8" w:rsidP="00422306">
      <w:pPr>
        <w:spacing w:after="40"/>
        <w:ind w:left="720"/>
        <w:rPr>
          <w:rFonts w:ascii="Garamond" w:eastAsia="Times New Roman" w:hAnsi="Garamond"/>
          <w:sz w:val="20"/>
          <w:szCs w:val="20"/>
          <w:lang w:eastAsia="en-AU"/>
        </w:rPr>
      </w:pPr>
      <w:r w:rsidRPr="008B2F8A">
        <w:rPr>
          <w:rFonts w:ascii="Garamond" w:eastAsia="Times New Roman" w:hAnsi="Garamond"/>
          <w:sz w:val="20"/>
          <w:szCs w:val="20"/>
          <w:lang w:eastAsia="en-AU"/>
        </w:rPr>
        <w:t>GPO Box 9848</w:t>
      </w:r>
    </w:p>
    <w:p w14:paraId="5A5DE85E" w14:textId="77777777" w:rsidR="00E47AB8" w:rsidRPr="008B2F8A" w:rsidRDefault="00E47AB8" w:rsidP="00422306">
      <w:pPr>
        <w:ind w:left="720"/>
        <w:rPr>
          <w:rFonts w:ascii="Garamond" w:eastAsia="Times New Roman" w:hAnsi="Garamond"/>
          <w:sz w:val="20"/>
          <w:szCs w:val="20"/>
          <w:lang w:eastAsia="en-AU"/>
        </w:rPr>
      </w:pPr>
      <w:r w:rsidRPr="008B2F8A">
        <w:rPr>
          <w:rFonts w:ascii="Garamond" w:eastAsia="Times New Roman" w:hAnsi="Garamond"/>
          <w:sz w:val="20"/>
          <w:szCs w:val="20"/>
          <w:lang w:eastAsia="en-AU"/>
        </w:rPr>
        <w:t>Canberra ACT 2601</w:t>
      </w:r>
    </w:p>
    <w:p w14:paraId="5FA84DF1" w14:textId="77777777" w:rsidR="00E47AB8" w:rsidRPr="008B2F8A" w:rsidRDefault="00E47AB8" w:rsidP="00422306">
      <w:pPr>
        <w:ind w:left="720"/>
        <w:rPr>
          <w:rFonts w:ascii="Garamond" w:eastAsia="Times New Roman" w:hAnsi="Garamond"/>
          <w:sz w:val="20"/>
          <w:szCs w:val="20"/>
          <w:lang w:eastAsia="en-AU"/>
        </w:rPr>
      </w:pPr>
      <w:r w:rsidRPr="008B2F8A">
        <w:rPr>
          <w:rFonts w:ascii="Garamond" w:eastAsia="Times New Roman" w:hAnsi="Garamond"/>
          <w:sz w:val="20"/>
          <w:szCs w:val="20"/>
          <w:lang w:eastAsia="en-AU"/>
        </w:rPr>
        <w:t>Enquiries about the content of the report should be directed to the above address.</w:t>
      </w:r>
    </w:p>
    <w:p w14:paraId="56C2F0B0" w14:textId="77777777" w:rsidR="00E47AB8" w:rsidRPr="008B2F8A" w:rsidRDefault="00E47AB8" w:rsidP="00422306">
      <w:pPr>
        <w:ind w:left="720"/>
        <w:rPr>
          <w:rFonts w:ascii="Garamond" w:eastAsia="Times New Roman" w:hAnsi="Garamond"/>
          <w:sz w:val="20"/>
          <w:szCs w:val="20"/>
          <w:lang w:eastAsia="en-AU"/>
        </w:rPr>
      </w:pPr>
      <w:r w:rsidRPr="008B2F8A">
        <w:rPr>
          <w:rFonts w:ascii="Garamond" w:eastAsia="Times New Roman" w:hAnsi="Garamond"/>
          <w:sz w:val="20"/>
          <w:szCs w:val="20"/>
          <w:lang w:eastAsia="en-AU"/>
        </w:rPr>
        <w:t xml:space="preserve">This report is a contracted technical report for use by the Medical Services Advisory Committee (MSAC) to inform its deliberations. The Medical Services Advisory Committee (MSAC) is an independent committee which has been established to provide advice to the Minister for Health and Ageing on the strength of </w:t>
      </w:r>
      <w:r w:rsidRPr="008B2F8A">
        <w:rPr>
          <w:rFonts w:ascii="Garamond" w:eastAsia="Times New Roman" w:hAnsi="Garamond"/>
          <w:sz w:val="20"/>
          <w:szCs w:val="20"/>
          <w:lang w:eastAsia="en-AU"/>
        </w:rPr>
        <w:lastRenderedPageBreak/>
        <w:t>evidence available on new and existing medical technologies and procedures in terms of their safety, effectiveness and cost-effectiveness. This advice will help to inform government decisions about which medical services should attract funding under Medicare.</w:t>
      </w:r>
    </w:p>
    <w:p w14:paraId="0F987D7C" w14:textId="77777777" w:rsidR="00E47AB8" w:rsidRPr="008B2F8A" w:rsidRDefault="00E47AB8" w:rsidP="00422306">
      <w:pPr>
        <w:ind w:left="720"/>
        <w:rPr>
          <w:rFonts w:ascii="Garamond" w:eastAsia="Times New Roman" w:hAnsi="Garamond"/>
          <w:b/>
          <w:sz w:val="20"/>
          <w:szCs w:val="20"/>
          <w:u w:val="single"/>
          <w:lang w:eastAsia="en-AU"/>
        </w:rPr>
      </w:pPr>
      <w:r w:rsidRPr="008B2F8A">
        <w:rPr>
          <w:rFonts w:ascii="Garamond" w:eastAsia="Times New Roman" w:hAnsi="Garamond"/>
          <w:b/>
          <w:sz w:val="20"/>
          <w:szCs w:val="20"/>
          <w:u w:val="single"/>
          <w:lang w:eastAsia="en-AU"/>
        </w:rPr>
        <w:t>MSAC’s advice does not necessarily reflect the views of all individuals who participated in the MSAC evaluation.</w:t>
      </w:r>
    </w:p>
    <w:p w14:paraId="6812C6F3" w14:textId="77777777" w:rsidR="00E47AB8" w:rsidRPr="008B2F8A" w:rsidRDefault="00E47AB8" w:rsidP="00422306">
      <w:pPr>
        <w:ind w:left="720"/>
        <w:rPr>
          <w:rFonts w:ascii="Garamond" w:eastAsia="Times New Roman" w:hAnsi="Garamond"/>
          <w:noProof/>
          <w:sz w:val="20"/>
          <w:szCs w:val="20"/>
          <w:lang w:eastAsia="en-AU"/>
        </w:rPr>
      </w:pPr>
      <w:r w:rsidRPr="008B2F8A">
        <w:rPr>
          <w:rFonts w:ascii="Garamond" w:eastAsia="Times New Roman" w:hAnsi="Garamond"/>
          <w:noProof/>
          <w:sz w:val="20"/>
          <w:szCs w:val="20"/>
          <w:lang w:eastAsia="en-AU"/>
        </w:rPr>
        <w:t>This report was prepared for the MSAC by Elizabeth Seil and Briony Jack</w:t>
      </w:r>
    </w:p>
    <w:p w14:paraId="33674E5E" w14:textId="36E3E508" w:rsidR="00E47AB8" w:rsidRPr="008B2F8A" w:rsidRDefault="00E47AB8" w:rsidP="00422306">
      <w:pPr>
        <w:ind w:left="720"/>
        <w:rPr>
          <w:rFonts w:ascii="Garamond" w:eastAsia="Times New Roman" w:hAnsi="Garamond"/>
          <w:noProof/>
          <w:sz w:val="20"/>
          <w:szCs w:val="20"/>
          <w:lang w:eastAsia="en-AU"/>
        </w:rPr>
      </w:pPr>
      <w:r w:rsidRPr="008B2F8A">
        <w:rPr>
          <w:rFonts w:ascii="Garamond" w:eastAsia="Times New Roman" w:hAnsi="Garamond"/>
          <w:noProof/>
          <w:sz w:val="20"/>
          <w:szCs w:val="20"/>
          <w:lang w:eastAsia="en-AU"/>
        </w:rPr>
        <w:t>Samara Lewis, Anna Stoklosa, Melina Willson, Sally Wortley and Briony Jack from the NHMRC Clinical Trials Centre and Nimita Arora, Dan Jackson and Dominic Tilden from THEMA Consulting, with the assistance of the MSAC Health Expert Standing Panel (see Appendix 1). The report was commissioned by the Department of Health and Ageing on behalf of MSAC. It was edited by Matthew Stevens.</w:t>
      </w:r>
    </w:p>
    <w:p w14:paraId="1D3629D1" w14:textId="77777777" w:rsidR="00E47AB8" w:rsidRPr="008B2F8A" w:rsidRDefault="00E47AB8" w:rsidP="00422306">
      <w:pPr>
        <w:spacing w:after="0"/>
        <w:ind w:left="720"/>
        <w:rPr>
          <w:rFonts w:eastAsia="Times New Roman"/>
          <w:sz w:val="20"/>
          <w:szCs w:val="20"/>
          <w:lang w:eastAsia="en-AU"/>
        </w:rPr>
      </w:pPr>
    </w:p>
    <w:p w14:paraId="0874C2A2" w14:textId="77777777" w:rsidR="00E47AB8" w:rsidRPr="008B2F8A" w:rsidRDefault="00E47AB8" w:rsidP="002D45F6">
      <w:pPr>
        <w:pStyle w:val="Heading1"/>
        <w:pageBreakBefore/>
        <w:numPr>
          <w:ilvl w:val="0"/>
          <w:numId w:val="0"/>
        </w:numPr>
        <w:ind w:left="431" w:hanging="431"/>
      </w:pPr>
      <w:bookmarkStart w:id="1" w:name="_Toc383424391"/>
      <w:bookmarkStart w:id="2" w:name="_GoBack"/>
      <w:bookmarkEnd w:id="2"/>
      <w:r w:rsidRPr="008B2F8A">
        <w:lastRenderedPageBreak/>
        <w:t>Contents</w:t>
      </w:r>
      <w:bookmarkEnd w:id="1"/>
    </w:p>
    <w:p w14:paraId="6CAC3107" w14:textId="77777777" w:rsidR="00B81273" w:rsidRPr="00B81273" w:rsidRDefault="00E47AB8">
      <w:pPr>
        <w:pStyle w:val="TOC1"/>
        <w:tabs>
          <w:tab w:val="right" w:leader="dot" w:pos="9060"/>
        </w:tabs>
        <w:rPr>
          <w:rFonts w:asciiTheme="majorHAnsi" w:eastAsiaTheme="minorEastAsia" w:hAnsiTheme="majorHAnsi" w:cstheme="minorBidi"/>
          <w:lang w:eastAsia="en-AU"/>
        </w:rPr>
      </w:pPr>
      <w:r w:rsidRPr="00B81273">
        <w:rPr>
          <w:rFonts w:asciiTheme="majorHAnsi" w:hAnsiTheme="majorHAnsi"/>
        </w:rPr>
        <w:fldChar w:fldCharType="begin"/>
      </w:r>
      <w:r w:rsidRPr="00B81273">
        <w:rPr>
          <w:rFonts w:asciiTheme="majorHAnsi" w:hAnsiTheme="majorHAnsi"/>
        </w:rPr>
        <w:instrText xml:space="preserve"> TOC \o "1-3" \h \z \u </w:instrText>
      </w:r>
      <w:r w:rsidRPr="00B81273">
        <w:rPr>
          <w:rFonts w:asciiTheme="majorHAnsi" w:hAnsiTheme="majorHAnsi"/>
        </w:rPr>
        <w:fldChar w:fldCharType="separate"/>
      </w:r>
      <w:hyperlink w:anchor="_Toc383424391" w:history="1">
        <w:r w:rsidR="00B81273" w:rsidRPr="00B81273">
          <w:rPr>
            <w:rStyle w:val="Hyperlink"/>
            <w:rFonts w:asciiTheme="majorHAnsi" w:hAnsiTheme="majorHAnsi"/>
          </w:rPr>
          <w:t>Contents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iv</w:t>
        </w:r>
        <w:r w:rsidR="00B81273" w:rsidRPr="00B81273">
          <w:rPr>
            <w:rFonts w:asciiTheme="majorHAnsi" w:hAnsiTheme="majorHAnsi"/>
            <w:webHidden/>
          </w:rPr>
          <w:fldChar w:fldCharType="end"/>
        </w:r>
      </w:hyperlink>
    </w:p>
    <w:p w14:paraId="24E1C810"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392" w:history="1">
        <w:r w:rsidR="00B81273" w:rsidRPr="00B81273">
          <w:rPr>
            <w:rStyle w:val="Hyperlink"/>
            <w:rFonts w:asciiTheme="majorHAnsi" w:hAnsiTheme="majorHAnsi"/>
          </w:rPr>
          <w:t>List of Tables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ix</w:t>
        </w:r>
        <w:r w:rsidR="00B81273" w:rsidRPr="00B81273">
          <w:rPr>
            <w:rFonts w:asciiTheme="majorHAnsi" w:hAnsiTheme="majorHAnsi"/>
            <w:webHidden/>
          </w:rPr>
          <w:fldChar w:fldCharType="end"/>
        </w:r>
      </w:hyperlink>
    </w:p>
    <w:p w14:paraId="04C4E4A9"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393" w:history="1">
        <w:r w:rsidR="00B81273" w:rsidRPr="00B81273">
          <w:rPr>
            <w:rStyle w:val="Hyperlink"/>
            <w:rFonts w:asciiTheme="majorHAnsi" w:hAnsiTheme="majorHAnsi"/>
            <w:lang w:eastAsia="en-AU"/>
          </w:rPr>
          <w:t>List of Figures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xii</w:t>
        </w:r>
        <w:r w:rsidR="00B81273" w:rsidRPr="00B81273">
          <w:rPr>
            <w:rFonts w:asciiTheme="majorHAnsi" w:hAnsiTheme="majorHAnsi"/>
            <w:webHidden/>
          </w:rPr>
          <w:fldChar w:fldCharType="end"/>
        </w:r>
      </w:hyperlink>
    </w:p>
    <w:p w14:paraId="1084C884" w14:textId="77777777" w:rsidR="00B81273" w:rsidRPr="00B81273" w:rsidRDefault="005839BC">
      <w:pPr>
        <w:pStyle w:val="TOC1"/>
        <w:tabs>
          <w:tab w:val="right" w:leader="dot" w:pos="9060"/>
        </w:tabs>
        <w:rPr>
          <w:rFonts w:asciiTheme="majorHAnsi" w:eastAsiaTheme="minorEastAsia" w:hAnsiTheme="majorHAnsi" w:cstheme="minorBidi"/>
          <w:lang w:eastAsia="en-AU"/>
        </w:rPr>
      </w:pPr>
      <w:hyperlink w:anchor="_Toc383424394" w:history="1">
        <w:r w:rsidR="00B81273" w:rsidRPr="00B81273">
          <w:rPr>
            <w:rStyle w:val="Hyperlink"/>
            <w:rFonts w:asciiTheme="majorHAnsi" w:hAnsiTheme="majorHAnsi"/>
            <w:lang w:eastAsia="en-AU"/>
          </w:rPr>
          <w:t>Abbreviations and acronyms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xiii</w:t>
        </w:r>
        <w:r w:rsidR="00B81273" w:rsidRPr="00B81273">
          <w:rPr>
            <w:rFonts w:asciiTheme="majorHAnsi" w:hAnsiTheme="majorHAnsi"/>
            <w:webHidden/>
          </w:rPr>
          <w:fldChar w:fldCharType="end"/>
        </w:r>
      </w:hyperlink>
    </w:p>
    <w:p w14:paraId="510D2E5E" w14:textId="77777777" w:rsidR="00B81273" w:rsidRPr="00B81273" w:rsidRDefault="005839BC">
      <w:pPr>
        <w:pStyle w:val="TOC1"/>
        <w:tabs>
          <w:tab w:val="right" w:leader="dot" w:pos="9060"/>
        </w:tabs>
        <w:rPr>
          <w:rFonts w:asciiTheme="majorHAnsi" w:eastAsiaTheme="minorEastAsia" w:hAnsiTheme="majorHAnsi" w:cstheme="minorBidi"/>
          <w:lang w:eastAsia="en-AU"/>
        </w:rPr>
      </w:pPr>
      <w:hyperlink w:anchor="_Toc383424395" w:history="1">
        <w:r w:rsidR="00B81273" w:rsidRPr="00B81273">
          <w:rPr>
            <w:rStyle w:val="Hyperlink"/>
            <w:rFonts w:asciiTheme="majorHAnsi" w:hAnsiTheme="majorHAnsi"/>
          </w:rPr>
          <w:t>Executive summary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w:t>
        </w:r>
        <w:r w:rsidR="00B81273" w:rsidRPr="00B81273">
          <w:rPr>
            <w:rFonts w:asciiTheme="majorHAnsi" w:hAnsiTheme="majorHAnsi"/>
            <w:webHidden/>
          </w:rPr>
          <w:fldChar w:fldCharType="end"/>
        </w:r>
      </w:hyperlink>
    </w:p>
    <w:p w14:paraId="01B8B1C1"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396" w:history="1">
        <w:r w:rsidR="00B81273" w:rsidRPr="00B81273">
          <w:rPr>
            <w:rStyle w:val="Hyperlink"/>
            <w:rFonts w:asciiTheme="majorHAnsi" w:hAnsiTheme="majorHAnsi"/>
          </w:rPr>
          <w:t>Assessment of breast MRI for screening of high-risk women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w:t>
        </w:r>
        <w:r w:rsidR="00B81273" w:rsidRPr="00B81273">
          <w:rPr>
            <w:rFonts w:asciiTheme="majorHAnsi" w:hAnsiTheme="majorHAnsi"/>
            <w:webHidden/>
          </w:rPr>
          <w:fldChar w:fldCharType="end"/>
        </w:r>
      </w:hyperlink>
    </w:p>
    <w:p w14:paraId="2587F848" w14:textId="77777777" w:rsidR="00B81273" w:rsidRPr="00B81273" w:rsidRDefault="005839BC">
      <w:pPr>
        <w:pStyle w:val="TOC3"/>
        <w:rPr>
          <w:rFonts w:asciiTheme="majorHAnsi" w:eastAsiaTheme="minorEastAsia" w:hAnsiTheme="majorHAnsi" w:cstheme="minorBidi"/>
          <w:lang w:eastAsia="en-AU"/>
        </w:rPr>
      </w:pPr>
      <w:hyperlink w:anchor="_Toc383424397" w:history="1">
        <w:r w:rsidR="00B81273" w:rsidRPr="00B81273">
          <w:rPr>
            <w:rStyle w:val="Hyperlink"/>
            <w:rFonts w:asciiTheme="majorHAnsi" w:hAnsiTheme="majorHAnsi"/>
          </w:rPr>
          <w:t>Purpose of the Application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w:t>
        </w:r>
        <w:r w:rsidR="00B81273" w:rsidRPr="00B81273">
          <w:rPr>
            <w:rFonts w:asciiTheme="majorHAnsi" w:hAnsiTheme="majorHAnsi"/>
            <w:webHidden/>
          </w:rPr>
          <w:fldChar w:fldCharType="end"/>
        </w:r>
      </w:hyperlink>
    </w:p>
    <w:p w14:paraId="6C4C9A5A" w14:textId="77777777" w:rsidR="00B81273" w:rsidRPr="00B81273" w:rsidRDefault="005839BC">
      <w:pPr>
        <w:pStyle w:val="TOC3"/>
        <w:rPr>
          <w:rFonts w:asciiTheme="majorHAnsi" w:eastAsiaTheme="minorEastAsia" w:hAnsiTheme="majorHAnsi" w:cstheme="minorBidi"/>
          <w:lang w:eastAsia="en-AU"/>
        </w:rPr>
      </w:pPr>
      <w:hyperlink w:anchor="_Toc383424398" w:history="1">
        <w:r w:rsidR="00B81273" w:rsidRPr="00B81273">
          <w:rPr>
            <w:rStyle w:val="Hyperlink"/>
            <w:rFonts w:asciiTheme="majorHAnsi" w:hAnsiTheme="majorHAnsi"/>
          </w:rPr>
          <w:t>Proposal for public funding</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w:t>
        </w:r>
        <w:r w:rsidR="00B81273" w:rsidRPr="00B81273">
          <w:rPr>
            <w:rFonts w:asciiTheme="majorHAnsi" w:hAnsiTheme="majorHAnsi"/>
            <w:webHidden/>
          </w:rPr>
          <w:fldChar w:fldCharType="end"/>
        </w:r>
      </w:hyperlink>
    </w:p>
    <w:p w14:paraId="51CA6861" w14:textId="77777777" w:rsidR="00B81273" w:rsidRPr="00B81273" w:rsidRDefault="005839BC">
      <w:pPr>
        <w:pStyle w:val="TOC3"/>
        <w:rPr>
          <w:rFonts w:asciiTheme="majorHAnsi" w:eastAsiaTheme="minorEastAsia" w:hAnsiTheme="majorHAnsi" w:cstheme="minorBidi"/>
          <w:lang w:eastAsia="en-AU"/>
        </w:rPr>
      </w:pPr>
      <w:hyperlink w:anchor="_Toc383424399" w:history="1">
        <w:r w:rsidR="00B81273" w:rsidRPr="00B81273">
          <w:rPr>
            <w:rStyle w:val="Hyperlink"/>
            <w:rFonts w:asciiTheme="majorHAnsi" w:hAnsiTheme="majorHAnsi"/>
          </w:rPr>
          <w:t>Current arrangements for public reimbursement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_Toc383424399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xvi</w:t>
        </w:r>
        <w:r w:rsidR="00B81273" w:rsidRPr="00B81273">
          <w:rPr>
            <w:rFonts w:asciiTheme="majorHAnsi" w:hAnsiTheme="majorHAnsi"/>
            <w:webHidden/>
          </w:rPr>
          <w:fldChar w:fldCharType="end"/>
        </w:r>
      </w:hyperlink>
    </w:p>
    <w:p w14:paraId="5D132A7A" w14:textId="77777777" w:rsidR="00B81273" w:rsidRPr="00B81273" w:rsidRDefault="005839BC">
      <w:pPr>
        <w:pStyle w:val="TOC3"/>
        <w:rPr>
          <w:rFonts w:asciiTheme="majorHAnsi" w:eastAsiaTheme="minorEastAsia" w:hAnsiTheme="majorHAnsi" w:cstheme="minorBidi"/>
          <w:lang w:eastAsia="en-AU"/>
        </w:rPr>
      </w:pPr>
      <w:hyperlink w:anchor="_Toc383424400" w:history="1">
        <w:r w:rsidR="00B81273" w:rsidRPr="00B81273">
          <w:rPr>
            <w:rStyle w:val="Hyperlink"/>
            <w:rFonts w:asciiTheme="majorHAnsi" w:hAnsiTheme="majorHAnsi"/>
          </w:rPr>
          <w:t>Background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xvi</w:t>
        </w:r>
        <w:r w:rsidR="00B81273" w:rsidRPr="00B81273">
          <w:rPr>
            <w:rFonts w:asciiTheme="majorHAnsi" w:hAnsiTheme="majorHAnsi"/>
            <w:webHidden/>
          </w:rPr>
          <w:fldChar w:fldCharType="end"/>
        </w:r>
      </w:hyperlink>
    </w:p>
    <w:p w14:paraId="435170F9" w14:textId="77777777" w:rsidR="00B81273" w:rsidRPr="00B81273" w:rsidRDefault="005839BC">
      <w:pPr>
        <w:pStyle w:val="TOC3"/>
        <w:rPr>
          <w:rFonts w:asciiTheme="majorHAnsi" w:eastAsiaTheme="minorEastAsia" w:hAnsiTheme="majorHAnsi" w:cstheme="minorBidi"/>
          <w:lang w:eastAsia="en-AU"/>
        </w:rPr>
      </w:pPr>
      <w:hyperlink w:anchor="_Toc383424401" w:history="1">
        <w:r w:rsidR="00B81273" w:rsidRPr="00B81273">
          <w:rPr>
            <w:rStyle w:val="Hyperlink"/>
            <w:rFonts w:asciiTheme="majorHAnsi" w:hAnsiTheme="majorHAnsi"/>
          </w:rPr>
          <w:t>Prerequisites to implementation of any funding advice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xvii</w:t>
        </w:r>
        <w:r w:rsidR="00B81273" w:rsidRPr="00B81273">
          <w:rPr>
            <w:rFonts w:asciiTheme="majorHAnsi" w:hAnsiTheme="majorHAnsi"/>
            <w:webHidden/>
          </w:rPr>
          <w:fldChar w:fldCharType="end"/>
        </w:r>
      </w:hyperlink>
    </w:p>
    <w:p w14:paraId="2667D474" w14:textId="77777777" w:rsidR="00B81273" w:rsidRPr="00B81273" w:rsidRDefault="005839BC">
      <w:pPr>
        <w:pStyle w:val="TOC3"/>
        <w:rPr>
          <w:rFonts w:asciiTheme="majorHAnsi" w:eastAsiaTheme="minorEastAsia" w:hAnsiTheme="majorHAnsi" w:cstheme="minorBidi"/>
          <w:lang w:eastAsia="en-AU"/>
        </w:rPr>
      </w:pPr>
      <w:hyperlink w:anchor="_Toc383424402" w:history="1">
        <w:r w:rsidR="00B81273" w:rsidRPr="00B81273">
          <w:rPr>
            <w:rStyle w:val="Hyperlink"/>
            <w:rFonts w:asciiTheme="majorHAnsi" w:hAnsiTheme="majorHAnsi"/>
          </w:rPr>
          <w:t>Other relevant applications or reviews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xvii</w:t>
        </w:r>
        <w:r w:rsidR="00B81273" w:rsidRPr="00B81273">
          <w:rPr>
            <w:rFonts w:asciiTheme="majorHAnsi" w:hAnsiTheme="majorHAnsi"/>
            <w:webHidden/>
          </w:rPr>
          <w:fldChar w:fldCharType="end"/>
        </w:r>
      </w:hyperlink>
    </w:p>
    <w:p w14:paraId="784E315E" w14:textId="77777777" w:rsidR="00B81273" w:rsidRPr="00B81273" w:rsidRDefault="005839BC">
      <w:pPr>
        <w:pStyle w:val="TOC3"/>
        <w:rPr>
          <w:rFonts w:asciiTheme="majorHAnsi" w:eastAsiaTheme="minorEastAsia" w:hAnsiTheme="majorHAnsi" w:cstheme="minorBidi"/>
          <w:lang w:eastAsia="en-AU"/>
        </w:rPr>
      </w:pPr>
      <w:hyperlink w:anchor="_Toc383424403" w:history="1">
        <w:r w:rsidR="00B81273" w:rsidRPr="00B81273">
          <w:rPr>
            <w:rStyle w:val="Hyperlink"/>
            <w:rFonts w:asciiTheme="majorHAnsi" w:hAnsiTheme="majorHAnsi"/>
          </w:rPr>
          <w:t>Clinical need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xvii</w:t>
        </w:r>
        <w:r w:rsidR="00B81273" w:rsidRPr="00B81273">
          <w:rPr>
            <w:rFonts w:asciiTheme="majorHAnsi" w:hAnsiTheme="majorHAnsi"/>
            <w:webHidden/>
          </w:rPr>
          <w:fldChar w:fldCharType="end"/>
        </w:r>
      </w:hyperlink>
    </w:p>
    <w:p w14:paraId="6AC8CB12" w14:textId="77777777" w:rsidR="00B81273" w:rsidRPr="00B81273" w:rsidRDefault="005839BC">
      <w:pPr>
        <w:pStyle w:val="TOC3"/>
        <w:rPr>
          <w:rFonts w:asciiTheme="majorHAnsi" w:eastAsiaTheme="minorEastAsia" w:hAnsiTheme="majorHAnsi" w:cstheme="minorBidi"/>
          <w:lang w:eastAsia="en-AU"/>
        </w:rPr>
      </w:pPr>
      <w:hyperlink w:anchor="_Toc383424404" w:history="1">
        <w:r w:rsidR="00B81273" w:rsidRPr="00B81273">
          <w:rPr>
            <w:rStyle w:val="Hyperlink"/>
            <w:rFonts w:asciiTheme="majorHAnsi" w:hAnsiTheme="majorHAnsi"/>
          </w:rPr>
          <w:t>Comparator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xviii</w:t>
        </w:r>
        <w:r w:rsidR="00B81273" w:rsidRPr="00B81273">
          <w:rPr>
            <w:rFonts w:asciiTheme="majorHAnsi" w:hAnsiTheme="majorHAnsi"/>
            <w:webHidden/>
          </w:rPr>
          <w:fldChar w:fldCharType="end"/>
        </w:r>
      </w:hyperlink>
    </w:p>
    <w:p w14:paraId="34236F58"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405" w:history="1">
        <w:r w:rsidR="00B81273" w:rsidRPr="00B81273">
          <w:rPr>
            <w:rStyle w:val="Hyperlink"/>
            <w:rFonts w:asciiTheme="majorHAnsi" w:hAnsiTheme="majorHAnsi"/>
          </w:rPr>
          <w:t>Scientific basis of comparison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xviii</w:t>
        </w:r>
        <w:r w:rsidR="00B81273" w:rsidRPr="00B81273">
          <w:rPr>
            <w:rFonts w:asciiTheme="majorHAnsi" w:hAnsiTheme="majorHAnsi"/>
            <w:webHidden/>
          </w:rPr>
          <w:fldChar w:fldCharType="end"/>
        </w:r>
      </w:hyperlink>
    </w:p>
    <w:p w14:paraId="4E735BE8"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406" w:history="1">
        <w:r w:rsidR="00B81273" w:rsidRPr="00B81273">
          <w:rPr>
            <w:rStyle w:val="Hyperlink"/>
            <w:rFonts w:asciiTheme="majorHAnsi" w:hAnsiTheme="majorHAnsi"/>
          </w:rPr>
          <w:t>Comparative safety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xviii</w:t>
        </w:r>
        <w:r w:rsidR="00B81273" w:rsidRPr="00B81273">
          <w:rPr>
            <w:rFonts w:asciiTheme="majorHAnsi" w:hAnsiTheme="majorHAnsi"/>
            <w:webHidden/>
          </w:rPr>
          <w:fldChar w:fldCharType="end"/>
        </w:r>
      </w:hyperlink>
    </w:p>
    <w:p w14:paraId="3A99C46C"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407" w:history="1">
        <w:r w:rsidR="00B81273" w:rsidRPr="00B81273">
          <w:rPr>
            <w:rStyle w:val="Hyperlink"/>
            <w:rFonts w:asciiTheme="majorHAnsi" w:hAnsiTheme="majorHAnsi"/>
          </w:rPr>
          <w:t>Comparative effectiveness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xix</w:t>
        </w:r>
        <w:r w:rsidR="00B81273" w:rsidRPr="00B81273">
          <w:rPr>
            <w:rFonts w:asciiTheme="majorHAnsi" w:hAnsiTheme="majorHAnsi"/>
            <w:webHidden/>
          </w:rPr>
          <w:fldChar w:fldCharType="end"/>
        </w:r>
      </w:hyperlink>
    </w:p>
    <w:p w14:paraId="381147B7" w14:textId="77777777" w:rsidR="00B81273" w:rsidRPr="00B81273" w:rsidRDefault="005839BC">
      <w:pPr>
        <w:pStyle w:val="TOC3"/>
        <w:rPr>
          <w:rFonts w:asciiTheme="majorHAnsi" w:eastAsiaTheme="minorEastAsia" w:hAnsiTheme="majorHAnsi" w:cstheme="minorBidi"/>
          <w:lang w:eastAsia="en-AU"/>
        </w:rPr>
      </w:pPr>
      <w:hyperlink w:anchor="_Toc383424408" w:history="1">
        <w:r w:rsidR="00B81273" w:rsidRPr="00B81273">
          <w:rPr>
            <w:rStyle w:val="Hyperlink"/>
            <w:rFonts w:asciiTheme="majorHAnsi" w:hAnsiTheme="majorHAnsi"/>
          </w:rPr>
          <w:t>Asymptomatic, high-risk women: MBS interim-funded item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xix</w:t>
        </w:r>
        <w:r w:rsidR="00B81273" w:rsidRPr="00B81273">
          <w:rPr>
            <w:rFonts w:asciiTheme="majorHAnsi" w:hAnsiTheme="majorHAnsi"/>
            <w:webHidden/>
          </w:rPr>
          <w:fldChar w:fldCharType="end"/>
        </w:r>
      </w:hyperlink>
    </w:p>
    <w:p w14:paraId="09F90137" w14:textId="77777777" w:rsidR="00B81273" w:rsidRPr="00B81273" w:rsidRDefault="005839BC">
      <w:pPr>
        <w:pStyle w:val="TOC3"/>
        <w:rPr>
          <w:rFonts w:asciiTheme="majorHAnsi" w:eastAsiaTheme="minorEastAsia" w:hAnsiTheme="majorHAnsi" w:cstheme="minorBidi"/>
          <w:lang w:eastAsia="en-AU"/>
        </w:rPr>
      </w:pPr>
      <w:hyperlink w:anchor="_Toc383424409" w:history="1">
        <w:r w:rsidR="00B81273" w:rsidRPr="00B81273">
          <w:rPr>
            <w:rStyle w:val="Hyperlink"/>
            <w:rFonts w:asciiTheme="majorHAnsi" w:hAnsiTheme="majorHAnsi"/>
          </w:rPr>
          <w:t>Women with a history of treatment for invasive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_Toc383424409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w:t>
        </w:r>
        <w:r w:rsidR="00B81273" w:rsidRPr="00B81273">
          <w:rPr>
            <w:rFonts w:asciiTheme="majorHAnsi" w:hAnsiTheme="majorHAnsi"/>
            <w:webHidden/>
          </w:rPr>
          <w:fldChar w:fldCharType="end"/>
        </w:r>
      </w:hyperlink>
    </w:p>
    <w:p w14:paraId="30B04444" w14:textId="77777777" w:rsidR="00B81273" w:rsidRPr="00B81273" w:rsidRDefault="005839BC">
      <w:pPr>
        <w:pStyle w:val="TOC3"/>
        <w:rPr>
          <w:rFonts w:asciiTheme="majorHAnsi" w:eastAsiaTheme="minorEastAsia" w:hAnsiTheme="majorHAnsi" w:cstheme="minorBidi"/>
          <w:lang w:eastAsia="en-AU"/>
        </w:rPr>
      </w:pPr>
      <w:hyperlink w:anchor="_Toc383424410" w:history="1">
        <w:r w:rsidR="00B81273" w:rsidRPr="00B81273">
          <w:rPr>
            <w:rStyle w:val="Hyperlink"/>
            <w:rFonts w:asciiTheme="majorHAnsi" w:hAnsiTheme="majorHAnsi"/>
          </w:rPr>
          <w:t>Women with a history of treatment for DCIS or LCIS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w:t>
        </w:r>
        <w:r w:rsidR="00B81273" w:rsidRPr="00B81273">
          <w:rPr>
            <w:rFonts w:asciiTheme="majorHAnsi" w:hAnsiTheme="majorHAnsi"/>
            <w:webHidden/>
          </w:rPr>
          <w:fldChar w:fldCharType="end"/>
        </w:r>
      </w:hyperlink>
    </w:p>
    <w:p w14:paraId="7537C1C3" w14:textId="77777777" w:rsidR="00B81273" w:rsidRPr="00B81273" w:rsidRDefault="005839BC">
      <w:pPr>
        <w:pStyle w:val="TOC3"/>
        <w:rPr>
          <w:rFonts w:asciiTheme="majorHAnsi" w:eastAsiaTheme="minorEastAsia" w:hAnsiTheme="majorHAnsi" w:cstheme="minorBidi"/>
          <w:lang w:eastAsia="en-AU"/>
        </w:rPr>
      </w:pPr>
      <w:hyperlink w:anchor="_Toc383424411" w:history="1">
        <w:r w:rsidR="00B81273" w:rsidRPr="00B81273">
          <w:rPr>
            <w:rStyle w:val="Hyperlink"/>
            <w:rFonts w:asciiTheme="majorHAnsi" w:hAnsiTheme="majorHAnsi"/>
          </w:rPr>
          <w:t>Women who have had chest irradiation between 10 and 35 years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w:t>
        </w:r>
        <w:r w:rsidR="00B81273" w:rsidRPr="00B81273">
          <w:rPr>
            <w:rFonts w:asciiTheme="majorHAnsi" w:hAnsiTheme="majorHAnsi"/>
            <w:webHidden/>
          </w:rPr>
          <w:fldChar w:fldCharType="end"/>
        </w:r>
      </w:hyperlink>
    </w:p>
    <w:p w14:paraId="7711469B" w14:textId="77777777" w:rsidR="00B81273" w:rsidRPr="00B81273" w:rsidRDefault="005839BC">
      <w:pPr>
        <w:pStyle w:val="TOC3"/>
        <w:rPr>
          <w:rFonts w:asciiTheme="majorHAnsi" w:eastAsiaTheme="minorEastAsia" w:hAnsiTheme="majorHAnsi" w:cstheme="minorBidi"/>
          <w:lang w:eastAsia="en-AU"/>
        </w:rPr>
      </w:pPr>
      <w:hyperlink w:anchor="_Toc383424412" w:history="1">
        <w:r w:rsidR="00B81273" w:rsidRPr="00B81273">
          <w:rPr>
            <w:rStyle w:val="Hyperlink"/>
            <w:rFonts w:asciiTheme="majorHAnsi" w:hAnsiTheme="majorHAnsi"/>
          </w:rPr>
          <w:t>Summary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xxi</w:t>
        </w:r>
        <w:r w:rsidR="00B81273" w:rsidRPr="00B81273">
          <w:rPr>
            <w:rFonts w:asciiTheme="majorHAnsi" w:hAnsiTheme="majorHAnsi"/>
            <w:webHidden/>
          </w:rPr>
          <w:fldChar w:fldCharType="end"/>
        </w:r>
      </w:hyperlink>
    </w:p>
    <w:p w14:paraId="6CCE9062"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413" w:history="1">
        <w:r w:rsidR="00B81273" w:rsidRPr="00B81273">
          <w:rPr>
            <w:rStyle w:val="Hyperlink"/>
            <w:rFonts w:asciiTheme="majorHAnsi" w:hAnsiTheme="majorHAnsi"/>
          </w:rPr>
          <w:t>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xxi</w:t>
        </w:r>
        <w:r w:rsidR="00B81273" w:rsidRPr="00B81273">
          <w:rPr>
            <w:rFonts w:asciiTheme="majorHAnsi" w:hAnsiTheme="majorHAnsi"/>
            <w:webHidden/>
          </w:rPr>
          <w:fldChar w:fldCharType="end"/>
        </w:r>
      </w:hyperlink>
    </w:p>
    <w:p w14:paraId="4B85E4FB" w14:textId="77777777" w:rsidR="00B81273" w:rsidRPr="00B81273" w:rsidRDefault="005839BC">
      <w:pPr>
        <w:pStyle w:val="TOC3"/>
        <w:rPr>
          <w:rFonts w:asciiTheme="majorHAnsi" w:eastAsiaTheme="minorEastAsia" w:hAnsiTheme="majorHAnsi" w:cstheme="minorBidi"/>
          <w:lang w:eastAsia="en-AU"/>
        </w:rPr>
      </w:pPr>
      <w:hyperlink w:anchor="_Toc383424414" w:history="1">
        <w:r w:rsidR="00B81273" w:rsidRPr="00B81273">
          <w:rPr>
            <w:rStyle w:val="Hyperlink"/>
            <w:rFonts w:asciiTheme="majorHAnsi" w:hAnsiTheme="majorHAnsi"/>
          </w:rPr>
          <w:t>Method and approach</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xxi</w:t>
        </w:r>
        <w:r w:rsidR="00B81273" w:rsidRPr="00B81273">
          <w:rPr>
            <w:rFonts w:asciiTheme="majorHAnsi" w:hAnsiTheme="majorHAnsi"/>
            <w:webHidden/>
          </w:rPr>
          <w:fldChar w:fldCharType="end"/>
        </w:r>
      </w:hyperlink>
    </w:p>
    <w:p w14:paraId="6AAE41E1" w14:textId="77777777" w:rsidR="00B81273" w:rsidRPr="00B81273" w:rsidRDefault="005839BC">
      <w:pPr>
        <w:pStyle w:val="TOC3"/>
        <w:rPr>
          <w:rFonts w:asciiTheme="majorHAnsi" w:eastAsiaTheme="minorEastAsia" w:hAnsiTheme="majorHAnsi" w:cstheme="minorBidi"/>
          <w:lang w:eastAsia="en-AU"/>
        </w:rPr>
      </w:pPr>
      <w:hyperlink w:anchor="_Toc383424415" w:history="1">
        <w:r w:rsidR="00B81273" w:rsidRPr="00B81273">
          <w:rPr>
            <w:rStyle w:val="Hyperlink"/>
            <w:rFonts w:asciiTheme="majorHAnsi" w:hAnsiTheme="majorHAnsi"/>
          </w:rPr>
          <w:t>Results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xxiii</w:t>
        </w:r>
        <w:r w:rsidR="00B81273" w:rsidRPr="00B81273">
          <w:rPr>
            <w:rFonts w:asciiTheme="majorHAnsi" w:hAnsiTheme="majorHAnsi"/>
            <w:webHidden/>
          </w:rPr>
          <w:fldChar w:fldCharType="end"/>
        </w:r>
      </w:hyperlink>
    </w:p>
    <w:p w14:paraId="3A2246A1" w14:textId="77777777" w:rsidR="00B81273" w:rsidRPr="00B81273" w:rsidRDefault="005839BC">
      <w:pPr>
        <w:pStyle w:val="TOC3"/>
        <w:rPr>
          <w:rFonts w:asciiTheme="majorHAnsi" w:eastAsiaTheme="minorEastAsia" w:hAnsiTheme="majorHAnsi" w:cstheme="minorBidi"/>
          <w:lang w:eastAsia="en-AU"/>
        </w:rPr>
      </w:pPr>
      <w:hyperlink w:anchor="_Toc383424416" w:history="1">
        <w:r w:rsidR="00B81273" w:rsidRPr="00B81273">
          <w:rPr>
            <w:rStyle w:val="Hyperlink"/>
            <w:rFonts w:asciiTheme="majorHAnsi" w:hAnsiTheme="majorHAnsi"/>
          </w:rPr>
          <w:t>Key uncertainties in the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xxiv</w:t>
        </w:r>
        <w:r w:rsidR="00B81273" w:rsidRPr="00B81273">
          <w:rPr>
            <w:rFonts w:asciiTheme="majorHAnsi" w:hAnsiTheme="majorHAnsi"/>
            <w:webHidden/>
          </w:rPr>
          <w:fldChar w:fldCharType="end"/>
        </w:r>
      </w:hyperlink>
    </w:p>
    <w:p w14:paraId="4FFC6BEC"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417" w:history="1">
        <w:r w:rsidR="00B81273" w:rsidRPr="00B81273">
          <w:rPr>
            <w:rStyle w:val="Hyperlink"/>
            <w:rFonts w:asciiTheme="majorHAnsi" w:hAnsiTheme="majorHAnsi"/>
          </w:rPr>
          <w:t>Financial/budgetary impacts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xxv</w:t>
        </w:r>
        <w:r w:rsidR="00B81273" w:rsidRPr="00B81273">
          <w:rPr>
            <w:rFonts w:asciiTheme="majorHAnsi" w:hAnsiTheme="majorHAnsi"/>
            <w:webHidden/>
          </w:rPr>
          <w:fldChar w:fldCharType="end"/>
        </w:r>
      </w:hyperlink>
    </w:p>
    <w:p w14:paraId="21C529FB" w14:textId="77777777" w:rsidR="00B81273" w:rsidRPr="00B81273" w:rsidRDefault="005839BC">
      <w:pPr>
        <w:pStyle w:val="TOC3"/>
        <w:rPr>
          <w:rFonts w:asciiTheme="majorHAnsi" w:eastAsiaTheme="minorEastAsia" w:hAnsiTheme="majorHAnsi" w:cstheme="minorBidi"/>
          <w:lang w:eastAsia="en-AU"/>
        </w:rPr>
      </w:pPr>
      <w:hyperlink w:anchor="_Toc383424418" w:history="1">
        <w:r w:rsidR="00B81273" w:rsidRPr="00B81273">
          <w:rPr>
            <w:rStyle w:val="Hyperlink"/>
            <w:rFonts w:asciiTheme="majorHAnsi" w:hAnsiTheme="majorHAnsi"/>
          </w:rPr>
          <w:t>Method and approach</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xxv</w:t>
        </w:r>
        <w:r w:rsidR="00B81273" w:rsidRPr="00B81273">
          <w:rPr>
            <w:rFonts w:asciiTheme="majorHAnsi" w:hAnsiTheme="majorHAnsi"/>
            <w:webHidden/>
          </w:rPr>
          <w:fldChar w:fldCharType="end"/>
        </w:r>
      </w:hyperlink>
    </w:p>
    <w:p w14:paraId="23E85595" w14:textId="77777777" w:rsidR="00B81273" w:rsidRPr="00B81273" w:rsidRDefault="005839BC">
      <w:pPr>
        <w:pStyle w:val="TOC3"/>
        <w:rPr>
          <w:rFonts w:asciiTheme="majorHAnsi" w:eastAsiaTheme="minorEastAsia" w:hAnsiTheme="majorHAnsi" w:cstheme="minorBidi"/>
          <w:lang w:eastAsia="en-AU"/>
        </w:rPr>
      </w:pPr>
      <w:hyperlink w:anchor="_Toc383424419" w:history="1">
        <w:r w:rsidR="00B81273" w:rsidRPr="00B81273">
          <w:rPr>
            <w:rStyle w:val="Hyperlink"/>
            <w:rFonts w:asciiTheme="majorHAnsi" w:hAnsiTheme="majorHAnsi"/>
          </w:rPr>
          <w:t>Key assumptions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_Toc383424419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xxv</w:t>
        </w:r>
        <w:r w:rsidR="00B81273" w:rsidRPr="00B81273">
          <w:rPr>
            <w:rFonts w:asciiTheme="majorHAnsi" w:hAnsiTheme="majorHAnsi"/>
            <w:webHidden/>
          </w:rPr>
          <w:fldChar w:fldCharType="end"/>
        </w:r>
      </w:hyperlink>
    </w:p>
    <w:p w14:paraId="2327EEFA" w14:textId="77777777" w:rsidR="00B81273" w:rsidRPr="00B81273" w:rsidRDefault="005839BC">
      <w:pPr>
        <w:pStyle w:val="TOC3"/>
        <w:rPr>
          <w:rFonts w:asciiTheme="majorHAnsi" w:eastAsiaTheme="minorEastAsia" w:hAnsiTheme="majorHAnsi" w:cstheme="minorBidi"/>
          <w:lang w:eastAsia="en-AU"/>
        </w:rPr>
      </w:pPr>
      <w:hyperlink w:anchor="_Toc383424420" w:history="1">
        <w:r w:rsidR="00B81273" w:rsidRPr="00B81273">
          <w:rPr>
            <w:rStyle w:val="Hyperlink"/>
            <w:rFonts w:asciiTheme="majorHAnsi" w:hAnsiTheme="majorHAnsi"/>
          </w:rPr>
          <w:t>Results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xxv</w:t>
        </w:r>
        <w:r w:rsidR="00B81273" w:rsidRPr="00B81273">
          <w:rPr>
            <w:rFonts w:asciiTheme="majorHAnsi" w:hAnsiTheme="majorHAnsi"/>
            <w:webHidden/>
          </w:rPr>
          <w:fldChar w:fldCharType="end"/>
        </w:r>
      </w:hyperlink>
    </w:p>
    <w:p w14:paraId="4E07A8FD" w14:textId="77777777" w:rsidR="00B81273" w:rsidRPr="00B81273" w:rsidRDefault="005839BC">
      <w:pPr>
        <w:pStyle w:val="TOC3"/>
        <w:rPr>
          <w:rFonts w:asciiTheme="majorHAnsi" w:eastAsiaTheme="minorEastAsia" w:hAnsiTheme="majorHAnsi" w:cstheme="minorBidi"/>
          <w:lang w:eastAsia="en-AU"/>
        </w:rPr>
      </w:pPr>
      <w:hyperlink w:anchor="_Toc383424421" w:history="1">
        <w:r w:rsidR="00B81273" w:rsidRPr="00B81273">
          <w:rPr>
            <w:rStyle w:val="Hyperlink"/>
            <w:rFonts w:asciiTheme="majorHAnsi" w:hAnsiTheme="majorHAnsi"/>
          </w:rPr>
          <w:t>Key uncertainties in the financial implications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xxvi</w:t>
        </w:r>
        <w:r w:rsidR="00B81273" w:rsidRPr="00B81273">
          <w:rPr>
            <w:rFonts w:asciiTheme="majorHAnsi" w:hAnsiTheme="majorHAnsi"/>
            <w:webHidden/>
          </w:rPr>
          <w:fldChar w:fldCharType="end"/>
        </w:r>
      </w:hyperlink>
    </w:p>
    <w:p w14:paraId="16EAC648" w14:textId="77777777" w:rsidR="00B81273" w:rsidRPr="00B81273" w:rsidRDefault="005839BC">
      <w:pPr>
        <w:pStyle w:val="TOC1"/>
        <w:tabs>
          <w:tab w:val="left" w:pos="1100"/>
          <w:tab w:val="right" w:leader="dot" w:pos="9060"/>
        </w:tabs>
        <w:rPr>
          <w:rFonts w:asciiTheme="majorHAnsi" w:eastAsiaTheme="minorEastAsia" w:hAnsiTheme="majorHAnsi" w:cstheme="minorBidi"/>
          <w:lang w:eastAsia="en-AU"/>
        </w:rPr>
      </w:pPr>
      <w:hyperlink w:anchor="_Toc383424422" w:history="1">
        <w:r w:rsidR="00B81273" w:rsidRPr="00B81273">
          <w:rPr>
            <w:rStyle w:val="Hyperlink"/>
            <w:rFonts w:asciiTheme="majorHAnsi" w:hAnsiTheme="majorHAnsi"/>
          </w:rPr>
          <w:t>Section A</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Details of the proposed medical service and its intended use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w:t>
        </w:r>
        <w:r w:rsidR="00B81273" w:rsidRPr="00B81273">
          <w:rPr>
            <w:rFonts w:asciiTheme="majorHAnsi" w:hAnsiTheme="majorHAnsi"/>
            <w:webHidden/>
          </w:rPr>
          <w:fldChar w:fldCharType="end"/>
        </w:r>
      </w:hyperlink>
    </w:p>
    <w:p w14:paraId="47C57FDD"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23" w:history="1">
        <w:r w:rsidR="00B81273" w:rsidRPr="00B81273">
          <w:rPr>
            <w:rStyle w:val="Hyperlink"/>
            <w:rFonts w:asciiTheme="majorHAnsi" w:hAnsiTheme="majorHAnsi"/>
          </w:rPr>
          <w:t>A.1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Background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w:t>
        </w:r>
        <w:r w:rsidR="00B81273" w:rsidRPr="00B81273">
          <w:rPr>
            <w:rFonts w:asciiTheme="majorHAnsi" w:hAnsiTheme="majorHAnsi"/>
            <w:webHidden/>
          </w:rPr>
          <w:fldChar w:fldCharType="end"/>
        </w:r>
      </w:hyperlink>
    </w:p>
    <w:p w14:paraId="7EC7149A" w14:textId="77777777" w:rsidR="00B81273" w:rsidRPr="00B81273" w:rsidRDefault="005839BC">
      <w:pPr>
        <w:pStyle w:val="TOC3"/>
        <w:rPr>
          <w:rFonts w:asciiTheme="majorHAnsi" w:eastAsiaTheme="minorEastAsia" w:hAnsiTheme="majorHAnsi" w:cstheme="minorBidi"/>
          <w:lang w:eastAsia="en-AU"/>
        </w:rPr>
      </w:pPr>
      <w:hyperlink w:anchor="_Toc383424424" w:history="1">
        <w:r w:rsidR="00B81273" w:rsidRPr="00B81273">
          <w:rPr>
            <w:rStyle w:val="Hyperlink"/>
            <w:rFonts w:asciiTheme="majorHAnsi" w:hAnsiTheme="majorHAnsi"/>
          </w:rPr>
          <w:t>A.1.1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Breast cancer in Australia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w:t>
        </w:r>
        <w:r w:rsidR="00B81273" w:rsidRPr="00B81273">
          <w:rPr>
            <w:rFonts w:asciiTheme="majorHAnsi" w:hAnsiTheme="majorHAnsi"/>
            <w:webHidden/>
          </w:rPr>
          <w:fldChar w:fldCharType="end"/>
        </w:r>
      </w:hyperlink>
    </w:p>
    <w:p w14:paraId="366E578D" w14:textId="77777777" w:rsidR="00B81273" w:rsidRPr="00B81273" w:rsidRDefault="005839BC">
      <w:pPr>
        <w:pStyle w:val="TOC3"/>
        <w:rPr>
          <w:rFonts w:asciiTheme="majorHAnsi" w:eastAsiaTheme="minorEastAsia" w:hAnsiTheme="majorHAnsi" w:cstheme="minorBidi"/>
          <w:lang w:eastAsia="en-AU"/>
        </w:rPr>
      </w:pPr>
      <w:hyperlink w:anchor="_Toc383424425" w:history="1">
        <w:r w:rsidR="00B81273" w:rsidRPr="00B81273">
          <w:rPr>
            <w:rStyle w:val="Hyperlink"/>
            <w:rFonts w:asciiTheme="majorHAnsi" w:hAnsiTheme="majorHAnsi"/>
          </w:rPr>
          <w:t>A.1.2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Risk of breast cancer in high-risk groups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w:t>
        </w:r>
        <w:r w:rsidR="00B81273" w:rsidRPr="00B81273">
          <w:rPr>
            <w:rFonts w:asciiTheme="majorHAnsi" w:hAnsiTheme="majorHAnsi"/>
            <w:webHidden/>
          </w:rPr>
          <w:fldChar w:fldCharType="end"/>
        </w:r>
      </w:hyperlink>
    </w:p>
    <w:p w14:paraId="42217C96" w14:textId="77777777" w:rsidR="00B81273" w:rsidRPr="00B81273" w:rsidRDefault="005839BC">
      <w:pPr>
        <w:pStyle w:val="TOC3"/>
        <w:rPr>
          <w:rFonts w:asciiTheme="majorHAnsi" w:eastAsiaTheme="minorEastAsia" w:hAnsiTheme="majorHAnsi" w:cstheme="minorBidi"/>
          <w:lang w:eastAsia="en-AU"/>
        </w:rPr>
      </w:pPr>
      <w:hyperlink w:anchor="_Toc383424426" w:history="1">
        <w:r w:rsidR="00B81273" w:rsidRPr="00B81273">
          <w:rPr>
            <w:rStyle w:val="Hyperlink"/>
            <w:rFonts w:asciiTheme="majorHAnsi" w:hAnsiTheme="majorHAnsi"/>
          </w:rPr>
          <w:t>A.1.3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Risk reduction strategies for women at high risk</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w:t>
        </w:r>
        <w:r w:rsidR="00B81273" w:rsidRPr="00B81273">
          <w:rPr>
            <w:rFonts w:asciiTheme="majorHAnsi" w:hAnsiTheme="majorHAnsi"/>
            <w:webHidden/>
          </w:rPr>
          <w:fldChar w:fldCharType="end"/>
        </w:r>
      </w:hyperlink>
    </w:p>
    <w:p w14:paraId="19B56175" w14:textId="77777777" w:rsidR="00B81273" w:rsidRPr="00B81273" w:rsidRDefault="005839BC">
      <w:pPr>
        <w:pStyle w:val="TOC3"/>
        <w:rPr>
          <w:rFonts w:asciiTheme="majorHAnsi" w:eastAsiaTheme="minorEastAsia" w:hAnsiTheme="majorHAnsi" w:cstheme="minorBidi"/>
          <w:lang w:eastAsia="en-AU"/>
        </w:rPr>
      </w:pPr>
      <w:hyperlink w:anchor="_Toc383424427" w:history="1">
        <w:r w:rsidR="00B81273" w:rsidRPr="00B81273">
          <w:rPr>
            <w:rStyle w:val="Hyperlink"/>
            <w:rFonts w:asciiTheme="majorHAnsi" w:hAnsiTheme="majorHAnsi"/>
          </w:rPr>
          <w:t>A.1.4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Items in the Decision-Analytic Protocol</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w:t>
        </w:r>
        <w:r w:rsidR="00B81273" w:rsidRPr="00B81273">
          <w:rPr>
            <w:rFonts w:asciiTheme="majorHAnsi" w:hAnsiTheme="majorHAnsi"/>
            <w:webHidden/>
          </w:rPr>
          <w:fldChar w:fldCharType="end"/>
        </w:r>
      </w:hyperlink>
    </w:p>
    <w:p w14:paraId="5E688C9C"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28" w:history="1">
        <w:r w:rsidR="00B81273" w:rsidRPr="00B81273">
          <w:rPr>
            <w:rStyle w:val="Hyperlink"/>
            <w:rFonts w:asciiTheme="majorHAnsi" w:eastAsia="Tahoma" w:hAnsiTheme="majorHAnsi"/>
          </w:rPr>
          <w:t>A.2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Proposed medical service—MRI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7</w:t>
        </w:r>
        <w:r w:rsidR="00B81273" w:rsidRPr="00B81273">
          <w:rPr>
            <w:rFonts w:asciiTheme="majorHAnsi" w:hAnsiTheme="majorHAnsi"/>
            <w:webHidden/>
          </w:rPr>
          <w:fldChar w:fldCharType="end"/>
        </w:r>
      </w:hyperlink>
    </w:p>
    <w:p w14:paraId="6BE724F8" w14:textId="77777777" w:rsidR="00B81273" w:rsidRPr="00B81273" w:rsidRDefault="005839BC">
      <w:pPr>
        <w:pStyle w:val="TOC3"/>
        <w:rPr>
          <w:rFonts w:asciiTheme="majorHAnsi" w:eastAsiaTheme="minorEastAsia" w:hAnsiTheme="majorHAnsi" w:cstheme="minorBidi"/>
          <w:lang w:eastAsia="en-AU"/>
        </w:rPr>
      </w:pPr>
      <w:hyperlink w:anchor="_Toc383424429" w:history="1">
        <w:r w:rsidR="00B81273" w:rsidRPr="00B81273">
          <w:rPr>
            <w:rStyle w:val="Hyperlink"/>
            <w:rFonts w:asciiTheme="majorHAnsi" w:eastAsia="Tahoma" w:hAnsiTheme="majorHAnsi"/>
          </w:rPr>
          <w:t>A.2.1</w:t>
        </w:r>
        <w:r w:rsidR="00B81273" w:rsidRPr="00B81273">
          <w:rPr>
            <w:rFonts w:asciiTheme="majorHAnsi" w:eastAsiaTheme="minorEastAsia" w:hAnsiTheme="majorHAnsi" w:cstheme="minorBidi"/>
            <w:lang w:eastAsia="en-AU"/>
          </w:rPr>
          <w:tab/>
        </w:r>
        <w:r w:rsidR="00B81273" w:rsidRPr="00B81273">
          <w:rPr>
            <w:rStyle w:val="Hyperlink"/>
            <w:rFonts w:asciiTheme="majorHAnsi" w:eastAsia="Tahoma" w:hAnsiTheme="majorHAnsi"/>
          </w:rPr>
          <w:t>Proposed medical service and type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_Toc383424429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7</w:t>
        </w:r>
        <w:r w:rsidR="00B81273" w:rsidRPr="00B81273">
          <w:rPr>
            <w:rFonts w:asciiTheme="majorHAnsi" w:hAnsiTheme="majorHAnsi"/>
            <w:webHidden/>
          </w:rPr>
          <w:fldChar w:fldCharType="end"/>
        </w:r>
      </w:hyperlink>
    </w:p>
    <w:p w14:paraId="1D82384E" w14:textId="77777777" w:rsidR="00B81273" w:rsidRPr="00B81273" w:rsidRDefault="005839BC">
      <w:pPr>
        <w:pStyle w:val="TOC3"/>
        <w:rPr>
          <w:rFonts w:asciiTheme="majorHAnsi" w:eastAsiaTheme="minorEastAsia" w:hAnsiTheme="majorHAnsi" w:cstheme="minorBidi"/>
          <w:lang w:eastAsia="en-AU"/>
        </w:rPr>
      </w:pPr>
      <w:hyperlink w:anchor="_Toc383424430" w:history="1">
        <w:r w:rsidR="00B81273" w:rsidRPr="00B81273">
          <w:rPr>
            <w:rStyle w:val="Hyperlink"/>
            <w:rFonts w:asciiTheme="majorHAnsi" w:hAnsiTheme="majorHAnsi"/>
          </w:rPr>
          <w:t>A.2.2</w:t>
        </w:r>
        <w:r w:rsidR="00B81273" w:rsidRPr="00B81273">
          <w:rPr>
            <w:rFonts w:asciiTheme="majorHAnsi" w:eastAsiaTheme="minorEastAsia" w:hAnsiTheme="majorHAnsi" w:cstheme="minorBidi"/>
            <w:lang w:eastAsia="en-AU"/>
          </w:rPr>
          <w:tab/>
        </w:r>
        <w:r w:rsidR="00B81273" w:rsidRPr="00B81273">
          <w:rPr>
            <w:rStyle w:val="Hyperlink"/>
            <w:rFonts w:asciiTheme="majorHAnsi" w:eastAsia="Tahoma" w:hAnsiTheme="majorHAnsi"/>
          </w:rPr>
          <w:t>Health issue that this assessment addresses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7</w:t>
        </w:r>
        <w:r w:rsidR="00B81273" w:rsidRPr="00B81273">
          <w:rPr>
            <w:rFonts w:asciiTheme="majorHAnsi" w:hAnsiTheme="majorHAnsi"/>
            <w:webHidden/>
          </w:rPr>
          <w:fldChar w:fldCharType="end"/>
        </w:r>
      </w:hyperlink>
    </w:p>
    <w:p w14:paraId="27B6C5B4" w14:textId="77777777" w:rsidR="00B81273" w:rsidRPr="00B81273" w:rsidRDefault="005839BC">
      <w:pPr>
        <w:pStyle w:val="TOC3"/>
        <w:rPr>
          <w:rFonts w:asciiTheme="majorHAnsi" w:eastAsiaTheme="minorEastAsia" w:hAnsiTheme="majorHAnsi" w:cstheme="minorBidi"/>
          <w:lang w:eastAsia="en-AU"/>
        </w:rPr>
      </w:pPr>
      <w:hyperlink w:anchor="_Toc383424431" w:history="1">
        <w:r w:rsidR="00B81273" w:rsidRPr="00B81273">
          <w:rPr>
            <w:rStyle w:val="Hyperlink"/>
            <w:rFonts w:asciiTheme="majorHAnsi" w:eastAsia="Tahoma" w:hAnsiTheme="majorHAnsi"/>
          </w:rPr>
          <w:t>A.2.3</w:t>
        </w:r>
        <w:r w:rsidR="00B81273" w:rsidRPr="00B81273">
          <w:rPr>
            <w:rFonts w:asciiTheme="majorHAnsi" w:eastAsiaTheme="minorEastAsia" w:hAnsiTheme="majorHAnsi" w:cstheme="minorBidi"/>
            <w:lang w:eastAsia="en-AU"/>
          </w:rPr>
          <w:tab/>
        </w:r>
        <w:r w:rsidR="00B81273" w:rsidRPr="00B81273">
          <w:rPr>
            <w:rStyle w:val="Hyperlink"/>
            <w:rFonts w:asciiTheme="majorHAnsi" w:eastAsia="Tahoma" w:hAnsiTheme="majorHAnsi"/>
          </w:rPr>
          <w:t>Mode of delivery and assessment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7</w:t>
        </w:r>
        <w:r w:rsidR="00B81273" w:rsidRPr="00B81273">
          <w:rPr>
            <w:rFonts w:asciiTheme="majorHAnsi" w:hAnsiTheme="majorHAnsi"/>
            <w:webHidden/>
          </w:rPr>
          <w:fldChar w:fldCharType="end"/>
        </w:r>
      </w:hyperlink>
    </w:p>
    <w:p w14:paraId="29CB5B2A" w14:textId="77777777" w:rsidR="00B81273" w:rsidRPr="00B81273" w:rsidRDefault="005839BC">
      <w:pPr>
        <w:pStyle w:val="TOC3"/>
        <w:rPr>
          <w:rFonts w:asciiTheme="majorHAnsi" w:eastAsiaTheme="minorEastAsia" w:hAnsiTheme="majorHAnsi" w:cstheme="minorBidi"/>
          <w:lang w:eastAsia="en-AU"/>
        </w:rPr>
      </w:pPr>
      <w:hyperlink w:anchor="_Toc383424432" w:history="1">
        <w:r w:rsidR="00B81273" w:rsidRPr="00B81273">
          <w:rPr>
            <w:rStyle w:val="Hyperlink"/>
            <w:rFonts w:asciiTheme="majorHAnsi" w:hAnsiTheme="majorHAnsi"/>
          </w:rPr>
          <w:t>A.2.4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Regulatory status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w:t>
        </w:r>
        <w:r w:rsidR="00B81273" w:rsidRPr="00B81273">
          <w:rPr>
            <w:rFonts w:asciiTheme="majorHAnsi" w:hAnsiTheme="majorHAnsi"/>
            <w:webHidden/>
          </w:rPr>
          <w:fldChar w:fldCharType="end"/>
        </w:r>
      </w:hyperlink>
    </w:p>
    <w:p w14:paraId="79752CC0"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33" w:history="1">
        <w:r w:rsidR="00B81273" w:rsidRPr="00B81273">
          <w:rPr>
            <w:rStyle w:val="Hyperlink"/>
            <w:rFonts w:asciiTheme="majorHAnsi" w:hAnsiTheme="majorHAnsi"/>
          </w:rPr>
          <w:t>A.3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Proposed MBS listing sought for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w:t>
        </w:r>
        <w:r w:rsidR="00B81273" w:rsidRPr="00B81273">
          <w:rPr>
            <w:rFonts w:asciiTheme="majorHAnsi" w:hAnsiTheme="majorHAnsi"/>
            <w:webHidden/>
          </w:rPr>
          <w:fldChar w:fldCharType="end"/>
        </w:r>
      </w:hyperlink>
    </w:p>
    <w:p w14:paraId="1F42C16E" w14:textId="77777777" w:rsidR="00B81273" w:rsidRPr="00B81273" w:rsidRDefault="005839BC">
      <w:pPr>
        <w:pStyle w:val="TOC3"/>
        <w:rPr>
          <w:rFonts w:asciiTheme="majorHAnsi" w:eastAsiaTheme="minorEastAsia" w:hAnsiTheme="majorHAnsi" w:cstheme="minorBidi"/>
          <w:lang w:eastAsia="en-AU"/>
        </w:rPr>
      </w:pPr>
      <w:hyperlink w:anchor="_Toc383424434" w:history="1">
        <w:r w:rsidR="00B81273" w:rsidRPr="00B81273">
          <w:rPr>
            <w:rStyle w:val="Hyperlink"/>
            <w:rFonts w:asciiTheme="majorHAnsi" w:hAnsiTheme="majorHAnsi"/>
          </w:rPr>
          <w:t>A.3.1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Proposed MBS listing</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w:t>
        </w:r>
        <w:r w:rsidR="00B81273" w:rsidRPr="00B81273">
          <w:rPr>
            <w:rFonts w:asciiTheme="majorHAnsi" w:hAnsiTheme="majorHAnsi"/>
            <w:webHidden/>
          </w:rPr>
          <w:fldChar w:fldCharType="end"/>
        </w:r>
      </w:hyperlink>
    </w:p>
    <w:p w14:paraId="5F036037" w14:textId="77777777" w:rsidR="00B81273" w:rsidRPr="00B81273" w:rsidRDefault="005839BC">
      <w:pPr>
        <w:pStyle w:val="TOC3"/>
        <w:rPr>
          <w:rFonts w:asciiTheme="majorHAnsi" w:eastAsiaTheme="minorEastAsia" w:hAnsiTheme="majorHAnsi" w:cstheme="minorBidi"/>
          <w:lang w:eastAsia="en-AU"/>
        </w:rPr>
      </w:pPr>
      <w:hyperlink w:anchor="_Toc383424435" w:history="1">
        <w:r w:rsidR="00B81273" w:rsidRPr="00B81273">
          <w:rPr>
            <w:rStyle w:val="Hyperlink"/>
            <w:rFonts w:asciiTheme="majorHAnsi" w:eastAsia="Tahoma" w:hAnsiTheme="majorHAnsi"/>
          </w:rPr>
          <w:t>A.3.2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Current arrangements for public reimbursement of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w:t>
        </w:r>
        <w:r w:rsidR="00B81273" w:rsidRPr="00B81273">
          <w:rPr>
            <w:rFonts w:asciiTheme="majorHAnsi" w:hAnsiTheme="majorHAnsi"/>
            <w:webHidden/>
          </w:rPr>
          <w:fldChar w:fldCharType="end"/>
        </w:r>
      </w:hyperlink>
    </w:p>
    <w:p w14:paraId="1F8F1438" w14:textId="77777777" w:rsidR="00B81273" w:rsidRPr="00B81273" w:rsidRDefault="005839BC">
      <w:pPr>
        <w:pStyle w:val="TOC3"/>
        <w:rPr>
          <w:rFonts w:asciiTheme="majorHAnsi" w:eastAsiaTheme="minorEastAsia" w:hAnsiTheme="majorHAnsi" w:cstheme="minorBidi"/>
          <w:lang w:eastAsia="en-AU"/>
        </w:rPr>
      </w:pPr>
      <w:hyperlink w:anchor="_Toc383424436" w:history="1">
        <w:r w:rsidR="00B81273" w:rsidRPr="00B81273">
          <w:rPr>
            <w:rStyle w:val="Hyperlink"/>
            <w:rFonts w:asciiTheme="majorHAnsi" w:eastAsia="Tahoma" w:hAnsiTheme="majorHAnsi"/>
          </w:rPr>
          <w:t>A.3.3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Medical services likely to be co-administered with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w:t>
        </w:r>
        <w:r w:rsidR="00B81273" w:rsidRPr="00B81273">
          <w:rPr>
            <w:rFonts w:asciiTheme="majorHAnsi" w:hAnsiTheme="majorHAnsi"/>
            <w:webHidden/>
          </w:rPr>
          <w:fldChar w:fldCharType="end"/>
        </w:r>
      </w:hyperlink>
    </w:p>
    <w:p w14:paraId="4F0773F2" w14:textId="77777777" w:rsidR="00B81273" w:rsidRPr="00B81273" w:rsidRDefault="005839BC">
      <w:pPr>
        <w:pStyle w:val="TOC3"/>
        <w:rPr>
          <w:rFonts w:asciiTheme="majorHAnsi" w:eastAsiaTheme="minorEastAsia" w:hAnsiTheme="majorHAnsi" w:cstheme="minorBidi"/>
          <w:lang w:eastAsia="en-AU"/>
        </w:rPr>
      </w:pPr>
      <w:hyperlink w:anchor="_Toc383424437" w:history="1">
        <w:r w:rsidR="00B81273" w:rsidRPr="00B81273">
          <w:rPr>
            <w:rStyle w:val="Hyperlink"/>
            <w:rFonts w:asciiTheme="majorHAnsi" w:hAnsiTheme="majorHAnsi"/>
          </w:rPr>
          <w:t>A.3.4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Other relevant applications and reviews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w:t>
        </w:r>
        <w:r w:rsidR="00B81273" w:rsidRPr="00B81273">
          <w:rPr>
            <w:rFonts w:asciiTheme="majorHAnsi" w:hAnsiTheme="majorHAnsi"/>
            <w:webHidden/>
          </w:rPr>
          <w:fldChar w:fldCharType="end"/>
        </w:r>
      </w:hyperlink>
    </w:p>
    <w:p w14:paraId="6BF7EF51"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38" w:history="1">
        <w:r w:rsidR="00B81273" w:rsidRPr="00B81273">
          <w:rPr>
            <w:rStyle w:val="Hyperlink"/>
            <w:rFonts w:asciiTheme="majorHAnsi" w:hAnsiTheme="majorHAnsi"/>
          </w:rPr>
          <w:t>A.4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Comparator details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w:t>
        </w:r>
        <w:r w:rsidR="00B81273" w:rsidRPr="00B81273">
          <w:rPr>
            <w:rFonts w:asciiTheme="majorHAnsi" w:hAnsiTheme="majorHAnsi"/>
            <w:webHidden/>
          </w:rPr>
          <w:fldChar w:fldCharType="end"/>
        </w:r>
      </w:hyperlink>
    </w:p>
    <w:p w14:paraId="21A4DF8D" w14:textId="77777777" w:rsidR="00B81273" w:rsidRPr="00B81273" w:rsidRDefault="005839BC">
      <w:pPr>
        <w:pStyle w:val="TOC3"/>
        <w:rPr>
          <w:rFonts w:asciiTheme="majorHAnsi" w:eastAsiaTheme="minorEastAsia" w:hAnsiTheme="majorHAnsi" w:cstheme="minorBidi"/>
          <w:lang w:eastAsia="en-AU"/>
        </w:rPr>
      </w:pPr>
      <w:hyperlink w:anchor="_Toc383424439" w:history="1">
        <w:r w:rsidR="00B81273" w:rsidRPr="00B81273">
          <w:rPr>
            <w:rStyle w:val="Hyperlink"/>
            <w:rFonts w:asciiTheme="majorHAnsi" w:hAnsiTheme="majorHAnsi"/>
          </w:rPr>
          <w:t>A.4.1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 xml:space="preserve">Mammography through the </w:t>
        </w:r>
        <w:r w:rsidR="00B81273" w:rsidRPr="00B81273">
          <w:rPr>
            <w:rStyle w:val="Hyperlink"/>
            <w:rFonts w:asciiTheme="majorHAnsi" w:eastAsia="Tahoma" w:hAnsiTheme="majorHAnsi"/>
          </w:rPr>
          <w:t>BreastScreen Australia program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_Toc383424439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w:t>
        </w:r>
        <w:r w:rsidR="00B81273" w:rsidRPr="00B81273">
          <w:rPr>
            <w:rFonts w:asciiTheme="majorHAnsi" w:hAnsiTheme="majorHAnsi"/>
            <w:webHidden/>
          </w:rPr>
          <w:fldChar w:fldCharType="end"/>
        </w:r>
      </w:hyperlink>
    </w:p>
    <w:p w14:paraId="4D20F811" w14:textId="77777777" w:rsidR="00B81273" w:rsidRPr="00B81273" w:rsidRDefault="005839BC">
      <w:pPr>
        <w:pStyle w:val="TOC3"/>
        <w:rPr>
          <w:rFonts w:asciiTheme="majorHAnsi" w:eastAsiaTheme="minorEastAsia" w:hAnsiTheme="majorHAnsi" w:cstheme="minorBidi"/>
          <w:lang w:eastAsia="en-AU"/>
        </w:rPr>
      </w:pPr>
      <w:hyperlink w:anchor="_Toc383424440" w:history="1">
        <w:r w:rsidR="00B81273" w:rsidRPr="00B81273">
          <w:rPr>
            <w:rStyle w:val="Hyperlink"/>
            <w:rFonts w:asciiTheme="majorHAnsi" w:eastAsia="Tahoma" w:hAnsiTheme="majorHAnsi"/>
          </w:rPr>
          <w:t>A.4.2</w:t>
        </w:r>
        <w:r w:rsidR="00B81273" w:rsidRPr="00B81273">
          <w:rPr>
            <w:rFonts w:asciiTheme="majorHAnsi" w:eastAsiaTheme="minorEastAsia" w:hAnsiTheme="majorHAnsi" w:cstheme="minorBidi"/>
            <w:lang w:eastAsia="en-AU"/>
          </w:rPr>
          <w:tab/>
        </w:r>
        <w:r w:rsidR="00B81273" w:rsidRPr="00B81273">
          <w:rPr>
            <w:rStyle w:val="Hyperlink"/>
            <w:rFonts w:asciiTheme="majorHAnsi" w:eastAsia="Tahoma" w:hAnsiTheme="majorHAnsi"/>
          </w:rPr>
          <w:t>Mammography outside the BreastScreen Australia program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w:t>
        </w:r>
        <w:r w:rsidR="00B81273" w:rsidRPr="00B81273">
          <w:rPr>
            <w:rFonts w:asciiTheme="majorHAnsi" w:hAnsiTheme="majorHAnsi"/>
            <w:webHidden/>
          </w:rPr>
          <w:fldChar w:fldCharType="end"/>
        </w:r>
      </w:hyperlink>
    </w:p>
    <w:p w14:paraId="04D987D6" w14:textId="77777777" w:rsidR="00B81273" w:rsidRPr="00B81273" w:rsidRDefault="005839BC">
      <w:pPr>
        <w:pStyle w:val="TOC3"/>
        <w:rPr>
          <w:rFonts w:asciiTheme="majorHAnsi" w:eastAsiaTheme="minorEastAsia" w:hAnsiTheme="majorHAnsi" w:cstheme="minorBidi"/>
          <w:lang w:eastAsia="en-AU"/>
        </w:rPr>
      </w:pPr>
      <w:hyperlink w:anchor="_Toc383424441" w:history="1">
        <w:r w:rsidR="00B81273" w:rsidRPr="00B81273">
          <w:rPr>
            <w:rStyle w:val="Hyperlink"/>
            <w:rFonts w:asciiTheme="majorHAnsi" w:eastAsia="Tahoma" w:hAnsiTheme="majorHAnsi"/>
          </w:rPr>
          <w:t>A.4.3</w:t>
        </w:r>
        <w:r w:rsidR="00B81273" w:rsidRPr="00B81273">
          <w:rPr>
            <w:rFonts w:asciiTheme="majorHAnsi" w:eastAsiaTheme="minorEastAsia" w:hAnsiTheme="majorHAnsi" w:cstheme="minorBidi"/>
            <w:lang w:eastAsia="en-AU"/>
          </w:rPr>
          <w:tab/>
        </w:r>
        <w:r w:rsidR="00B81273" w:rsidRPr="00B81273">
          <w:rPr>
            <w:rStyle w:val="Hyperlink"/>
            <w:rFonts w:asciiTheme="majorHAnsi" w:eastAsia="Tahoma" w:hAnsiTheme="majorHAnsi"/>
          </w:rPr>
          <w:t>Ultrasound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w:t>
        </w:r>
        <w:r w:rsidR="00B81273" w:rsidRPr="00B81273">
          <w:rPr>
            <w:rFonts w:asciiTheme="majorHAnsi" w:hAnsiTheme="majorHAnsi"/>
            <w:webHidden/>
          </w:rPr>
          <w:fldChar w:fldCharType="end"/>
        </w:r>
      </w:hyperlink>
    </w:p>
    <w:p w14:paraId="283CC02F"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42" w:history="1">
        <w:r w:rsidR="00B81273" w:rsidRPr="00B81273">
          <w:rPr>
            <w:rStyle w:val="Hyperlink"/>
            <w:rFonts w:asciiTheme="majorHAnsi" w:hAnsiTheme="majorHAnsi"/>
          </w:rPr>
          <w:t>A.5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Clinical management algorithm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w:t>
        </w:r>
        <w:r w:rsidR="00B81273" w:rsidRPr="00B81273">
          <w:rPr>
            <w:rFonts w:asciiTheme="majorHAnsi" w:hAnsiTheme="majorHAnsi"/>
            <w:webHidden/>
          </w:rPr>
          <w:fldChar w:fldCharType="end"/>
        </w:r>
      </w:hyperlink>
    </w:p>
    <w:p w14:paraId="3DA5A1B1"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43" w:history="1">
        <w:r w:rsidR="00B81273" w:rsidRPr="00B81273">
          <w:rPr>
            <w:rStyle w:val="Hyperlink"/>
            <w:rFonts w:asciiTheme="majorHAnsi" w:hAnsiTheme="majorHAnsi"/>
          </w:rPr>
          <w:t>A.6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Differences between breast MRI and mammography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16</w:t>
        </w:r>
        <w:r w:rsidR="00B81273" w:rsidRPr="00B81273">
          <w:rPr>
            <w:rFonts w:asciiTheme="majorHAnsi" w:hAnsiTheme="majorHAnsi"/>
            <w:webHidden/>
          </w:rPr>
          <w:fldChar w:fldCharType="end"/>
        </w:r>
      </w:hyperlink>
    </w:p>
    <w:p w14:paraId="1638DC3E" w14:textId="77777777" w:rsidR="00B81273" w:rsidRPr="00B81273" w:rsidRDefault="005839BC">
      <w:pPr>
        <w:pStyle w:val="TOC3"/>
        <w:rPr>
          <w:rFonts w:asciiTheme="majorHAnsi" w:eastAsiaTheme="minorEastAsia" w:hAnsiTheme="majorHAnsi" w:cstheme="minorBidi"/>
          <w:lang w:eastAsia="en-AU"/>
        </w:rPr>
      </w:pPr>
      <w:hyperlink w:anchor="_Toc383424444" w:history="1">
        <w:r w:rsidR="00B81273" w:rsidRPr="00B81273">
          <w:rPr>
            <w:rStyle w:val="Hyperlink"/>
            <w:rFonts w:asciiTheme="majorHAnsi" w:hAnsiTheme="majorHAnsi"/>
          </w:rPr>
          <w:t>A.6.1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Differences in the indication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16</w:t>
        </w:r>
        <w:r w:rsidR="00B81273" w:rsidRPr="00B81273">
          <w:rPr>
            <w:rFonts w:asciiTheme="majorHAnsi" w:hAnsiTheme="majorHAnsi"/>
            <w:webHidden/>
          </w:rPr>
          <w:fldChar w:fldCharType="end"/>
        </w:r>
      </w:hyperlink>
    </w:p>
    <w:p w14:paraId="1E66014E" w14:textId="77777777" w:rsidR="00B81273" w:rsidRPr="00B81273" w:rsidRDefault="005839BC">
      <w:pPr>
        <w:pStyle w:val="TOC3"/>
        <w:rPr>
          <w:rFonts w:asciiTheme="majorHAnsi" w:eastAsiaTheme="minorEastAsia" w:hAnsiTheme="majorHAnsi" w:cstheme="minorBidi"/>
          <w:lang w:eastAsia="en-AU"/>
        </w:rPr>
      </w:pPr>
      <w:hyperlink w:anchor="_Toc383424445" w:history="1">
        <w:r w:rsidR="00B81273" w:rsidRPr="00B81273">
          <w:rPr>
            <w:rStyle w:val="Hyperlink"/>
            <w:rFonts w:asciiTheme="majorHAnsi" w:hAnsiTheme="majorHAnsi"/>
          </w:rPr>
          <w:t>A.6.2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Differences in the contraindications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17</w:t>
        </w:r>
        <w:r w:rsidR="00B81273" w:rsidRPr="00B81273">
          <w:rPr>
            <w:rFonts w:asciiTheme="majorHAnsi" w:hAnsiTheme="majorHAnsi"/>
            <w:webHidden/>
          </w:rPr>
          <w:fldChar w:fldCharType="end"/>
        </w:r>
      </w:hyperlink>
    </w:p>
    <w:p w14:paraId="4A4CCB74" w14:textId="77777777" w:rsidR="00B81273" w:rsidRPr="00B81273" w:rsidRDefault="005839BC">
      <w:pPr>
        <w:pStyle w:val="TOC3"/>
        <w:rPr>
          <w:rFonts w:asciiTheme="majorHAnsi" w:eastAsiaTheme="minorEastAsia" w:hAnsiTheme="majorHAnsi" w:cstheme="minorBidi"/>
          <w:lang w:eastAsia="en-AU"/>
        </w:rPr>
      </w:pPr>
      <w:hyperlink w:anchor="_Toc383424446" w:history="1">
        <w:r w:rsidR="00B81273" w:rsidRPr="00B81273">
          <w:rPr>
            <w:rStyle w:val="Hyperlink"/>
            <w:rFonts w:asciiTheme="majorHAnsi" w:hAnsiTheme="majorHAnsi"/>
          </w:rPr>
          <w:t>A.6.3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Differences in the likelihood and severity of adverse events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17</w:t>
        </w:r>
        <w:r w:rsidR="00B81273" w:rsidRPr="00B81273">
          <w:rPr>
            <w:rFonts w:asciiTheme="majorHAnsi" w:hAnsiTheme="majorHAnsi"/>
            <w:webHidden/>
          </w:rPr>
          <w:fldChar w:fldCharType="end"/>
        </w:r>
      </w:hyperlink>
    </w:p>
    <w:p w14:paraId="7F25EADE"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47" w:history="1">
        <w:r w:rsidR="00B81273" w:rsidRPr="00B81273">
          <w:rPr>
            <w:rStyle w:val="Hyperlink"/>
            <w:rFonts w:asciiTheme="majorHAnsi" w:hAnsiTheme="majorHAnsi"/>
          </w:rPr>
          <w:t>A.7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Clinical claim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17</w:t>
        </w:r>
        <w:r w:rsidR="00B81273" w:rsidRPr="00B81273">
          <w:rPr>
            <w:rFonts w:asciiTheme="majorHAnsi" w:hAnsiTheme="majorHAnsi"/>
            <w:webHidden/>
          </w:rPr>
          <w:fldChar w:fldCharType="end"/>
        </w:r>
      </w:hyperlink>
    </w:p>
    <w:p w14:paraId="6CB03CA8"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48" w:history="1">
        <w:r w:rsidR="00B81273" w:rsidRPr="00B81273">
          <w:rPr>
            <w:rStyle w:val="Hyperlink"/>
            <w:rFonts w:asciiTheme="majorHAnsi" w:hAnsiTheme="majorHAnsi"/>
          </w:rPr>
          <w:t>A.8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 of the primary elements of the decision analysis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18</w:t>
        </w:r>
        <w:r w:rsidR="00B81273" w:rsidRPr="00B81273">
          <w:rPr>
            <w:rFonts w:asciiTheme="majorHAnsi" w:hAnsiTheme="majorHAnsi"/>
            <w:webHidden/>
          </w:rPr>
          <w:fldChar w:fldCharType="end"/>
        </w:r>
      </w:hyperlink>
    </w:p>
    <w:p w14:paraId="4013FC88" w14:textId="77777777" w:rsidR="00B81273" w:rsidRPr="00B81273" w:rsidRDefault="005839BC">
      <w:pPr>
        <w:pStyle w:val="TOC3"/>
        <w:rPr>
          <w:rFonts w:asciiTheme="majorHAnsi" w:eastAsiaTheme="minorEastAsia" w:hAnsiTheme="majorHAnsi" w:cstheme="minorBidi"/>
          <w:lang w:eastAsia="en-AU"/>
        </w:rPr>
      </w:pPr>
      <w:hyperlink w:anchor="_Toc383424449" w:history="1">
        <w:r w:rsidR="00B81273" w:rsidRPr="00B81273">
          <w:rPr>
            <w:rStyle w:val="Hyperlink"/>
            <w:rFonts w:asciiTheme="majorHAnsi" w:hAnsiTheme="majorHAnsi"/>
          </w:rPr>
          <w:t>Primary review question: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_Toc383424449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18</w:t>
        </w:r>
        <w:r w:rsidR="00B81273" w:rsidRPr="00B81273">
          <w:rPr>
            <w:rFonts w:asciiTheme="majorHAnsi" w:hAnsiTheme="majorHAnsi"/>
            <w:webHidden/>
          </w:rPr>
          <w:fldChar w:fldCharType="end"/>
        </w:r>
      </w:hyperlink>
    </w:p>
    <w:p w14:paraId="59CBBEDA" w14:textId="77777777" w:rsidR="00B81273" w:rsidRPr="00B81273" w:rsidRDefault="005839BC">
      <w:pPr>
        <w:pStyle w:val="TOC1"/>
        <w:tabs>
          <w:tab w:val="left" w:pos="1100"/>
          <w:tab w:val="right" w:leader="dot" w:pos="9060"/>
        </w:tabs>
        <w:rPr>
          <w:rFonts w:asciiTheme="majorHAnsi" w:eastAsiaTheme="minorEastAsia" w:hAnsiTheme="majorHAnsi" w:cstheme="minorBidi"/>
          <w:lang w:eastAsia="en-AU"/>
        </w:rPr>
      </w:pPr>
      <w:hyperlink w:anchor="_Toc383424450" w:history="1">
        <w:r w:rsidR="00B81273" w:rsidRPr="00B81273">
          <w:rPr>
            <w:rStyle w:val="Hyperlink"/>
            <w:rFonts w:asciiTheme="majorHAnsi" w:hAnsiTheme="majorHAnsi"/>
          </w:rPr>
          <w:t>Section B</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Clinical evaluation for the indications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19</w:t>
        </w:r>
        <w:r w:rsidR="00B81273" w:rsidRPr="00B81273">
          <w:rPr>
            <w:rFonts w:asciiTheme="majorHAnsi" w:hAnsiTheme="majorHAnsi"/>
            <w:webHidden/>
          </w:rPr>
          <w:fldChar w:fldCharType="end"/>
        </w:r>
      </w:hyperlink>
    </w:p>
    <w:p w14:paraId="78659C0A"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51" w:history="1">
        <w:r w:rsidR="00B81273" w:rsidRPr="00B81273">
          <w:rPr>
            <w:rStyle w:val="Hyperlink"/>
            <w:rFonts w:asciiTheme="majorHAnsi" w:hAnsiTheme="majorHAnsi"/>
          </w:rPr>
          <w:t>B.1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Description of search strategies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19</w:t>
        </w:r>
        <w:r w:rsidR="00B81273" w:rsidRPr="00B81273">
          <w:rPr>
            <w:rFonts w:asciiTheme="majorHAnsi" w:hAnsiTheme="majorHAnsi"/>
            <w:webHidden/>
          </w:rPr>
          <w:fldChar w:fldCharType="end"/>
        </w:r>
      </w:hyperlink>
    </w:p>
    <w:p w14:paraId="6D202C95"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52" w:history="1">
        <w:r w:rsidR="00B81273" w:rsidRPr="00B81273">
          <w:rPr>
            <w:rStyle w:val="Hyperlink"/>
            <w:rFonts w:asciiTheme="majorHAnsi" w:hAnsiTheme="majorHAnsi"/>
          </w:rPr>
          <w:t>B.2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Search strategies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19</w:t>
        </w:r>
        <w:r w:rsidR="00B81273" w:rsidRPr="00B81273">
          <w:rPr>
            <w:rFonts w:asciiTheme="majorHAnsi" w:hAnsiTheme="majorHAnsi"/>
            <w:webHidden/>
          </w:rPr>
          <w:fldChar w:fldCharType="end"/>
        </w:r>
      </w:hyperlink>
    </w:p>
    <w:p w14:paraId="065B4133" w14:textId="77777777" w:rsidR="00B81273" w:rsidRPr="00B81273" w:rsidRDefault="005839BC">
      <w:pPr>
        <w:pStyle w:val="TOC3"/>
        <w:rPr>
          <w:rFonts w:asciiTheme="majorHAnsi" w:eastAsiaTheme="minorEastAsia" w:hAnsiTheme="majorHAnsi" w:cstheme="minorBidi"/>
          <w:lang w:eastAsia="en-AU"/>
        </w:rPr>
      </w:pPr>
      <w:hyperlink w:anchor="_Toc383424453" w:history="1">
        <w:r w:rsidR="00B81273" w:rsidRPr="00B81273">
          <w:rPr>
            <w:rStyle w:val="Hyperlink"/>
            <w:rFonts w:asciiTheme="majorHAnsi" w:hAnsiTheme="majorHAnsi"/>
          </w:rPr>
          <w:t>B.2.1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Asymptomatic, high-risk women: MBS interim-funded item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19</w:t>
        </w:r>
        <w:r w:rsidR="00B81273" w:rsidRPr="00B81273">
          <w:rPr>
            <w:rFonts w:asciiTheme="majorHAnsi" w:hAnsiTheme="majorHAnsi"/>
            <w:webHidden/>
          </w:rPr>
          <w:fldChar w:fldCharType="end"/>
        </w:r>
      </w:hyperlink>
    </w:p>
    <w:p w14:paraId="75E0F8BF" w14:textId="77777777" w:rsidR="00B81273" w:rsidRPr="00B81273" w:rsidRDefault="005839BC">
      <w:pPr>
        <w:pStyle w:val="TOC3"/>
        <w:rPr>
          <w:rFonts w:asciiTheme="majorHAnsi" w:eastAsiaTheme="minorEastAsia" w:hAnsiTheme="majorHAnsi" w:cstheme="minorBidi"/>
          <w:lang w:eastAsia="en-AU"/>
        </w:rPr>
      </w:pPr>
      <w:hyperlink w:anchor="_Toc383424454" w:history="1">
        <w:r w:rsidR="00B81273" w:rsidRPr="00B81273">
          <w:rPr>
            <w:rStyle w:val="Hyperlink"/>
            <w:rFonts w:asciiTheme="majorHAnsi" w:hAnsiTheme="majorHAnsi"/>
          </w:rPr>
          <w:t>B.2.2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Additional high-risk groups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20</w:t>
        </w:r>
        <w:r w:rsidR="00B81273" w:rsidRPr="00B81273">
          <w:rPr>
            <w:rFonts w:asciiTheme="majorHAnsi" w:hAnsiTheme="majorHAnsi"/>
            <w:webHidden/>
          </w:rPr>
          <w:fldChar w:fldCharType="end"/>
        </w:r>
      </w:hyperlink>
    </w:p>
    <w:p w14:paraId="52B3B291"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55" w:history="1">
        <w:r w:rsidR="00B81273" w:rsidRPr="00B81273">
          <w:rPr>
            <w:rStyle w:val="Hyperlink"/>
            <w:rFonts w:asciiTheme="majorHAnsi" w:hAnsiTheme="majorHAnsi"/>
          </w:rPr>
          <w:t>B.3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All included studies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20</w:t>
        </w:r>
        <w:r w:rsidR="00B81273" w:rsidRPr="00B81273">
          <w:rPr>
            <w:rFonts w:asciiTheme="majorHAnsi" w:hAnsiTheme="majorHAnsi"/>
            <w:webHidden/>
          </w:rPr>
          <w:fldChar w:fldCharType="end"/>
        </w:r>
      </w:hyperlink>
    </w:p>
    <w:p w14:paraId="52D65631" w14:textId="77777777" w:rsidR="00B81273" w:rsidRPr="00B81273" w:rsidRDefault="005839BC">
      <w:pPr>
        <w:pStyle w:val="TOC3"/>
        <w:rPr>
          <w:rFonts w:asciiTheme="majorHAnsi" w:eastAsiaTheme="minorEastAsia" w:hAnsiTheme="majorHAnsi" w:cstheme="minorBidi"/>
          <w:lang w:eastAsia="en-AU"/>
        </w:rPr>
      </w:pPr>
      <w:hyperlink w:anchor="_Toc383424456" w:history="1">
        <w:r w:rsidR="00B81273" w:rsidRPr="00B81273">
          <w:rPr>
            <w:rStyle w:val="Hyperlink"/>
            <w:rFonts w:asciiTheme="majorHAnsi" w:hAnsiTheme="majorHAnsi"/>
          </w:rPr>
          <w:t>B.3.1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Search results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20</w:t>
        </w:r>
        <w:r w:rsidR="00B81273" w:rsidRPr="00B81273">
          <w:rPr>
            <w:rFonts w:asciiTheme="majorHAnsi" w:hAnsiTheme="majorHAnsi"/>
            <w:webHidden/>
          </w:rPr>
          <w:fldChar w:fldCharType="end"/>
        </w:r>
      </w:hyperlink>
    </w:p>
    <w:p w14:paraId="03B576C3" w14:textId="77777777" w:rsidR="00B81273" w:rsidRPr="00B81273" w:rsidRDefault="005839BC">
      <w:pPr>
        <w:pStyle w:val="TOC3"/>
        <w:rPr>
          <w:rFonts w:asciiTheme="majorHAnsi" w:eastAsiaTheme="minorEastAsia" w:hAnsiTheme="majorHAnsi" w:cstheme="minorBidi"/>
          <w:lang w:eastAsia="en-AU"/>
        </w:rPr>
      </w:pPr>
      <w:hyperlink w:anchor="_Toc383424457" w:history="1">
        <w:r w:rsidR="00B81273" w:rsidRPr="00B81273">
          <w:rPr>
            <w:rStyle w:val="Hyperlink"/>
            <w:rFonts w:asciiTheme="majorHAnsi" w:hAnsiTheme="majorHAnsi"/>
          </w:rPr>
          <w:t>B.3.2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Master list of studies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23</w:t>
        </w:r>
        <w:r w:rsidR="00B81273" w:rsidRPr="00B81273">
          <w:rPr>
            <w:rFonts w:asciiTheme="majorHAnsi" w:hAnsiTheme="majorHAnsi"/>
            <w:webHidden/>
          </w:rPr>
          <w:fldChar w:fldCharType="end"/>
        </w:r>
      </w:hyperlink>
    </w:p>
    <w:p w14:paraId="6399CBF6"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58" w:history="1">
        <w:r w:rsidR="00B81273" w:rsidRPr="00B81273">
          <w:rPr>
            <w:rStyle w:val="Hyperlink"/>
            <w:rFonts w:asciiTheme="majorHAnsi" w:hAnsiTheme="majorHAnsi"/>
          </w:rPr>
          <w:t>B.4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Assessment of included studies (quality appraisal)</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26</w:t>
        </w:r>
        <w:r w:rsidR="00B81273" w:rsidRPr="00B81273">
          <w:rPr>
            <w:rFonts w:asciiTheme="majorHAnsi" w:hAnsiTheme="majorHAnsi"/>
            <w:webHidden/>
          </w:rPr>
          <w:fldChar w:fldCharType="end"/>
        </w:r>
      </w:hyperlink>
    </w:p>
    <w:p w14:paraId="1E329441" w14:textId="77777777" w:rsidR="00B81273" w:rsidRPr="00B81273" w:rsidRDefault="005839BC">
      <w:pPr>
        <w:pStyle w:val="TOC3"/>
        <w:rPr>
          <w:rFonts w:asciiTheme="majorHAnsi" w:eastAsiaTheme="minorEastAsia" w:hAnsiTheme="majorHAnsi" w:cstheme="minorBidi"/>
          <w:lang w:eastAsia="en-AU"/>
        </w:rPr>
      </w:pPr>
      <w:hyperlink w:anchor="_Toc383424459" w:history="1">
        <w:r w:rsidR="00B81273" w:rsidRPr="00B81273">
          <w:rPr>
            <w:rStyle w:val="Hyperlink"/>
            <w:rFonts w:asciiTheme="majorHAnsi" w:hAnsiTheme="majorHAnsi"/>
          </w:rPr>
          <w:t>B.4.1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Asymptomatic, high-risk women: MBS interim-funded item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_Toc383424459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26</w:t>
        </w:r>
        <w:r w:rsidR="00B81273" w:rsidRPr="00B81273">
          <w:rPr>
            <w:rFonts w:asciiTheme="majorHAnsi" w:hAnsiTheme="majorHAnsi"/>
            <w:webHidden/>
          </w:rPr>
          <w:fldChar w:fldCharType="end"/>
        </w:r>
      </w:hyperlink>
    </w:p>
    <w:p w14:paraId="156E4D12" w14:textId="77777777" w:rsidR="00B81273" w:rsidRPr="00B81273" w:rsidRDefault="005839BC">
      <w:pPr>
        <w:pStyle w:val="TOC3"/>
        <w:rPr>
          <w:rFonts w:asciiTheme="majorHAnsi" w:eastAsiaTheme="minorEastAsia" w:hAnsiTheme="majorHAnsi" w:cstheme="minorBidi"/>
          <w:lang w:eastAsia="en-AU"/>
        </w:rPr>
      </w:pPr>
      <w:hyperlink w:anchor="_Toc383424460" w:history="1">
        <w:r w:rsidR="00B81273" w:rsidRPr="00B81273">
          <w:rPr>
            <w:rStyle w:val="Hyperlink"/>
            <w:rFonts w:asciiTheme="majorHAnsi" w:hAnsiTheme="majorHAnsi"/>
          </w:rPr>
          <w:t>B.4.2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Additional high-risk groups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28</w:t>
        </w:r>
        <w:r w:rsidR="00B81273" w:rsidRPr="00B81273">
          <w:rPr>
            <w:rFonts w:asciiTheme="majorHAnsi" w:hAnsiTheme="majorHAnsi"/>
            <w:webHidden/>
          </w:rPr>
          <w:fldChar w:fldCharType="end"/>
        </w:r>
      </w:hyperlink>
    </w:p>
    <w:p w14:paraId="438F5BA5"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61" w:history="1">
        <w:r w:rsidR="00B81273" w:rsidRPr="00B81273">
          <w:rPr>
            <w:rStyle w:val="Hyperlink"/>
            <w:rFonts w:asciiTheme="majorHAnsi" w:hAnsiTheme="majorHAnsi"/>
          </w:rPr>
          <w:t>B.5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studies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31</w:t>
        </w:r>
        <w:r w:rsidR="00B81273" w:rsidRPr="00B81273">
          <w:rPr>
            <w:rFonts w:asciiTheme="majorHAnsi" w:hAnsiTheme="majorHAnsi"/>
            <w:webHidden/>
          </w:rPr>
          <w:fldChar w:fldCharType="end"/>
        </w:r>
      </w:hyperlink>
    </w:p>
    <w:p w14:paraId="6DBB93F1" w14:textId="77777777" w:rsidR="00B81273" w:rsidRPr="00B81273" w:rsidRDefault="005839BC">
      <w:pPr>
        <w:pStyle w:val="TOC3"/>
        <w:rPr>
          <w:rFonts w:asciiTheme="majorHAnsi" w:eastAsiaTheme="minorEastAsia" w:hAnsiTheme="majorHAnsi" w:cstheme="minorBidi"/>
          <w:lang w:eastAsia="en-AU"/>
        </w:rPr>
      </w:pPr>
      <w:hyperlink w:anchor="_Toc383424462" w:history="1">
        <w:r w:rsidR="00B81273" w:rsidRPr="00B81273">
          <w:rPr>
            <w:rStyle w:val="Hyperlink"/>
            <w:rFonts w:asciiTheme="majorHAnsi" w:hAnsiTheme="majorHAnsi"/>
          </w:rPr>
          <w:t>B.5.1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Asymptomatic, high-risk women: MBS interim-funded item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31</w:t>
        </w:r>
        <w:r w:rsidR="00B81273" w:rsidRPr="00B81273">
          <w:rPr>
            <w:rFonts w:asciiTheme="majorHAnsi" w:hAnsiTheme="majorHAnsi"/>
            <w:webHidden/>
          </w:rPr>
          <w:fldChar w:fldCharType="end"/>
        </w:r>
      </w:hyperlink>
    </w:p>
    <w:p w14:paraId="50277DEF" w14:textId="77777777" w:rsidR="00B81273" w:rsidRPr="00B81273" w:rsidRDefault="005839BC">
      <w:pPr>
        <w:pStyle w:val="TOC3"/>
        <w:rPr>
          <w:rFonts w:asciiTheme="majorHAnsi" w:eastAsiaTheme="minorEastAsia" w:hAnsiTheme="majorHAnsi" w:cstheme="minorBidi"/>
          <w:lang w:eastAsia="en-AU"/>
        </w:rPr>
      </w:pPr>
      <w:hyperlink w:anchor="_Toc383424463" w:history="1">
        <w:r w:rsidR="00B81273" w:rsidRPr="00B81273">
          <w:rPr>
            <w:rStyle w:val="Hyperlink"/>
            <w:rFonts w:asciiTheme="majorHAnsi" w:hAnsiTheme="majorHAnsi"/>
          </w:rPr>
          <w:t>B.5.2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Additional high-risk groups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37</w:t>
        </w:r>
        <w:r w:rsidR="00B81273" w:rsidRPr="00B81273">
          <w:rPr>
            <w:rFonts w:asciiTheme="majorHAnsi" w:hAnsiTheme="majorHAnsi"/>
            <w:webHidden/>
          </w:rPr>
          <w:fldChar w:fldCharType="end"/>
        </w:r>
      </w:hyperlink>
    </w:p>
    <w:p w14:paraId="16171D8F"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64" w:history="1">
        <w:r w:rsidR="00B81273" w:rsidRPr="00B81273">
          <w:rPr>
            <w:rStyle w:val="Hyperlink"/>
            <w:rFonts w:asciiTheme="majorHAnsi" w:hAnsiTheme="majorHAnsi"/>
          </w:rPr>
          <w:t>B.6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Review of interim items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42</w:t>
        </w:r>
        <w:r w:rsidR="00B81273" w:rsidRPr="00B81273">
          <w:rPr>
            <w:rFonts w:asciiTheme="majorHAnsi" w:hAnsiTheme="majorHAnsi"/>
            <w:webHidden/>
          </w:rPr>
          <w:fldChar w:fldCharType="end"/>
        </w:r>
      </w:hyperlink>
    </w:p>
    <w:p w14:paraId="0FD5A15D" w14:textId="77777777" w:rsidR="00B81273" w:rsidRPr="00B81273" w:rsidRDefault="005839BC">
      <w:pPr>
        <w:pStyle w:val="TOC3"/>
        <w:rPr>
          <w:rFonts w:asciiTheme="majorHAnsi" w:eastAsiaTheme="minorEastAsia" w:hAnsiTheme="majorHAnsi" w:cstheme="minorBidi"/>
          <w:lang w:eastAsia="en-AU"/>
        </w:rPr>
      </w:pPr>
      <w:hyperlink w:anchor="_Toc383424465" w:history="1">
        <w:r w:rsidR="00B81273" w:rsidRPr="00B81273">
          <w:rPr>
            <w:rStyle w:val="Hyperlink"/>
            <w:rFonts w:asciiTheme="majorHAnsi" w:hAnsiTheme="majorHAnsi"/>
          </w:rPr>
          <w:t>B.6.1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Systematic review and HTA findings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42</w:t>
        </w:r>
        <w:r w:rsidR="00B81273" w:rsidRPr="00B81273">
          <w:rPr>
            <w:rFonts w:asciiTheme="majorHAnsi" w:hAnsiTheme="majorHAnsi"/>
            <w:webHidden/>
          </w:rPr>
          <w:fldChar w:fldCharType="end"/>
        </w:r>
      </w:hyperlink>
    </w:p>
    <w:p w14:paraId="119C18EC" w14:textId="77777777" w:rsidR="00B81273" w:rsidRPr="00B81273" w:rsidRDefault="005839BC">
      <w:pPr>
        <w:pStyle w:val="TOC3"/>
        <w:rPr>
          <w:rFonts w:asciiTheme="majorHAnsi" w:eastAsiaTheme="minorEastAsia" w:hAnsiTheme="majorHAnsi" w:cstheme="minorBidi"/>
          <w:lang w:eastAsia="en-AU"/>
        </w:rPr>
      </w:pPr>
      <w:hyperlink w:anchor="_Toc383424466" w:history="1">
        <w:r w:rsidR="00B81273" w:rsidRPr="00B81273">
          <w:rPr>
            <w:rStyle w:val="Hyperlink"/>
            <w:rFonts w:asciiTheme="majorHAnsi" w:hAnsiTheme="majorHAnsi"/>
          </w:rPr>
          <w:t>B.6.2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46</w:t>
        </w:r>
        <w:r w:rsidR="00B81273" w:rsidRPr="00B81273">
          <w:rPr>
            <w:rFonts w:asciiTheme="majorHAnsi" w:hAnsiTheme="majorHAnsi"/>
            <w:webHidden/>
          </w:rPr>
          <w:fldChar w:fldCharType="end"/>
        </w:r>
      </w:hyperlink>
    </w:p>
    <w:p w14:paraId="2C74C8B0" w14:textId="77777777" w:rsidR="00B81273" w:rsidRPr="00B81273" w:rsidRDefault="005839BC">
      <w:pPr>
        <w:pStyle w:val="TOC3"/>
        <w:rPr>
          <w:rFonts w:asciiTheme="majorHAnsi" w:eastAsiaTheme="minorEastAsia" w:hAnsiTheme="majorHAnsi" w:cstheme="minorBidi"/>
          <w:lang w:eastAsia="en-AU"/>
        </w:rPr>
      </w:pPr>
      <w:hyperlink w:anchor="_Toc383424467" w:history="1">
        <w:r w:rsidR="00B81273" w:rsidRPr="00B81273">
          <w:rPr>
            <w:rStyle w:val="Hyperlink"/>
            <w:rFonts w:asciiTheme="majorHAnsi" w:hAnsiTheme="majorHAnsi"/>
          </w:rPr>
          <w:t>B.6.3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Health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49</w:t>
        </w:r>
        <w:r w:rsidR="00B81273" w:rsidRPr="00B81273">
          <w:rPr>
            <w:rFonts w:asciiTheme="majorHAnsi" w:hAnsiTheme="majorHAnsi"/>
            <w:webHidden/>
          </w:rPr>
          <w:fldChar w:fldCharType="end"/>
        </w:r>
      </w:hyperlink>
    </w:p>
    <w:p w14:paraId="1743CF32" w14:textId="77777777" w:rsidR="00B81273" w:rsidRPr="00B81273" w:rsidRDefault="005839BC">
      <w:pPr>
        <w:pStyle w:val="TOC3"/>
        <w:rPr>
          <w:rFonts w:asciiTheme="majorHAnsi" w:eastAsiaTheme="minorEastAsia" w:hAnsiTheme="majorHAnsi" w:cstheme="minorBidi"/>
          <w:lang w:eastAsia="en-AU"/>
        </w:rPr>
      </w:pPr>
      <w:hyperlink w:anchor="_Toc383424468" w:history="1">
        <w:r w:rsidR="00B81273" w:rsidRPr="00B81273">
          <w:rPr>
            <w:rStyle w:val="Hyperlink"/>
            <w:rFonts w:asciiTheme="majorHAnsi" w:hAnsiTheme="majorHAnsi"/>
          </w:rPr>
          <w:t>B.6.4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Change in management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51</w:t>
        </w:r>
        <w:r w:rsidR="00B81273" w:rsidRPr="00B81273">
          <w:rPr>
            <w:rFonts w:asciiTheme="majorHAnsi" w:hAnsiTheme="majorHAnsi"/>
            <w:webHidden/>
          </w:rPr>
          <w:fldChar w:fldCharType="end"/>
        </w:r>
      </w:hyperlink>
    </w:p>
    <w:p w14:paraId="1F70810A" w14:textId="77777777" w:rsidR="00B81273" w:rsidRPr="00B81273" w:rsidRDefault="005839BC">
      <w:pPr>
        <w:pStyle w:val="TOC3"/>
        <w:rPr>
          <w:rFonts w:asciiTheme="majorHAnsi" w:eastAsiaTheme="minorEastAsia" w:hAnsiTheme="majorHAnsi" w:cstheme="minorBidi"/>
          <w:lang w:eastAsia="en-AU"/>
        </w:rPr>
      </w:pPr>
      <w:hyperlink w:anchor="_Toc383424469" w:history="1">
        <w:r w:rsidR="00B81273" w:rsidRPr="00B81273">
          <w:rPr>
            <w:rStyle w:val="Hyperlink"/>
            <w:rFonts w:asciiTheme="majorHAnsi" w:hAnsiTheme="majorHAnsi"/>
          </w:rPr>
          <w:t>B.6.5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Patient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_Toc383424469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51</w:t>
        </w:r>
        <w:r w:rsidR="00B81273" w:rsidRPr="00B81273">
          <w:rPr>
            <w:rFonts w:asciiTheme="majorHAnsi" w:hAnsiTheme="majorHAnsi"/>
            <w:webHidden/>
          </w:rPr>
          <w:fldChar w:fldCharType="end"/>
        </w:r>
      </w:hyperlink>
    </w:p>
    <w:p w14:paraId="3A13283C"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70" w:history="1">
        <w:r w:rsidR="00B81273" w:rsidRPr="00B81273">
          <w:rPr>
            <w:rStyle w:val="Hyperlink"/>
            <w:rFonts w:asciiTheme="majorHAnsi" w:hAnsiTheme="majorHAnsi"/>
          </w:rPr>
          <w:t>B.7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Women with a history of treatment for invasive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52</w:t>
        </w:r>
        <w:r w:rsidR="00B81273" w:rsidRPr="00B81273">
          <w:rPr>
            <w:rFonts w:asciiTheme="majorHAnsi" w:hAnsiTheme="majorHAnsi"/>
            <w:webHidden/>
          </w:rPr>
          <w:fldChar w:fldCharType="end"/>
        </w:r>
      </w:hyperlink>
    </w:p>
    <w:p w14:paraId="0BFB6A34" w14:textId="77777777" w:rsidR="00B81273" w:rsidRPr="00B81273" w:rsidRDefault="005839BC">
      <w:pPr>
        <w:pStyle w:val="TOC3"/>
        <w:rPr>
          <w:rFonts w:asciiTheme="majorHAnsi" w:eastAsiaTheme="minorEastAsia" w:hAnsiTheme="majorHAnsi" w:cstheme="minorBidi"/>
          <w:lang w:eastAsia="en-AU"/>
        </w:rPr>
      </w:pPr>
      <w:hyperlink w:anchor="_Toc383424471" w:history="1">
        <w:r w:rsidR="00B81273" w:rsidRPr="00B81273">
          <w:rPr>
            <w:rStyle w:val="Hyperlink"/>
            <w:rFonts w:asciiTheme="majorHAnsi" w:hAnsiTheme="majorHAnsi"/>
          </w:rPr>
          <w:t>B.7.1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Systematic reviews and HTAs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52</w:t>
        </w:r>
        <w:r w:rsidR="00B81273" w:rsidRPr="00B81273">
          <w:rPr>
            <w:rFonts w:asciiTheme="majorHAnsi" w:hAnsiTheme="majorHAnsi"/>
            <w:webHidden/>
          </w:rPr>
          <w:fldChar w:fldCharType="end"/>
        </w:r>
      </w:hyperlink>
    </w:p>
    <w:p w14:paraId="47260FA7" w14:textId="77777777" w:rsidR="00B81273" w:rsidRPr="00B81273" w:rsidRDefault="005839BC">
      <w:pPr>
        <w:pStyle w:val="TOC3"/>
        <w:rPr>
          <w:rFonts w:asciiTheme="majorHAnsi" w:eastAsiaTheme="minorEastAsia" w:hAnsiTheme="majorHAnsi" w:cstheme="minorBidi"/>
          <w:lang w:eastAsia="en-AU"/>
        </w:rPr>
      </w:pPr>
      <w:hyperlink w:anchor="_Toc383424472" w:history="1">
        <w:r w:rsidR="00B81273" w:rsidRPr="00B81273">
          <w:rPr>
            <w:rStyle w:val="Hyperlink"/>
            <w:rFonts w:asciiTheme="majorHAnsi" w:hAnsiTheme="majorHAnsi"/>
          </w:rPr>
          <w:t>B.7.2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55</w:t>
        </w:r>
        <w:r w:rsidR="00B81273" w:rsidRPr="00B81273">
          <w:rPr>
            <w:rFonts w:asciiTheme="majorHAnsi" w:hAnsiTheme="majorHAnsi"/>
            <w:webHidden/>
          </w:rPr>
          <w:fldChar w:fldCharType="end"/>
        </w:r>
      </w:hyperlink>
    </w:p>
    <w:p w14:paraId="1A334D71" w14:textId="77777777" w:rsidR="00B81273" w:rsidRPr="00B81273" w:rsidRDefault="005839BC">
      <w:pPr>
        <w:pStyle w:val="TOC3"/>
        <w:rPr>
          <w:rFonts w:asciiTheme="majorHAnsi" w:eastAsiaTheme="minorEastAsia" w:hAnsiTheme="majorHAnsi" w:cstheme="minorBidi"/>
          <w:lang w:eastAsia="en-AU"/>
        </w:rPr>
      </w:pPr>
      <w:hyperlink w:anchor="_Toc383424473" w:history="1">
        <w:r w:rsidR="00B81273" w:rsidRPr="00B81273">
          <w:rPr>
            <w:rStyle w:val="Hyperlink"/>
            <w:rFonts w:asciiTheme="majorHAnsi" w:hAnsiTheme="majorHAnsi"/>
          </w:rPr>
          <w:t>B.7.3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Health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58</w:t>
        </w:r>
        <w:r w:rsidR="00B81273" w:rsidRPr="00B81273">
          <w:rPr>
            <w:rFonts w:asciiTheme="majorHAnsi" w:hAnsiTheme="majorHAnsi"/>
            <w:webHidden/>
          </w:rPr>
          <w:fldChar w:fldCharType="end"/>
        </w:r>
      </w:hyperlink>
    </w:p>
    <w:p w14:paraId="3D2E9E60" w14:textId="77777777" w:rsidR="00B81273" w:rsidRPr="00B81273" w:rsidRDefault="005839BC">
      <w:pPr>
        <w:pStyle w:val="TOC3"/>
        <w:rPr>
          <w:rFonts w:asciiTheme="majorHAnsi" w:eastAsiaTheme="minorEastAsia" w:hAnsiTheme="majorHAnsi" w:cstheme="minorBidi"/>
          <w:lang w:eastAsia="en-AU"/>
        </w:rPr>
      </w:pPr>
      <w:hyperlink w:anchor="_Toc383424474" w:history="1">
        <w:r w:rsidR="00B81273" w:rsidRPr="00B81273">
          <w:rPr>
            <w:rStyle w:val="Hyperlink"/>
            <w:rFonts w:asciiTheme="majorHAnsi" w:hAnsiTheme="majorHAnsi"/>
          </w:rPr>
          <w:t>B.7.4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Patient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58</w:t>
        </w:r>
        <w:r w:rsidR="00B81273" w:rsidRPr="00B81273">
          <w:rPr>
            <w:rFonts w:asciiTheme="majorHAnsi" w:hAnsiTheme="majorHAnsi"/>
            <w:webHidden/>
          </w:rPr>
          <w:fldChar w:fldCharType="end"/>
        </w:r>
      </w:hyperlink>
    </w:p>
    <w:p w14:paraId="407E96CD"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75" w:history="1">
        <w:r w:rsidR="00B81273" w:rsidRPr="00B81273">
          <w:rPr>
            <w:rStyle w:val="Hyperlink"/>
            <w:rFonts w:asciiTheme="majorHAnsi" w:hAnsiTheme="majorHAnsi"/>
          </w:rPr>
          <w:t>B.8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Women with a history of treatment for DCIS or LCIS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58</w:t>
        </w:r>
        <w:r w:rsidR="00B81273" w:rsidRPr="00B81273">
          <w:rPr>
            <w:rFonts w:asciiTheme="majorHAnsi" w:hAnsiTheme="majorHAnsi"/>
            <w:webHidden/>
          </w:rPr>
          <w:fldChar w:fldCharType="end"/>
        </w:r>
      </w:hyperlink>
    </w:p>
    <w:p w14:paraId="536C0CB7" w14:textId="77777777" w:rsidR="00B81273" w:rsidRPr="00B81273" w:rsidRDefault="005839BC">
      <w:pPr>
        <w:pStyle w:val="TOC3"/>
        <w:rPr>
          <w:rFonts w:asciiTheme="majorHAnsi" w:eastAsiaTheme="minorEastAsia" w:hAnsiTheme="majorHAnsi" w:cstheme="minorBidi"/>
          <w:lang w:eastAsia="en-AU"/>
        </w:rPr>
      </w:pPr>
      <w:hyperlink w:anchor="_Toc383424476" w:history="1">
        <w:r w:rsidR="00B81273" w:rsidRPr="00B81273">
          <w:rPr>
            <w:rStyle w:val="Hyperlink"/>
            <w:rFonts w:asciiTheme="majorHAnsi" w:hAnsiTheme="majorHAnsi"/>
          </w:rPr>
          <w:t>B.8.1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58</w:t>
        </w:r>
        <w:r w:rsidR="00B81273" w:rsidRPr="00B81273">
          <w:rPr>
            <w:rFonts w:asciiTheme="majorHAnsi" w:hAnsiTheme="majorHAnsi"/>
            <w:webHidden/>
          </w:rPr>
          <w:fldChar w:fldCharType="end"/>
        </w:r>
      </w:hyperlink>
    </w:p>
    <w:p w14:paraId="7330A4F0"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77" w:history="1">
        <w:r w:rsidR="00B81273" w:rsidRPr="00B81273">
          <w:rPr>
            <w:rStyle w:val="Hyperlink"/>
            <w:rFonts w:asciiTheme="majorHAnsi" w:hAnsiTheme="majorHAnsi"/>
          </w:rPr>
          <w:t>B.9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Women who have had chest irradiation between the ages of 10 and 35 years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59</w:t>
        </w:r>
        <w:r w:rsidR="00B81273" w:rsidRPr="00B81273">
          <w:rPr>
            <w:rFonts w:asciiTheme="majorHAnsi" w:hAnsiTheme="majorHAnsi"/>
            <w:webHidden/>
          </w:rPr>
          <w:fldChar w:fldCharType="end"/>
        </w:r>
      </w:hyperlink>
    </w:p>
    <w:p w14:paraId="2C3490F0" w14:textId="77777777" w:rsidR="00B81273" w:rsidRPr="00B81273" w:rsidRDefault="005839BC">
      <w:pPr>
        <w:pStyle w:val="TOC3"/>
        <w:rPr>
          <w:rFonts w:asciiTheme="majorHAnsi" w:eastAsiaTheme="minorEastAsia" w:hAnsiTheme="majorHAnsi" w:cstheme="minorBidi"/>
          <w:lang w:eastAsia="en-AU"/>
        </w:rPr>
      </w:pPr>
      <w:hyperlink w:anchor="_Toc383424478" w:history="1">
        <w:r w:rsidR="00B81273" w:rsidRPr="00B81273">
          <w:rPr>
            <w:rStyle w:val="Hyperlink"/>
            <w:rFonts w:asciiTheme="majorHAnsi" w:hAnsiTheme="majorHAnsi"/>
          </w:rPr>
          <w:t>B.9.1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59</w:t>
        </w:r>
        <w:r w:rsidR="00B81273" w:rsidRPr="00B81273">
          <w:rPr>
            <w:rFonts w:asciiTheme="majorHAnsi" w:hAnsiTheme="majorHAnsi"/>
            <w:webHidden/>
          </w:rPr>
          <w:fldChar w:fldCharType="end"/>
        </w:r>
      </w:hyperlink>
    </w:p>
    <w:p w14:paraId="77A90380" w14:textId="77777777" w:rsidR="00B81273" w:rsidRPr="00B81273" w:rsidRDefault="005839BC">
      <w:pPr>
        <w:pStyle w:val="TOC3"/>
        <w:rPr>
          <w:rFonts w:asciiTheme="majorHAnsi" w:eastAsiaTheme="minorEastAsia" w:hAnsiTheme="majorHAnsi" w:cstheme="minorBidi"/>
          <w:lang w:eastAsia="en-AU"/>
        </w:rPr>
      </w:pPr>
      <w:hyperlink w:anchor="_Toc383424479" w:history="1">
        <w:r w:rsidR="00B81273" w:rsidRPr="00B81273">
          <w:rPr>
            <w:rStyle w:val="Hyperlink"/>
            <w:rFonts w:asciiTheme="majorHAnsi" w:hAnsiTheme="majorHAnsi"/>
          </w:rPr>
          <w:t>B.9.2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Health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_Toc383424479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60</w:t>
        </w:r>
        <w:r w:rsidR="00B81273" w:rsidRPr="00B81273">
          <w:rPr>
            <w:rFonts w:asciiTheme="majorHAnsi" w:hAnsiTheme="majorHAnsi"/>
            <w:webHidden/>
          </w:rPr>
          <w:fldChar w:fldCharType="end"/>
        </w:r>
      </w:hyperlink>
    </w:p>
    <w:p w14:paraId="29F84E2C"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80" w:history="1">
        <w:r w:rsidR="00B81273" w:rsidRPr="00B81273">
          <w:rPr>
            <w:rStyle w:val="Hyperlink"/>
            <w:rFonts w:asciiTheme="majorHAnsi" w:hAnsiTheme="majorHAnsi"/>
          </w:rPr>
          <w:t>B.10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Extended assessment of comparative harms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61</w:t>
        </w:r>
        <w:r w:rsidR="00B81273" w:rsidRPr="00B81273">
          <w:rPr>
            <w:rFonts w:asciiTheme="majorHAnsi" w:hAnsiTheme="majorHAnsi"/>
            <w:webHidden/>
          </w:rPr>
          <w:fldChar w:fldCharType="end"/>
        </w:r>
      </w:hyperlink>
    </w:p>
    <w:p w14:paraId="35DBAD73"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81" w:history="1">
        <w:r w:rsidR="00B81273" w:rsidRPr="00B81273">
          <w:rPr>
            <w:rStyle w:val="Hyperlink"/>
            <w:rFonts w:asciiTheme="majorHAnsi" w:hAnsiTheme="majorHAnsi"/>
          </w:rPr>
          <w:t>B.11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Interpretation of the clinical evidence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62</w:t>
        </w:r>
        <w:r w:rsidR="00B81273" w:rsidRPr="00B81273">
          <w:rPr>
            <w:rFonts w:asciiTheme="majorHAnsi" w:hAnsiTheme="majorHAnsi"/>
            <w:webHidden/>
          </w:rPr>
          <w:fldChar w:fldCharType="end"/>
        </w:r>
      </w:hyperlink>
    </w:p>
    <w:p w14:paraId="4799E8D9" w14:textId="77777777" w:rsidR="00B81273" w:rsidRPr="00B81273" w:rsidRDefault="005839BC">
      <w:pPr>
        <w:pStyle w:val="TOC3"/>
        <w:rPr>
          <w:rFonts w:asciiTheme="majorHAnsi" w:eastAsiaTheme="minorEastAsia" w:hAnsiTheme="majorHAnsi" w:cstheme="minorBidi"/>
          <w:lang w:eastAsia="en-AU"/>
        </w:rPr>
      </w:pPr>
      <w:hyperlink w:anchor="_Toc383424482" w:history="1">
        <w:r w:rsidR="00B81273" w:rsidRPr="00B81273">
          <w:rPr>
            <w:rStyle w:val="Hyperlink"/>
            <w:rFonts w:asciiTheme="majorHAnsi" w:hAnsiTheme="majorHAnsi"/>
          </w:rPr>
          <w:t>B.11.1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Asymptomatic, high-risk women: MBS interim-funded item</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62</w:t>
        </w:r>
        <w:r w:rsidR="00B81273" w:rsidRPr="00B81273">
          <w:rPr>
            <w:rFonts w:asciiTheme="majorHAnsi" w:hAnsiTheme="majorHAnsi"/>
            <w:webHidden/>
          </w:rPr>
          <w:fldChar w:fldCharType="end"/>
        </w:r>
      </w:hyperlink>
    </w:p>
    <w:p w14:paraId="76869F06" w14:textId="77777777" w:rsidR="00B81273" w:rsidRPr="00B81273" w:rsidRDefault="005839BC">
      <w:pPr>
        <w:pStyle w:val="TOC3"/>
        <w:rPr>
          <w:rFonts w:asciiTheme="majorHAnsi" w:eastAsiaTheme="minorEastAsia" w:hAnsiTheme="majorHAnsi" w:cstheme="minorBidi"/>
          <w:lang w:eastAsia="en-AU"/>
        </w:rPr>
      </w:pPr>
      <w:hyperlink w:anchor="_Toc383424483" w:history="1">
        <w:r w:rsidR="00B81273" w:rsidRPr="00B81273">
          <w:rPr>
            <w:rStyle w:val="Hyperlink"/>
            <w:rFonts w:asciiTheme="majorHAnsi" w:hAnsiTheme="majorHAnsi"/>
          </w:rPr>
          <w:t>B.11.2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Women with a history of treatment for invasive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63</w:t>
        </w:r>
        <w:r w:rsidR="00B81273" w:rsidRPr="00B81273">
          <w:rPr>
            <w:rFonts w:asciiTheme="majorHAnsi" w:hAnsiTheme="majorHAnsi"/>
            <w:webHidden/>
          </w:rPr>
          <w:fldChar w:fldCharType="end"/>
        </w:r>
      </w:hyperlink>
    </w:p>
    <w:p w14:paraId="258FB359" w14:textId="77777777" w:rsidR="00B81273" w:rsidRPr="00B81273" w:rsidRDefault="005839BC">
      <w:pPr>
        <w:pStyle w:val="TOC3"/>
        <w:rPr>
          <w:rFonts w:asciiTheme="majorHAnsi" w:eastAsiaTheme="minorEastAsia" w:hAnsiTheme="majorHAnsi" w:cstheme="minorBidi"/>
          <w:lang w:eastAsia="en-AU"/>
        </w:rPr>
      </w:pPr>
      <w:hyperlink w:anchor="_Toc383424484" w:history="1">
        <w:r w:rsidR="00B81273" w:rsidRPr="00B81273">
          <w:rPr>
            <w:rStyle w:val="Hyperlink"/>
            <w:rFonts w:asciiTheme="majorHAnsi" w:hAnsiTheme="majorHAnsi"/>
          </w:rPr>
          <w:t>B.11.3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Women with a history of treatment for DCIS or LCIS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64</w:t>
        </w:r>
        <w:r w:rsidR="00B81273" w:rsidRPr="00B81273">
          <w:rPr>
            <w:rFonts w:asciiTheme="majorHAnsi" w:hAnsiTheme="majorHAnsi"/>
            <w:webHidden/>
          </w:rPr>
          <w:fldChar w:fldCharType="end"/>
        </w:r>
      </w:hyperlink>
    </w:p>
    <w:p w14:paraId="14E03513" w14:textId="77777777" w:rsidR="00B81273" w:rsidRPr="00B81273" w:rsidRDefault="005839BC">
      <w:pPr>
        <w:pStyle w:val="TOC3"/>
        <w:rPr>
          <w:rFonts w:asciiTheme="majorHAnsi" w:eastAsiaTheme="minorEastAsia" w:hAnsiTheme="majorHAnsi" w:cstheme="minorBidi"/>
          <w:lang w:eastAsia="en-AU"/>
        </w:rPr>
      </w:pPr>
      <w:hyperlink w:anchor="_Toc383424485" w:history="1">
        <w:r w:rsidR="00B81273" w:rsidRPr="00B81273">
          <w:rPr>
            <w:rStyle w:val="Hyperlink"/>
            <w:rFonts w:asciiTheme="majorHAnsi" w:hAnsiTheme="majorHAnsi"/>
          </w:rPr>
          <w:t>B.11.4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Women who have had chest irradiation between 10 and 35 years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64</w:t>
        </w:r>
        <w:r w:rsidR="00B81273" w:rsidRPr="00B81273">
          <w:rPr>
            <w:rFonts w:asciiTheme="majorHAnsi" w:hAnsiTheme="majorHAnsi"/>
            <w:webHidden/>
          </w:rPr>
          <w:fldChar w:fldCharType="end"/>
        </w:r>
      </w:hyperlink>
    </w:p>
    <w:p w14:paraId="7860E846" w14:textId="77777777" w:rsidR="00B81273" w:rsidRPr="00B81273" w:rsidRDefault="005839BC">
      <w:pPr>
        <w:pStyle w:val="TOC1"/>
        <w:tabs>
          <w:tab w:val="left" w:pos="1100"/>
          <w:tab w:val="right" w:leader="dot" w:pos="9060"/>
        </w:tabs>
        <w:rPr>
          <w:rFonts w:asciiTheme="majorHAnsi" w:eastAsiaTheme="minorEastAsia" w:hAnsiTheme="majorHAnsi" w:cstheme="minorBidi"/>
          <w:lang w:eastAsia="en-AU"/>
        </w:rPr>
      </w:pPr>
      <w:hyperlink w:anchor="_Toc383424486" w:history="1">
        <w:r w:rsidR="00B81273" w:rsidRPr="00B81273">
          <w:rPr>
            <w:rStyle w:val="Hyperlink"/>
            <w:rFonts w:asciiTheme="majorHAnsi" w:hAnsiTheme="majorHAnsi"/>
          </w:rPr>
          <w:t>Section C</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Translating the clinical evaluation to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65</w:t>
        </w:r>
        <w:r w:rsidR="00B81273" w:rsidRPr="00B81273">
          <w:rPr>
            <w:rFonts w:asciiTheme="majorHAnsi" w:hAnsiTheme="majorHAnsi"/>
            <w:webHidden/>
          </w:rPr>
          <w:fldChar w:fldCharType="end"/>
        </w:r>
      </w:hyperlink>
    </w:p>
    <w:p w14:paraId="38BBC57C" w14:textId="77777777" w:rsidR="00B81273" w:rsidRPr="00B81273" w:rsidRDefault="005839BC">
      <w:pPr>
        <w:pStyle w:val="TOC1"/>
        <w:tabs>
          <w:tab w:val="left" w:pos="1100"/>
          <w:tab w:val="right" w:leader="dot" w:pos="9060"/>
        </w:tabs>
        <w:rPr>
          <w:rFonts w:asciiTheme="majorHAnsi" w:eastAsiaTheme="minorEastAsia" w:hAnsiTheme="majorHAnsi" w:cstheme="minorBidi"/>
          <w:lang w:eastAsia="en-AU"/>
        </w:rPr>
      </w:pPr>
      <w:hyperlink w:anchor="_Toc383424487" w:history="1">
        <w:r w:rsidR="00B81273" w:rsidRPr="00B81273">
          <w:rPr>
            <w:rStyle w:val="Hyperlink"/>
            <w:rFonts w:asciiTheme="majorHAnsi" w:hAnsiTheme="majorHAnsi"/>
          </w:rPr>
          <w:t>Section D</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66</w:t>
        </w:r>
        <w:r w:rsidR="00B81273" w:rsidRPr="00B81273">
          <w:rPr>
            <w:rFonts w:asciiTheme="majorHAnsi" w:hAnsiTheme="majorHAnsi"/>
            <w:webHidden/>
          </w:rPr>
          <w:fldChar w:fldCharType="end"/>
        </w:r>
      </w:hyperlink>
    </w:p>
    <w:p w14:paraId="1693E9DC"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88" w:history="1">
        <w:r w:rsidR="00B81273" w:rsidRPr="00B81273">
          <w:rPr>
            <w:rStyle w:val="Hyperlink"/>
            <w:rFonts w:asciiTheme="majorHAnsi" w:hAnsiTheme="majorHAnsi"/>
          </w:rPr>
          <w:t>D.1</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ajorEastAsia" w:hAnsiTheme="majorHAnsi"/>
          </w:rPr>
          <w:t>Overview of the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66</w:t>
        </w:r>
        <w:r w:rsidR="00B81273" w:rsidRPr="00B81273">
          <w:rPr>
            <w:rFonts w:asciiTheme="majorHAnsi" w:hAnsiTheme="majorHAnsi"/>
            <w:webHidden/>
          </w:rPr>
          <w:fldChar w:fldCharType="end"/>
        </w:r>
      </w:hyperlink>
    </w:p>
    <w:p w14:paraId="437F5F29"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89" w:history="1">
        <w:r w:rsidR="00B81273" w:rsidRPr="00B81273">
          <w:rPr>
            <w:rStyle w:val="Hyperlink"/>
            <w:rFonts w:asciiTheme="majorHAnsi" w:eastAsiaTheme="majorEastAsia" w:hAnsiTheme="majorHAnsi"/>
          </w:rPr>
          <w:t>D.2</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ajorEastAsia" w:hAnsiTheme="majorHAnsi"/>
          </w:rPr>
          <w:t>Population and circumstances of use reflected in the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_Toc383424489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67</w:t>
        </w:r>
        <w:r w:rsidR="00B81273" w:rsidRPr="00B81273">
          <w:rPr>
            <w:rFonts w:asciiTheme="majorHAnsi" w:hAnsiTheme="majorHAnsi"/>
            <w:webHidden/>
          </w:rPr>
          <w:fldChar w:fldCharType="end"/>
        </w:r>
      </w:hyperlink>
    </w:p>
    <w:p w14:paraId="08727141"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90" w:history="1">
        <w:r w:rsidR="00B81273" w:rsidRPr="00B81273">
          <w:rPr>
            <w:rStyle w:val="Hyperlink"/>
            <w:rFonts w:asciiTheme="majorHAnsi" w:hAnsiTheme="majorHAnsi"/>
          </w:rPr>
          <w:t>D.3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Structure and rationale of the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68</w:t>
        </w:r>
        <w:r w:rsidR="00B81273" w:rsidRPr="00B81273">
          <w:rPr>
            <w:rFonts w:asciiTheme="majorHAnsi" w:hAnsiTheme="majorHAnsi"/>
            <w:webHidden/>
          </w:rPr>
          <w:fldChar w:fldCharType="end"/>
        </w:r>
      </w:hyperlink>
    </w:p>
    <w:p w14:paraId="296F776C" w14:textId="77777777" w:rsidR="00B81273" w:rsidRPr="00B81273" w:rsidRDefault="005839BC">
      <w:pPr>
        <w:pStyle w:val="TOC3"/>
        <w:rPr>
          <w:rFonts w:asciiTheme="majorHAnsi" w:eastAsiaTheme="minorEastAsia" w:hAnsiTheme="majorHAnsi" w:cstheme="minorBidi"/>
          <w:lang w:eastAsia="en-AU"/>
        </w:rPr>
      </w:pPr>
      <w:hyperlink w:anchor="_Toc383424491" w:history="1">
        <w:r w:rsidR="00B81273" w:rsidRPr="00B81273">
          <w:rPr>
            <w:rStyle w:val="Hyperlink"/>
            <w:rFonts w:asciiTheme="majorHAnsi" w:hAnsiTheme="majorHAnsi"/>
          </w:rPr>
          <w:t>D.3.1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Review of published economic evaluations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68</w:t>
        </w:r>
        <w:r w:rsidR="00B81273" w:rsidRPr="00B81273">
          <w:rPr>
            <w:rFonts w:asciiTheme="majorHAnsi" w:hAnsiTheme="majorHAnsi"/>
            <w:webHidden/>
          </w:rPr>
          <w:fldChar w:fldCharType="end"/>
        </w:r>
      </w:hyperlink>
    </w:p>
    <w:p w14:paraId="3445358A" w14:textId="77777777" w:rsidR="00B81273" w:rsidRPr="00B81273" w:rsidRDefault="005839BC">
      <w:pPr>
        <w:pStyle w:val="TOC3"/>
        <w:rPr>
          <w:rFonts w:asciiTheme="majorHAnsi" w:eastAsiaTheme="minorEastAsia" w:hAnsiTheme="majorHAnsi" w:cstheme="minorBidi"/>
          <w:lang w:eastAsia="en-AU"/>
        </w:rPr>
      </w:pPr>
      <w:hyperlink w:anchor="_Toc383424492" w:history="1">
        <w:r w:rsidR="00B81273" w:rsidRPr="00B81273">
          <w:rPr>
            <w:rStyle w:val="Hyperlink"/>
            <w:rFonts w:asciiTheme="majorHAnsi" w:hAnsiTheme="majorHAnsi"/>
          </w:rPr>
          <w:t>D.3.2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Review of HTAs 2006–2013</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73</w:t>
        </w:r>
        <w:r w:rsidR="00B81273" w:rsidRPr="00B81273">
          <w:rPr>
            <w:rFonts w:asciiTheme="majorHAnsi" w:hAnsiTheme="majorHAnsi"/>
            <w:webHidden/>
          </w:rPr>
          <w:fldChar w:fldCharType="end"/>
        </w:r>
      </w:hyperlink>
    </w:p>
    <w:p w14:paraId="5E23B7A9" w14:textId="77777777" w:rsidR="00B81273" w:rsidRPr="00B81273" w:rsidRDefault="005839BC">
      <w:pPr>
        <w:pStyle w:val="TOC3"/>
        <w:rPr>
          <w:rFonts w:asciiTheme="majorHAnsi" w:eastAsiaTheme="minorEastAsia" w:hAnsiTheme="majorHAnsi" w:cstheme="minorBidi"/>
          <w:lang w:eastAsia="en-AU"/>
        </w:rPr>
      </w:pPr>
      <w:hyperlink w:anchor="_Toc383424493" w:history="1">
        <w:r w:rsidR="00B81273" w:rsidRPr="00B81273">
          <w:rPr>
            <w:rStyle w:val="Hyperlink"/>
            <w:rFonts w:asciiTheme="majorHAnsi" w:hAnsiTheme="majorHAnsi"/>
          </w:rPr>
          <w:t>D.3.3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Economic evaluation undertaken for this assessment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79</w:t>
        </w:r>
        <w:r w:rsidR="00B81273" w:rsidRPr="00B81273">
          <w:rPr>
            <w:rFonts w:asciiTheme="majorHAnsi" w:hAnsiTheme="majorHAnsi"/>
            <w:webHidden/>
          </w:rPr>
          <w:fldChar w:fldCharType="end"/>
        </w:r>
      </w:hyperlink>
    </w:p>
    <w:p w14:paraId="1B49C801"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494" w:history="1">
        <w:r w:rsidR="00B81273" w:rsidRPr="00B81273">
          <w:rPr>
            <w:rStyle w:val="Hyperlink"/>
            <w:rFonts w:asciiTheme="majorHAnsi" w:eastAsiaTheme="majorEastAsia" w:hAnsiTheme="majorHAnsi"/>
          </w:rPr>
          <w:t>D.4</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ajorEastAsia" w:hAnsiTheme="majorHAnsi"/>
          </w:rPr>
          <w:t>Variables in the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83</w:t>
        </w:r>
        <w:r w:rsidR="00B81273" w:rsidRPr="00B81273">
          <w:rPr>
            <w:rFonts w:asciiTheme="majorHAnsi" w:hAnsiTheme="majorHAnsi"/>
            <w:webHidden/>
          </w:rPr>
          <w:fldChar w:fldCharType="end"/>
        </w:r>
      </w:hyperlink>
    </w:p>
    <w:p w14:paraId="788AA0A2" w14:textId="77777777" w:rsidR="00B81273" w:rsidRPr="00B81273" w:rsidRDefault="005839BC">
      <w:pPr>
        <w:pStyle w:val="TOC3"/>
        <w:rPr>
          <w:rFonts w:asciiTheme="majorHAnsi" w:eastAsiaTheme="minorEastAsia" w:hAnsiTheme="majorHAnsi" w:cstheme="minorBidi"/>
          <w:lang w:eastAsia="en-AU"/>
        </w:rPr>
      </w:pPr>
      <w:hyperlink w:anchor="_Toc383424495" w:history="1">
        <w:r w:rsidR="00B81273" w:rsidRPr="00B81273">
          <w:rPr>
            <w:rStyle w:val="Hyperlink"/>
            <w:rFonts w:asciiTheme="majorHAnsi" w:hAnsiTheme="majorHAnsi"/>
          </w:rPr>
          <w:t>D.4.1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Population variables and demographics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83</w:t>
        </w:r>
        <w:r w:rsidR="00B81273" w:rsidRPr="00B81273">
          <w:rPr>
            <w:rFonts w:asciiTheme="majorHAnsi" w:hAnsiTheme="majorHAnsi"/>
            <w:webHidden/>
          </w:rPr>
          <w:fldChar w:fldCharType="end"/>
        </w:r>
      </w:hyperlink>
    </w:p>
    <w:p w14:paraId="7941519F" w14:textId="77777777" w:rsidR="00B81273" w:rsidRPr="00B81273" w:rsidRDefault="005839BC">
      <w:pPr>
        <w:pStyle w:val="TOC3"/>
        <w:rPr>
          <w:rFonts w:asciiTheme="majorHAnsi" w:eastAsiaTheme="minorEastAsia" w:hAnsiTheme="majorHAnsi" w:cstheme="minorBidi"/>
          <w:lang w:eastAsia="en-AU"/>
        </w:rPr>
      </w:pPr>
      <w:hyperlink w:anchor="_Toc383424496" w:history="1">
        <w:r w:rsidR="00B81273" w:rsidRPr="00B81273">
          <w:rPr>
            <w:rStyle w:val="Hyperlink"/>
            <w:rFonts w:asciiTheme="majorHAnsi" w:hAnsiTheme="majorHAnsi"/>
          </w:rPr>
          <w:t>D.4.2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Natural history of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84</w:t>
        </w:r>
        <w:r w:rsidR="00B81273" w:rsidRPr="00B81273">
          <w:rPr>
            <w:rFonts w:asciiTheme="majorHAnsi" w:hAnsiTheme="majorHAnsi"/>
            <w:webHidden/>
          </w:rPr>
          <w:fldChar w:fldCharType="end"/>
        </w:r>
      </w:hyperlink>
    </w:p>
    <w:p w14:paraId="59E53AD2" w14:textId="77777777" w:rsidR="00B81273" w:rsidRPr="00B81273" w:rsidRDefault="005839BC">
      <w:pPr>
        <w:pStyle w:val="TOC3"/>
        <w:rPr>
          <w:rFonts w:asciiTheme="majorHAnsi" w:eastAsiaTheme="minorEastAsia" w:hAnsiTheme="majorHAnsi" w:cstheme="minorBidi"/>
          <w:lang w:eastAsia="en-AU"/>
        </w:rPr>
      </w:pPr>
      <w:hyperlink w:anchor="_Toc383424497" w:history="1">
        <w:r w:rsidR="00B81273" w:rsidRPr="00B81273">
          <w:rPr>
            <w:rStyle w:val="Hyperlink"/>
            <w:rFonts w:asciiTheme="majorHAnsi" w:hAnsiTheme="majorHAnsi"/>
          </w:rPr>
          <w:t>D.4.3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89</w:t>
        </w:r>
        <w:r w:rsidR="00B81273" w:rsidRPr="00B81273">
          <w:rPr>
            <w:rFonts w:asciiTheme="majorHAnsi" w:hAnsiTheme="majorHAnsi"/>
            <w:webHidden/>
          </w:rPr>
          <w:fldChar w:fldCharType="end"/>
        </w:r>
      </w:hyperlink>
    </w:p>
    <w:p w14:paraId="4A0E6015" w14:textId="77777777" w:rsidR="00B81273" w:rsidRPr="00B81273" w:rsidRDefault="005839BC">
      <w:pPr>
        <w:pStyle w:val="TOC3"/>
        <w:rPr>
          <w:rFonts w:asciiTheme="majorHAnsi" w:eastAsiaTheme="minorEastAsia" w:hAnsiTheme="majorHAnsi" w:cstheme="minorBidi"/>
          <w:lang w:eastAsia="en-AU"/>
        </w:rPr>
      </w:pPr>
      <w:hyperlink w:anchor="_Toc383424498" w:history="1">
        <w:r w:rsidR="00B81273" w:rsidRPr="00B81273">
          <w:rPr>
            <w:rStyle w:val="Hyperlink"/>
            <w:rFonts w:asciiTheme="majorHAnsi" w:hAnsiTheme="majorHAnsi"/>
          </w:rPr>
          <w:t>D.4.4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variables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92</w:t>
        </w:r>
        <w:r w:rsidR="00B81273" w:rsidRPr="00B81273">
          <w:rPr>
            <w:rFonts w:asciiTheme="majorHAnsi" w:hAnsiTheme="majorHAnsi"/>
            <w:webHidden/>
          </w:rPr>
          <w:fldChar w:fldCharType="end"/>
        </w:r>
      </w:hyperlink>
    </w:p>
    <w:p w14:paraId="2488DEA5" w14:textId="77777777" w:rsidR="00B81273" w:rsidRPr="00B81273" w:rsidRDefault="005839BC">
      <w:pPr>
        <w:pStyle w:val="TOC3"/>
        <w:rPr>
          <w:rFonts w:asciiTheme="majorHAnsi" w:eastAsiaTheme="minorEastAsia" w:hAnsiTheme="majorHAnsi" w:cstheme="minorBidi"/>
          <w:lang w:eastAsia="en-AU"/>
        </w:rPr>
      </w:pPr>
      <w:hyperlink w:anchor="_Toc383424499" w:history="1">
        <w:r w:rsidR="00B81273" w:rsidRPr="00B81273">
          <w:rPr>
            <w:rStyle w:val="Hyperlink"/>
            <w:rFonts w:asciiTheme="majorHAnsi" w:hAnsiTheme="majorHAnsi"/>
          </w:rPr>
          <w:t>D.4.5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Utility values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_Toc383424499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94</w:t>
        </w:r>
        <w:r w:rsidR="00B81273" w:rsidRPr="00B81273">
          <w:rPr>
            <w:rFonts w:asciiTheme="majorHAnsi" w:hAnsiTheme="majorHAnsi"/>
            <w:webHidden/>
          </w:rPr>
          <w:fldChar w:fldCharType="end"/>
        </w:r>
      </w:hyperlink>
    </w:p>
    <w:p w14:paraId="31D231B0" w14:textId="77777777" w:rsidR="00B81273" w:rsidRPr="00B81273" w:rsidRDefault="005839BC">
      <w:pPr>
        <w:pStyle w:val="TOC3"/>
        <w:rPr>
          <w:rFonts w:asciiTheme="majorHAnsi" w:eastAsiaTheme="minorEastAsia" w:hAnsiTheme="majorHAnsi" w:cstheme="minorBidi"/>
          <w:lang w:eastAsia="en-AU"/>
        </w:rPr>
      </w:pPr>
      <w:hyperlink w:anchor="_Toc383424500" w:history="1">
        <w:r w:rsidR="00B81273" w:rsidRPr="00B81273">
          <w:rPr>
            <w:rStyle w:val="Hyperlink"/>
            <w:rFonts w:asciiTheme="majorHAnsi" w:hAnsiTheme="majorHAnsi"/>
          </w:rPr>
          <w:t>D.4.6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Other model parameters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95</w:t>
        </w:r>
        <w:r w:rsidR="00B81273" w:rsidRPr="00B81273">
          <w:rPr>
            <w:rFonts w:asciiTheme="majorHAnsi" w:hAnsiTheme="majorHAnsi"/>
            <w:webHidden/>
          </w:rPr>
          <w:fldChar w:fldCharType="end"/>
        </w:r>
      </w:hyperlink>
    </w:p>
    <w:p w14:paraId="67C90D4B" w14:textId="77777777" w:rsidR="00B81273" w:rsidRPr="00B81273" w:rsidRDefault="005839BC">
      <w:pPr>
        <w:pStyle w:val="TOC3"/>
        <w:rPr>
          <w:rFonts w:asciiTheme="majorHAnsi" w:eastAsiaTheme="minorEastAsia" w:hAnsiTheme="majorHAnsi" w:cstheme="minorBidi"/>
          <w:lang w:eastAsia="en-AU"/>
        </w:rPr>
      </w:pPr>
      <w:hyperlink w:anchor="_Toc383424501" w:history="1">
        <w:r w:rsidR="00B81273" w:rsidRPr="00B81273">
          <w:rPr>
            <w:rStyle w:val="Hyperlink"/>
            <w:rFonts w:asciiTheme="majorHAnsi" w:hAnsiTheme="majorHAnsi"/>
          </w:rPr>
          <w:t>D.4.7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Australian general population variables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95</w:t>
        </w:r>
        <w:r w:rsidR="00B81273" w:rsidRPr="00B81273">
          <w:rPr>
            <w:rFonts w:asciiTheme="majorHAnsi" w:hAnsiTheme="majorHAnsi"/>
            <w:webHidden/>
          </w:rPr>
          <w:fldChar w:fldCharType="end"/>
        </w:r>
      </w:hyperlink>
    </w:p>
    <w:p w14:paraId="270FE6B7" w14:textId="77777777" w:rsidR="00B81273" w:rsidRPr="00B81273" w:rsidRDefault="005839BC">
      <w:pPr>
        <w:pStyle w:val="TOC3"/>
        <w:rPr>
          <w:rFonts w:asciiTheme="majorHAnsi" w:eastAsiaTheme="minorEastAsia" w:hAnsiTheme="majorHAnsi" w:cstheme="minorBidi"/>
          <w:lang w:eastAsia="en-AU"/>
        </w:rPr>
      </w:pPr>
      <w:hyperlink w:anchor="_Toc383424502" w:history="1">
        <w:r w:rsidR="00B81273" w:rsidRPr="00B81273">
          <w:rPr>
            <w:rStyle w:val="Hyperlink"/>
            <w:rFonts w:asciiTheme="majorHAnsi" w:hAnsiTheme="majorHAnsi"/>
          </w:rPr>
          <w:t>D.4.8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 of model inputs and assumptions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95</w:t>
        </w:r>
        <w:r w:rsidR="00B81273" w:rsidRPr="00B81273">
          <w:rPr>
            <w:rFonts w:asciiTheme="majorHAnsi" w:hAnsiTheme="majorHAnsi"/>
            <w:webHidden/>
          </w:rPr>
          <w:fldChar w:fldCharType="end"/>
        </w:r>
      </w:hyperlink>
    </w:p>
    <w:p w14:paraId="2812C69C"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03" w:history="1">
        <w:r w:rsidR="00B81273" w:rsidRPr="00B81273">
          <w:rPr>
            <w:rStyle w:val="Hyperlink"/>
            <w:rFonts w:asciiTheme="majorHAnsi" w:eastAsiaTheme="majorEastAsia" w:hAnsiTheme="majorHAnsi"/>
          </w:rPr>
          <w:t>D.5</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ajorEastAsia" w:hAnsiTheme="majorHAnsi"/>
          </w:rPr>
          <w:t>Results of the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99</w:t>
        </w:r>
        <w:r w:rsidR="00B81273" w:rsidRPr="00B81273">
          <w:rPr>
            <w:rFonts w:asciiTheme="majorHAnsi" w:hAnsiTheme="majorHAnsi"/>
            <w:webHidden/>
          </w:rPr>
          <w:fldChar w:fldCharType="end"/>
        </w:r>
      </w:hyperlink>
    </w:p>
    <w:p w14:paraId="735A1720" w14:textId="77777777" w:rsidR="00B81273" w:rsidRPr="00B81273" w:rsidRDefault="005839BC">
      <w:pPr>
        <w:pStyle w:val="TOC3"/>
        <w:rPr>
          <w:rFonts w:asciiTheme="majorHAnsi" w:eastAsiaTheme="minorEastAsia" w:hAnsiTheme="majorHAnsi" w:cstheme="minorBidi"/>
          <w:lang w:eastAsia="en-AU"/>
        </w:rPr>
      </w:pPr>
      <w:hyperlink w:anchor="_Toc383424504" w:history="1">
        <w:r w:rsidR="00B81273" w:rsidRPr="00B81273">
          <w:rPr>
            <w:rStyle w:val="Hyperlink"/>
            <w:rFonts w:asciiTheme="majorHAnsi" w:hAnsiTheme="majorHAnsi"/>
          </w:rPr>
          <w:t>D.5.1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Disaggregated costs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99</w:t>
        </w:r>
        <w:r w:rsidR="00B81273" w:rsidRPr="00B81273">
          <w:rPr>
            <w:rFonts w:asciiTheme="majorHAnsi" w:hAnsiTheme="majorHAnsi"/>
            <w:webHidden/>
          </w:rPr>
          <w:fldChar w:fldCharType="end"/>
        </w:r>
      </w:hyperlink>
    </w:p>
    <w:p w14:paraId="62361943" w14:textId="77777777" w:rsidR="00B81273" w:rsidRPr="00B81273" w:rsidRDefault="005839BC">
      <w:pPr>
        <w:pStyle w:val="TOC3"/>
        <w:rPr>
          <w:rFonts w:asciiTheme="majorHAnsi" w:eastAsiaTheme="minorEastAsia" w:hAnsiTheme="majorHAnsi" w:cstheme="minorBidi"/>
          <w:lang w:eastAsia="en-AU"/>
        </w:rPr>
      </w:pPr>
      <w:hyperlink w:anchor="_Toc383424505" w:history="1">
        <w:r w:rsidR="00B81273" w:rsidRPr="00B81273">
          <w:rPr>
            <w:rStyle w:val="Hyperlink"/>
            <w:rFonts w:asciiTheme="majorHAnsi" w:hAnsiTheme="majorHAnsi"/>
          </w:rPr>
          <w:t>D.5.2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Disaggregated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100</w:t>
        </w:r>
        <w:r w:rsidR="00B81273" w:rsidRPr="00B81273">
          <w:rPr>
            <w:rFonts w:asciiTheme="majorHAnsi" w:hAnsiTheme="majorHAnsi"/>
            <w:webHidden/>
          </w:rPr>
          <w:fldChar w:fldCharType="end"/>
        </w:r>
      </w:hyperlink>
    </w:p>
    <w:p w14:paraId="50741C18" w14:textId="77777777" w:rsidR="00B81273" w:rsidRPr="00B81273" w:rsidRDefault="005839BC">
      <w:pPr>
        <w:pStyle w:val="TOC3"/>
        <w:rPr>
          <w:rFonts w:asciiTheme="majorHAnsi" w:eastAsiaTheme="minorEastAsia" w:hAnsiTheme="majorHAnsi" w:cstheme="minorBidi"/>
          <w:lang w:eastAsia="en-AU"/>
        </w:rPr>
      </w:pPr>
      <w:hyperlink w:anchor="_Toc383424506" w:history="1">
        <w:r w:rsidR="00B81273" w:rsidRPr="00B81273">
          <w:rPr>
            <w:rStyle w:val="Hyperlink"/>
            <w:rFonts w:asciiTheme="majorHAnsi" w:hAnsiTheme="majorHAnsi"/>
          </w:rPr>
          <w:t>D.5.3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cost-effectiveness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102</w:t>
        </w:r>
        <w:r w:rsidR="00B81273" w:rsidRPr="00B81273">
          <w:rPr>
            <w:rFonts w:asciiTheme="majorHAnsi" w:hAnsiTheme="majorHAnsi"/>
            <w:webHidden/>
          </w:rPr>
          <w:fldChar w:fldCharType="end"/>
        </w:r>
      </w:hyperlink>
    </w:p>
    <w:p w14:paraId="1166AF1F"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07" w:history="1">
        <w:r w:rsidR="00B81273" w:rsidRPr="00B81273">
          <w:rPr>
            <w:rStyle w:val="Hyperlink"/>
            <w:rFonts w:asciiTheme="majorHAnsi" w:eastAsiaTheme="majorEastAsia" w:hAnsiTheme="majorHAnsi"/>
          </w:rPr>
          <w:t>D.6</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ajorEastAsia" w:hAnsiTheme="majorHAnsi"/>
          </w:rPr>
          <w:t>Sensitivity analyses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104</w:t>
        </w:r>
        <w:r w:rsidR="00B81273" w:rsidRPr="00B81273">
          <w:rPr>
            <w:rFonts w:asciiTheme="majorHAnsi" w:hAnsiTheme="majorHAnsi"/>
            <w:webHidden/>
          </w:rPr>
          <w:fldChar w:fldCharType="end"/>
        </w:r>
      </w:hyperlink>
    </w:p>
    <w:p w14:paraId="2B58E90B" w14:textId="77777777" w:rsidR="00B81273" w:rsidRPr="00B81273" w:rsidRDefault="005839BC">
      <w:pPr>
        <w:pStyle w:val="TOC3"/>
        <w:rPr>
          <w:rFonts w:asciiTheme="majorHAnsi" w:eastAsiaTheme="minorEastAsia" w:hAnsiTheme="majorHAnsi" w:cstheme="minorBidi"/>
          <w:lang w:eastAsia="en-AU"/>
        </w:rPr>
      </w:pPr>
      <w:hyperlink w:anchor="_Toc383424508" w:history="1">
        <w:r w:rsidR="00B81273" w:rsidRPr="00B81273">
          <w:rPr>
            <w:rStyle w:val="Hyperlink"/>
            <w:rFonts w:asciiTheme="majorHAnsi" w:eastAsiaTheme="minorHAnsi" w:hAnsiTheme="majorHAnsi"/>
          </w:rPr>
          <w:t>D.6.1</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inorHAnsi" w:hAnsiTheme="majorHAnsi"/>
          </w:rPr>
          <w:t>Diagnostic accuracy data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104</w:t>
        </w:r>
        <w:r w:rsidR="00B81273" w:rsidRPr="00B81273">
          <w:rPr>
            <w:rFonts w:asciiTheme="majorHAnsi" w:hAnsiTheme="majorHAnsi"/>
            <w:webHidden/>
          </w:rPr>
          <w:fldChar w:fldCharType="end"/>
        </w:r>
      </w:hyperlink>
    </w:p>
    <w:p w14:paraId="0CF107FE" w14:textId="77777777" w:rsidR="00B81273" w:rsidRPr="00B81273" w:rsidRDefault="005839BC">
      <w:pPr>
        <w:pStyle w:val="TOC3"/>
        <w:rPr>
          <w:rFonts w:asciiTheme="majorHAnsi" w:eastAsiaTheme="minorEastAsia" w:hAnsiTheme="majorHAnsi" w:cstheme="minorBidi"/>
          <w:lang w:eastAsia="en-AU"/>
        </w:rPr>
      </w:pPr>
      <w:hyperlink w:anchor="_Toc383424509" w:history="1">
        <w:r w:rsidR="00B81273" w:rsidRPr="00B81273">
          <w:rPr>
            <w:rStyle w:val="Hyperlink"/>
            <w:rFonts w:asciiTheme="majorHAnsi" w:eastAsiaTheme="minorHAnsi" w:hAnsiTheme="majorHAnsi"/>
          </w:rPr>
          <w:t>D.6.2</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inorHAnsi" w:hAnsiTheme="majorHAnsi"/>
          </w:rPr>
          <w:t>Patient characteristics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_Toc383424509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105</w:t>
        </w:r>
        <w:r w:rsidR="00B81273" w:rsidRPr="00B81273">
          <w:rPr>
            <w:rFonts w:asciiTheme="majorHAnsi" w:hAnsiTheme="majorHAnsi"/>
            <w:webHidden/>
          </w:rPr>
          <w:fldChar w:fldCharType="end"/>
        </w:r>
      </w:hyperlink>
    </w:p>
    <w:p w14:paraId="15CC4935" w14:textId="77777777" w:rsidR="00B81273" w:rsidRPr="00B81273" w:rsidRDefault="005839BC">
      <w:pPr>
        <w:pStyle w:val="TOC3"/>
        <w:rPr>
          <w:rFonts w:asciiTheme="majorHAnsi" w:eastAsiaTheme="minorEastAsia" w:hAnsiTheme="majorHAnsi" w:cstheme="minorBidi"/>
          <w:lang w:eastAsia="en-AU"/>
        </w:rPr>
      </w:pPr>
      <w:hyperlink w:anchor="_Toc383424510" w:history="1">
        <w:r w:rsidR="00B81273" w:rsidRPr="00B81273">
          <w:rPr>
            <w:rStyle w:val="Hyperlink"/>
            <w:rFonts w:asciiTheme="majorHAnsi" w:eastAsiaTheme="minorHAnsi" w:hAnsiTheme="majorHAnsi"/>
          </w:rPr>
          <w:t>D.6.3</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inorHAnsi" w:hAnsiTheme="majorHAnsi"/>
          </w:rPr>
          <w:t>MRI screening age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108</w:t>
        </w:r>
        <w:r w:rsidR="00B81273" w:rsidRPr="00B81273">
          <w:rPr>
            <w:rFonts w:asciiTheme="majorHAnsi" w:hAnsiTheme="majorHAnsi"/>
            <w:webHidden/>
          </w:rPr>
          <w:fldChar w:fldCharType="end"/>
        </w:r>
      </w:hyperlink>
    </w:p>
    <w:p w14:paraId="592136FE" w14:textId="77777777" w:rsidR="00B81273" w:rsidRPr="00B81273" w:rsidRDefault="005839BC">
      <w:pPr>
        <w:pStyle w:val="TOC3"/>
        <w:rPr>
          <w:rFonts w:asciiTheme="majorHAnsi" w:eastAsiaTheme="minorEastAsia" w:hAnsiTheme="majorHAnsi" w:cstheme="minorBidi"/>
          <w:lang w:eastAsia="en-AU"/>
        </w:rPr>
      </w:pPr>
      <w:hyperlink w:anchor="_Toc383424511" w:history="1">
        <w:r w:rsidR="00B81273" w:rsidRPr="00B81273">
          <w:rPr>
            <w:rStyle w:val="Hyperlink"/>
            <w:rFonts w:asciiTheme="majorHAnsi" w:eastAsiaTheme="minorHAnsi" w:hAnsiTheme="majorHAnsi"/>
          </w:rPr>
          <w:t>D.6.4</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inorHAnsi" w:hAnsiTheme="majorHAnsi"/>
          </w:rPr>
          <w:t>Costs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109</w:t>
        </w:r>
        <w:r w:rsidR="00B81273" w:rsidRPr="00B81273">
          <w:rPr>
            <w:rFonts w:asciiTheme="majorHAnsi" w:hAnsiTheme="majorHAnsi"/>
            <w:webHidden/>
          </w:rPr>
          <w:fldChar w:fldCharType="end"/>
        </w:r>
      </w:hyperlink>
    </w:p>
    <w:p w14:paraId="6A4785B6" w14:textId="77777777" w:rsidR="00B81273" w:rsidRPr="00B81273" w:rsidRDefault="005839BC">
      <w:pPr>
        <w:pStyle w:val="TOC3"/>
        <w:rPr>
          <w:rFonts w:asciiTheme="majorHAnsi" w:eastAsiaTheme="minorEastAsia" w:hAnsiTheme="majorHAnsi" w:cstheme="minorBidi"/>
          <w:lang w:eastAsia="en-AU"/>
        </w:rPr>
      </w:pPr>
      <w:hyperlink w:anchor="_Toc383424512" w:history="1">
        <w:r w:rsidR="00B81273" w:rsidRPr="00B81273">
          <w:rPr>
            <w:rStyle w:val="Hyperlink"/>
            <w:rFonts w:asciiTheme="majorHAnsi" w:eastAsiaTheme="minorHAnsi" w:hAnsiTheme="majorHAnsi"/>
          </w:rPr>
          <w:t>D.6.5</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inorHAnsi" w:hAnsiTheme="majorHAnsi"/>
          </w:rPr>
          <w:t>Utility values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109</w:t>
        </w:r>
        <w:r w:rsidR="00B81273" w:rsidRPr="00B81273">
          <w:rPr>
            <w:rFonts w:asciiTheme="majorHAnsi" w:hAnsiTheme="majorHAnsi"/>
            <w:webHidden/>
          </w:rPr>
          <w:fldChar w:fldCharType="end"/>
        </w:r>
      </w:hyperlink>
    </w:p>
    <w:p w14:paraId="54E19658" w14:textId="77777777" w:rsidR="00B81273" w:rsidRPr="00B81273" w:rsidRDefault="005839BC">
      <w:pPr>
        <w:pStyle w:val="TOC3"/>
        <w:rPr>
          <w:rFonts w:asciiTheme="majorHAnsi" w:eastAsiaTheme="minorEastAsia" w:hAnsiTheme="majorHAnsi" w:cstheme="minorBidi"/>
          <w:lang w:eastAsia="en-AU"/>
        </w:rPr>
      </w:pPr>
      <w:hyperlink w:anchor="_Toc383424513" w:history="1">
        <w:r w:rsidR="00B81273" w:rsidRPr="00B81273">
          <w:rPr>
            <w:rStyle w:val="Hyperlink"/>
            <w:rFonts w:asciiTheme="majorHAnsi" w:eastAsiaTheme="minorHAnsi" w:hAnsiTheme="majorHAnsi"/>
          </w:rPr>
          <w:t>D.6.6</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inorHAnsi" w:hAnsiTheme="majorHAnsi"/>
          </w:rPr>
          <w:t>Discount rate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109</w:t>
        </w:r>
        <w:r w:rsidR="00B81273" w:rsidRPr="00B81273">
          <w:rPr>
            <w:rFonts w:asciiTheme="majorHAnsi" w:hAnsiTheme="majorHAnsi"/>
            <w:webHidden/>
          </w:rPr>
          <w:fldChar w:fldCharType="end"/>
        </w:r>
      </w:hyperlink>
    </w:p>
    <w:p w14:paraId="6D519824" w14:textId="77777777" w:rsidR="00B81273" w:rsidRPr="00B81273" w:rsidRDefault="005839BC">
      <w:pPr>
        <w:pStyle w:val="TOC3"/>
        <w:rPr>
          <w:rFonts w:asciiTheme="majorHAnsi" w:eastAsiaTheme="minorEastAsia" w:hAnsiTheme="majorHAnsi" w:cstheme="minorBidi"/>
          <w:lang w:eastAsia="en-AU"/>
        </w:rPr>
      </w:pPr>
      <w:hyperlink w:anchor="_Toc383424514" w:history="1">
        <w:r w:rsidR="00B81273" w:rsidRPr="00B81273">
          <w:rPr>
            <w:rStyle w:val="Hyperlink"/>
            <w:rFonts w:asciiTheme="majorHAnsi" w:eastAsiaTheme="minorHAnsi" w:hAnsiTheme="majorHAnsi"/>
          </w:rPr>
          <w:t>D.6.7</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inorHAnsi" w:hAnsiTheme="majorHAnsi"/>
          </w:rPr>
          <w:t>Model duration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109</w:t>
        </w:r>
        <w:r w:rsidR="00B81273" w:rsidRPr="00B81273">
          <w:rPr>
            <w:rFonts w:asciiTheme="majorHAnsi" w:hAnsiTheme="majorHAnsi"/>
            <w:webHidden/>
          </w:rPr>
          <w:fldChar w:fldCharType="end"/>
        </w:r>
      </w:hyperlink>
    </w:p>
    <w:p w14:paraId="6E4685AD" w14:textId="77777777" w:rsidR="00B81273" w:rsidRPr="00B81273" w:rsidRDefault="005839BC">
      <w:pPr>
        <w:pStyle w:val="TOC3"/>
        <w:rPr>
          <w:rFonts w:asciiTheme="majorHAnsi" w:eastAsiaTheme="minorEastAsia" w:hAnsiTheme="majorHAnsi" w:cstheme="minorBidi"/>
          <w:lang w:eastAsia="en-AU"/>
        </w:rPr>
      </w:pPr>
      <w:hyperlink w:anchor="_Toc383424515" w:history="1">
        <w:r w:rsidR="00B81273" w:rsidRPr="00B81273">
          <w:rPr>
            <w:rStyle w:val="Hyperlink"/>
            <w:rFonts w:asciiTheme="majorHAnsi" w:eastAsiaTheme="minorHAnsi" w:hAnsiTheme="majorHAnsi"/>
          </w:rPr>
          <w:t>D.6.8</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inorHAnsi" w:hAnsiTheme="majorHAnsi"/>
          </w:rPr>
          <w:t>Full results of the sensitivity analyses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109</w:t>
        </w:r>
        <w:r w:rsidR="00B81273" w:rsidRPr="00B81273">
          <w:rPr>
            <w:rFonts w:asciiTheme="majorHAnsi" w:hAnsiTheme="majorHAnsi"/>
            <w:webHidden/>
          </w:rPr>
          <w:fldChar w:fldCharType="end"/>
        </w:r>
      </w:hyperlink>
    </w:p>
    <w:p w14:paraId="22832D91"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16" w:history="1">
        <w:r w:rsidR="00B81273" w:rsidRPr="00B81273">
          <w:rPr>
            <w:rStyle w:val="Hyperlink"/>
            <w:rFonts w:asciiTheme="majorHAnsi" w:eastAsiaTheme="majorEastAsia" w:hAnsiTheme="majorHAnsi"/>
          </w:rPr>
          <w:t>D.7</w:t>
        </w:r>
        <w:r w:rsidR="00B81273" w:rsidRPr="00B81273">
          <w:rPr>
            <w:rFonts w:asciiTheme="majorHAnsi" w:eastAsiaTheme="minorEastAsia" w:hAnsiTheme="majorHAnsi" w:cstheme="minorBidi"/>
            <w:lang w:eastAsia="en-AU"/>
          </w:rPr>
          <w:tab/>
        </w:r>
        <w:r w:rsidR="00B81273" w:rsidRPr="00B81273">
          <w:rPr>
            <w:rStyle w:val="Hyperlink"/>
            <w:rFonts w:asciiTheme="majorHAnsi" w:eastAsiaTheme="majorEastAsia" w:hAnsiTheme="majorHAnsi"/>
          </w:rPr>
          <w:t>Discussion of the results of the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114</w:t>
        </w:r>
        <w:r w:rsidR="00B81273" w:rsidRPr="00B81273">
          <w:rPr>
            <w:rFonts w:asciiTheme="majorHAnsi" w:hAnsiTheme="majorHAnsi"/>
            <w:webHidden/>
          </w:rPr>
          <w:fldChar w:fldCharType="end"/>
        </w:r>
      </w:hyperlink>
    </w:p>
    <w:p w14:paraId="1D77E6EC" w14:textId="77777777" w:rsidR="00B81273" w:rsidRPr="00B81273" w:rsidRDefault="005839BC">
      <w:pPr>
        <w:pStyle w:val="TOC1"/>
        <w:tabs>
          <w:tab w:val="left" w:pos="1100"/>
          <w:tab w:val="right" w:leader="dot" w:pos="9060"/>
        </w:tabs>
        <w:rPr>
          <w:rFonts w:asciiTheme="majorHAnsi" w:eastAsiaTheme="minorEastAsia" w:hAnsiTheme="majorHAnsi" w:cstheme="minorBidi"/>
          <w:lang w:eastAsia="en-AU"/>
        </w:rPr>
      </w:pPr>
      <w:hyperlink w:anchor="_Toc383424517" w:history="1">
        <w:r w:rsidR="00B81273" w:rsidRPr="00B81273">
          <w:rPr>
            <w:rStyle w:val="Hyperlink"/>
            <w:rFonts w:asciiTheme="majorHAnsi" w:hAnsiTheme="majorHAnsi"/>
          </w:rPr>
          <w:t>Section E</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Estimated extent of use and financial implications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116</w:t>
        </w:r>
        <w:r w:rsidR="00B81273" w:rsidRPr="00B81273">
          <w:rPr>
            <w:rFonts w:asciiTheme="majorHAnsi" w:hAnsiTheme="majorHAnsi"/>
            <w:webHidden/>
          </w:rPr>
          <w:fldChar w:fldCharType="end"/>
        </w:r>
      </w:hyperlink>
    </w:p>
    <w:p w14:paraId="1BE2BE02"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18" w:history="1">
        <w:r w:rsidR="00B81273" w:rsidRPr="00B81273">
          <w:rPr>
            <w:rStyle w:val="Hyperlink"/>
            <w:rFonts w:asciiTheme="majorHAnsi" w:hAnsiTheme="majorHAnsi"/>
          </w:rPr>
          <w:t>E.1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Description of data sources used in the analysis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116</w:t>
        </w:r>
        <w:r w:rsidR="00B81273" w:rsidRPr="00B81273">
          <w:rPr>
            <w:rFonts w:asciiTheme="majorHAnsi" w:hAnsiTheme="majorHAnsi"/>
            <w:webHidden/>
          </w:rPr>
          <w:fldChar w:fldCharType="end"/>
        </w:r>
      </w:hyperlink>
    </w:p>
    <w:p w14:paraId="64A01722" w14:textId="77777777" w:rsidR="00B81273" w:rsidRPr="00B81273" w:rsidRDefault="005839BC">
      <w:pPr>
        <w:pStyle w:val="TOC3"/>
        <w:rPr>
          <w:rFonts w:asciiTheme="majorHAnsi" w:eastAsiaTheme="minorEastAsia" w:hAnsiTheme="majorHAnsi" w:cstheme="minorBidi"/>
          <w:lang w:eastAsia="en-AU"/>
        </w:rPr>
      </w:pPr>
      <w:hyperlink w:anchor="_Toc383424519" w:history="1">
        <w:r w:rsidR="00B81273" w:rsidRPr="00B81273">
          <w:rPr>
            <w:rStyle w:val="Hyperlink"/>
            <w:rFonts w:asciiTheme="majorHAnsi" w:hAnsiTheme="majorHAnsi"/>
          </w:rPr>
          <w:t>E.1.1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Estimation of the size of the eligible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_Toc383424519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116</w:t>
        </w:r>
        <w:r w:rsidR="00B81273" w:rsidRPr="00B81273">
          <w:rPr>
            <w:rFonts w:asciiTheme="majorHAnsi" w:hAnsiTheme="majorHAnsi"/>
            <w:webHidden/>
          </w:rPr>
          <w:fldChar w:fldCharType="end"/>
        </w:r>
      </w:hyperlink>
    </w:p>
    <w:p w14:paraId="6CA46D55" w14:textId="77777777" w:rsidR="00B81273" w:rsidRPr="00B81273" w:rsidRDefault="005839BC">
      <w:pPr>
        <w:pStyle w:val="TOC3"/>
        <w:rPr>
          <w:rFonts w:asciiTheme="majorHAnsi" w:eastAsiaTheme="minorEastAsia" w:hAnsiTheme="majorHAnsi" w:cstheme="minorBidi"/>
          <w:lang w:eastAsia="en-AU"/>
        </w:rPr>
      </w:pPr>
      <w:hyperlink w:anchor="_Toc383424520" w:history="1">
        <w:r w:rsidR="00B81273" w:rsidRPr="00B81273">
          <w:rPr>
            <w:rStyle w:val="Hyperlink"/>
            <w:rFonts w:asciiTheme="majorHAnsi" w:hAnsiTheme="majorHAnsi"/>
          </w:rPr>
          <w:t>E.1.2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Screening uptake rates for the new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117</w:t>
        </w:r>
        <w:r w:rsidR="00B81273" w:rsidRPr="00B81273">
          <w:rPr>
            <w:rFonts w:asciiTheme="majorHAnsi" w:hAnsiTheme="majorHAnsi"/>
            <w:webHidden/>
          </w:rPr>
          <w:fldChar w:fldCharType="end"/>
        </w:r>
      </w:hyperlink>
    </w:p>
    <w:p w14:paraId="7B034AFD" w14:textId="77777777" w:rsidR="00B81273" w:rsidRPr="00B81273" w:rsidRDefault="005839BC">
      <w:pPr>
        <w:pStyle w:val="TOC3"/>
        <w:rPr>
          <w:rFonts w:asciiTheme="majorHAnsi" w:eastAsiaTheme="minorEastAsia" w:hAnsiTheme="majorHAnsi" w:cstheme="minorBidi"/>
          <w:lang w:eastAsia="en-AU"/>
        </w:rPr>
      </w:pPr>
      <w:hyperlink w:anchor="_Toc383424521" w:history="1">
        <w:r w:rsidR="00B81273" w:rsidRPr="00B81273">
          <w:rPr>
            <w:rStyle w:val="Hyperlink"/>
            <w:rFonts w:asciiTheme="majorHAnsi" w:hAnsiTheme="majorHAnsi"/>
          </w:rPr>
          <w:t>E.1.3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Follow-up MRI rates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118</w:t>
        </w:r>
        <w:r w:rsidR="00B81273" w:rsidRPr="00B81273">
          <w:rPr>
            <w:rFonts w:asciiTheme="majorHAnsi" w:hAnsiTheme="majorHAnsi"/>
            <w:webHidden/>
          </w:rPr>
          <w:fldChar w:fldCharType="end"/>
        </w:r>
      </w:hyperlink>
    </w:p>
    <w:p w14:paraId="4860C884" w14:textId="77777777" w:rsidR="00B81273" w:rsidRPr="00B81273" w:rsidRDefault="005839BC">
      <w:pPr>
        <w:pStyle w:val="TOC3"/>
        <w:rPr>
          <w:rFonts w:asciiTheme="majorHAnsi" w:eastAsiaTheme="minorEastAsia" w:hAnsiTheme="majorHAnsi" w:cstheme="minorBidi"/>
          <w:lang w:eastAsia="en-AU"/>
        </w:rPr>
      </w:pPr>
      <w:hyperlink w:anchor="_Toc383424522" w:history="1">
        <w:r w:rsidR="00B81273" w:rsidRPr="00B81273">
          <w:rPr>
            <w:rStyle w:val="Hyperlink"/>
            <w:rFonts w:asciiTheme="majorHAnsi" w:hAnsiTheme="majorHAnsi"/>
          </w:rPr>
          <w:t>E.1.4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Annual risk of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118</w:t>
        </w:r>
        <w:r w:rsidR="00B81273" w:rsidRPr="00B81273">
          <w:rPr>
            <w:rFonts w:asciiTheme="majorHAnsi" w:hAnsiTheme="majorHAnsi"/>
            <w:webHidden/>
          </w:rPr>
          <w:fldChar w:fldCharType="end"/>
        </w:r>
      </w:hyperlink>
    </w:p>
    <w:p w14:paraId="43F94C7D" w14:textId="77777777" w:rsidR="00B81273" w:rsidRPr="00B81273" w:rsidRDefault="005839BC">
      <w:pPr>
        <w:pStyle w:val="TOC3"/>
        <w:rPr>
          <w:rFonts w:asciiTheme="majorHAnsi" w:eastAsiaTheme="minorEastAsia" w:hAnsiTheme="majorHAnsi" w:cstheme="minorBidi"/>
          <w:lang w:eastAsia="en-AU"/>
        </w:rPr>
      </w:pPr>
      <w:hyperlink w:anchor="_Toc383424523" w:history="1">
        <w:r w:rsidR="00B81273" w:rsidRPr="00B81273">
          <w:rPr>
            <w:rStyle w:val="Hyperlink"/>
            <w:rFonts w:asciiTheme="majorHAnsi" w:hAnsiTheme="majorHAnsi"/>
          </w:rPr>
          <w:t>E.1.5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mammography and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118</w:t>
        </w:r>
        <w:r w:rsidR="00B81273" w:rsidRPr="00B81273">
          <w:rPr>
            <w:rFonts w:asciiTheme="majorHAnsi" w:hAnsiTheme="majorHAnsi"/>
            <w:webHidden/>
          </w:rPr>
          <w:fldChar w:fldCharType="end"/>
        </w:r>
      </w:hyperlink>
    </w:p>
    <w:p w14:paraId="4DF83DC3" w14:textId="77777777" w:rsidR="00B81273" w:rsidRPr="00B81273" w:rsidRDefault="005839BC">
      <w:pPr>
        <w:pStyle w:val="TOC3"/>
        <w:rPr>
          <w:rFonts w:asciiTheme="majorHAnsi" w:eastAsiaTheme="minorEastAsia" w:hAnsiTheme="majorHAnsi" w:cstheme="minorBidi"/>
          <w:lang w:eastAsia="en-AU"/>
        </w:rPr>
      </w:pPr>
      <w:hyperlink w:anchor="_Toc383424524" w:history="1">
        <w:r w:rsidR="00B81273" w:rsidRPr="00B81273">
          <w:rPr>
            <w:rStyle w:val="Hyperlink"/>
            <w:rFonts w:asciiTheme="majorHAnsi" w:hAnsiTheme="majorHAnsi"/>
            <w:spacing w:val="-4"/>
          </w:rPr>
          <w:t>E.1.6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spacing w:val="-4"/>
          </w:rPr>
          <w:t>Assumptions used in the analysis of imaging follow-up and treatment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119</w:t>
        </w:r>
        <w:r w:rsidR="00B81273" w:rsidRPr="00B81273">
          <w:rPr>
            <w:rFonts w:asciiTheme="majorHAnsi" w:hAnsiTheme="majorHAnsi"/>
            <w:webHidden/>
          </w:rPr>
          <w:fldChar w:fldCharType="end"/>
        </w:r>
      </w:hyperlink>
    </w:p>
    <w:p w14:paraId="47664053"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25" w:history="1">
        <w:r w:rsidR="00B81273" w:rsidRPr="00B81273">
          <w:rPr>
            <w:rStyle w:val="Hyperlink"/>
            <w:rFonts w:asciiTheme="majorHAnsi" w:hAnsiTheme="majorHAnsi"/>
            <w:spacing w:val="-4"/>
          </w:rPr>
          <w:t>E.2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spacing w:val="-4"/>
          </w:rPr>
          <w:t>Estimation of use and costs of the proposed medical service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119</w:t>
        </w:r>
        <w:r w:rsidR="00B81273" w:rsidRPr="00B81273">
          <w:rPr>
            <w:rFonts w:asciiTheme="majorHAnsi" w:hAnsiTheme="majorHAnsi"/>
            <w:webHidden/>
          </w:rPr>
          <w:fldChar w:fldCharType="end"/>
        </w:r>
      </w:hyperlink>
    </w:p>
    <w:p w14:paraId="38BE8BDE" w14:textId="77777777" w:rsidR="00B81273" w:rsidRPr="00B81273" w:rsidRDefault="005839BC">
      <w:pPr>
        <w:pStyle w:val="TOC3"/>
        <w:rPr>
          <w:rFonts w:asciiTheme="majorHAnsi" w:eastAsiaTheme="minorEastAsia" w:hAnsiTheme="majorHAnsi" w:cstheme="minorBidi"/>
          <w:lang w:eastAsia="en-AU"/>
        </w:rPr>
      </w:pPr>
      <w:hyperlink w:anchor="_Toc383424526" w:history="1">
        <w:r w:rsidR="00B81273" w:rsidRPr="00B81273">
          <w:rPr>
            <w:rStyle w:val="Hyperlink"/>
            <w:rFonts w:asciiTheme="majorHAnsi" w:hAnsiTheme="majorHAnsi"/>
          </w:rPr>
          <w:t>E.2.1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Estimation of the size of the eligible patient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119</w:t>
        </w:r>
        <w:r w:rsidR="00B81273" w:rsidRPr="00B81273">
          <w:rPr>
            <w:rFonts w:asciiTheme="majorHAnsi" w:hAnsiTheme="majorHAnsi"/>
            <w:webHidden/>
          </w:rPr>
          <w:fldChar w:fldCharType="end"/>
        </w:r>
      </w:hyperlink>
    </w:p>
    <w:p w14:paraId="010883B7" w14:textId="77777777" w:rsidR="00B81273" w:rsidRPr="00B81273" w:rsidRDefault="005839BC">
      <w:pPr>
        <w:pStyle w:val="TOC3"/>
        <w:rPr>
          <w:rFonts w:asciiTheme="majorHAnsi" w:eastAsiaTheme="minorEastAsia" w:hAnsiTheme="majorHAnsi" w:cstheme="minorBidi"/>
          <w:lang w:eastAsia="en-AU"/>
        </w:rPr>
      </w:pPr>
      <w:hyperlink w:anchor="_Toc383424527" w:history="1">
        <w:r w:rsidR="00B81273" w:rsidRPr="00B81273">
          <w:rPr>
            <w:rStyle w:val="Hyperlink"/>
            <w:rFonts w:asciiTheme="majorHAnsi" w:hAnsiTheme="majorHAnsi"/>
          </w:rPr>
          <w:t>E.2.2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Estimated cost of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123</w:t>
        </w:r>
        <w:r w:rsidR="00B81273" w:rsidRPr="00B81273">
          <w:rPr>
            <w:rFonts w:asciiTheme="majorHAnsi" w:hAnsiTheme="majorHAnsi"/>
            <w:webHidden/>
          </w:rPr>
          <w:fldChar w:fldCharType="end"/>
        </w:r>
      </w:hyperlink>
    </w:p>
    <w:p w14:paraId="3EB1C292"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28" w:history="1">
        <w:r w:rsidR="00B81273" w:rsidRPr="00B81273">
          <w:rPr>
            <w:rStyle w:val="Hyperlink"/>
            <w:rFonts w:asciiTheme="majorHAnsi" w:hAnsiTheme="majorHAnsi"/>
          </w:rPr>
          <w:t>E.3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Estimation of changes in use and cost of other medical services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125</w:t>
        </w:r>
        <w:r w:rsidR="00B81273" w:rsidRPr="00B81273">
          <w:rPr>
            <w:rFonts w:asciiTheme="majorHAnsi" w:hAnsiTheme="majorHAnsi"/>
            <w:webHidden/>
          </w:rPr>
          <w:fldChar w:fldCharType="end"/>
        </w:r>
      </w:hyperlink>
    </w:p>
    <w:p w14:paraId="448232A2" w14:textId="77777777" w:rsidR="00B81273" w:rsidRPr="00B81273" w:rsidRDefault="005839BC">
      <w:pPr>
        <w:pStyle w:val="TOC3"/>
        <w:rPr>
          <w:rFonts w:asciiTheme="majorHAnsi" w:eastAsiaTheme="minorEastAsia" w:hAnsiTheme="majorHAnsi" w:cstheme="minorBidi"/>
          <w:lang w:eastAsia="en-AU"/>
        </w:rPr>
      </w:pPr>
      <w:hyperlink w:anchor="_Toc383424529" w:history="1">
        <w:r w:rsidR="00B81273" w:rsidRPr="00B81273">
          <w:rPr>
            <w:rStyle w:val="Hyperlink"/>
            <w:rFonts w:asciiTheme="majorHAnsi" w:hAnsiTheme="majorHAnsi"/>
          </w:rPr>
          <w:t>E.3.1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of specialist attendance with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_Toc383424529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125</w:t>
        </w:r>
        <w:r w:rsidR="00B81273" w:rsidRPr="00B81273">
          <w:rPr>
            <w:rFonts w:asciiTheme="majorHAnsi" w:hAnsiTheme="majorHAnsi"/>
            <w:webHidden/>
          </w:rPr>
          <w:fldChar w:fldCharType="end"/>
        </w:r>
      </w:hyperlink>
    </w:p>
    <w:p w14:paraId="51DD3CC1" w14:textId="77777777" w:rsidR="00B81273" w:rsidRPr="00B81273" w:rsidRDefault="005839BC">
      <w:pPr>
        <w:pStyle w:val="TOC3"/>
        <w:rPr>
          <w:rFonts w:asciiTheme="majorHAnsi" w:eastAsiaTheme="minorEastAsia" w:hAnsiTheme="majorHAnsi" w:cstheme="minorBidi"/>
          <w:lang w:eastAsia="en-AU"/>
        </w:rPr>
      </w:pPr>
      <w:hyperlink w:anchor="_Toc383424530" w:history="1">
        <w:r w:rsidR="00B81273" w:rsidRPr="00B81273">
          <w:rPr>
            <w:rStyle w:val="Hyperlink"/>
            <w:rFonts w:asciiTheme="majorHAnsi" w:hAnsiTheme="majorHAnsi"/>
          </w:rPr>
          <w:t>E.3.2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savings from replacement of ultrasound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126</w:t>
        </w:r>
        <w:r w:rsidR="00B81273" w:rsidRPr="00B81273">
          <w:rPr>
            <w:rFonts w:asciiTheme="majorHAnsi" w:hAnsiTheme="majorHAnsi"/>
            <w:webHidden/>
          </w:rPr>
          <w:fldChar w:fldCharType="end"/>
        </w:r>
      </w:hyperlink>
    </w:p>
    <w:p w14:paraId="2F709207"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31" w:history="1">
        <w:r w:rsidR="00B81273" w:rsidRPr="00B81273">
          <w:rPr>
            <w:rStyle w:val="Hyperlink"/>
            <w:rFonts w:asciiTheme="majorHAnsi" w:hAnsiTheme="majorHAnsi"/>
          </w:rPr>
          <w:t>E.4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Estimated financial implications for the MBS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127</w:t>
        </w:r>
        <w:r w:rsidR="00B81273" w:rsidRPr="00B81273">
          <w:rPr>
            <w:rFonts w:asciiTheme="majorHAnsi" w:hAnsiTheme="majorHAnsi"/>
            <w:webHidden/>
          </w:rPr>
          <w:fldChar w:fldCharType="end"/>
        </w:r>
      </w:hyperlink>
    </w:p>
    <w:p w14:paraId="0C9EEF30" w14:textId="77777777" w:rsidR="00B81273" w:rsidRPr="00B81273" w:rsidRDefault="005839BC">
      <w:pPr>
        <w:pStyle w:val="TOC3"/>
        <w:rPr>
          <w:rFonts w:asciiTheme="majorHAnsi" w:eastAsiaTheme="minorEastAsia" w:hAnsiTheme="majorHAnsi" w:cstheme="minorBidi"/>
          <w:lang w:eastAsia="en-AU"/>
        </w:rPr>
      </w:pPr>
      <w:hyperlink w:anchor="_Toc383424532" w:history="1">
        <w:r w:rsidR="00B81273" w:rsidRPr="00B81273">
          <w:rPr>
            <w:rStyle w:val="Hyperlink"/>
            <w:rFonts w:asciiTheme="majorHAnsi" w:hAnsiTheme="majorHAnsi"/>
          </w:rPr>
          <w:t>E.4.1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of follow-up biopsy for additional positive findings with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127</w:t>
        </w:r>
        <w:r w:rsidR="00B81273" w:rsidRPr="00B81273">
          <w:rPr>
            <w:rFonts w:asciiTheme="majorHAnsi" w:hAnsiTheme="majorHAnsi"/>
            <w:webHidden/>
          </w:rPr>
          <w:fldChar w:fldCharType="end"/>
        </w:r>
      </w:hyperlink>
    </w:p>
    <w:p w14:paraId="484AB358" w14:textId="77777777" w:rsidR="00B81273" w:rsidRPr="00B81273" w:rsidRDefault="005839BC">
      <w:pPr>
        <w:pStyle w:val="TOC3"/>
        <w:rPr>
          <w:rFonts w:asciiTheme="majorHAnsi" w:eastAsiaTheme="minorEastAsia" w:hAnsiTheme="majorHAnsi" w:cstheme="minorBidi"/>
          <w:lang w:eastAsia="en-AU"/>
        </w:rPr>
      </w:pPr>
      <w:hyperlink w:anchor="_Toc383424533" w:history="1">
        <w:r w:rsidR="00B81273" w:rsidRPr="00B81273">
          <w:rPr>
            <w:rStyle w:val="Hyperlink"/>
            <w:rFonts w:asciiTheme="majorHAnsi" w:hAnsiTheme="majorHAnsi"/>
          </w:rPr>
          <w:t>E.4.2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of treatment for additional breast cancers identified by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128</w:t>
        </w:r>
        <w:r w:rsidR="00B81273" w:rsidRPr="00B81273">
          <w:rPr>
            <w:rFonts w:asciiTheme="majorHAnsi" w:hAnsiTheme="majorHAnsi"/>
            <w:webHidden/>
          </w:rPr>
          <w:fldChar w:fldCharType="end"/>
        </w:r>
      </w:hyperlink>
    </w:p>
    <w:p w14:paraId="74CF0591" w14:textId="77777777" w:rsidR="00B81273" w:rsidRPr="00B81273" w:rsidRDefault="005839BC">
      <w:pPr>
        <w:pStyle w:val="TOC3"/>
        <w:rPr>
          <w:rFonts w:asciiTheme="majorHAnsi" w:eastAsiaTheme="minorEastAsia" w:hAnsiTheme="majorHAnsi" w:cstheme="minorBidi"/>
          <w:lang w:eastAsia="en-AU"/>
        </w:rPr>
      </w:pPr>
      <w:hyperlink w:anchor="_Toc383424534" w:history="1">
        <w:r w:rsidR="00B81273" w:rsidRPr="00B81273">
          <w:rPr>
            <w:rStyle w:val="Hyperlink"/>
            <w:rFonts w:asciiTheme="majorHAnsi" w:hAnsiTheme="majorHAnsi"/>
          </w:rPr>
          <w:t>E.4.3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MBS associated with the requested listing</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130</w:t>
        </w:r>
        <w:r w:rsidR="00B81273" w:rsidRPr="00B81273">
          <w:rPr>
            <w:rFonts w:asciiTheme="majorHAnsi" w:hAnsiTheme="majorHAnsi"/>
            <w:webHidden/>
          </w:rPr>
          <w:fldChar w:fldCharType="end"/>
        </w:r>
      </w:hyperlink>
    </w:p>
    <w:p w14:paraId="45157A45"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35" w:history="1">
        <w:r w:rsidR="00B81273" w:rsidRPr="00B81273">
          <w:rPr>
            <w:rStyle w:val="Hyperlink"/>
            <w:rFonts w:asciiTheme="majorHAnsi" w:hAnsiTheme="majorHAnsi"/>
          </w:rPr>
          <w:t>E.5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Estimated financial implications for government health budgets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130</w:t>
        </w:r>
        <w:r w:rsidR="00B81273" w:rsidRPr="00B81273">
          <w:rPr>
            <w:rFonts w:asciiTheme="majorHAnsi" w:hAnsiTheme="majorHAnsi"/>
            <w:webHidden/>
          </w:rPr>
          <w:fldChar w:fldCharType="end"/>
        </w:r>
      </w:hyperlink>
    </w:p>
    <w:p w14:paraId="640086CD" w14:textId="77777777" w:rsidR="00B81273" w:rsidRPr="00B81273" w:rsidRDefault="005839BC">
      <w:pPr>
        <w:pStyle w:val="TOC3"/>
        <w:rPr>
          <w:rFonts w:asciiTheme="majorHAnsi" w:eastAsiaTheme="minorEastAsia" w:hAnsiTheme="majorHAnsi" w:cstheme="minorBidi"/>
          <w:lang w:eastAsia="en-AU"/>
        </w:rPr>
      </w:pPr>
      <w:hyperlink w:anchor="_Toc383424536" w:history="1">
        <w:r w:rsidR="00B81273" w:rsidRPr="00B81273">
          <w:rPr>
            <w:rStyle w:val="Hyperlink"/>
            <w:rFonts w:asciiTheme="majorHAnsi" w:hAnsiTheme="majorHAnsi"/>
          </w:rPr>
          <w:t>E.5.1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Costs to the PBS associated with the requested listing</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130</w:t>
        </w:r>
        <w:r w:rsidR="00B81273" w:rsidRPr="00B81273">
          <w:rPr>
            <w:rFonts w:asciiTheme="majorHAnsi" w:hAnsiTheme="majorHAnsi"/>
            <w:webHidden/>
          </w:rPr>
          <w:fldChar w:fldCharType="end"/>
        </w:r>
      </w:hyperlink>
    </w:p>
    <w:p w14:paraId="0340493B" w14:textId="77777777" w:rsidR="00B81273" w:rsidRPr="00B81273" w:rsidRDefault="005839BC">
      <w:pPr>
        <w:pStyle w:val="TOC3"/>
        <w:rPr>
          <w:rFonts w:asciiTheme="majorHAnsi" w:eastAsiaTheme="minorEastAsia" w:hAnsiTheme="majorHAnsi" w:cstheme="minorBidi"/>
          <w:lang w:eastAsia="en-AU"/>
        </w:rPr>
      </w:pPr>
      <w:hyperlink w:anchor="_Toc383424537" w:history="1">
        <w:r w:rsidR="00B81273" w:rsidRPr="00B81273">
          <w:rPr>
            <w:rStyle w:val="Hyperlink"/>
            <w:rFonts w:asciiTheme="majorHAnsi" w:hAnsiTheme="majorHAnsi"/>
          </w:rPr>
          <w:t>E.5.2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Costs to state and territory governments associated with the current listing</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131</w:t>
        </w:r>
        <w:r w:rsidR="00B81273" w:rsidRPr="00B81273">
          <w:rPr>
            <w:rFonts w:asciiTheme="majorHAnsi" w:hAnsiTheme="majorHAnsi"/>
            <w:webHidden/>
          </w:rPr>
          <w:fldChar w:fldCharType="end"/>
        </w:r>
      </w:hyperlink>
    </w:p>
    <w:p w14:paraId="54461F58" w14:textId="77777777" w:rsidR="00B81273" w:rsidRPr="00B81273" w:rsidRDefault="005839BC">
      <w:pPr>
        <w:pStyle w:val="TOC3"/>
        <w:rPr>
          <w:rFonts w:asciiTheme="majorHAnsi" w:eastAsiaTheme="minorEastAsia" w:hAnsiTheme="majorHAnsi" w:cstheme="minorBidi"/>
          <w:lang w:eastAsia="en-AU"/>
        </w:rPr>
      </w:pPr>
      <w:hyperlink w:anchor="_Toc383424538" w:history="1">
        <w:r w:rsidR="00B81273" w:rsidRPr="00B81273">
          <w:rPr>
            <w:rStyle w:val="Hyperlink"/>
            <w:rFonts w:asciiTheme="majorHAnsi" w:hAnsiTheme="majorHAnsi"/>
          </w:rPr>
          <w:t>E.5.3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government health budgets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132</w:t>
        </w:r>
        <w:r w:rsidR="00B81273" w:rsidRPr="00B81273">
          <w:rPr>
            <w:rFonts w:asciiTheme="majorHAnsi" w:hAnsiTheme="majorHAnsi"/>
            <w:webHidden/>
          </w:rPr>
          <w:fldChar w:fldCharType="end"/>
        </w:r>
      </w:hyperlink>
    </w:p>
    <w:p w14:paraId="212D54AE" w14:textId="77777777" w:rsidR="00B81273" w:rsidRPr="00B81273" w:rsidRDefault="005839BC">
      <w:pPr>
        <w:pStyle w:val="TOC2"/>
        <w:tabs>
          <w:tab w:val="left" w:pos="880"/>
          <w:tab w:val="right" w:leader="dot" w:pos="9060"/>
        </w:tabs>
        <w:rPr>
          <w:rFonts w:asciiTheme="majorHAnsi" w:eastAsiaTheme="minorEastAsia" w:hAnsiTheme="majorHAnsi" w:cstheme="minorBidi"/>
          <w:lang w:eastAsia="en-AU"/>
        </w:rPr>
      </w:pPr>
      <w:hyperlink w:anchor="_Toc383424539" w:history="1">
        <w:r w:rsidR="00B81273" w:rsidRPr="00B81273">
          <w:rPr>
            <w:rStyle w:val="Hyperlink"/>
            <w:rFonts w:asciiTheme="majorHAnsi" w:hAnsiTheme="majorHAnsi"/>
          </w:rPr>
          <w:t>E.6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Identification, estimation and reduction of uncertainty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_Toc383424539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132</w:t>
        </w:r>
        <w:r w:rsidR="00B81273" w:rsidRPr="00B81273">
          <w:rPr>
            <w:rFonts w:asciiTheme="majorHAnsi" w:hAnsiTheme="majorHAnsi"/>
            <w:webHidden/>
          </w:rPr>
          <w:fldChar w:fldCharType="end"/>
        </w:r>
      </w:hyperlink>
    </w:p>
    <w:p w14:paraId="63165C4B" w14:textId="77777777" w:rsidR="00B81273" w:rsidRPr="00B81273" w:rsidRDefault="005839BC">
      <w:pPr>
        <w:pStyle w:val="TOC3"/>
        <w:rPr>
          <w:rFonts w:asciiTheme="majorHAnsi" w:eastAsiaTheme="minorEastAsia" w:hAnsiTheme="majorHAnsi" w:cstheme="minorBidi"/>
          <w:lang w:eastAsia="en-AU"/>
        </w:rPr>
      </w:pPr>
      <w:hyperlink w:anchor="_Toc383424540" w:history="1">
        <w:r w:rsidR="00B81273" w:rsidRPr="00B81273">
          <w:rPr>
            <w:rStyle w:val="Hyperlink"/>
            <w:rFonts w:asciiTheme="majorHAnsi" w:hAnsiTheme="majorHAnsi"/>
          </w:rPr>
          <w:t>E.6.1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Higher patient numbers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132</w:t>
        </w:r>
        <w:r w:rsidR="00B81273" w:rsidRPr="00B81273">
          <w:rPr>
            <w:rFonts w:asciiTheme="majorHAnsi" w:hAnsiTheme="majorHAnsi"/>
            <w:webHidden/>
          </w:rPr>
          <w:fldChar w:fldCharType="end"/>
        </w:r>
      </w:hyperlink>
    </w:p>
    <w:p w14:paraId="6BDF9537" w14:textId="77777777" w:rsidR="00B81273" w:rsidRPr="00B81273" w:rsidRDefault="005839BC">
      <w:pPr>
        <w:pStyle w:val="TOC3"/>
        <w:rPr>
          <w:rFonts w:asciiTheme="majorHAnsi" w:eastAsiaTheme="minorEastAsia" w:hAnsiTheme="majorHAnsi" w:cstheme="minorBidi"/>
          <w:lang w:eastAsia="en-AU"/>
        </w:rPr>
      </w:pPr>
      <w:hyperlink w:anchor="_Toc383424541" w:history="1">
        <w:r w:rsidR="00B81273" w:rsidRPr="00B81273">
          <w:rPr>
            <w:rStyle w:val="Hyperlink"/>
            <w:rFonts w:asciiTheme="majorHAnsi" w:hAnsiTheme="majorHAnsi"/>
          </w:rPr>
          <w:t>E.6.2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Higher risk of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134</w:t>
        </w:r>
        <w:r w:rsidR="00B81273" w:rsidRPr="00B81273">
          <w:rPr>
            <w:rFonts w:asciiTheme="majorHAnsi" w:hAnsiTheme="majorHAnsi"/>
            <w:webHidden/>
          </w:rPr>
          <w:fldChar w:fldCharType="end"/>
        </w:r>
      </w:hyperlink>
    </w:p>
    <w:p w14:paraId="7B6C555D" w14:textId="77777777" w:rsidR="00B81273" w:rsidRPr="00B81273" w:rsidRDefault="005839BC">
      <w:pPr>
        <w:pStyle w:val="TOC3"/>
        <w:rPr>
          <w:rFonts w:asciiTheme="majorHAnsi" w:eastAsiaTheme="minorEastAsia" w:hAnsiTheme="majorHAnsi" w:cstheme="minorBidi"/>
          <w:lang w:eastAsia="en-AU"/>
        </w:rPr>
      </w:pPr>
      <w:hyperlink w:anchor="_Toc383424542" w:history="1">
        <w:r w:rsidR="00B81273" w:rsidRPr="00B81273">
          <w:rPr>
            <w:rStyle w:val="Hyperlink"/>
            <w:rFonts w:asciiTheme="majorHAnsi" w:hAnsiTheme="majorHAnsi"/>
          </w:rPr>
          <w:t>E.6.3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Alternative accuracy estimates for MRI and mammography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135</w:t>
        </w:r>
        <w:r w:rsidR="00B81273" w:rsidRPr="00B81273">
          <w:rPr>
            <w:rFonts w:asciiTheme="majorHAnsi" w:hAnsiTheme="majorHAnsi"/>
            <w:webHidden/>
          </w:rPr>
          <w:fldChar w:fldCharType="end"/>
        </w:r>
      </w:hyperlink>
    </w:p>
    <w:p w14:paraId="0613D0B1" w14:textId="77777777" w:rsidR="00B81273" w:rsidRPr="00B81273" w:rsidRDefault="005839BC">
      <w:pPr>
        <w:pStyle w:val="TOC3"/>
        <w:rPr>
          <w:rFonts w:asciiTheme="majorHAnsi" w:eastAsiaTheme="minorEastAsia" w:hAnsiTheme="majorHAnsi" w:cstheme="minorBidi"/>
          <w:lang w:eastAsia="en-AU"/>
        </w:rPr>
      </w:pPr>
      <w:hyperlink w:anchor="_Toc383424543" w:history="1">
        <w:r w:rsidR="00B81273" w:rsidRPr="00B81273">
          <w:rPr>
            <w:rStyle w:val="Hyperlink"/>
            <w:rFonts w:asciiTheme="majorHAnsi" w:hAnsiTheme="majorHAnsi"/>
          </w:rPr>
          <w:t>E.6.4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Alternative average benefit for service for the breast MRI MBS items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136</w:t>
        </w:r>
        <w:r w:rsidR="00B81273" w:rsidRPr="00B81273">
          <w:rPr>
            <w:rFonts w:asciiTheme="majorHAnsi" w:hAnsiTheme="majorHAnsi"/>
            <w:webHidden/>
          </w:rPr>
          <w:fldChar w:fldCharType="end"/>
        </w:r>
      </w:hyperlink>
    </w:p>
    <w:p w14:paraId="4139CC2D" w14:textId="77777777" w:rsidR="00B81273" w:rsidRPr="00B81273" w:rsidRDefault="005839BC">
      <w:pPr>
        <w:pStyle w:val="TOC3"/>
        <w:rPr>
          <w:rFonts w:asciiTheme="majorHAnsi" w:eastAsiaTheme="minorEastAsia" w:hAnsiTheme="majorHAnsi" w:cstheme="minorBidi"/>
          <w:lang w:eastAsia="en-AU"/>
        </w:rPr>
      </w:pPr>
      <w:hyperlink w:anchor="_Toc383424544" w:history="1">
        <w:r w:rsidR="00B81273" w:rsidRPr="00B81273">
          <w:rPr>
            <w:rStyle w:val="Hyperlink"/>
            <w:rFonts w:asciiTheme="majorHAnsi" w:hAnsiTheme="majorHAnsi"/>
          </w:rPr>
          <w:t>E.6.5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136</w:t>
        </w:r>
        <w:r w:rsidR="00B81273" w:rsidRPr="00B81273">
          <w:rPr>
            <w:rFonts w:asciiTheme="majorHAnsi" w:hAnsiTheme="majorHAnsi"/>
            <w:webHidden/>
          </w:rPr>
          <w:fldChar w:fldCharType="end"/>
        </w:r>
      </w:hyperlink>
    </w:p>
    <w:p w14:paraId="615AA4D3" w14:textId="77777777" w:rsidR="00B81273" w:rsidRPr="00B81273" w:rsidRDefault="005839BC">
      <w:pPr>
        <w:pStyle w:val="TOC1"/>
        <w:tabs>
          <w:tab w:val="right" w:leader="dot" w:pos="9060"/>
        </w:tabs>
        <w:rPr>
          <w:rFonts w:asciiTheme="majorHAnsi" w:eastAsiaTheme="minorEastAsia" w:hAnsiTheme="majorHAnsi" w:cstheme="minorBidi"/>
          <w:lang w:eastAsia="en-AU"/>
        </w:rPr>
      </w:pPr>
      <w:hyperlink w:anchor="_Toc383424545" w:history="1">
        <w:r w:rsidR="00B81273" w:rsidRPr="00B81273">
          <w:rPr>
            <w:rStyle w:val="Hyperlink"/>
            <w:rFonts w:asciiTheme="majorHAnsi" w:hAnsiTheme="majorHAnsi"/>
          </w:rPr>
          <w:t>Appendix 1: Health Expert Standing Panel and Assessment Group</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138</w:t>
        </w:r>
        <w:r w:rsidR="00B81273" w:rsidRPr="00B81273">
          <w:rPr>
            <w:rFonts w:asciiTheme="majorHAnsi" w:hAnsiTheme="majorHAnsi"/>
            <w:webHidden/>
          </w:rPr>
          <w:fldChar w:fldCharType="end"/>
        </w:r>
      </w:hyperlink>
    </w:p>
    <w:p w14:paraId="6D72219E" w14:textId="77777777" w:rsidR="00B81273" w:rsidRPr="00B81273" w:rsidRDefault="005839BC">
      <w:pPr>
        <w:pStyle w:val="TOC1"/>
        <w:tabs>
          <w:tab w:val="right" w:leader="dot" w:pos="9060"/>
        </w:tabs>
        <w:rPr>
          <w:rFonts w:asciiTheme="majorHAnsi" w:eastAsiaTheme="minorEastAsia" w:hAnsiTheme="majorHAnsi" w:cstheme="minorBidi"/>
          <w:lang w:eastAsia="en-AU"/>
        </w:rPr>
      </w:pPr>
      <w:hyperlink w:anchor="_Toc383424546" w:history="1">
        <w:r w:rsidR="00B81273" w:rsidRPr="00B81273">
          <w:rPr>
            <w:rStyle w:val="Hyperlink"/>
            <w:rFonts w:asciiTheme="majorHAnsi" w:hAnsiTheme="majorHAnsi"/>
          </w:rPr>
          <w:t>Appendix 2:</w:t>
        </w:r>
        <w:r w:rsidR="00B81273" w:rsidRPr="00B81273">
          <w:rPr>
            <w:rStyle w:val="Hyperlink"/>
            <w:rFonts w:asciiTheme="majorHAnsi" w:hAnsiTheme="majorHAnsi"/>
            <w:lang w:eastAsia="en-AU"/>
          </w:rPr>
          <w:t xml:space="preserve"> Search strategies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139</w:t>
        </w:r>
        <w:r w:rsidR="00B81273" w:rsidRPr="00B81273">
          <w:rPr>
            <w:rFonts w:asciiTheme="majorHAnsi" w:hAnsiTheme="majorHAnsi"/>
            <w:webHidden/>
          </w:rPr>
          <w:fldChar w:fldCharType="end"/>
        </w:r>
      </w:hyperlink>
    </w:p>
    <w:p w14:paraId="4E80AAFA" w14:textId="77777777" w:rsidR="00B81273" w:rsidRPr="00B81273" w:rsidRDefault="005839BC">
      <w:pPr>
        <w:pStyle w:val="TOC1"/>
        <w:tabs>
          <w:tab w:val="right" w:leader="dot" w:pos="9060"/>
        </w:tabs>
        <w:rPr>
          <w:rFonts w:asciiTheme="majorHAnsi" w:eastAsiaTheme="minorEastAsia" w:hAnsiTheme="majorHAnsi" w:cstheme="minorBidi"/>
          <w:lang w:eastAsia="en-AU"/>
        </w:rPr>
      </w:pPr>
      <w:hyperlink w:anchor="_Toc383424547" w:history="1">
        <w:r w:rsidR="00B81273" w:rsidRPr="00B81273">
          <w:rPr>
            <w:rStyle w:val="Hyperlink"/>
            <w:rFonts w:asciiTheme="majorHAnsi" w:hAnsiTheme="majorHAnsi"/>
          </w:rPr>
          <w:t>Appendix 3: Survival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148</w:t>
        </w:r>
        <w:r w:rsidR="00B81273" w:rsidRPr="00B81273">
          <w:rPr>
            <w:rFonts w:asciiTheme="majorHAnsi" w:hAnsiTheme="majorHAnsi"/>
            <w:webHidden/>
          </w:rPr>
          <w:fldChar w:fldCharType="end"/>
        </w:r>
      </w:hyperlink>
    </w:p>
    <w:p w14:paraId="392C06F9" w14:textId="77777777" w:rsidR="00B81273" w:rsidRPr="00B81273" w:rsidRDefault="005839BC">
      <w:pPr>
        <w:pStyle w:val="TOC1"/>
        <w:tabs>
          <w:tab w:val="right" w:leader="dot" w:pos="9060"/>
        </w:tabs>
        <w:rPr>
          <w:rFonts w:asciiTheme="majorHAnsi" w:eastAsiaTheme="minorEastAsia" w:hAnsiTheme="majorHAnsi" w:cstheme="minorBidi"/>
          <w:lang w:eastAsia="en-AU"/>
        </w:rPr>
      </w:pPr>
      <w:hyperlink w:anchor="_Toc383424548" w:history="1">
        <w:r w:rsidR="00B81273" w:rsidRPr="00B81273">
          <w:rPr>
            <w:rStyle w:val="Hyperlink"/>
            <w:rFonts w:asciiTheme="majorHAnsi" w:hAnsiTheme="majorHAnsi"/>
          </w:rPr>
          <w:t>Appendix 4: Supplementary evidence on women with a history of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149</w:t>
        </w:r>
        <w:r w:rsidR="00B81273" w:rsidRPr="00B81273">
          <w:rPr>
            <w:rFonts w:asciiTheme="majorHAnsi" w:hAnsiTheme="majorHAnsi"/>
            <w:webHidden/>
          </w:rPr>
          <w:fldChar w:fldCharType="end"/>
        </w:r>
      </w:hyperlink>
    </w:p>
    <w:p w14:paraId="6914433D"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549" w:history="1">
        <w:r w:rsidR="00B81273" w:rsidRPr="00B81273">
          <w:rPr>
            <w:rStyle w:val="Hyperlink"/>
            <w:rFonts w:asciiTheme="majorHAnsi" w:hAnsiTheme="majorHAnsi"/>
          </w:rPr>
          <w:t>Results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_Toc383424549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149</w:t>
        </w:r>
        <w:r w:rsidR="00B81273" w:rsidRPr="00B81273">
          <w:rPr>
            <w:rFonts w:asciiTheme="majorHAnsi" w:hAnsiTheme="majorHAnsi"/>
            <w:webHidden/>
          </w:rPr>
          <w:fldChar w:fldCharType="end"/>
        </w:r>
      </w:hyperlink>
    </w:p>
    <w:p w14:paraId="4964719F" w14:textId="77777777" w:rsidR="00B81273" w:rsidRPr="00B81273" w:rsidRDefault="005839BC">
      <w:pPr>
        <w:pStyle w:val="TOC3"/>
        <w:rPr>
          <w:rFonts w:asciiTheme="majorHAnsi" w:eastAsiaTheme="minorEastAsia" w:hAnsiTheme="majorHAnsi" w:cstheme="minorBidi"/>
          <w:lang w:eastAsia="en-AU"/>
        </w:rPr>
      </w:pPr>
      <w:hyperlink w:anchor="_Toc383424550" w:history="1">
        <w:r w:rsidR="00B81273" w:rsidRPr="00B81273">
          <w:rPr>
            <w:rStyle w:val="Hyperlink"/>
            <w:rFonts w:asciiTheme="majorHAnsi" w:hAnsiTheme="majorHAnsi"/>
          </w:rPr>
          <w:t>Quality assessment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149</w:t>
        </w:r>
        <w:r w:rsidR="00B81273" w:rsidRPr="00B81273">
          <w:rPr>
            <w:rFonts w:asciiTheme="majorHAnsi" w:hAnsiTheme="majorHAnsi"/>
            <w:webHidden/>
          </w:rPr>
          <w:fldChar w:fldCharType="end"/>
        </w:r>
      </w:hyperlink>
    </w:p>
    <w:p w14:paraId="2D67C145" w14:textId="77777777" w:rsidR="00B81273" w:rsidRPr="00B81273" w:rsidRDefault="005839BC">
      <w:pPr>
        <w:pStyle w:val="TOC3"/>
        <w:rPr>
          <w:rFonts w:asciiTheme="majorHAnsi" w:eastAsiaTheme="minorEastAsia" w:hAnsiTheme="majorHAnsi" w:cstheme="minorBidi"/>
          <w:lang w:eastAsia="en-AU"/>
        </w:rPr>
      </w:pPr>
      <w:hyperlink w:anchor="_Toc383424551" w:history="1">
        <w:r w:rsidR="00B81273" w:rsidRPr="00B81273">
          <w:rPr>
            <w:rStyle w:val="Hyperlink"/>
            <w:rFonts w:asciiTheme="majorHAnsi" w:hAnsiTheme="majorHAnsi"/>
          </w:rPr>
          <w:t>Characteristics of studies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150</w:t>
        </w:r>
        <w:r w:rsidR="00B81273" w:rsidRPr="00B81273">
          <w:rPr>
            <w:rFonts w:asciiTheme="majorHAnsi" w:hAnsiTheme="majorHAnsi"/>
            <w:webHidden/>
          </w:rPr>
          <w:fldChar w:fldCharType="end"/>
        </w:r>
      </w:hyperlink>
    </w:p>
    <w:p w14:paraId="006E4C1D" w14:textId="77777777" w:rsidR="00B81273" w:rsidRPr="00B81273" w:rsidRDefault="005839BC">
      <w:pPr>
        <w:pStyle w:val="TOC2"/>
        <w:tabs>
          <w:tab w:val="right" w:leader="dot" w:pos="9060"/>
        </w:tabs>
        <w:rPr>
          <w:rFonts w:asciiTheme="majorHAnsi" w:eastAsiaTheme="minorEastAsia" w:hAnsiTheme="majorHAnsi" w:cstheme="minorBidi"/>
          <w:lang w:eastAsia="en-AU"/>
        </w:rPr>
      </w:pPr>
      <w:hyperlink w:anchor="_Toc383424552" w:history="1">
        <w:r w:rsidR="00B81273" w:rsidRPr="00B81273">
          <w:rPr>
            <w:rStyle w:val="Hyperlink"/>
            <w:rFonts w:asciiTheme="majorHAnsi" w:hAnsiTheme="majorHAnsi"/>
          </w:rPr>
          <w:t>Findings and conclusions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151</w:t>
        </w:r>
        <w:r w:rsidR="00B81273" w:rsidRPr="00B81273">
          <w:rPr>
            <w:rFonts w:asciiTheme="majorHAnsi" w:hAnsiTheme="majorHAnsi"/>
            <w:webHidden/>
          </w:rPr>
          <w:fldChar w:fldCharType="end"/>
        </w:r>
      </w:hyperlink>
    </w:p>
    <w:p w14:paraId="226A920F" w14:textId="77777777" w:rsidR="00B81273" w:rsidRPr="00B81273" w:rsidRDefault="005839BC">
      <w:pPr>
        <w:pStyle w:val="TOC3"/>
        <w:rPr>
          <w:rFonts w:asciiTheme="majorHAnsi" w:eastAsiaTheme="minorEastAsia" w:hAnsiTheme="majorHAnsi" w:cstheme="minorBidi"/>
          <w:lang w:eastAsia="en-AU"/>
        </w:rPr>
      </w:pPr>
      <w:hyperlink w:anchor="_Toc383424553" w:history="1">
        <w:r w:rsidR="00B81273" w:rsidRPr="00B81273">
          <w:rPr>
            <w:rStyle w:val="Hyperlink"/>
            <w:rFonts w:asciiTheme="majorHAnsi" w:hAnsiTheme="majorHAnsi"/>
          </w:rPr>
          <w:t>Brennan et al (2009)</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151</w:t>
        </w:r>
        <w:r w:rsidR="00B81273" w:rsidRPr="00B81273">
          <w:rPr>
            <w:rFonts w:asciiTheme="majorHAnsi" w:hAnsiTheme="majorHAnsi"/>
            <w:webHidden/>
          </w:rPr>
          <w:fldChar w:fldCharType="end"/>
        </w:r>
      </w:hyperlink>
    </w:p>
    <w:p w14:paraId="6D7212A7" w14:textId="77777777" w:rsidR="00B81273" w:rsidRPr="00B81273" w:rsidRDefault="005839BC">
      <w:pPr>
        <w:pStyle w:val="TOC3"/>
        <w:rPr>
          <w:rFonts w:asciiTheme="majorHAnsi" w:eastAsiaTheme="minorEastAsia" w:hAnsiTheme="majorHAnsi" w:cstheme="minorBidi"/>
          <w:lang w:eastAsia="en-AU"/>
        </w:rPr>
      </w:pPr>
      <w:hyperlink w:anchor="_Toc383424554" w:history="1">
        <w:r w:rsidR="00B81273" w:rsidRPr="00B81273">
          <w:rPr>
            <w:rStyle w:val="Hyperlink"/>
            <w:rFonts w:asciiTheme="majorHAnsi" w:hAnsiTheme="majorHAnsi"/>
          </w:rPr>
          <w:t>Houssami et al (2008)</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151</w:t>
        </w:r>
        <w:r w:rsidR="00B81273" w:rsidRPr="00B81273">
          <w:rPr>
            <w:rFonts w:asciiTheme="majorHAnsi" w:hAnsiTheme="majorHAnsi"/>
            <w:webHidden/>
          </w:rPr>
          <w:fldChar w:fldCharType="end"/>
        </w:r>
      </w:hyperlink>
    </w:p>
    <w:p w14:paraId="4C4287C4" w14:textId="77777777" w:rsidR="00B81273" w:rsidRPr="00B81273" w:rsidRDefault="005839BC">
      <w:pPr>
        <w:pStyle w:val="TOC1"/>
        <w:tabs>
          <w:tab w:val="right" w:leader="dot" w:pos="9060"/>
        </w:tabs>
        <w:rPr>
          <w:rFonts w:asciiTheme="majorHAnsi" w:eastAsiaTheme="minorEastAsia" w:hAnsiTheme="majorHAnsi" w:cstheme="minorBidi"/>
          <w:lang w:eastAsia="en-AU"/>
        </w:rPr>
      </w:pPr>
      <w:hyperlink w:anchor="_Toc383424555" w:history="1">
        <w:r w:rsidR="00B81273" w:rsidRPr="00B81273">
          <w:rPr>
            <w:rStyle w:val="Hyperlink"/>
            <w:rFonts w:asciiTheme="majorHAnsi" w:hAnsiTheme="majorHAnsi"/>
          </w:rPr>
          <w:t>Appendix 5: Patient number calculations for the financial impact analysis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152</w:t>
        </w:r>
        <w:r w:rsidR="00B81273" w:rsidRPr="00B81273">
          <w:rPr>
            <w:rFonts w:asciiTheme="majorHAnsi" w:hAnsiTheme="majorHAnsi"/>
            <w:webHidden/>
          </w:rPr>
          <w:fldChar w:fldCharType="end"/>
        </w:r>
      </w:hyperlink>
    </w:p>
    <w:p w14:paraId="2F5F4C6F" w14:textId="77777777" w:rsidR="00B81273" w:rsidRPr="00B81273" w:rsidRDefault="005839BC">
      <w:pPr>
        <w:pStyle w:val="TOC1"/>
        <w:tabs>
          <w:tab w:val="right" w:leader="dot" w:pos="9060"/>
        </w:tabs>
        <w:rPr>
          <w:rFonts w:asciiTheme="majorHAnsi" w:eastAsiaTheme="minorEastAsia" w:hAnsiTheme="majorHAnsi" w:cstheme="minorBidi"/>
          <w:lang w:eastAsia="en-AU"/>
        </w:rPr>
      </w:pPr>
      <w:hyperlink w:anchor="_Toc383424556" w:history="1">
        <w:r w:rsidR="00B81273" w:rsidRPr="00B81273">
          <w:rPr>
            <w:rStyle w:val="Hyperlink"/>
            <w:rFonts w:asciiTheme="majorHAnsi" w:hAnsiTheme="majorHAnsi"/>
            <w:lang w:eastAsia="en-AU"/>
          </w:rPr>
          <w:t>References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155</w:t>
        </w:r>
        <w:r w:rsidR="00B81273" w:rsidRPr="00B81273">
          <w:rPr>
            <w:rFonts w:asciiTheme="majorHAnsi" w:hAnsiTheme="majorHAnsi"/>
            <w:webHidden/>
          </w:rPr>
          <w:fldChar w:fldCharType="end"/>
        </w:r>
      </w:hyperlink>
    </w:p>
    <w:p w14:paraId="58A6DAE4" w14:textId="77777777" w:rsidR="00E47AB8" w:rsidRPr="008B2F8A" w:rsidRDefault="00E47AB8" w:rsidP="00422306">
      <w:pPr>
        <w:rPr>
          <w:noProof/>
        </w:rPr>
      </w:pPr>
      <w:r w:rsidRPr="00B81273">
        <w:rPr>
          <w:rFonts w:asciiTheme="majorHAnsi" w:hAnsiTheme="majorHAnsi"/>
          <w:noProof/>
        </w:rPr>
        <w:fldChar w:fldCharType="end"/>
      </w:r>
    </w:p>
    <w:p w14:paraId="14283DA3" w14:textId="77777777" w:rsidR="00E47AB8" w:rsidRPr="008B2F8A" w:rsidRDefault="00E47AB8" w:rsidP="00422306">
      <w:pPr>
        <w:rPr>
          <w:rFonts w:ascii="Tahoma" w:eastAsia="Times New Roman" w:hAnsi="Tahoma" w:cs="Tahoma"/>
          <w:noProof/>
          <w:color w:val="000000"/>
          <w:sz w:val="28"/>
          <w:szCs w:val="28"/>
        </w:rPr>
      </w:pPr>
      <w:r w:rsidRPr="008B2F8A">
        <w:rPr>
          <w:noProof/>
        </w:rPr>
        <w:br w:type="page"/>
      </w:r>
    </w:p>
    <w:p w14:paraId="2EFC89FE" w14:textId="77777777" w:rsidR="00B81273" w:rsidRPr="00B81273" w:rsidRDefault="00E47AB8" w:rsidP="00422306">
      <w:pPr>
        <w:pStyle w:val="Heading2"/>
        <w:numPr>
          <w:ilvl w:val="0"/>
          <w:numId w:val="0"/>
        </w:numPr>
        <w:rPr>
          <w:rFonts w:asciiTheme="majorHAnsi" w:hAnsiTheme="majorHAnsi"/>
          <w:noProof/>
        </w:rPr>
      </w:pPr>
      <w:bookmarkStart w:id="3" w:name="_Toc383424392"/>
      <w:r w:rsidRPr="008B2F8A">
        <w:rPr>
          <w:noProof/>
        </w:rPr>
        <w:lastRenderedPageBreak/>
        <w:t>List of Tables</w:t>
      </w:r>
      <w:bookmarkEnd w:id="3"/>
      <w:r w:rsidRPr="00B81273">
        <w:rPr>
          <w:rFonts w:asciiTheme="majorHAnsi" w:hAnsiTheme="majorHAnsi"/>
          <w:noProof/>
        </w:rPr>
        <w:fldChar w:fldCharType="begin"/>
      </w:r>
      <w:r w:rsidRPr="00B81273">
        <w:rPr>
          <w:rFonts w:asciiTheme="majorHAnsi" w:hAnsiTheme="majorHAnsi"/>
          <w:noProof/>
        </w:rPr>
        <w:instrText xml:space="preserve"> TOC \h \z \c "Table" </w:instrText>
      </w:r>
      <w:r w:rsidRPr="00B81273">
        <w:rPr>
          <w:rFonts w:asciiTheme="majorHAnsi" w:hAnsiTheme="majorHAnsi"/>
          <w:noProof/>
        </w:rPr>
        <w:fldChar w:fldCharType="separate"/>
      </w:r>
    </w:p>
    <w:p w14:paraId="2946A85F" w14:textId="77777777" w:rsidR="00B81273" w:rsidRPr="00B81273" w:rsidRDefault="005839BC">
      <w:pPr>
        <w:pStyle w:val="TableofFigures"/>
        <w:rPr>
          <w:rFonts w:asciiTheme="majorHAnsi" w:eastAsiaTheme="minorEastAsia" w:hAnsiTheme="majorHAnsi" w:cstheme="minorBidi"/>
          <w:lang w:eastAsia="en-AU"/>
        </w:rPr>
      </w:pPr>
      <w:hyperlink w:anchor="_Toc383424557" w:history="1">
        <w:r w:rsidR="00B81273" w:rsidRPr="00B81273">
          <w:rPr>
            <w:rStyle w:val="Hyperlink"/>
            <w:rFonts w:asciiTheme="majorHAnsi" w:hAnsiTheme="majorHAnsi"/>
          </w:rPr>
          <w:t>Table A.1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 of breast cancer risk categories used in UK guidelines (NICE, 2013).</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w:t>
        </w:r>
        <w:r w:rsidR="00B81273" w:rsidRPr="00B81273">
          <w:rPr>
            <w:rFonts w:asciiTheme="majorHAnsi" w:hAnsiTheme="majorHAnsi"/>
            <w:webHidden/>
          </w:rPr>
          <w:fldChar w:fldCharType="end"/>
        </w:r>
      </w:hyperlink>
    </w:p>
    <w:p w14:paraId="16B608D9" w14:textId="77777777" w:rsidR="00B81273" w:rsidRPr="00B81273" w:rsidRDefault="005839BC">
      <w:pPr>
        <w:pStyle w:val="TableofFigures"/>
        <w:rPr>
          <w:rFonts w:asciiTheme="majorHAnsi" w:eastAsiaTheme="minorEastAsia" w:hAnsiTheme="majorHAnsi" w:cstheme="minorBidi"/>
          <w:lang w:eastAsia="en-AU"/>
        </w:rPr>
      </w:pPr>
      <w:hyperlink w:anchor="_Toc383424558" w:history="1">
        <w:r w:rsidR="00B81273" w:rsidRPr="00B81273">
          <w:rPr>
            <w:rStyle w:val="Hyperlink"/>
            <w:rFonts w:asciiTheme="majorHAnsi" w:hAnsiTheme="majorHAnsi"/>
          </w:rPr>
          <w:t>Table A.2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Probability (%) of diagnosis with breast cancer within the next 10 years by familial risk category.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w:t>
        </w:r>
        <w:r w:rsidR="00B81273" w:rsidRPr="00B81273">
          <w:rPr>
            <w:rFonts w:asciiTheme="majorHAnsi" w:hAnsiTheme="majorHAnsi"/>
            <w:webHidden/>
          </w:rPr>
          <w:fldChar w:fldCharType="end"/>
        </w:r>
      </w:hyperlink>
    </w:p>
    <w:p w14:paraId="607E397B" w14:textId="77777777" w:rsidR="00B81273" w:rsidRPr="00B81273" w:rsidRDefault="005839BC">
      <w:pPr>
        <w:pStyle w:val="TableofFigures"/>
        <w:rPr>
          <w:rFonts w:asciiTheme="majorHAnsi" w:eastAsiaTheme="minorEastAsia" w:hAnsiTheme="majorHAnsi" w:cstheme="minorBidi"/>
          <w:lang w:eastAsia="en-AU"/>
        </w:rPr>
      </w:pPr>
      <w:hyperlink w:anchor="_Toc383424559" w:history="1">
        <w:r w:rsidR="00B81273" w:rsidRPr="00B81273">
          <w:rPr>
            <w:rStyle w:val="Hyperlink"/>
            <w:rFonts w:asciiTheme="majorHAnsi" w:hAnsiTheme="majorHAnsi"/>
          </w:rPr>
          <w:t>Table A.3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Checklist against the Final Decision-Analytic Protocol (DAP) for Application 1098.1.</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_Toc383424559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w:t>
        </w:r>
        <w:r w:rsidR="00B81273" w:rsidRPr="00B81273">
          <w:rPr>
            <w:rFonts w:asciiTheme="majorHAnsi" w:hAnsiTheme="majorHAnsi"/>
            <w:webHidden/>
          </w:rPr>
          <w:fldChar w:fldCharType="end"/>
        </w:r>
      </w:hyperlink>
    </w:p>
    <w:p w14:paraId="65701CEA" w14:textId="77777777" w:rsidR="00B81273" w:rsidRPr="00B81273" w:rsidRDefault="005839BC">
      <w:pPr>
        <w:pStyle w:val="TableofFigures"/>
        <w:rPr>
          <w:rFonts w:asciiTheme="majorHAnsi" w:eastAsiaTheme="minorEastAsia" w:hAnsiTheme="majorHAnsi" w:cstheme="minorBidi"/>
          <w:lang w:eastAsia="en-AU"/>
        </w:rPr>
      </w:pPr>
      <w:hyperlink w:anchor="_Toc383424560" w:history="1">
        <w:r w:rsidR="00B81273" w:rsidRPr="00B81273">
          <w:rPr>
            <w:rStyle w:val="Hyperlink"/>
            <w:rFonts w:asciiTheme="majorHAnsi" w:hAnsiTheme="majorHAnsi"/>
          </w:rPr>
          <w:t>Table A.4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Proposed MBS item descriptor for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w:t>
        </w:r>
        <w:r w:rsidR="00B81273" w:rsidRPr="00B81273">
          <w:rPr>
            <w:rFonts w:asciiTheme="majorHAnsi" w:hAnsiTheme="majorHAnsi"/>
            <w:webHidden/>
          </w:rPr>
          <w:fldChar w:fldCharType="end"/>
        </w:r>
      </w:hyperlink>
    </w:p>
    <w:p w14:paraId="1912392B" w14:textId="77777777" w:rsidR="00B81273" w:rsidRPr="00B81273" w:rsidRDefault="005839BC">
      <w:pPr>
        <w:pStyle w:val="TableofFigures"/>
        <w:rPr>
          <w:rFonts w:asciiTheme="majorHAnsi" w:eastAsiaTheme="minorEastAsia" w:hAnsiTheme="majorHAnsi" w:cstheme="minorBidi"/>
          <w:lang w:eastAsia="en-AU"/>
        </w:rPr>
      </w:pPr>
      <w:hyperlink w:anchor="_Toc383424561" w:history="1">
        <w:r w:rsidR="00B81273" w:rsidRPr="00B81273">
          <w:rPr>
            <w:rStyle w:val="Hyperlink"/>
            <w:rFonts w:asciiTheme="majorHAnsi" w:hAnsiTheme="majorHAnsi"/>
          </w:rPr>
          <w:t>Table A.5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Current MBS item descriptor for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w:t>
        </w:r>
        <w:r w:rsidR="00B81273" w:rsidRPr="00B81273">
          <w:rPr>
            <w:rFonts w:asciiTheme="majorHAnsi" w:hAnsiTheme="majorHAnsi"/>
            <w:webHidden/>
          </w:rPr>
          <w:fldChar w:fldCharType="end"/>
        </w:r>
      </w:hyperlink>
    </w:p>
    <w:p w14:paraId="6B27D945" w14:textId="77777777" w:rsidR="00B81273" w:rsidRPr="00B81273" w:rsidRDefault="005839BC">
      <w:pPr>
        <w:pStyle w:val="TableofFigures"/>
        <w:rPr>
          <w:rFonts w:asciiTheme="majorHAnsi" w:eastAsiaTheme="minorEastAsia" w:hAnsiTheme="majorHAnsi" w:cstheme="minorBidi"/>
          <w:lang w:eastAsia="en-AU"/>
        </w:rPr>
      </w:pPr>
      <w:hyperlink w:anchor="_Toc383424562" w:history="1">
        <w:r w:rsidR="00B81273" w:rsidRPr="00B81273">
          <w:rPr>
            <w:rStyle w:val="Hyperlink"/>
            <w:rFonts w:asciiTheme="majorHAnsi" w:hAnsiTheme="majorHAnsi"/>
          </w:rPr>
          <w:t>Table A.6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Mammography MBS items associated with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w:t>
        </w:r>
        <w:r w:rsidR="00B81273" w:rsidRPr="00B81273">
          <w:rPr>
            <w:rFonts w:asciiTheme="majorHAnsi" w:hAnsiTheme="majorHAnsi"/>
            <w:webHidden/>
          </w:rPr>
          <w:fldChar w:fldCharType="end"/>
        </w:r>
      </w:hyperlink>
    </w:p>
    <w:p w14:paraId="72C7242C" w14:textId="77777777" w:rsidR="00B81273" w:rsidRPr="00B81273" w:rsidRDefault="005839BC">
      <w:pPr>
        <w:pStyle w:val="TableofFigures"/>
        <w:rPr>
          <w:rFonts w:asciiTheme="majorHAnsi" w:eastAsiaTheme="minorEastAsia" w:hAnsiTheme="majorHAnsi" w:cstheme="minorBidi"/>
          <w:lang w:eastAsia="en-AU"/>
        </w:rPr>
      </w:pPr>
      <w:hyperlink w:anchor="_Toc383424563" w:history="1">
        <w:r w:rsidR="00B81273" w:rsidRPr="00B81273">
          <w:rPr>
            <w:rStyle w:val="Hyperlink"/>
            <w:rFonts w:asciiTheme="majorHAnsi" w:hAnsiTheme="majorHAnsi"/>
          </w:rPr>
          <w:t>Table A.7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Ultrasound MBS items associated with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w:t>
        </w:r>
        <w:r w:rsidR="00B81273" w:rsidRPr="00B81273">
          <w:rPr>
            <w:rFonts w:asciiTheme="majorHAnsi" w:hAnsiTheme="majorHAnsi"/>
            <w:webHidden/>
          </w:rPr>
          <w:fldChar w:fldCharType="end"/>
        </w:r>
      </w:hyperlink>
    </w:p>
    <w:p w14:paraId="5CC3B2C7" w14:textId="77777777" w:rsidR="00B81273" w:rsidRPr="00B81273" w:rsidRDefault="005839BC">
      <w:pPr>
        <w:pStyle w:val="TableofFigures"/>
        <w:rPr>
          <w:rFonts w:asciiTheme="majorHAnsi" w:eastAsiaTheme="minorEastAsia" w:hAnsiTheme="majorHAnsi" w:cstheme="minorBidi"/>
          <w:lang w:eastAsia="en-AU"/>
        </w:rPr>
      </w:pPr>
      <w:hyperlink w:anchor="_Toc383424564" w:history="1">
        <w:r w:rsidR="00B81273" w:rsidRPr="00B81273">
          <w:rPr>
            <w:rStyle w:val="Hyperlink"/>
            <w:rFonts w:asciiTheme="majorHAnsi" w:hAnsiTheme="majorHAnsi"/>
          </w:rPr>
          <w:t>Table A.8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Consultation MBS items associated with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w:t>
        </w:r>
        <w:r w:rsidR="00B81273" w:rsidRPr="00B81273">
          <w:rPr>
            <w:rFonts w:asciiTheme="majorHAnsi" w:hAnsiTheme="majorHAnsi"/>
            <w:webHidden/>
          </w:rPr>
          <w:fldChar w:fldCharType="end"/>
        </w:r>
      </w:hyperlink>
    </w:p>
    <w:p w14:paraId="5AAE73CD" w14:textId="77777777" w:rsidR="00B81273" w:rsidRPr="00B81273" w:rsidRDefault="005839BC">
      <w:pPr>
        <w:pStyle w:val="TableofFigures"/>
        <w:rPr>
          <w:rFonts w:asciiTheme="majorHAnsi" w:eastAsiaTheme="minorEastAsia" w:hAnsiTheme="majorHAnsi" w:cstheme="minorBidi"/>
          <w:lang w:eastAsia="en-AU"/>
        </w:rPr>
      </w:pPr>
      <w:hyperlink w:anchor="_Toc383424565" w:history="1">
        <w:r w:rsidR="00B81273" w:rsidRPr="00B81273">
          <w:rPr>
            <w:rStyle w:val="Hyperlink"/>
            <w:rFonts w:asciiTheme="majorHAnsi" w:hAnsiTheme="majorHAnsi"/>
          </w:rPr>
          <w:t>Table A.9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Other applications and reviews relevant to the current assessment.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14</w:t>
        </w:r>
        <w:r w:rsidR="00B81273" w:rsidRPr="00B81273">
          <w:rPr>
            <w:rFonts w:asciiTheme="majorHAnsi" w:hAnsiTheme="majorHAnsi"/>
            <w:webHidden/>
          </w:rPr>
          <w:fldChar w:fldCharType="end"/>
        </w:r>
      </w:hyperlink>
    </w:p>
    <w:p w14:paraId="719D74CF" w14:textId="77777777" w:rsidR="00B81273" w:rsidRPr="00B81273" w:rsidRDefault="005839BC">
      <w:pPr>
        <w:pStyle w:val="TableofFigures"/>
        <w:rPr>
          <w:rFonts w:asciiTheme="majorHAnsi" w:eastAsiaTheme="minorEastAsia" w:hAnsiTheme="majorHAnsi" w:cstheme="minorBidi"/>
          <w:lang w:eastAsia="en-AU"/>
        </w:rPr>
      </w:pPr>
      <w:hyperlink w:anchor="_Toc383424566" w:history="1">
        <w:r w:rsidR="00B81273" w:rsidRPr="00B81273">
          <w:rPr>
            <w:rStyle w:val="Hyperlink"/>
            <w:rFonts w:asciiTheme="majorHAnsi" w:hAnsiTheme="majorHAnsi"/>
          </w:rPr>
          <w:t>Table A.10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 of the patient population, intervention, comparator and outcome (PICO) elements.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18</w:t>
        </w:r>
        <w:r w:rsidR="00B81273" w:rsidRPr="00B81273">
          <w:rPr>
            <w:rFonts w:asciiTheme="majorHAnsi" w:hAnsiTheme="majorHAnsi"/>
            <w:webHidden/>
          </w:rPr>
          <w:fldChar w:fldCharType="end"/>
        </w:r>
      </w:hyperlink>
    </w:p>
    <w:p w14:paraId="40971446" w14:textId="77777777" w:rsidR="00B81273" w:rsidRPr="00B81273" w:rsidRDefault="005839BC">
      <w:pPr>
        <w:pStyle w:val="TableofFigures"/>
        <w:rPr>
          <w:rFonts w:asciiTheme="majorHAnsi" w:eastAsiaTheme="minorEastAsia" w:hAnsiTheme="majorHAnsi" w:cstheme="minorBidi"/>
          <w:lang w:eastAsia="en-AU"/>
        </w:rPr>
      </w:pPr>
      <w:hyperlink w:anchor="_Toc383424567" w:history="1">
        <w:r w:rsidR="00B81273" w:rsidRPr="00B81273">
          <w:rPr>
            <w:rStyle w:val="Hyperlink"/>
            <w:rFonts w:asciiTheme="majorHAnsi" w:hAnsiTheme="majorHAnsi"/>
          </w:rPr>
          <w:t>Table B.1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 of identification of studies from the search of the published literature.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21</w:t>
        </w:r>
        <w:r w:rsidR="00B81273" w:rsidRPr="00B81273">
          <w:rPr>
            <w:rFonts w:asciiTheme="majorHAnsi" w:hAnsiTheme="majorHAnsi"/>
            <w:webHidden/>
          </w:rPr>
          <w:fldChar w:fldCharType="end"/>
        </w:r>
      </w:hyperlink>
    </w:p>
    <w:p w14:paraId="7EF18AA2" w14:textId="77777777" w:rsidR="00B81273" w:rsidRPr="00B81273" w:rsidRDefault="005839BC">
      <w:pPr>
        <w:pStyle w:val="TableofFigures"/>
        <w:rPr>
          <w:rFonts w:asciiTheme="majorHAnsi" w:eastAsiaTheme="minorEastAsia" w:hAnsiTheme="majorHAnsi" w:cstheme="minorBidi"/>
          <w:lang w:eastAsia="en-AU"/>
        </w:rPr>
      </w:pPr>
      <w:hyperlink w:anchor="_Toc383424568" w:history="1">
        <w:r w:rsidR="00B81273" w:rsidRPr="00B81273">
          <w:rPr>
            <w:rStyle w:val="Hyperlink"/>
            <w:rFonts w:asciiTheme="majorHAnsi" w:hAnsiTheme="majorHAnsi"/>
          </w:rPr>
          <w:t>Table B.2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 of identification of studies from the search of the published literature.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22</w:t>
        </w:r>
        <w:r w:rsidR="00B81273" w:rsidRPr="00B81273">
          <w:rPr>
            <w:rFonts w:asciiTheme="majorHAnsi" w:hAnsiTheme="majorHAnsi"/>
            <w:webHidden/>
          </w:rPr>
          <w:fldChar w:fldCharType="end"/>
        </w:r>
      </w:hyperlink>
    </w:p>
    <w:p w14:paraId="13605474" w14:textId="77777777" w:rsidR="00B81273" w:rsidRPr="00B81273" w:rsidRDefault="005839BC">
      <w:pPr>
        <w:pStyle w:val="TableofFigures"/>
        <w:rPr>
          <w:rFonts w:asciiTheme="majorHAnsi" w:eastAsiaTheme="minorEastAsia" w:hAnsiTheme="majorHAnsi" w:cstheme="minorBidi"/>
          <w:lang w:eastAsia="en-AU"/>
        </w:rPr>
      </w:pPr>
      <w:hyperlink w:anchor="_Toc383424569" w:history="1">
        <w:r w:rsidR="00B81273" w:rsidRPr="00B81273">
          <w:rPr>
            <w:rStyle w:val="Hyperlink"/>
            <w:rFonts w:asciiTheme="majorHAnsi" w:hAnsiTheme="majorHAnsi"/>
          </w:rPr>
          <w:t>Table B.3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Master list of health technology assessments included for the assessment of asymptomatic, high-risk women.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_Toc383424569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23</w:t>
        </w:r>
        <w:r w:rsidR="00B81273" w:rsidRPr="00B81273">
          <w:rPr>
            <w:rFonts w:asciiTheme="majorHAnsi" w:hAnsiTheme="majorHAnsi"/>
            <w:webHidden/>
          </w:rPr>
          <w:fldChar w:fldCharType="end"/>
        </w:r>
      </w:hyperlink>
    </w:p>
    <w:p w14:paraId="71949352" w14:textId="77777777" w:rsidR="00B81273" w:rsidRPr="00B81273" w:rsidRDefault="005839BC">
      <w:pPr>
        <w:pStyle w:val="TableofFigures"/>
        <w:rPr>
          <w:rFonts w:asciiTheme="majorHAnsi" w:eastAsiaTheme="minorEastAsia" w:hAnsiTheme="majorHAnsi" w:cstheme="minorBidi"/>
          <w:lang w:eastAsia="en-AU"/>
        </w:rPr>
      </w:pPr>
      <w:hyperlink w:anchor="_Toc383424570" w:history="1">
        <w:r w:rsidR="00B81273" w:rsidRPr="00B81273">
          <w:rPr>
            <w:rStyle w:val="Hyperlink"/>
            <w:rFonts w:asciiTheme="majorHAnsi" w:hAnsiTheme="majorHAnsi"/>
          </w:rPr>
          <w:t>Table B.4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Master list of primary studies included for the assessment of asymptomatic, high-risk women.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23</w:t>
        </w:r>
        <w:r w:rsidR="00B81273" w:rsidRPr="00B81273">
          <w:rPr>
            <w:rFonts w:asciiTheme="majorHAnsi" w:hAnsiTheme="majorHAnsi"/>
            <w:webHidden/>
          </w:rPr>
          <w:fldChar w:fldCharType="end"/>
        </w:r>
      </w:hyperlink>
    </w:p>
    <w:p w14:paraId="6BE49EEE" w14:textId="77777777" w:rsidR="00B81273" w:rsidRPr="00B81273" w:rsidRDefault="005839BC">
      <w:pPr>
        <w:pStyle w:val="TableofFigures"/>
        <w:rPr>
          <w:rFonts w:asciiTheme="majorHAnsi" w:eastAsiaTheme="minorEastAsia" w:hAnsiTheme="majorHAnsi" w:cstheme="minorBidi"/>
          <w:lang w:eastAsia="en-AU"/>
        </w:rPr>
      </w:pPr>
      <w:hyperlink w:anchor="_Toc383424571" w:history="1">
        <w:r w:rsidR="00B81273" w:rsidRPr="00B81273">
          <w:rPr>
            <w:rStyle w:val="Hyperlink"/>
            <w:rFonts w:asciiTheme="majorHAnsi" w:hAnsiTheme="majorHAnsi"/>
          </w:rPr>
          <w:t>Table B.5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Systematic reviews and health technology assessments included for the assessment of additional high-risk groups.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25</w:t>
        </w:r>
        <w:r w:rsidR="00B81273" w:rsidRPr="00B81273">
          <w:rPr>
            <w:rFonts w:asciiTheme="majorHAnsi" w:hAnsiTheme="majorHAnsi"/>
            <w:webHidden/>
          </w:rPr>
          <w:fldChar w:fldCharType="end"/>
        </w:r>
      </w:hyperlink>
    </w:p>
    <w:p w14:paraId="3CB2111D" w14:textId="77777777" w:rsidR="00B81273" w:rsidRPr="00B81273" w:rsidRDefault="005839BC">
      <w:pPr>
        <w:pStyle w:val="TableofFigures"/>
        <w:rPr>
          <w:rFonts w:asciiTheme="majorHAnsi" w:eastAsiaTheme="minorEastAsia" w:hAnsiTheme="majorHAnsi" w:cstheme="minorBidi"/>
          <w:lang w:eastAsia="en-AU"/>
        </w:rPr>
      </w:pPr>
      <w:hyperlink w:anchor="_Toc383424572" w:history="1">
        <w:r w:rsidR="00B81273" w:rsidRPr="00B81273">
          <w:rPr>
            <w:rStyle w:val="Hyperlink"/>
            <w:rFonts w:asciiTheme="majorHAnsi" w:hAnsiTheme="majorHAnsi"/>
          </w:rPr>
          <w:t>Table B.6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Primary studies included for the assessment of additional high-risk groups.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25</w:t>
        </w:r>
        <w:r w:rsidR="00B81273" w:rsidRPr="00B81273">
          <w:rPr>
            <w:rFonts w:asciiTheme="majorHAnsi" w:hAnsiTheme="majorHAnsi"/>
            <w:webHidden/>
          </w:rPr>
          <w:fldChar w:fldCharType="end"/>
        </w:r>
      </w:hyperlink>
    </w:p>
    <w:p w14:paraId="16475ABB" w14:textId="77777777" w:rsidR="00B81273" w:rsidRPr="00B81273" w:rsidRDefault="005839BC">
      <w:pPr>
        <w:pStyle w:val="TableofFigures"/>
        <w:rPr>
          <w:rFonts w:asciiTheme="majorHAnsi" w:eastAsiaTheme="minorEastAsia" w:hAnsiTheme="majorHAnsi" w:cstheme="minorBidi"/>
          <w:lang w:eastAsia="en-AU"/>
        </w:rPr>
      </w:pPr>
      <w:hyperlink w:anchor="_Toc383424573" w:history="1">
        <w:r w:rsidR="00B81273" w:rsidRPr="00B81273">
          <w:rPr>
            <w:rStyle w:val="Hyperlink"/>
            <w:rFonts w:asciiTheme="majorHAnsi" w:hAnsiTheme="majorHAnsi"/>
          </w:rPr>
          <w:t>Table B.7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Quality assessment of included systematic reviews.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26</w:t>
        </w:r>
        <w:r w:rsidR="00B81273" w:rsidRPr="00B81273">
          <w:rPr>
            <w:rFonts w:asciiTheme="majorHAnsi" w:hAnsiTheme="majorHAnsi"/>
            <w:webHidden/>
          </w:rPr>
          <w:fldChar w:fldCharType="end"/>
        </w:r>
      </w:hyperlink>
    </w:p>
    <w:p w14:paraId="4A707F91" w14:textId="77777777" w:rsidR="00B81273" w:rsidRPr="00B81273" w:rsidRDefault="005839BC">
      <w:pPr>
        <w:pStyle w:val="TableofFigures"/>
        <w:rPr>
          <w:rFonts w:asciiTheme="majorHAnsi" w:eastAsiaTheme="minorEastAsia" w:hAnsiTheme="majorHAnsi" w:cstheme="minorBidi"/>
          <w:lang w:eastAsia="en-AU"/>
        </w:rPr>
      </w:pPr>
      <w:hyperlink w:anchor="_Toc383424574" w:history="1">
        <w:r w:rsidR="00B81273" w:rsidRPr="00B81273">
          <w:rPr>
            <w:rStyle w:val="Hyperlink"/>
            <w:rFonts w:asciiTheme="majorHAnsi" w:hAnsiTheme="majorHAnsi"/>
          </w:rPr>
          <w:t>Table B.8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Quality assessment of included primary diagnostic accuracy studies: asymptomatic, high-risk women.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27</w:t>
        </w:r>
        <w:r w:rsidR="00B81273" w:rsidRPr="00B81273">
          <w:rPr>
            <w:rFonts w:asciiTheme="majorHAnsi" w:hAnsiTheme="majorHAnsi"/>
            <w:webHidden/>
          </w:rPr>
          <w:fldChar w:fldCharType="end"/>
        </w:r>
      </w:hyperlink>
    </w:p>
    <w:p w14:paraId="58DAAA07" w14:textId="77777777" w:rsidR="00B81273" w:rsidRPr="00B81273" w:rsidRDefault="005839BC">
      <w:pPr>
        <w:pStyle w:val="TableofFigures"/>
        <w:rPr>
          <w:rFonts w:asciiTheme="majorHAnsi" w:eastAsiaTheme="minorEastAsia" w:hAnsiTheme="majorHAnsi" w:cstheme="minorBidi"/>
          <w:lang w:eastAsia="en-AU"/>
        </w:rPr>
      </w:pPr>
      <w:hyperlink w:anchor="_Toc383424575" w:history="1">
        <w:r w:rsidR="00B81273" w:rsidRPr="00B81273">
          <w:rPr>
            <w:rStyle w:val="Hyperlink"/>
            <w:rFonts w:asciiTheme="majorHAnsi" w:hAnsiTheme="majorHAnsi"/>
          </w:rPr>
          <w:t>Table B.9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Quality assessment of included primary patient outcomes studies.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28</w:t>
        </w:r>
        <w:r w:rsidR="00B81273" w:rsidRPr="00B81273">
          <w:rPr>
            <w:rFonts w:asciiTheme="majorHAnsi" w:hAnsiTheme="majorHAnsi"/>
            <w:webHidden/>
          </w:rPr>
          <w:fldChar w:fldCharType="end"/>
        </w:r>
      </w:hyperlink>
    </w:p>
    <w:p w14:paraId="57B9ABE7" w14:textId="77777777" w:rsidR="00B81273" w:rsidRPr="00B81273" w:rsidRDefault="005839BC">
      <w:pPr>
        <w:pStyle w:val="TableofFigures"/>
        <w:rPr>
          <w:rFonts w:asciiTheme="majorHAnsi" w:eastAsiaTheme="minorEastAsia" w:hAnsiTheme="majorHAnsi" w:cstheme="minorBidi"/>
          <w:lang w:eastAsia="en-AU"/>
        </w:rPr>
      </w:pPr>
      <w:hyperlink w:anchor="_Toc383424576" w:history="1">
        <w:r w:rsidR="00B81273" w:rsidRPr="00B81273">
          <w:rPr>
            <w:rStyle w:val="Hyperlink"/>
            <w:rFonts w:asciiTheme="majorHAnsi" w:hAnsiTheme="majorHAnsi"/>
          </w:rPr>
          <w:t>Table B.10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Quality assessment of included systematic reviews.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28</w:t>
        </w:r>
        <w:r w:rsidR="00B81273" w:rsidRPr="00B81273">
          <w:rPr>
            <w:rFonts w:asciiTheme="majorHAnsi" w:hAnsiTheme="majorHAnsi"/>
            <w:webHidden/>
          </w:rPr>
          <w:fldChar w:fldCharType="end"/>
        </w:r>
      </w:hyperlink>
    </w:p>
    <w:p w14:paraId="0904A333" w14:textId="77777777" w:rsidR="00B81273" w:rsidRPr="00B81273" w:rsidRDefault="005839BC">
      <w:pPr>
        <w:pStyle w:val="TableofFigures"/>
        <w:rPr>
          <w:rFonts w:asciiTheme="majorHAnsi" w:eastAsiaTheme="minorEastAsia" w:hAnsiTheme="majorHAnsi" w:cstheme="minorBidi"/>
          <w:lang w:eastAsia="en-AU"/>
        </w:rPr>
      </w:pPr>
      <w:hyperlink w:anchor="_Toc383424577" w:history="1">
        <w:r w:rsidR="00B81273" w:rsidRPr="00B81273">
          <w:rPr>
            <w:rStyle w:val="Hyperlink"/>
            <w:rFonts w:asciiTheme="majorHAnsi" w:hAnsiTheme="majorHAnsi"/>
          </w:rPr>
          <w:t>Table B.11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Quality assessment of included primary accuracy studies: women with a history of treatment for invasive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30</w:t>
        </w:r>
        <w:r w:rsidR="00B81273" w:rsidRPr="00B81273">
          <w:rPr>
            <w:rFonts w:asciiTheme="majorHAnsi" w:hAnsiTheme="majorHAnsi"/>
            <w:webHidden/>
          </w:rPr>
          <w:fldChar w:fldCharType="end"/>
        </w:r>
      </w:hyperlink>
    </w:p>
    <w:p w14:paraId="11F58CAF" w14:textId="77777777" w:rsidR="00B81273" w:rsidRPr="00B81273" w:rsidRDefault="005839BC">
      <w:pPr>
        <w:pStyle w:val="TableofFigures"/>
        <w:rPr>
          <w:rFonts w:asciiTheme="majorHAnsi" w:eastAsiaTheme="minorEastAsia" w:hAnsiTheme="majorHAnsi" w:cstheme="minorBidi"/>
          <w:lang w:eastAsia="en-AU"/>
        </w:rPr>
      </w:pPr>
      <w:hyperlink w:anchor="_Toc383424578" w:history="1">
        <w:r w:rsidR="00B81273" w:rsidRPr="00B81273">
          <w:rPr>
            <w:rStyle w:val="Hyperlink"/>
            <w:rFonts w:asciiTheme="majorHAnsi" w:hAnsiTheme="majorHAnsi"/>
          </w:rPr>
          <w:t>Table B.12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Quality assessment of included primary diagnostic accuracy study: women with a history of treatment for DCIS or LCIS.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30</w:t>
        </w:r>
        <w:r w:rsidR="00B81273" w:rsidRPr="00B81273">
          <w:rPr>
            <w:rFonts w:asciiTheme="majorHAnsi" w:hAnsiTheme="majorHAnsi"/>
            <w:webHidden/>
          </w:rPr>
          <w:fldChar w:fldCharType="end"/>
        </w:r>
      </w:hyperlink>
    </w:p>
    <w:p w14:paraId="1422CF0C" w14:textId="77777777" w:rsidR="00B81273" w:rsidRPr="00B81273" w:rsidRDefault="005839BC">
      <w:pPr>
        <w:pStyle w:val="TableofFigures"/>
        <w:rPr>
          <w:rFonts w:asciiTheme="majorHAnsi" w:eastAsiaTheme="minorEastAsia" w:hAnsiTheme="majorHAnsi" w:cstheme="minorBidi"/>
          <w:lang w:eastAsia="en-AU"/>
        </w:rPr>
      </w:pPr>
      <w:hyperlink w:anchor="_Toc383424579" w:history="1">
        <w:r w:rsidR="00B81273" w:rsidRPr="00B81273">
          <w:rPr>
            <w:rStyle w:val="Hyperlink"/>
            <w:rFonts w:asciiTheme="majorHAnsi" w:hAnsiTheme="majorHAnsi"/>
          </w:rPr>
          <w:t>Table B.13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Quality assessment of included primary diagnostic accuracy study: women who have had chest irradiation between the ages of 10 and 35 years.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_Toc383424579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31</w:t>
        </w:r>
        <w:r w:rsidR="00B81273" w:rsidRPr="00B81273">
          <w:rPr>
            <w:rFonts w:asciiTheme="majorHAnsi" w:hAnsiTheme="majorHAnsi"/>
            <w:webHidden/>
          </w:rPr>
          <w:fldChar w:fldCharType="end"/>
        </w:r>
      </w:hyperlink>
    </w:p>
    <w:p w14:paraId="166DBF0D" w14:textId="77777777" w:rsidR="00B81273" w:rsidRPr="00B81273" w:rsidRDefault="005839BC">
      <w:pPr>
        <w:pStyle w:val="TableofFigures"/>
        <w:rPr>
          <w:rFonts w:asciiTheme="majorHAnsi" w:eastAsiaTheme="minorEastAsia" w:hAnsiTheme="majorHAnsi" w:cstheme="minorBidi"/>
          <w:lang w:eastAsia="en-AU"/>
        </w:rPr>
      </w:pPr>
      <w:hyperlink w:anchor="_Toc383424580" w:history="1">
        <w:r w:rsidR="00B81273" w:rsidRPr="00B81273">
          <w:rPr>
            <w:rStyle w:val="Hyperlink"/>
            <w:rFonts w:asciiTheme="majorHAnsi" w:hAnsiTheme="majorHAnsi"/>
          </w:rPr>
          <w:t>Table B.14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systematic reviews.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32</w:t>
        </w:r>
        <w:r w:rsidR="00B81273" w:rsidRPr="00B81273">
          <w:rPr>
            <w:rFonts w:asciiTheme="majorHAnsi" w:hAnsiTheme="majorHAnsi"/>
            <w:webHidden/>
          </w:rPr>
          <w:fldChar w:fldCharType="end"/>
        </w:r>
      </w:hyperlink>
    </w:p>
    <w:p w14:paraId="0B471856" w14:textId="77777777" w:rsidR="00B81273" w:rsidRPr="00B81273" w:rsidRDefault="005839BC">
      <w:pPr>
        <w:pStyle w:val="TableofFigures"/>
        <w:rPr>
          <w:rFonts w:asciiTheme="majorHAnsi" w:eastAsiaTheme="minorEastAsia" w:hAnsiTheme="majorHAnsi" w:cstheme="minorBidi"/>
          <w:lang w:eastAsia="en-AU"/>
        </w:rPr>
      </w:pPr>
      <w:hyperlink w:anchor="_Toc383424581" w:history="1">
        <w:r w:rsidR="00B81273" w:rsidRPr="00B81273">
          <w:rPr>
            <w:rStyle w:val="Hyperlink"/>
            <w:rFonts w:asciiTheme="majorHAnsi" w:hAnsiTheme="majorHAnsi"/>
          </w:rPr>
          <w:t>Table B.15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primary diagnostic accuracy studies—study setting and participants.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33</w:t>
        </w:r>
        <w:r w:rsidR="00B81273" w:rsidRPr="00B81273">
          <w:rPr>
            <w:rFonts w:asciiTheme="majorHAnsi" w:hAnsiTheme="majorHAnsi"/>
            <w:webHidden/>
          </w:rPr>
          <w:fldChar w:fldCharType="end"/>
        </w:r>
      </w:hyperlink>
    </w:p>
    <w:p w14:paraId="417D6113" w14:textId="77777777" w:rsidR="00B81273" w:rsidRPr="00B81273" w:rsidRDefault="005839BC">
      <w:pPr>
        <w:pStyle w:val="TableofFigures"/>
        <w:rPr>
          <w:rFonts w:asciiTheme="majorHAnsi" w:eastAsiaTheme="minorEastAsia" w:hAnsiTheme="majorHAnsi" w:cstheme="minorBidi"/>
          <w:lang w:eastAsia="en-AU"/>
        </w:rPr>
      </w:pPr>
      <w:hyperlink w:anchor="_Toc383424582" w:history="1">
        <w:r w:rsidR="00B81273" w:rsidRPr="00B81273">
          <w:rPr>
            <w:rStyle w:val="Hyperlink"/>
            <w:rFonts w:asciiTheme="majorHAnsi" w:hAnsiTheme="majorHAnsi"/>
          </w:rPr>
          <w:t>Table B.16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primary diagnostic accuracy studies—study design and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35</w:t>
        </w:r>
        <w:r w:rsidR="00B81273" w:rsidRPr="00B81273">
          <w:rPr>
            <w:rFonts w:asciiTheme="majorHAnsi" w:hAnsiTheme="majorHAnsi"/>
            <w:webHidden/>
          </w:rPr>
          <w:fldChar w:fldCharType="end"/>
        </w:r>
      </w:hyperlink>
    </w:p>
    <w:p w14:paraId="0201FAD6" w14:textId="77777777" w:rsidR="00B81273" w:rsidRPr="00B81273" w:rsidRDefault="005839BC">
      <w:pPr>
        <w:pStyle w:val="TableofFigures"/>
        <w:rPr>
          <w:rFonts w:asciiTheme="majorHAnsi" w:eastAsiaTheme="minorEastAsia" w:hAnsiTheme="majorHAnsi" w:cstheme="minorBidi"/>
          <w:lang w:eastAsia="en-AU"/>
        </w:rPr>
      </w:pPr>
      <w:hyperlink w:anchor="_Toc383424583" w:history="1">
        <w:r w:rsidR="00B81273" w:rsidRPr="00B81273">
          <w:rPr>
            <w:rStyle w:val="Hyperlink"/>
            <w:rFonts w:asciiTheme="majorHAnsi" w:hAnsiTheme="majorHAnsi"/>
          </w:rPr>
          <w:t>Table B.17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systematic reviews.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38</w:t>
        </w:r>
        <w:r w:rsidR="00B81273" w:rsidRPr="00B81273">
          <w:rPr>
            <w:rFonts w:asciiTheme="majorHAnsi" w:hAnsiTheme="majorHAnsi"/>
            <w:webHidden/>
          </w:rPr>
          <w:fldChar w:fldCharType="end"/>
        </w:r>
      </w:hyperlink>
    </w:p>
    <w:p w14:paraId="21008A8F" w14:textId="77777777" w:rsidR="00B81273" w:rsidRPr="00B81273" w:rsidRDefault="005839BC">
      <w:pPr>
        <w:pStyle w:val="TableofFigures"/>
        <w:rPr>
          <w:rFonts w:asciiTheme="majorHAnsi" w:eastAsiaTheme="minorEastAsia" w:hAnsiTheme="majorHAnsi" w:cstheme="minorBidi"/>
          <w:lang w:eastAsia="en-AU"/>
        </w:rPr>
      </w:pPr>
      <w:hyperlink w:anchor="_Toc383424584" w:history="1">
        <w:r w:rsidR="00B81273" w:rsidRPr="00B81273">
          <w:rPr>
            <w:rStyle w:val="Hyperlink"/>
            <w:rFonts w:asciiTheme="majorHAnsi" w:hAnsiTheme="majorHAnsi"/>
          </w:rPr>
          <w:t>Table B.18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primary diagnostic accuracy studies—study setting and participants.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39</w:t>
        </w:r>
        <w:r w:rsidR="00B81273" w:rsidRPr="00B81273">
          <w:rPr>
            <w:rFonts w:asciiTheme="majorHAnsi" w:hAnsiTheme="majorHAnsi"/>
            <w:webHidden/>
          </w:rPr>
          <w:fldChar w:fldCharType="end"/>
        </w:r>
      </w:hyperlink>
    </w:p>
    <w:p w14:paraId="2CD046E0" w14:textId="77777777" w:rsidR="00B81273" w:rsidRPr="00B81273" w:rsidRDefault="005839BC">
      <w:pPr>
        <w:pStyle w:val="TableofFigures"/>
        <w:rPr>
          <w:rFonts w:asciiTheme="majorHAnsi" w:eastAsiaTheme="minorEastAsia" w:hAnsiTheme="majorHAnsi" w:cstheme="minorBidi"/>
          <w:lang w:eastAsia="en-AU"/>
        </w:rPr>
      </w:pPr>
      <w:hyperlink w:anchor="_Toc383424585" w:history="1">
        <w:r w:rsidR="00B81273" w:rsidRPr="00B81273">
          <w:rPr>
            <w:rStyle w:val="Hyperlink"/>
            <w:rFonts w:asciiTheme="majorHAnsi" w:hAnsiTheme="majorHAnsi"/>
          </w:rPr>
          <w:t>Table B.19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primary diagnostic accuracy studies—study design and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39</w:t>
        </w:r>
        <w:r w:rsidR="00B81273" w:rsidRPr="00B81273">
          <w:rPr>
            <w:rFonts w:asciiTheme="majorHAnsi" w:hAnsiTheme="majorHAnsi"/>
            <w:webHidden/>
          </w:rPr>
          <w:fldChar w:fldCharType="end"/>
        </w:r>
      </w:hyperlink>
    </w:p>
    <w:p w14:paraId="4D3BCF53" w14:textId="77777777" w:rsidR="00B81273" w:rsidRPr="00B81273" w:rsidRDefault="005839BC">
      <w:pPr>
        <w:pStyle w:val="TableofFigures"/>
        <w:rPr>
          <w:rFonts w:asciiTheme="majorHAnsi" w:eastAsiaTheme="minorEastAsia" w:hAnsiTheme="majorHAnsi" w:cstheme="minorBidi"/>
          <w:lang w:eastAsia="en-AU"/>
        </w:rPr>
      </w:pPr>
      <w:hyperlink w:anchor="_Toc383424586" w:history="1">
        <w:r w:rsidR="00B81273" w:rsidRPr="00B81273">
          <w:rPr>
            <w:rStyle w:val="Hyperlink"/>
            <w:rFonts w:asciiTheme="majorHAnsi" w:hAnsiTheme="majorHAnsi"/>
          </w:rPr>
          <w:t>Table B.20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primary diagnostic accuracy studies—study setting and participants.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40</w:t>
        </w:r>
        <w:r w:rsidR="00B81273" w:rsidRPr="00B81273">
          <w:rPr>
            <w:rFonts w:asciiTheme="majorHAnsi" w:hAnsiTheme="majorHAnsi"/>
            <w:webHidden/>
          </w:rPr>
          <w:fldChar w:fldCharType="end"/>
        </w:r>
      </w:hyperlink>
    </w:p>
    <w:p w14:paraId="0A8D75BA" w14:textId="77777777" w:rsidR="00B81273" w:rsidRPr="00B81273" w:rsidRDefault="005839BC">
      <w:pPr>
        <w:pStyle w:val="TableofFigures"/>
        <w:rPr>
          <w:rFonts w:asciiTheme="majorHAnsi" w:eastAsiaTheme="minorEastAsia" w:hAnsiTheme="majorHAnsi" w:cstheme="minorBidi"/>
          <w:lang w:eastAsia="en-AU"/>
        </w:rPr>
      </w:pPr>
      <w:hyperlink w:anchor="_Toc383424587" w:history="1">
        <w:r w:rsidR="00B81273" w:rsidRPr="00B81273">
          <w:rPr>
            <w:rStyle w:val="Hyperlink"/>
            <w:rFonts w:asciiTheme="majorHAnsi" w:hAnsiTheme="majorHAnsi"/>
          </w:rPr>
          <w:t>Table B.21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primary diagnostic accuracy studies for women—study design and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40</w:t>
        </w:r>
        <w:r w:rsidR="00B81273" w:rsidRPr="00B81273">
          <w:rPr>
            <w:rFonts w:asciiTheme="majorHAnsi" w:hAnsiTheme="majorHAnsi"/>
            <w:webHidden/>
          </w:rPr>
          <w:fldChar w:fldCharType="end"/>
        </w:r>
      </w:hyperlink>
    </w:p>
    <w:p w14:paraId="6FEA1A7D" w14:textId="77777777" w:rsidR="00B81273" w:rsidRPr="00B81273" w:rsidRDefault="005839BC">
      <w:pPr>
        <w:pStyle w:val="TableofFigures"/>
        <w:rPr>
          <w:rFonts w:asciiTheme="majorHAnsi" w:eastAsiaTheme="minorEastAsia" w:hAnsiTheme="majorHAnsi" w:cstheme="minorBidi"/>
          <w:lang w:eastAsia="en-AU"/>
        </w:rPr>
      </w:pPr>
      <w:hyperlink w:anchor="_Toc383424588" w:history="1">
        <w:r w:rsidR="00B81273" w:rsidRPr="00B81273">
          <w:rPr>
            <w:rStyle w:val="Hyperlink"/>
            <w:rFonts w:asciiTheme="majorHAnsi" w:hAnsiTheme="majorHAnsi"/>
          </w:rPr>
          <w:t>Table B.22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primary diagnostic accuracy studies—study setting and participants.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41</w:t>
        </w:r>
        <w:r w:rsidR="00B81273" w:rsidRPr="00B81273">
          <w:rPr>
            <w:rFonts w:asciiTheme="majorHAnsi" w:hAnsiTheme="majorHAnsi"/>
            <w:webHidden/>
          </w:rPr>
          <w:fldChar w:fldCharType="end"/>
        </w:r>
      </w:hyperlink>
    </w:p>
    <w:p w14:paraId="030716EA" w14:textId="77777777" w:rsidR="00B81273" w:rsidRPr="00B81273" w:rsidRDefault="005839BC">
      <w:pPr>
        <w:pStyle w:val="TableofFigures"/>
        <w:rPr>
          <w:rFonts w:asciiTheme="majorHAnsi" w:eastAsiaTheme="minorEastAsia" w:hAnsiTheme="majorHAnsi" w:cstheme="minorBidi"/>
          <w:lang w:eastAsia="en-AU"/>
        </w:rPr>
      </w:pPr>
      <w:hyperlink w:anchor="_Toc383424589" w:history="1">
        <w:r w:rsidR="00B81273" w:rsidRPr="00B81273">
          <w:rPr>
            <w:rStyle w:val="Hyperlink"/>
            <w:rFonts w:asciiTheme="majorHAnsi" w:hAnsiTheme="majorHAnsi"/>
          </w:rPr>
          <w:t>Table B.23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Characteristics of included primary diagnostic accuracy studies for women—study design and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_Toc383424589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42</w:t>
        </w:r>
        <w:r w:rsidR="00B81273" w:rsidRPr="00B81273">
          <w:rPr>
            <w:rFonts w:asciiTheme="majorHAnsi" w:hAnsiTheme="majorHAnsi"/>
            <w:webHidden/>
          </w:rPr>
          <w:fldChar w:fldCharType="end"/>
        </w:r>
      </w:hyperlink>
    </w:p>
    <w:p w14:paraId="4206B8E5" w14:textId="77777777" w:rsidR="00B81273" w:rsidRPr="00B81273" w:rsidRDefault="005839BC">
      <w:pPr>
        <w:pStyle w:val="TableofFigures"/>
        <w:rPr>
          <w:rFonts w:asciiTheme="majorHAnsi" w:eastAsiaTheme="minorEastAsia" w:hAnsiTheme="majorHAnsi" w:cstheme="minorBidi"/>
          <w:lang w:eastAsia="en-AU"/>
        </w:rPr>
      </w:pPr>
      <w:hyperlink w:anchor="_Toc383424590" w:history="1">
        <w:r w:rsidR="00B81273" w:rsidRPr="00B81273">
          <w:rPr>
            <w:rStyle w:val="Hyperlink"/>
            <w:rFonts w:asciiTheme="majorHAnsi" w:hAnsiTheme="majorHAnsi"/>
          </w:rPr>
          <w:t>Table B.24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Conclusions and recommendations for included systematic reviews.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43</w:t>
        </w:r>
        <w:r w:rsidR="00B81273" w:rsidRPr="00B81273">
          <w:rPr>
            <w:rFonts w:asciiTheme="majorHAnsi" w:hAnsiTheme="majorHAnsi"/>
            <w:webHidden/>
          </w:rPr>
          <w:fldChar w:fldCharType="end"/>
        </w:r>
      </w:hyperlink>
    </w:p>
    <w:p w14:paraId="16EFF147" w14:textId="77777777" w:rsidR="00B81273" w:rsidRPr="00B81273" w:rsidRDefault="005839BC">
      <w:pPr>
        <w:pStyle w:val="TableofFigures"/>
        <w:rPr>
          <w:rFonts w:asciiTheme="majorHAnsi" w:eastAsiaTheme="minorEastAsia" w:hAnsiTheme="majorHAnsi" w:cstheme="minorBidi"/>
          <w:lang w:eastAsia="en-AU"/>
        </w:rPr>
      </w:pPr>
      <w:hyperlink w:anchor="_Toc383424591" w:history="1">
        <w:r w:rsidR="00B81273" w:rsidRPr="00B81273">
          <w:rPr>
            <w:rStyle w:val="Hyperlink"/>
            <w:rFonts w:asciiTheme="majorHAnsi" w:hAnsiTheme="majorHAnsi"/>
          </w:rPr>
          <w:t>Table B.25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MRI + mammography (± ultrasound).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46</w:t>
        </w:r>
        <w:r w:rsidR="00B81273" w:rsidRPr="00B81273">
          <w:rPr>
            <w:rFonts w:asciiTheme="majorHAnsi" w:hAnsiTheme="majorHAnsi"/>
            <w:webHidden/>
          </w:rPr>
          <w:fldChar w:fldCharType="end"/>
        </w:r>
      </w:hyperlink>
    </w:p>
    <w:p w14:paraId="0E07F13C" w14:textId="77777777" w:rsidR="00B81273" w:rsidRPr="00B81273" w:rsidRDefault="005839BC">
      <w:pPr>
        <w:pStyle w:val="TableofFigures"/>
        <w:rPr>
          <w:rFonts w:asciiTheme="majorHAnsi" w:eastAsiaTheme="minorEastAsia" w:hAnsiTheme="majorHAnsi" w:cstheme="minorBidi"/>
          <w:lang w:eastAsia="en-AU"/>
        </w:rPr>
      </w:pPr>
      <w:hyperlink w:anchor="_Toc383424592" w:history="1">
        <w:r w:rsidR="00B81273" w:rsidRPr="00B81273">
          <w:rPr>
            <w:rStyle w:val="Hyperlink"/>
            <w:rFonts w:asciiTheme="majorHAnsi" w:hAnsiTheme="majorHAnsi"/>
          </w:rPr>
          <w:t>Table B.26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mammography (± ultrasound).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47</w:t>
        </w:r>
        <w:r w:rsidR="00B81273" w:rsidRPr="00B81273">
          <w:rPr>
            <w:rFonts w:asciiTheme="majorHAnsi" w:hAnsiTheme="majorHAnsi"/>
            <w:webHidden/>
          </w:rPr>
          <w:fldChar w:fldCharType="end"/>
        </w:r>
      </w:hyperlink>
    </w:p>
    <w:p w14:paraId="61BE465D" w14:textId="77777777" w:rsidR="00B81273" w:rsidRPr="00B81273" w:rsidRDefault="005839BC">
      <w:pPr>
        <w:pStyle w:val="TableofFigures"/>
        <w:rPr>
          <w:rFonts w:asciiTheme="majorHAnsi" w:eastAsiaTheme="minorEastAsia" w:hAnsiTheme="majorHAnsi" w:cstheme="minorBidi"/>
          <w:lang w:eastAsia="en-AU"/>
        </w:rPr>
      </w:pPr>
      <w:hyperlink w:anchor="_Toc383424593" w:history="1">
        <w:r w:rsidR="00B81273" w:rsidRPr="00B81273">
          <w:rPr>
            <w:rStyle w:val="Hyperlink"/>
            <w:rFonts w:asciiTheme="majorHAnsi" w:hAnsiTheme="majorHAnsi"/>
          </w:rPr>
          <w:t>Table B.27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MRI alone.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47</w:t>
        </w:r>
        <w:r w:rsidR="00B81273" w:rsidRPr="00B81273">
          <w:rPr>
            <w:rFonts w:asciiTheme="majorHAnsi" w:hAnsiTheme="majorHAnsi"/>
            <w:webHidden/>
          </w:rPr>
          <w:fldChar w:fldCharType="end"/>
        </w:r>
      </w:hyperlink>
    </w:p>
    <w:p w14:paraId="5B9E4722" w14:textId="77777777" w:rsidR="00B81273" w:rsidRPr="00B81273" w:rsidRDefault="005839BC">
      <w:pPr>
        <w:pStyle w:val="TableofFigures"/>
        <w:rPr>
          <w:rFonts w:asciiTheme="majorHAnsi" w:eastAsiaTheme="minorEastAsia" w:hAnsiTheme="majorHAnsi" w:cstheme="minorBidi"/>
          <w:lang w:eastAsia="en-AU"/>
        </w:rPr>
      </w:pPr>
      <w:hyperlink w:anchor="_Toc383424594" w:history="1">
        <w:r w:rsidR="00B81273" w:rsidRPr="00B81273">
          <w:rPr>
            <w:rStyle w:val="Hyperlink"/>
            <w:rFonts w:asciiTheme="majorHAnsi" w:hAnsiTheme="majorHAnsi"/>
          </w:rPr>
          <w:t>Table B.28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cancer yield of MRI over conventional testing.</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48</w:t>
        </w:r>
        <w:r w:rsidR="00B81273" w:rsidRPr="00B81273">
          <w:rPr>
            <w:rFonts w:asciiTheme="majorHAnsi" w:hAnsiTheme="majorHAnsi"/>
            <w:webHidden/>
          </w:rPr>
          <w:fldChar w:fldCharType="end"/>
        </w:r>
      </w:hyperlink>
    </w:p>
    <w:p w14:paraId="621BCC06" w14:textId="77777777" w:rsidR="00B81273" w:rsidRPr="00B81273" w:rsidRDefault="005839BC">
      <w:pPr>
        <w:pStyle w:val="TableofFigures"/>
        <w:rPr>
          <w:rFonts w:asciiTheme="majorHAnsi" w:eastAsiaTheme="minorEastAsia" w:hAnsiTheme="majorHAnsi" w:cstheme="minorBidi"/>
          <w:lang w:eastAsia="en-AU"/>
        </w:rPr>
      </w:pPr>
      <w:hyperlink w:anchor="_Toc383424595" w:history="1">
        <w:r w:rsidR="00B81273" w:rsidRPr="00B81273">
          <w:rPr>
            <w:rStyle w:val="Hyperlink"/>
            <w:rFonts w:asciiTheme="majorHAnsi" w:hAnsiTheme="majorHAnsi"/>
          </w:rPr>
          <w:t>Table B.29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Cancer stage, grade and nodal status for cases detected at screening of high-risk women.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50</w:t>
        </w:r>
        <w:r w:rsidR="00B81273" w:rsidRPr="00B81273">
          <w:rPr>
            <w:rFonts w:asciiTheme="majorHAnsi" w:hAnsiTheme="majorHAnsi"/>
            <w:webHidden/>
          </w:rPr>
          <w:fldChar w:fldCharType="end"/>
        </w:r>
      </w:hyperlink>
    </w:p>
    <w:p w14:paraId="5F6EF8DD" w14:textId="77777777" w:rsidR="00B81273" w:rsidRPr="00B81273" w:rsidRDefault="005839BC">
      <w:pPr>
        <w:pStyle w:val="TableofFigures"/>
        <w:rPr>
          <w:rFonts w:asciiTheme="majorHAnsi" w:eastAsiaTheme="minorEastAsia" w:hAnsiTheme="majorHAnsi" w:cstheme="minorBidi"/>
          <w:lang w:eastAsia="en-AU"/>
        </w:rPr>
      </w:pPr>
      <w:hyperlink w:anchor="_Toc383424596" w:history="1">
        <w:r w:rsidR="00B81273" w:rsidRPr="00B81273">
          <w:rPr>
            <w:rStyle w:val="Hyperlink"/>
            <w:rFonts w:asciiTheme="majorHAnsi" w:hAnsiTheme="majorHAnsi"/>
          </w:rPr>
          <w:t>Table B.30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Conclusions and recommendations for included systematic reviews.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52</w:t>
        </w:r>
        <w:r w:rsidR="00B81273" w:rsidRPr="00B81273">
          <w:rPr>
            <w:rFonts w:asciiTheme="majorHAnsi" w:hAnsiTheme="majorHAnsi"/>
            <w:webHidden/>
          </w:rPr>
          <w:fldChar w:fldCharType="end"/>
        </w:r>
      </w:hyperlink>
    </w:p>
    <w:p w14:paraId="3F4E2BB3" w14:textId="77777777" w:rsidR="00B81273" w:rsidRPr="00B81273" w:rsidRDefault="005839BC">
      <w:pPr>
        <w:pStyle w:val="TableofFigures"/>
        <w:rPr>
          <w:rFonts w:asciiTheme="majorHAnsi" w:eastAsiaTheme="minorEastAsia" w:hAnsiTheme="majorHAnsi" w:cstheme="minorBidi"/>
          <w:lang w:eastAsia="en-AU"/>
        </w:rPr>
      </w:pPr>
      <w:hyperlink w:anchor="_Toc383424597" w:history="1">
        <w:r w:rsidR="00B81273" w:rsidRPr="00B81273">
          <w:rPr>
            <w:rStyle w:val="Hyperlink"/>
            <w:rFonts w:asciiTheme="majorHAnsi" w:hAnsiTheme="majorHAnsi"/>
          </w:rPr>
          <w:t>Table B.31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MRI + mammography (± ultrasound).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56</w:t>
        </w:r>
        <w:r w:rsidR="00B81273" w:rsidRPr="00B81273">
          <w:rPr>
            <w:rFonts w:asciiTheme="majorHAnsi" w:hAnsiTheme="majorHAnsi"/>
            <w:webHidden/>
          </w:rPr>
          <w:fldChar w:fldCharType="end"/>
        </w:r>
      </w:hyperlink>
    </w:p>
    <w:p w14:paraId="34EF3DB5" w14:textId="77777777" w:rsidR="00B81273" w:rsidRPr="00B81273" w:rsidRDefault="005839BC">
      <w:pPr>
        <w:pStyle w:val="TableofFigures"/>
        <w:rPr>
          <w:rFonts w:asciiTheme="majorHAnsi" w:eastAsiaTheme="minorEastAsia" w:hAnsiTheme="majorHAnsi" w:cstheme="minorBidi"/>
          <w:lang w:eastAsia="en-AU"/>
        </w:rPr>
      </w:pPr>
      <w:hyperlink w:anchor="_Toc383424598" w:history="1">
        <w:r w:rsidR="00B81273" w:rsidRPr="00B81273">
          <w:rPr>
            <w:rStyle w:val="Hyperlink"/>
            <w:rFonts w:asciiTheme="majorHAnsi" w:hAnsiTheme="majorHAnsi"/>
          </w:rPr>
          <w:t>Table B.32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mammography (± ultrasound).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56</w:t>
        </w:r>
        <w:r w:rsidR="00B81273" w:rsidRPr="00B81273">
          <w:rPr>
            <w:rFonts w:asciiTheme="majorHAnsi" w:hAnsiTheme="majorHAnsi"/>
            <w:webHidden/>
          </w:rPr>
          <w:fldChar w:fldCharType="end"/>
        </w:r>
      </w:hyperlink>
    </w:p>
    <w:p w14:paraId="591F0DC3" w14:textId="77777777" w:rsidR="00B81273" w:rsidRPr="00B81273" w:rsidRDefault="005839BC">
      <w:pPr>
        <w:pStyle w:val="TableofFigures"/>
        <w:rPr>
          <w:rFonts w:asciiTheme="majorHAnsi" w:eastAsiaTheme="minorEastAsia" w:hAnsiTheme="majorHAnsi" w:cstheme="minorBidi"/>
          <w:lang w:eastAsia="en-AU"/>
        </w:rPr>
      </w:pPr>
      <w:hyperlink w:anchor="_Toc383424599" w:history="1">
        <w:r w:rsidR="00B81273" w:rsidRPr="00B81273">
          <w:rPr>
            <w:rStyle w:val="Hyperlink"/>
            <w:rFonts w:asciiTheme="majorHAnsi" w:hAnsiTheme="majorHAnsi"/>
          </w:rPr>
          <w:t>Table B.33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MRI alone.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_Toc383424599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57</w:t>
        </w:r>
        <w:r w:rsidR="00B81273" w:rsidRPr="00B81273">
          <w:rPr>
            <w:rFonts w:asciiTheme="majorHAnsi" w:hAnsiTheme="majorHAnsi"/>
            <w:webHidden/>
          </w:rPr>
          <w:fldChar w:fldCharType="end"/>
        </w:r>
      </w:hyperlink>
    </w:p>
    <w:p w14:paraId="175FD6D9" w14:textId="77777777" w:rsidR="00B81273" w:rsidRPr="00B81273" w:rsidRDefault="005839BC">
      <w:pPr>
        <w:pStyle w:val="TableofFigures"/>
        <w:rPr>
          <w:rFonts w:asciiTheme="majorHAnsi" w:eastAsiaTheme="minorEastAsia" w:hAnsiTheme="majorHAnsi" w:cstheme="minorBidi"/>
          <w:lang w:eastAsia="en-AU"/>
        </w:rPr>
      </w:pPr>
      <w:hyperlink w:anchor="_Toc383424600" w:history="1">
        <w:r w:rsidR="00B81273" w:rsidRPr="00B81273">
          <w:rPr>
            <w:rStyle w:val="Hyperlink"/>
            <w:rFonts w:asciiTheme="majorHAnsi" w:hAnsiTheme="majorHAnsi"/>
          </w:rPr>
          <w:t>Table B.34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cancer yield of MRI over conventional testing.</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57</w:t>
        </w:r>
        <w:r w:rsidR="00B81273" w:rsidRPr="00B81273">
          <w:rPr>
            <w:rFonts w:asciiTheme="majorHAnsi" w:hAnsiTheme="majorHAnsi"/>
            <w:webHidden/>
          </w:rPr>
          <w:fldChar w:fldCharType="end"/>
        </w:r>
      </w:hyperlink>
    </w:p>
    <w:p w14:paraId="52C1F09D" w14:textId="77777777" w:rsidR="00B81273" w:rsidRPr="00B81273" w:rsidRDefault="005839BC">
      <w:pPr>
        <w:pStyle w:val="TableofFigures"/>
        <w:rPr>
          <w:rFonts w:asciiTheme="majorHAnsi" w:eastAsiaTheme="minorEastAsia" w:hAnsiTheme="majorHAnsi" w:cstheme="minorBidi"/>
          <w:lang w:eastAsia="en-AU"/>
        </w:rPr>
      </w:pPr>
      <w:hyperlink w:anchor="_Toc383424601" w:history="1">
        <w:r w:rsidR="00B81273" w:rsidRPr="00B81273">
          <w:rPr>
            <w:rStyle w:val="Hyperlink"/>
            <w:rFonts w:asciiTheme="majorHAnsi" w:hAnsiTheme="majorHAnsi"/>
          </w:rPr>
          <w:t>Table B.35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Test recall and biopsy rates reported by Berg et al (2012).</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58</w:t>
        </w:r>
        <w:r w:rsidR="00B81273" w:rsidRPr="00B81273">
          <w:rPr>
            <w:rFonts w:asciiTheme="majorHAnsi" w:hAnsiTheme="majorHAnsi"/>
            <w:webHidden/>
          </w:rPr>
          <w:fldChar w:fldCharType="end"/>
        </w:r>
      </w:hyperlink>
    </w:p>
    <w:p w14:paraId="75389032" w14:textId="77777777" w:rsidR="00B81273" w:rsidRPr="00B81273" w:rsidRDefault="005839BC">
      <w:pPr>
        <w:pStyle w:val="TableofFigures"/>
        <w:rPr>
          <w:rFonts w:asciiTheme="majorHAnsi" w:eastAsiaTheme="minorEastAsia" w:hAnsiTheme="majorHAnsi" w:cstheme="minorBidi"/>
          <w:lang w:eastAsia="en-AU"/>
        </w:rPr>
      </w:pPr>
      <w:hyperlink w:anchor="_Toc383424602" w:history="1">
        <w:r w:rsidR="00B81273" w:rsidRPr="00B81273">
          <w:rPr>
            <w:rStyle w:val="Hyperlink"/>
            <w:rFonts w:asciiTheme="majorHAnsi" w:hAnsiTheme="majorHAnsi"/>
          </w:rPr>
          <w:t>Table B.36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58</w:t>
        </w:r>
        <w:r w:rsidR="00B81273" w:rsidRPr="00B81273">
          <w:rPr>
            <w:rFonts w:asciiTheme="majorHAnsi" w:hAnsiTheme="majorHAnsi"/>
            <w:webHidden/>
          </w:rPr>
          <w:fldChar w:fldCharType="end"/>
        </w:r>
      </w:hyperlink>
    </w:p>
    <w:p w14:paraId="1600D437" w14:textId="77777777" w:rsidR="00B81273" w:rsidRPr="00B81273" w:rsidRDefault="005839BC">
      <w:pPr>
        <w:pStyle w:val="TableofFigures"/>
        <w:rPr>
          <w:rFonts w:asciiTheme="majorHAnsi" w:eastAsiaTheme="minorEastAsia" w:hAnsiTheme="majorHAnsi" w:cstheme="minorBidi"/>
          <w:lang w:eastAsia="en-AU"/>
        </w:rPr>
      </w:pPr>
      <w:hyperlink w:anchor="_Toc383424603" w:history="1">
        <w:r w:rsidR="00B81273" w:rsidRPr="00B81273">
          <w:rPr>
            <w:rStyle w:val="Hyperlink"/>
            <w:rFonts w:asciiTheme="majorHAnsi" w:hAnsiTheme="majorHAnsi"/>
          </w:rPr>
          <w:t>Table B.37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mammography.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58</w:t>
        </w:r>
        <w:r w:rsidR="00B81273" w:rsidRPr="00B81273">
          <w:rPr>
            <w:rFonts w:asciiTheme="majorHAnsi" w:hAnsiTheme="majorHAnsi"/>
            <w:webHidden/>
          </w:rPr>
          <w:fldChar w:fldCharType="end"/>
        </w:r>
      </w:hyperlink>
    </w:p>
    <w:p w14:paraId="38D9F3CF" w14:textId="77777777" w:rsidR="00B81273" w:rsidRPr="00B81273" w:rsidRDefault="005839BC">
      <w:pPr>
        <w:pStyle w:val="TableofFigures"/>
        <w:rPr>
          <w:rFonts w:asciiTheme="majorHAnsi" w:eastAsiaTheme="minorEastAsia" w:hAnsiTheme="majorHAnsi" w:cstheme="minorBidi"/>
          <w:lang w:eastAsia="en-AU"/>
        </w:rPr>
      </w:pPr>
      <w:hyperlink w:anchor="_Toc383424604" w:history="1">
        <w:r w:rsidR="00B81273" w:rsidRPr="00B81273">
          <w:rPr>
            <w:rStyle w:val="Hyperlink"/>
            <w:rFonts w:asciiTheme="majorHAnsi" w:hAnsiTheme="majorHAnsi"/>
          </w:rPr>
          <w:t>Table B.38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MRI and mammography.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59</w:t>
        </w:r>
        <w:r w:rsidR="00B81273" w:rsidRPr="00B81273">
          <w:rPr>
            <w:rFonts w:asciiTheme="majorHAnsi" w:hAnsiTheme="majorHAnsi"/>
            <w:webHidden/>
          </w:rPr>
          <w:fldChar w:fldCharType="end"/>
        </w:r>
      </w:hyperlink>
    </w:p>
    <w:p w14:paraId="1C6B1E06" w14:textId="77777777" w:rsidR="00B81273" w:rsidRPr="00B81273" w:rsidRDefault="005839BC">
      <w:pPr>
        <w:pStyle w:val="TableofFigures"/>
        <w:rPr>
          <w:rFonts w:asciiTheme="majorHAnsi" w:eastAsiaTheme="minorEastAsia" w:hAnsiTheme="majorHAnsi" w:cstheme="minorBidi"/>
          <w:lang w:eastAsia="en-AU"/>
        </w:rPr>
      </w:pPr>
      <w:hyperlink w:anchor="_Toc383424605" w:history="1">
        <w:r w:rsidR="00B81273" w:rsidRPr="00B81273">
          <w:rPr>
            <w:rStyle w:val="Hyperlink"/>
            <w:rFonts w:asciiTheme="majorHAnsi" w:hAnsiTheme="majorHAnsi"/>
          </w:rPr>
          <w:t>Table B.39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59</w:t>
        </w:r>
        <w:r w:rsidR="00B81273" w:rsidRPr="00B81273">
          <w:rPr>
            <w:rFonts w:asciiTheme="majorHAnsi" w:hAnsiTheme="majorHAnsi"/>
            <w:webHidden/>
          </w:rPr>
          <w:fldChar w:fldCharType="end"/>
        </w:r>
      </w:hyperlink>
    </w:p>
    <w:p w14:paraId="546B8D24" w14:textId="77777777" w:rsidR="00B81273" w:rsidRPr="00B81273" w:rsidRDefault="005839BC">
      <w:pPr>
        <w:pStyle w:val="TableofFigures"/>
        <w:rPr>
          <w:rFonts w:asciiTheme="majorHAnsi" w:eastAsiaTheme="minorEastAsia" w:hAnsiTheme="majorHAnsi" w:cstheme="minorBidi"/>
          <w:lang w:eastAsia="en-AU"/>
        </w:rPr>
      </w:pPr>
      <w:hyperlink w:anchor="_Toc383424606" w:history="1">
        <w:r w:rsidR="00B81273" w:rsidRPr="00B81273">
          <w:rPr>
            <w:rStyle w:val="Hyperlink"/>
            <w:rFonts w:asciiTheme="majorHAnsi" w:hAnsiTheme="majorHAnsi"/>
          </w:rPr>
          <w:t>Table B.40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mammography.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59</w:t>
        </w:r>
        <w:r w:rsidR="00B81273" w:rsidRPr="00B81273">
          <w:rPr>
            <w:rFonts w:asciiTheme="majorHAnsi" w:hAnsiTheme="majorHAnsi"/>
            <w:webHidden/>
          </w:rPr>
          <w:fldChar w:fldCharType="end"/>
        </w:r>
      </w:hyperlink>
    </w:p>
    <w:p w14:paraId="3D128A6D" w14:textId="77777777" w:rsidR="00B81273" w:rsidRPr="00B81273" w:rsidRDefault="005839BC">
      <w:pPr>
        <w:pStyle w:val="TableofFigures"/>
        <w:rPr>
          <w:rFonts w:asciiTheme="majorHAnsi" w:eastAsiaTheme="minorEastAsia" w:hAnsiTheme="majorHAnsi" w:cstheme="minorBidi"/>
          <w:lang w:eastAsia="en-AU"/>
        </w:rPr>
      </w:pPr>
      <w:hyperlink w:anchor="_Toc383424607" w:history="1">
        <w:r w:rsidR="00B81273" w:rsidRPr="00B81273">
          <w:rPr>
            <w:rStyle w:val="Hyperlink"/>
            <w:rFonts w:asciiTheme="majorHAnsi" w:hAnsiTheme="majorHAnsi"/>
          </w:rPr>
          <w:t>Table B.41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cancer yield of MRI over conventional testing (Ng et al, 2013).</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60</w:t>
        </w:r>
        <w:r w:rsidR="00B81273" w:rsidRPr="00B81273">
          <w:rPr>
            <w:rFonts w:asciiTheme="majorHAnsi" w:hAnsiTheme="majorHAnsi"/>
            <w:webHidden/>
          </w:rPr>
          <w:fldChar w:fldCharType="end"/>
        </w:r>
      </w:hyperlink>
    </w:p>
    <w:p w14:paraId="0B55441A" w14:textId="77777777" w:rsidR="00B81273" w:rsidRPr="00B81273" w:rsidRDefault="005839BC">
      <w:pPr>
        <w:pStyle w:val="TableofFigures"/>
        <w:rPr>
          <w:rFonts w:asciiTheme="majorHAnsi" w:eastAsiaTheme="minorEastAsia" w:hAnsiTheme="majorHAnsi" w:cstheme="minorBidi"/>
          <w:lang w:eastAsia="en-AU"/>
        </w:rPr>
      </w:pPr>
      <w:hyperlink w:anchor="_Toc383424608" w:history="1">
        <w:r w:rsidR="00B81273" w:rsidRPr="00B81273">
          <w:rPr>
            <w:rStyle w:val="Hyperlink"/>
            <w:rFonts w:asciiTheme="majorHAnsi" w:hAnsiTheme="majorHAnsi"/>
          </w:rPr>
          <w:t>Table B.42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Test recall and biopsy rates reported by Ng et al (2013).</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60</w:t>
        </w:r>
        <w:r w:rsidR="00B81273" w:rsidRPr="00B81273">
          <w:rPr>
            <w:rFonts w:asciiTheme="majorHAnsi" w:hAnsiTheme="majorHAnsi"/>
            <w:webHidden/>
          </w:rPr>
          <w:fldChar w:fldCharType="end"/>
        </w:r>
      </w:hyperlink>
    </w:p>
    <w:p w14:paraId="61225E61" w14:textId="77777777" w:rsidR="00B81273" w:rsidRPr="00B81273" w:rsidRDefault="005839BC">
      <w:pPr>
        <w:pStyle w:val="TableofFigures"/>
        <w:rPr>
          <w:rFonts w:asciiTheme="majorHAnsi" w:eastAsiaTheme="minorEastAsia" w:hAnsiTheme="majorHAnsi" w:cstheme="minorBidi"/>
          <w:lang w:eastAsia="en-AU"/>
        </w:rPr>
      </w:pPr>
      <w:hyperlink w:anchor="_Toc383424609" w:history="1">
        <w:r w:rsidR="00B81273" w:rsidRPr="00B81273">
          <w:rPr>
            <w:rStyle w:val="Hyperlink"/>
            <w:rFonts w:asciiTheme="majorHAnsi" w:hAnsiTheme="majorHAnsi"/>
          </w:rPr>
          <w:t>Table B.43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Cancer stage, grade and nodal status for cases detected at screening of high-risk women (Ng et al, 2013).</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_Toc383424609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60</w:t>
        </w:r>
        <w:r w:rsidR="00B81273" w:rsidRPr="00B81273">
          <w:rPr>
            <w:rFonts w:asciiTheme="majorHAnsi" w:hAnsiTheme="majorHAnsi"/>
            <w:webHidden/>
          </w:rPr>
          <w:fldChar w:fldCharType="end"/>
        </w:r>
      </w:hyperlink>
    </w:p>
    <w:p w14:paraId="7E8B8D45" w14:textId="77777777" w:rsidR="00B81273" w:rsidRPr="00B81273" w:rsidRDefault="005839BC">
      <w:pPr>
        <w:pStyle w:val="TableofFigures"/>
        <w:rPr>
          <w:rFonts w:asciiTheme="majorHAnsi" w:eastAsiaTheme="minorEastAsia" w:hAnsiTheme="majorHAnsi" w:cstheme="minorBidi"/>
          <w:lang w:eastAsia="en-AU"/>
        </w:rPr>
      </w:pPr>
      <w:hyperlink w:anchor="_Toc383424610" w:history="1">
        <w:r w:rsidR="00B81273" w:rsidRPr="00B81273">
          <w:rPr>
            <w:rStyle w:val="Hyperlink"/>
            <w:rFonts w:asciiTheme="majorHAnsi" w:hAnsiTheme="majorHAnsi"/>
          </w:rPr>
          <w:t>Table D.1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Populations modelled in the economic evaluation.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68</w:t>
        </w:r>
        <w:r w:rsidR="00B81273" w:rsidRPr="00B81273">
          <w:rPr>
            <w:rFonts w:asciiTheme="majorHAnsi" w:hAnsiTheme="majorHAnsi"/>
            <w:webHidden/>
          </w:rPr>
          <w:fldChar w:fldCharType="end"/>
        </w:r>
      </w:hyperlink>
    </w:p>
    <w:p w14:paraId="4AB78EB2" w14:textId="77777777" w:rsidR="00B81273" w:rsidRPr="00B81273" w:rsidRDefault="005839BC">
      <w:pPr>
        <w:pStyle w:val="TableofFigures"/>
        <w:rPr>
          <w:rFonts w:asciiTheme="majorHAnsi" w:eastAsiaTheme="minorEastAsia" w:hAnsiTheme="majorHAnsi" w:cstheme="minorBidi"/>
          <w:lang w:eastAsia="en-AU"/>
        </w:rPr>
      </w:pPr>
      <w:hyperlink w:anchor="_Toc383424611" w:history="1">
        <w:r w:rsidR="00B81273" w:rsidRPr="00B81273">
          <w:rPr>
            <w:rStyle w:val="Hyperlink"/>
            <w:rFonts w:asciiTheme="majorHAnsi" w:hAnsiTheme="majorHAnsi"/>
          </w:rPr>
          <w:t>Table D.2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Economic evaluations studies published since the MSAC (2006) report assessing MRI in combination with mammography.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69</w:t>
        </w:r>
        <w:r w:rsidR="00B81273" w:rsidRPr="00B81273">
          <w:rPr>
            <w:rFonts w:asciiTheme="majorHAnsi" w:hAnsiTheme="majorHAnsi"/>
            <w:webHidden/>
          </w:rPr>
          <w:fldChar w:fldCharType="end"/>
        </w:r>
      </w:hyperlink>
    </w:p>
    <w:p w14:paraId="7EEA1B73" w14:textId="77777777" w:rsidR="00B81273" w:rsidRPr="00B81273" w:rsidRDefault="005839BC">
      <w:pPr>
        <w:pStyle w:val="TableofFigures"/>
        <w:rPr>
          <w:rFonts w:asciiTheme="majorHAnsi" w:eastAsiaTheme="minorEastAsia" w:hAnsiTheme="majorHAnsi" w:cstheme="minorBidi"/>
          <w:lang w:eastAsia="en-AU"/>
        </w:rPr>
      </w:pPr>
      <w:hyperlink w:anchor="_Toc383424612" w:history="1">
        <w:r w:rsidR="00B81273" w:rsidRPr="00B81273">
          <w:rPr>
            <w:rStyle w:val="Hyperlink"/>
            <w:rFonts w:asciiTheme="majorHAnsi" w:hAnsiTheme="majorHAnsi"/>
          </w:rPr>
          <w:t>Table D.3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Health technology assessment reports including economic evaluations of surveillance using MRI in women at high risk of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74</w:t>
        </w:r>
        <w:r w:rsidR="00B81273" w:rsidRPr="00B81273">
          <w:rPr>
            <w:rFonts w:asciiTheme="majorHAnsi" w:hAnsiTheme="majorHAnsi"/>
            <w:webHidden/>
          </w:rPr>
          <w:fldChar w:fldCharType="end"/>
        </w:r>
      </w:hyperlink>
    </w:p>
    <w:p w14:paraId="762C1458" w14:textId="77777777" w:rsidR="00B81273" w:rsidRPr="00B81273" w:rsidRDefault="005839BC">
      <w:pPr>
        <w:pStyle w:val="TableofFigures"/>
        <w:rPr>
          <w:rFonts w:asciiTheme="majorHAnsi" w:eastAsiaTheme="minorEastAsia" w:hAnsiTheme="majorHAnsi" w:cstheme="minorBidi"/>
          <w:lang w:eastAsia="en-AU"/>
        </w:rPr>
      </w:pPr>
      <w:hyperlink w:anchor="_Toc383424613" w:history="1">
        <w:r w:rsidR="00B81273" w:rsidRPr="00B81273">
          <w:rPr>
            <w:rStyle w:val="Hyperlink"/>
            <w:rFonts w:asciiTheme="majorHAnsi" w:hAnsiTheme="majorHAnsi"/>
          </w:rPr>
          <w:t>Table D.4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Issues raised in the Final Decision-Analytic Protocol.</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80</w:t>
        </w:r>
        <w:r w:rsidR="00B81273" w:rsidRPr="00B81273">
          <w:rPr>
            <w:rFonts w:asciiTheme="majorHAnsi" w:hAnsiTheme="majorHAnsi"/>
            <w:webHidden/>
          </w:rPr>
          <w:fldChar w:fldCharType="end"/>
        </w:r>
      </w:hyperlink>
    </w:p>
    <w:p w14:paraId="141560B1" w14:textId="77777777" w:rsidR="00B81273" w:rsidRPr="00B81273" w:rsidRDefault="005839BC">
      <w:pPr>
        <w:pStyle w:val="TableofFigures"/>
        <w:rPr>
          <w:rFonts w:asciiTheme="majorHAnsi" w:eastAsiaTheme="minorEastAsia" w:hAnsiTheme="majorHAnsi" w:cstheme="minorBidi"/>
          <w:lang w:eastAsia="en-AU"/>
        </w:rPr>
      </w:pPr>
      <w:hyperlink w:anchor="_Toc383424614" w:history="1">
        <w:r w:rsidR="00B81273" w:rsidRPr="00B81273">
          <w:rPr>
            <w:rStyle w:val="Hyperlink"/>
            <w:rFonts w:asciiTheme="majorHAnsi" w:hAnsiTheme="majorHAnsi"/>
          </w:rPr>
          <w:t>Table D.5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 of the economic model.</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82</w:t>
        </w:r>
        <w:r w:rsidR="00B81273" w:rsidRPr="00B81273">
          <w:rPr>
            <w:rFonts w:asciiTheme="majorHAnsi" w:hAnsiTheme="majorHAnsi"/>
            <w:webHidden/>
          </w:rPr>
          <w:fldChar w:fldCharType="end"/>
        </w:r>
      </w:hyperlink>
    </w:p>
    <w:p w14:paraId="132B2F5C" w14:textId="77777777" w:rsidR="00B81273" w:rsidRPr="00B81273" w:rsidRDefault="005839BC">
      <w:pPr>
        <w:pStyle w:val="TableofFigures"/>
        <w:rPr>
          <w:rFonts w:asciiTheme="majorHAnsi" w:eastAsiaTheme="minorEastAsia" w:hAnsiTheme="majorHAnsi" w:cstheme="minorBidi"/>
          <w:lang w:eastAsia="en-AU"/>
        </w:rPr>
      </w:pPr>
      <w:hyperlink w:anchor="_Toc383424615" w:history="1">
        <w:r w:rsidR="00B81273" w:rsidRPr="00B81273">
          <w:rPr>
            <w:rStyle w:val="Hyperlink"/>
            <w:rFonts w:asciiTheme="majorHAnsi" w:hAnsiTheme="majorHAnsi"/>
          </w:rPr>
          <w:t>Table D.6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Ages at which additional MRI screening begins and ends in the economic model.</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84</w:t>
        </w:r>
        <w:r w:rsidR="00B81273" w:rsidRPr="00B81273">
          <w:rPr>
            <w:rFonts w:asciiTheme="majorHAnsi" w:hAnsiTheme="majorHAnsi"/>
            <w:webHidden/>
          </w:rPr>
          <w:fldChar w:fldCharType="end"/>
        </w:r>
      </w:hyperlink>
    </w:p>
    <w:p w14:paraId="7AC493B7" w14:textId="77777777" w:rsidR="00B81273" w:rsidRPr="00B81273" w:rsidRDefault="005839BC">
      <w:pPr>
        <w:pStyle w:val="TableofFigures"/>
        <w:rPr>
          <w:rFonts w:asciiTheme="majorHAnsi" w:eastAsiaTheme="minorEastAsia" w:hAnsiTheme="majorHAnsi" w:cstheme="minorBidi"/>
          <w:lang w:eastAsia="en-AU"/>
        </w:rPr>
      </w:pPr>
      <w:hyperlink w:anchor="_Toc383424616" w:history="1">
        <w:r w:rsidR="00B81273" w:rsidRPr="00B81273">
          <w:rPr>
            <w:rStyle w:val="Hyperlink"/>
            <w:rFonts w:asciiTheme="majorHAnsi" w:hAnsiTheme="majorHAnsi"/>
          </w:rPr>
          <w:t>Table D.7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Annual risk of breast cancer by age.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85</w:t>
        </w:r>
        <w:r w:rsidR="00B81273" w:rsidRPr="00B81273">
          <w:rPr>
            <w:rFonts w:asciiTheme="majorHAnsi" w:hAnsiTheme="majorHAnsi"/>
            <w:webHidden/>
          </w:rPr>
          <w:fldChar w:fldCharType="end"/>
        </w:r>
      </w:hyperlink>
    </w:p>
    <w:p w14:paraId="6263D5A1" w14:textId="77777777" w:rsidR="00B81273" w:rsidRPr="00B81273" w:rsidRDefault="005839BC">
      <w:pPr>
        <w:pStyle w:val="TableofFigures"/>
        <w:rPr>
          <w:rFonts w:asciiTheme="majorHAnsi" w:eastAsiaTheme="minorEastAsia" w:hAnsiTheme="majorHAnsi" w:cstheme="minorBidi"/>
          <w:lang w:eastAsia="en-AU"/>
        </w:rPr>
      </w:pPr>
      <w:hyperlink w:anchor="_Toc383424617" w:history="1">
        <w:r w:rsidR="00B81273" w:rsidRPr="00B81273">
          <w:rPr>
            <w:rStyle w:val="Hyperlink"/>
            <w:rFonts w:asciiTheme="majorHAnsi" w:hAnsiTheme="majorHAnsi"/>
          </w:rPr>
          <w:t>Table D.8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spacing w:val="-6"/>
          </w:rPr>
          <w:t>Relationship between tumour size at diagnosis and 5-year relative survival (AIHW, 2012a).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88</w:t>
        </w:r>
        <w:r w:rsidR="00B81273" w:rsidRPr="00B81273">
          <w:rPr>
            <w:rFonts w:asciiTheme="majorHAnsi" w:hAnsiTheme="majorHAnsi"/>
            <w:webHidden/>
          </w:rPr>
          <w:fldChar w:fldCharType="end"/>
        </w:r>
      </w:hyperlink>
    </w:p>
    <w:p w14:paraId="2B076EF6" w14:textId="77777777" w:rsidR="00B81273" w:rsidRPr="00B81273" w:rsidRDefault="005839BC">
      <w:pPr>
        <w:pStyle w:val="TableofFigures"/>
        <w:rPr>
          <w:rFonts w:asciiTheme="majorHAnsi" w:eastAsiaTheme="minorEastAsia" w:hAnsiTheme="majorHAnsi" w:cstheme="minorBidi"/>
          <w:lang w:eastAsia="en-AU"/>
        </w:rPr>
      </w:pPr>
      <w:hyperlink w:anchor="_Toc383424618" w:history="1">
        <w:r w:rsidR="00B81273" w:rsidRPr="00B81273">
          <w:rPr>
            <w:rStyle w:val="Hyperlink"/>
            <w:rFonts w:asciiTheme="majorHAnsi" w:hAnsiTheme="majorHAnsi"/>
          </w:rPr>
          <w:t>Table D.9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Diagnostic accuracy of mammography and MRI + mammography.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91</w:t>
        </w:r>
        <w:r w:rsidR="00B81273" w:rsidRPr="00B81273">
          <w:rPr>
            <w:rFonts w:asciiTheme="majorHAnsi" w:hAnsiTheme="majorHAnsi"/>
            <w:webHidden/>
          </w:rPr>
          <w:fldChar w:fldCharType="end"/>
        </w:r>
      </w:hyperlink>
    </w:p>
    <w:p w14:paraId="5738954E" w14:textId="77777777" w:rsidR="00B81273" w:rsidRPr="00B81273" w:rsidRDefault="005839BC">
      <w:pPr>
        <w:pStyle w:val="TableofFigures"/>
        <w:rPr>
          <w:rFonts w:asciiTheme="majorHAnsi" w:eastAsiaTheme="minorEastAsia" w:hAnsiTheme="majorHAnsi" w:cstheme="minorBidi"/>
          <w:lang w:eastAsia="en-AU"/>
        </w:rPr>
      </w:pPr>
      <w:hyperlink w:anchor="_Toc383424619" w:history="1">
        <w:r w:rsidR="00B81273" w:rsidRPr="00B81273">
          <w:rPr>
            <w:rStyle w:val="Hyperlink"/>
            <w:rFonts w:asciiTheme="majorHAnsi" w:hAnsiTheme="majorHAnsi"/>
          </w:rPr>
          <w:t>Table D.10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of MRI and mammography.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_Toc383424619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92</w:t>
        </w:r>
        <w:r w:rsidR="00B81273" w:rsidRPr="00B81273">
          <w:rPr>
            <w:rFonts w:asciiTheme="majorHAnsi" w:hAnsiTheme="majorHAnsi"/>
            <w:webHidden/>
          </w:rPr>
          <w:fldChar w:fldCharType="end"/>
        </w:r>
      </w:hyperlink>
    </w:p>
    <w:p w14:paraId="30C4A52F" w14:textId="77777777" w:rsidR="00B81273" w:rsidRPr="00B81273" w:rsidRDefault="005839BC">
      <w:pPr>
        <w:pStyle w:val="TableofFigures"/>
        <w:rPr>
          <w:rFonts w:asciiTheme="majorHAnsi" w:eastAsiaTheme="minorEastAsia" w:hAnsiTheme="majorHAnsi" w:cstheme="minorBidi"/>
          <w:lang w:eastAsia="en-AU"/>
        </w:rPr>
      </w:pPr>
      <w:hyperlink w:anchor="_Toc383424620" w:history="1">
        <w:r w:rsidR="00B81273" w:rsidRPr="00B81273">
          <w:rPr>
            <w:rStyle w:val="Hyperlink"/>
            <w:rFonts w:asciiTheme="majorHAnsi" w:hAnsiTheme="majorHAnsi"/>
          </w:rPr>
          <w:t>Table D.11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of the first year of cancer treatment in patients with a true-positive diagnosis.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92</w:t>
        </w:r>
        <w:r w:rsidR="00B81273" w:rsidRPr="00B81273">
          <w:rPr>
            <w:rFonts w:asciiTheme="majorHAnsi" w:hAnsiTheme="majorHAnsi"/>
            <w:webHidden/>
          </w:rPr>
          <w:fldChar w:fldCharType="end"/>
        </w:r>
      </w:hyperlink>
    </w:p>
    <w:p w14:paraId="0301B95F" w14:textId="77777777" w:rsidR="00B81273" w:rsidRPr="00B81273" w:rsidRDefault="005839BC">
      <w:pPr>
        <w:pStyle w:val="TableofFigures"/>
        <w:rPr>
          <w:rFonts w:asciiTheme="majorHAnsi" w:eastAsiaTheme="minorEastAsia" w:hAnsiTheme="majorHAnsi" w:cstheme="minorBidi"/>
          <w:lang w:eastAsia="en-AU"/>
        </w:rPr>
      </w:pPr>
      <w:hyperlink w:anchor="_Toc383424621" w:history="1">
        <w:r w:rsidR="00B81273" w:rsidRPr="00B81273">
          <w:rPr>
            <w:rStyle w:val="Hyperlink"/>
            <w:rFonts w:asciiTheme="majorHAnsi" w:hAnsiTheme="majorHAnsi"/>
          </w:rPr>
          <w:t>Table D.12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Costs of adjuvant chemotherapy for first year of treatment (Verry et al, 2012).</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93</w:t>
        </w:r>
        <w:r w:rsidR="00B81273" w:rsidRPr="00B81273">
          <w:rPr>
            <w:rFonts w:asciiTheme="majorHAnsi" w:hAnsiTheme="majorHAnsi"/>
            <w:webHidden/>
          </w:rPr>
          <w:fldChar w:fldCharType="end"/>
        </w:r>
      </w:hyperlink>
    </w:p>
    <w:p w14:paraId="743114F3" w14:textId="77777777" w:rsidR="00B81273" w:rsidRPr="00B81273" w:rsidRDefault="005839BC">
      <w:pPr>
        <w:pStyle w:val="TableofFigures"/>
        <w:rPr>
          <w:rFonts w:asciiTheme="majorHAnsi" w:eastAsiaTheme="minorEastAsia" w:hAnsiTheme="majorHAnsi" w:cstheme="minorBidi"/>
          <w:lang w:eastAsia="en-AU"/>
        </w:rPr>
      </w:pPr>
      <w:hyperlink w:anchor="_Toc383424622" w:history="1">
        <w:r w:rsidR="00B81273" w:rsidRPr="00B81273">
          <w:rPr>
            <w:rStyle w:val="Hyperlink"/>
            <w:rFonts w:asciiTheme="majorHAnsi" w:hAnsiTheme="majorHAnsi"/>
          </w:rPr>
          <w:t>Table D.13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of follow-up in false-positive patients.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94</w:t>
        </w:r>
        <w:r w:rsidR="00B81273" w:rsidRPr="00B81273">
          <w:rPr>
            <w:rFonts w:asciiTheme="majorHAnsi" w:hAnsiTheme="majorHAnsi"/>
            <w:webHidden/>
          </w:rPr>
          <w:fldChar w:fldCharType="end"/>
        </w:r>
      </w:hyperlink>
    </w:p>
    <w:p w14:paraId="19FDAB43" w14:textId="77777777" w:rsidR="00B81273" w:rsidRPr="00B81273" w:rsidRDefault="005839BC">
      <w:pPr>
        <w:pStyle w:val="TableofFigures"/>
        <w:rPr>
          <w:rFonts w:asciiTheme="majorHAnsi" w:eastAsiaTheme="minorEastAsia" w:hAnsiTheme="majorHAnsi" w:cstheme="minorBidi"/>
          <w:lang w:eastAsia="en-AU"/>
        </w:rPr>
      </w:pPr>
      <w:hyperlink w:anchor="_Toc383424623" w:history="1">
        <w:r w:rsidR="00B81273" w:rsidRPr="00B81273">
          <w:rPr>
            <w:rStyle w:val="Hyperlink"/>
            <w:rFonts w:asciiTheme="majorHAnsi" w:hAnsiTheme="majorHAnsi"/>
          </w:rPr>
          <w:t>Table D.14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Utility values for different health states in the model and Australian Assessment of Quality of Life population norms.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95</w:t>
        </w:r>
        <w:r w:rsidR="00B81273" w:rsidRPr="00B81273">
          <w:rPr>
            <w:rFonts w:asciiTheme="majorHAnsi" w:hAnsiTheme="majorHAnsi"/>
            <w:webHidden/>
          </w:rPr>
          <w:fldChar w:fldCharType="end"/>
        </w:r>
      </w:hyperlink>
    </w:p>
    <w:p w14:paraId="339FF2D8" w14:textId="77777777" w:rsidR="00B81273" w:rsidRPr="00B81273" w:rsidRDefault="005839BC">
      <w:pPr>
        <w:pStyle w:val="TableofFigures"/>
        <w:rPr>
          <w:rFonts w:asciiTheme="majorHAnsi" w:eastAsiaTheme="minorEastAsia" w:hAnsiTheme="majorHAnsi" w:cstheme="minorBidi"/>
          <w:lang w:eastAsia="en-AU"/>
        </w:rPr>
      </w:pPr>
      <w:hyperlink w:anchor="_Toc383424624" w:history="1">
        <w:r w:rsidR="00B81273" w:rsidRPr="00B81273">
          <w:rPr>
            <w:rStyle w:val="Hyperlink"/>
            <w:rFonts w:asciiTheme="majorHAnsi" w:hAnsiTheme="majorHAnsi"/>
          </w:rPr>
          <w:t>Table D.15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Summary of model inputs.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96</w:t>
        </w:r>
        <w:r w:rsidR="00B81273" w:rsidRPr="00B81273">
          <w:rPr>
            <w:rFonts w:asciiTheme="majorHAnsi" w:hAnsiTheme="majorHAnsi"/>
            <w:webHidden/>
          </w:rPr>
          <w:fldChar w:fldCharType="end"/>
        </w:r>
      </w:hyperlink>
    </w:p>
    <w:p w14:paraId="1A342994" w14:textId="77777777" w:rsidR="00B81273" w:rsidRPr="00B81273" w:rsidRDefault="005839BC">
      <w:pPr>
        <w:pStyle w:val="TableofFigures"/>
        <w:rPr>
          <w:rFonts w:asciiTheme="majorHAnsi" w:eastAsiaTheme="minorEastAsia" w:hAnsiTheme="majorHAnsi" w:cstheme="minorBidi"/>
          <w:lang w:eastAsia="en-AU"/>
        </w:rPr>
      </w:pPr>
      <w:hyperlink w:anchor="_Toc383424625" w:history="1">
        <w:r w:rsidR="00B81273" w:rsidRPr="00B81273">
          <w:rPr>
            <w:rStyle w:val="Hyperlink"/>
            <w:rFonts w:asciiTheme="majorHAnsi" w:hAnsiTheme="majorHAnsi"/>
          </w:rPr>
          <w:t>Table D.16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Disaggregated costs.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99</w:t>
        </w:r>
        <w:r w:rsidR="00B81273" w:rsidRPr="00B81273">
          <w:rPr>
            <w:rFonts w:asciiTheme="majorHAnsi" w:hAnsiTheme="majorHAnsi"/>
            <w:webHidden/>
          </w:rPr>
          <w:fldChar w:fldCharType="end"/>
        </w:r>
      </w:hyperlink>
    </w:p>
    <w:p w14:paraId="5E2BD5D3" w14:textId="77777777" w:rsidR="00B81273" w:rsidRPr="00B81273" w:rsidRDefault="005839BC">
      <w:pPr>
        <w:pStyle w:val="TableofFigures"/>
        <w:rPr>
          <w:rFonts w:asciiTheme="majorHAnsi" w:eastAsiaTheme="minorEastAsia" w:hAnsiTheme="majorHAnsi" w:cstheme="minorBidi"/>
          <w:lang w:eastAsia="en-AU"/>
        </w:rPr>
      </w:pPr>
      <w:hyperlink w:anchor="_Toc383424626" w:history="1">
        <w:r w:rsidR="00B81273" w:rsidRPr="00B81273">
          <w:rPr>
            <w:rStyle w:val="Hyperlink"/>
            <w:rFonts w:asciiTheme="majorHAnsi" w:hAnsiTheme="majorHAnsi"/>
          </w:rPr>
          <w:t>Table D.17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Disaggregated outcomes.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100</w:t>
        </w:r>
        <w:r w:rsidR="00B81273" w:rsidRPr="00B81273">
          <w:rPr>
            <w:rFonts w:asciiTheme="majorHAnsi" w:hAnsiTheme="majorHAnsi"/>
            <w:webHidden/>
          </w:rPr>
          <w:fldChar w:fldCharType="end"/>
        </w:r>
      </w:hyperlink>
    </w:p>
    <w:p w14:paraId="52B6EF4B" w14:textId="77777777" w:rsidR="00B81273" w:rsidRPr="00B81273" w:rsidRDefault="005839BC">
      <w:pPr>
        <w:pStyle w:val="TableofFigures"/>
        <w:rPr>
          <w:rFonts w:asciiTheme="majorHAnsi" w:eastAsiaTheme="minorEastAsia" w:hAnsiTheme="majorHAnsi" w:cstheme="minorBidi"/>
          <w:lang w:eastAsia="en-AU"/>
        </w:rPr>
      </w:pPr>
      <w:hyperlink w:anchor="_Toc383424627" w:history="1">
        <w:r w:rsidR="00B81273" w:rsidRPr="00B81273">
          <w:rPr>
            <w:rStyle w:val="Hyperlink"/>
            <w:rFonts w:asciiTheme="majorHAnsi" w:hAnsiTheme="majorHAnsi"/>
          </w:rPr>
          <w:t>Table D.18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Time (undiscounted years) in each health state.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101</w:t>
        </w:r>
        <w:r w:rsidR="00B81273" w:rsidRPr="00B81273">
          <w:rPr>
            <w:rFonts w:asciiTheme="majorHAnsi" w:hAnsiTheme="majorHAnsi"/>
            <w:webHidden/>
          </w:rPr>
          <w:fldChar w:fldCharType="end"/>
        </w:r>
      </w:hyperlink>
    </w:p>
    <w:p w14:paraId="4F0702D0" w14:textId="77777777" w:rsidR="00B81273" w:rsidRPr="00B81273" w:rsidRDefault="005839BC">
      <w:pPr>
        <w:pStyle w:val="TableofFigures"/>
        <w:rPr>
          <w:rFonts w:asciiTheme="majorHAnsi" w:eastAsiaTheme="minorEastAsia" w:hAnsiTheme="majorHAnsi" w:cstheme="minorBidi"/>
          <w:lang w:eastAsia="en-AU"/>
        </w:rPr>
      </w:pPr>
      <w:hyperlink w:anchor="_Toc383424628" w:history="1">
        <w:r w:rsidR="00B81273" w:rsidRPr="00B81273">
          <w:rPr>
            <w:rStyle w:val="Hyperlink"/>
            <w:rFonts w:asciiTheme="majorHAnsi" w:hAnsiTheme="majorHAnsi"/>
          </w:rPr>
          <w:t>Table D.19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cost per QALY (base-case population-specific data).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103</w:t>
        </w:r>
        <w:r w:rsidR="00B81273" w:rsidRPr="00B81273">
          <w:rPr>
            <w:rFonts w:asciiTheme="majorHAnsi" w:hAnsiTheme="majorHAnsi"/>
            <w:webHidden/>
          </w:rPr>
          <w:fldChar w:fldCharType="end"/>
        </w:r>
      </w:hyperlink>
    </w:p>
    <w:p w14:paraId="5B03B4FC" w14:textId="77777777" w:rsidR="00B81273" w:rsidRPr="00B81273" w:rsidRDefault="005839BC">
      <w:pPr>
        <w:pStyle w:val="TableofFigures"/>
        <w:rPr>
          <w:rFonts w:asciiTheme="majorHAnsi" w:eastAsiaTheme="minorEastAsia" w:hAnsiTheme="majorHAnsi" w:cstheme="minorBidi"/>
          <w:lang w:eastAsia="en-AU"/>
        </w:rPr>
      </w:pPr>
      <w:hyperlink w:anchor="_Toc383424629" w:history="1">
        <w:r w:rsidR="00B81273" w:rsidRPr="00B81273">
          <w:rPr>
            <w:rStyle w:val="Hyperlink"/>
            <w:rFonts w:asciiTheme="majorHAnsi" w:hAnsiTheme="majorHAnsi"/>
          </w:rPr>
          <w:t>Table D.20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cost per QALY (HIQA 2013 data).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_Toc383424629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104</w:t>
        </w:r>
        <w:r w:rsidR="00B81273" w:rsidRPr="00B81273">
          <w:rPr>
            <w:rFonts w:asciiTheme="majorHAnsi" w:hAnsiTheme="majorHAnsi"/>
            <w:webHidden/>
          </w:rPr>
          <w:fldChar w:fldCharType="end"/>
        </w:r>
      </w:hyperlink>
    </w:p>
    <w:p w14:paraId="38431611" w14:textId="77777777" w:rsidR="00B81273" w:rsidRPr="00B81273" w:rsidRDefault="005839BC">
      <w:pPr>
        <w:pStyle w:val="TableofFigures"/>
        <w:rPr>
          <w:rFonts w:asciiTheme="majorHAnsi" w:eastAsiaTheme="minorEastAsia" w:hAnsiTheme="majorHAnsi" w:cstheme="minorBidi"/>
          <w:lang w:eastAsia="en-AU"/>
        </w:rPr>
      </w:pPr>
      <w:hyperlink w:anchor="_Toc383424630" w:history="1">
        <w:r w:rsidR="00B81273" w:rsidRPr="00B81273">
          <w:rPr>
            <w:rStyle w:val="Hyperlink"/>
            <w:rFonts w:asciiTheme="majorHAnsi" w:hAnsiTheme="majorHAnsi"/>
          </w:rPr>
          <w:t>Table D.21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Univariate sensitivity analysis (base-case population-specific accuracy data).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109</w:t>
        </w:r>
        <w:r w:rsidR="00B81273" w:rsidRPr="00B81273">
          <w:rPr>
            <w:rFonts w:asciiTheme="majorHAnsi" w:hAnsiTheme="majorHAnsi"/>
            <w:webHidden/>
          </w:rPr>
          <w:fldChar w:fldCharType="end"/>
        </w:r>
      </w:hyperlink>
    </w:p>
    <w:p w14:paraId="00B260F2" w14:textId="77777777" w:rsidR="00B81273" w:rsidRPr="00B81273" w:rsidRDefault="005839BC">
      <w:pPr>
        <w:pStyle w:val="TableofFigures"/>
        <w:rPr>
          <w:rFonts w:asciiTheme="majorHAnsi" w:eastAsiaTheme="minorEastAsia" w:hAnsiTheme="majorHAnsi" w:cstheme="minorBidi"/>
          <w:lang w:eastAsia="en-AU"/>
        </w:rPr>
      </w:pPr>
      <w:hyperlink w:anchor="_Toc383424631" w:history="1">
        <w:r w:rsidR="00B81273" w:rsidRPr="00B81273">
          <w:rPr>
            <w:rStyle w:val="Hyperlink"/>
            <w:rFonts w:asciiTheme="majorHAnsi" w:hAnsiTheme="majorHAnsi"/>
          </w:rPr>
          <w:t>Table D.22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Univariate sensitivity analysis (using HIQA, 2013 accuracy data in all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112</w:t>
        </w:r>
        <w:r w:rsidR="00B81273" w:rsidRPr="00B81273">
          <w:rPr>
            <w:rFonts w:asciiTheme="majorHAnsi" w:hAnsiTheme="majorHAnsi"/>
            <w:webHidden/>
          </w:rPr>
          <w:fldChar w:fldCharType="end"/>
        </w:r>
      </w:hyperlink>
    </w:p>
    <w:p w14:paraId="563DE46D" w14:textId="77777777" w:rsidR="00B81273" w:rsidRPr="00B81273" w:rsidRDefault="005839BC">
      <w:pPr>
        <w:pStyle w:val="TableofFigures"/>
        <w:rPr>
          <w:rFonts w:asciiTheme="majorHAnsi" w:eastAsiaTheme="minorEastAsia" w:hAnsiTheme="majorHAnsi" w:cstheme="minorBidi"/>
          <w:lang w:eastAsia="en-AU"/>
        </w:rPr>
      </w:pPr>
      <w:hyperlink w:anchor="_Toc383424632" w:history="1">
        <w:r w:rsidR="00B81273" w:rsidRPr="00B81273">
          <w:rPr>
            <w:rStyle w:val="Hyperlink"/>
            <w:rFonts w:asciiTheme="majorHAnsi" w:hAnsiTheme="majorHAnsi"/>
          </w:rPr>
          <w:t>Table E.1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lang w:eastAsia="ja-JP"/>
          </w:rPr>
          <w:t xml:space="preserve">Data used to </w:t>
        </w:r>
        <w:r w:rsidR="00B81273" w:rsidRPr="00B81273">
          <w:rPr>
            <w:rStyle w:val="Hyperlink"/>
            <w:rFonts w:asciiTheme="majorHAnsi" w:hAnsiTheme="majorHAnsi"/>
          </w:rPr>
          <w:t>estimate</w:t>
        </w:r>
        <w:r w:rsidR="00B81273" w:rsidRPr="00B81273">
          <w:rPr>
            <w:rStyle w:val="Hyperlink"/>
            <w:rFonts w:asciiTheme="majorHAnsi" w:hAnsiTheme="majorHAnsi"/>
            <w:lang w:eastAsia="ja-JP"/>
          </w:rPr>
          <w:t xml:space="preserve"> the number of women aged &lt;50 years with a prior history of invasive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116</w:t>
        </w:r>
        <w:r w:rsidR="00B81273" w:rsidRPr="00B81273">
          <w:rPr>
            <w:rFonts w:asciiTheme="majorHAnsi" w:hAnsiTheme="majorHAnsi"/>
            <w:webHidden/>
          </w:rPr>
          <w:fldChar w:fldCharType="end"/>
        </w:r>
      </w:hyperlink>
    </w:p>
    <w:p w14:paraId="1F711280" w14:textId="77777777" w:rsidR="00B81273" w:rsidRPr="00B81273" w:rsidRDefault="005839BC">
      <w:pPr>
        <w:pStyle w:val="TableofFigures"/>
        <w:rPr>
          <w:rFonts w:asciiTheme="majorHAnsi" w:eastAsiaTheme="minorEastAsia" w:hAnsiTheme="majorHAnsi" w:cstheme="minorBidi"/>
          <w:lang w:eastAsia="en-AU"/>
        </w:rPr>
      </w:pPr>
      <w:hyperlink w:anchor="_Toc383424633" w:history="1">
        <w:r w:rsidR="00B81273" w:rsidRPr="00B81273">
          <w:rPr>
            <w:rStyle w:val="Hyperlink"/>
            <w:rFonts w:asciiTheme="majorHAnsi" w:hAnsiTheme="majorHAnsi"/>
          </w:rPr>
          <w:t>Table E.2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lang w:eastAsia="en-AU"/>
          </w:rPr>
          <w:t>Uptake rates for breast MRI across 5 years.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117</w:t>
        </w:r>
        <w:r w:rsidR="00B81273" w:rsidRPr="00B81273">
          <w:rPr>
            <w:rFonts w:asciiTheme="majorHAnsi" w:hAnsiTheme="majorHAnsi"/>
            <w:webHidden/>
          </w:rPr>
          <w:fldChar w:fldCharType="end"/>
        </w:r>
      </w:hyperlink>
    </w:p>
    <w:p w14:paraId="4FDF82D4" w14:textId="77777777" w:rsidR="00B81273" w:rsidRPr="00B81273" w:rsidRDefault="005839BC">
      <w:pPr>
        <w:pStyle w:val="TableofFigures"/>
        <w:rPr>
          <w:rFonts w:asciiTheme="majorHAnsi" w:eastAsiaTheme="minorEastAsia" w:hAnsiTheme="majorHAnsi" w:cstheme="minorBidi"/>
          <w:lang w:eastAsia="en-AU"/>
        </w:rPr>
      </w:pPr>
      <w:hyperlink w:anchor="_Toc383424634" w:history="1">
        <w:r w:rsidR="00B81273" w:rsidRPr="00B81273">
          <w:rPr>
            <w:rStyle w:val="Hyperlink"/>
            <w:rFonts w:asciiTheme="majorHAnsi" w:hAnsiTheme="majorHAnsi"/>
          </w:rPr>
          <w:t>Table E.3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Annual risk of breast cancer in each of the included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118</w:t>
        </w:r>
        <w:r w:rsidR="00B81273" w:rsidRPr="00B81273">
          <w:rPr>
            <w:rFonts w:asciiTheme="majorHAnsi" w:hAnsiTheme="majorHAnsi"/>
            <w:webHidden/>
          </w:rPr>
          <w:fldChar w:fldCharType="end"/>
        </w:r>
      </w:hyperlink>
    </w:p>
    <w:p w14:paraId="4CAAE00C" w14:textId="77777777" w:rsidR="00B81273" w:rsidRPr="00B81273" w:rsidRDefault="005839BC">
      <w:pPr>
        <w:pStyle w:val="TableofFigures"/>
        <w:rPr>
          <w:rFonts w:asciiTheme="majorHAnsi" w:eastAsiaTheme="minorEastAsia" w:hAnsiTheme="majorHAnsi" w:cstheme="minorBidi"/>
          <w:lang w:eastAsia="en-AU"/>
        </w:rPr>
      </w:pPr>
      <w:hyperlink w:anchor="_Toc383424635" w:history="1">
        <w:r w:rsidR="00B81273" w:rsidRPr="00B81273">
          <w:rPr>
            <w:rStyle w:val="Hyperlink"/>
            <w:rFonts w:asciiTheme="majorHAnsi" w:hAnsiTheme="majorHAnsi"/>
          </w:rPr>
          <w:t>Table E.4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Sensitivity and specificity of mammography and MRI in each population.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118</w:t>
        </w:r>
        <w:r w:rsidR="00B81273" w:rsidRPr="00B81273">
          <w:rPr>
            <w:rFonts w:asciiTheme="majorHAnsi" w:hAnsiTheme="majorHAnsi"/>
            <w:webHidden/>
          </w:rPr>
          <w:fldChar w:fldCharType="end"/>
        </w:r>
      </w:hyperlink>
    </w:p>
    <w:p w14:paraId="52620ED0" w14:textId="77777777" w:rsidR="00B81273" w:rsidRPr="00B81273" w:rsidRDefault="005839BC">
      <w:pPr>
        <w:pStyle w:val="TableofFigures"/>
        <w:rPr>
          <w:rFonts w:asciiTheme="majorHAnsi" w:eastAsiaTheme="minorEastAsia" w:hAnsiTheme="majorHAnsi" w:cstheme="minorBidi"/>
          <w:lang w:eastAsia="en-AU"/>
        </w:rPr>
      </w:pPr>
      <w:hyperlink w:anchor="_Toc383424636" w:history="1">
        <w:r w:rsidR="00B81273" w:rsidRPr="00B81273">
          <w:rPr>
            <w:rStyle w:val="Hyperlink"/>
            <w:rFonts w:asciiTheme="majorHAnsi" w:hAnsiTheme="majorHAnsi"/>
          </w:rPr>
          <w:t>Table E.5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Assumptions used in the follow-up and treatment cost analysis.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119</w:t>
        </w:r>
        <w:r w:rsidR="00B81273" w:rsidRPr="00B81273">
          <w:rPr>
            <w:rFonts w:asciiTheme="majorHAnsi" w:hAnsiTheme="majorHAnsi"/>
            <w:webHidden/>
          </w:rPr>
          <w:fldChar w:fldCharType="end"/>
        </w:r>
      </w:hyperlink>
    </w:p>
    <w:p w14:paraId="16DF3554" w14:textId="77777777" w:rsidR="00B81273" w:rsidRPr="00B81273" w:rsidRDefault="005839BC">
      <w:pPr>
        <w:pStyle w:val="TableofFigures"/>
        <w:rPr>
          <w:rFonts w:asciiTheme="majorHAnsi" w:eastAsiaTheme="minorEastAsia" w:hAnsiTheme="majorHAnsi" w:cstheme="minorBidi"/>
          <w:lang w:eastAsia="en-AU"/>
        </w:rPr>
      </w:pPr>
      <w:hyperlink w:anchor="_Toc383424637" w:history="1">
        <w:r w:rsidR="00B81273" w:rsidRPr="00B81273">
          <w:rPr>
            <w:rStyle w:val="Hyperlink"/>
            <w:rFonts w:asciiTheme="majorHAnsi" w:hAnsiTheme="majorHAnsi"/>
          </w:rPr>
          <w:t>Table E.6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Use of MBS items 63464 and 63467, July 2009 – June 2013.</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119</w:t>
        </w:r>
        <w:r w:rsidR="00B81273" w:rsidRPr="00B81273">
          <w:rPr>
            <w:rFonts w:asciiTheme="majorHAnsi" w:hAnsiTheme="majorHAnsi"/>
            <w:webHidden/>
          </w:rPr>
          <w:fldChar w:fldCharType="end"/>
        </w:r>
      </w:hyperlink>
    </w:p>
    <w:p w14:paraId="0C0DA359" w14:textId="77777777" w:rsidR="00B81273" w:rsidRPr="00B81273" w:rsidRDefault="005839BC">
      <w:pPr>
        <w:pStyle w:val="TableofFigures"/>
        <w:rPr>
          <w:rFonts w:asciiTheme="majorHAnsi" w:eastAsiaTheme="minorEastAsia" w:hAnsiTheme="majorHAnsi" w:cstheme="minorBidi"/>
          <w:lang w:eastAsia="en-AU"/>
        </w:rPr>
      </w:pPr>
      <w:hyperlink w:anchor="_Toc383424638" w:history="1">
        <w:r w:rsidR="00B81273" w:rsidRPr="00B81273">
          <w:rPr>
            <w:rStyle w:val="Hyperlink"/>
            <w:rFonts w:asciiTheme="majorHAnsi" w:hAnsiTheme="majorHAnsi"/>
          </w:rPr>
          <w:t>Table E.7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Estimation of the number of women with gene mutations or family history who receive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120</w:t>
        </w:r>
        <w:r w:rsidR="00B81273" w:rsidRPr="00B81273">
          <w:rPr>
            <w:rFonts w:asciiTheme="majorHAnsi" w:hAnsiTheme="majorHAnsi"/>
            <w:webHidden/>
          </w:rPr>
          <w:fldChar w:fldCharType="end"/>
        </w:r>
      </w:hyperlink>
    </w:p>
    <w:p w14:paraId="024039EB" w14:textId="77777777" w:rsidR="00B81273" w:rsidRPr="00B81273" w:rsidRDefault="005839BC">
      <w:pPr>
        <w:pStyle w:val="TableofFigures"/>
        <w:rPr>
          <w:rFonts w:asciiTheme="majorHAnsi" w:eastAsiaTheme="minorEastAsia" w:hAnsiTheme="majorHAnsi" w:cstheme="minorBidi"/>
          <w:lang w:eastAsia="en-AU"/>
        </w:rPr>
      </w:pPr>
      <w:hyperlink w:anchor="_Toc383424639" w:history="1">
        <w:r w:rsidR="00B81273" w:rsidRPr="00B81273">
          <w:rPr>
            <w:rStyle w:val="Hyperlink"/>
            <w:rFonts w:asciiTheme="majorHAnsi" w:hAnsiTheme="majorHAnsi"/>
          </w:rPr>
          <w:t>Table E.8 Estimation of the number of women with prior history of invasive breast cancer who receive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_Toc383424639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121</w:t>
        </w:r>
        <w:r w:rsidR="00B81273" w:rsidRPr="00B81273">
          <w:rPr>
            <w:rFonts w:asciiTheme="majorHAnsi" w:hAnsiTheme="majorHAnsi"/>
            <w:webHidden/>
          </w:rPr>
          <w:fldChar w:fldCharType="end"/>
        </w:r>
      </w:hyperlink>
    </w:p>
    <w:p w14:paraId="74FAA2C4" w14:textId="77777777" w:rsidR="00B81273" w:rsidRPr="00B81273" w:rsidRDefault="005839BC">
      <w:pPr>
        <w:pStyle w:val="TableofFigures"/>
        <w:rPr>
          <w:rFonts w:asciiTheme="majorHAnsi" w:eastAsiaTheme="minorEastAsia" w:hAnsiTheme="majorHAnsi" w:cstheme="minorBidi"/>
          <w:lang w:eastAsia="en-AU"/>
        </w:rPr>
      </w:pPr>
      <w:hyperlink w:anchor="_Toc383424640" w:history="1">
        <w:r w:rsidR="00B81273" w:rsidRPr="00B81273">
          <w:rPr>
            <w:rStyle w:val="Hyperlink"/>
            <w:rFonts w:asciiTheme="majorHAnsi" w:hAnsiTheme="majorHAnsi"/>
          </w:rPr>
          <w:t>Table E.9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Estimation of the number of women with prior history of DCIS or LCIS who receive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122</w:t>
        </w:r>
        <w:r w:rsidR="00B81273" w:rsidRPr="00B81273">
          <w:rPr>
            <w:rFonts w:asciiTheme="majorHAnsi" w:hAnsiTheme="majorHAnsi"/>
            <w:webHidden/>
          </w:rPr>
          <w:fldChar w:fldCharType="end"/>
        </w:r>
      </w:hyperlink>
    </w:p>
    <w:p w14:paraId="4E433476" w14:textId="77777777" w:rsidR="00B81273" w:rsidRPr="00B81273" w:rsidRDefault="005839BC">
      <w:pPr>
        <w:pStyle w:val="TableofFigures"/>
        <w:rPr>
          <w:rFonts w:asciiTheme="majorHAnsi" w:eastAsiaTheme="minorEastAsia" w:hAnsiTheme="majorHAnsi" w:cstheme="minorBidi"/>
          <w:lang w:eastAsia="en-AU"/>
        </w:rPr>
      </w:pPr>
      <w:hyperlink w:anchor="_Toc383424641" w:history="1">
        <w:r w:rsidR="00B81273" w:rsidRPr="00B81273">
          <w:rPr>
            <w:rStyle w:val="Hyperlink"/>
            <w:rFonts w:asciiTheme="majorHAnsi" w:hAnsiTheme="majorHAnsi"/>
          </w:rPr>
          <w:t>Table E.10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Estimation of the number of women with prior history of chest irradiation who receive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123</w:t>
        </w:r>
        <w:r w:rsidR="00B81273" w:rsidRPr="00B81273">
          <w:rPr>
            <w:rFonts w:asciiTheme="majorHAnsi" w:hAnsiTheme="majorHAnsi"/>
            <w:webHidden/>
          </w:rPr>
          <w:fldChar w:fldCharType="end"/>
        </w:r>
      </w:hyperlink>
    </w:p>
    <w:p w14:paraId="03407BFF" w14:textId="77777777" w:rsidR="00B81273" w:rsidRPr="00B81273" w:rsidRDefault="005839BC">
      <w:pPr>
        <w:pStyle w:val="TableofFigures"/>
        <w:rPr>
          <w:rFonts w:asciiTheme="majorHAnsi" w:eastAsiaTheme="minorEastAsia" w:hAnsiTheme="majorHAnsi" w:cstheme="minorBidi"/>
          <w:lang w:eastAsia="en-AU"/>
        </w:rPr>
      </w:pPr>
      <w:hyperlink w:anchor="_Toc383424642" w:history="1">
        <w:r w:rsidR="00B81273" w:rsidRPr="00B81273">
          <w:rPr>
            <w:rStyle w:val="Hyperlink"/>
            <w:rFonts w:asciiTheme="majorHAnsi" w:hAnsiTheme="majorHAnsi"/>
          </w:rPr>
          <w:t>Table E.11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Average benefit per service for the breast MRI interim items (FY 2009–FY 2013).</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123</w:t>
        </w:r>
        <w:r w:rsidR="00B81273" w:rsidRPr="00B81273">
          <w:rPr>
            <w:rFonts w:asciiTheme="majorHAnsi" w:hAnsiTheme="majorHAnsi"/>
            <w:webHidden/>
          </w:rPr>
          <w:fldChar w:fldCharType="end"/>
        </w:r>
      </w:hyperlink>
    </w:p>
    <w:p w14:paraId="5BE1930B" w14:textId="77777777" w:rsidR="00B81273" w:rsidRPr="00B81273" w:rsidRDefault="005839BC">
      <w:pPr>
        <w:pStyle w:val="TableofFigures"/>
        <w:rPr>
          <w:rFonts w:asciiTheme="majorHAnsi" w:eastAsiaTheme="minorEastAsia" w:hAnsiTheme="majorHAnsi" w:cstheme="minorBidi"/>
          <w:lang w:eastAsia="en-AU"/>
        </w:rPr>
      </w:pPr>
      <w:hyperlink w:anchor="_Toc383424643" w:history="1">
        <w:r w:rsidR="00B81273" w:rsidRPr="00B81273">
          <w:rPr>
            <w:rStyle w:val="Hyperlink"/>
            <w:rFonts w:asciiTheme="majorHAnsi" w:hAnsiTheme="majorHAnsi"/>
          </w:rPr>
          <w:t>Table E.12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Numbers of women in the four populations who receive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123</w:t>
        </w:r>
        <w:r w:rsidR="00B81273" w:rsidRPr="00B81273">
          <w:rPr>
            <w:rFonts w:asciiTheme="majorHAnsi" w:hAnsiTheme="majorHAnsi"/>
            <w:webHidden/>
          </w:rPr>
          <w:fldChar w:fldCharType="end"/>
        </w:r>
      </w:hyperlink>
    </w:p>
    <w:p w14:paraId="77D2E9AF" w14:textId="77777777" w:rsidR="00B81273" w:rsidRPr="00B81273" w:rsidRDefault="005839BC">
      <w:pPr>
        <w:pStyle w:val="TableofFigures"/>
        <w:rPr>
          <w:rFonts w:asciiTheme="majorHAnsi" w:eastAsiaTheme="minorEastAsia" w:hAnsiTheme="majorHAnsi" w:cstheme="minorBidi"/>
          <w:lang w:eastAsia="en-AU"/>
        </w:rPr>
      </w:pPr>
      <w:hyperlink w:anchor="_Toc383424644" w:history="1">
        <w:r w:rsidR="00B81273" w:rsidRPr="00B81273">
          <w:rPr>
            <w:rStyle w:val="Hyperlink"/>
            <w:rFonts w:asciiTheme="majorHAnsi" w:hAnsiTheme="majorHAnsi"/>
          </w:rPr>
          <w:t>Table E.13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Estimated cost of initial MRI in the requested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124</w:t>
        </w:r>
        <w:r w:rsidR="00B81273" w:rsidRPr="00B81273">
          <w:rPr>
            <w:rFonts w:asciiTheme="majorHAnsi" w:hAnsiTheme="majorHAnsi"/>
            <w:webHidden/>
          </w:rPr>
          <w:fldChar w:fldCharType="end"/>
        </w:r>
      </w:hyperlink>
    </w:p>
    <w:p w14:paraId="715BC380" w14:textId="77777777" w:rsidR="00B81273" w:rsidRPr="00B81273" w:rsidRDefault="005839BC">
      <w:pPr>
        <w:pStyle w:val="TableofFigures"/>
        <w:rPr>
          <w:rFonts w:asciiTheme="majorHAnsi" w:eastAsiaTheme="minorEastAsia" w:hAnsiTheme="majorHAnsi" w:cstheme="minorBidi"/>
          <w:lang w:eastAsia="en-AU"/>
        </w:rPr>
      </w:pPr>
      <w:hyperlink w:anchor="_Toc383424645" w:history="1">
        <w:r w:rsidR="00B81273" w:rsidRPr="00B81273">
          <w:rPr>
            <w:rStyle w:val="Hyperlink"/>
            <w:rFonts w:asciiTheme="majorHAnsi" w:hAnsiTheme="majorHAnsi"/>
          </w:rPr>
          <w:t>Table E.14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Number of women in the four populations who have a follow-up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124</w:t>
        </w:r>
        <w:r w:rsidR="00B81273" w:rsidRPr="00B81273">
          <w:rPr>
            <w:rFonts w:asciiTheme="majorHAnsi" w:hAnsiTheme="majorHAnsi"/>
            <w:webHidden/>
          </w:rPr>
          <w:fldChar w:fldCharType="end"/>
        </w:r>
      </w:hyperlink>
    </w:p>
    <w:p w14:paraId="6867F91D" w14:textId="77777777" w:rsidR="00B81273" w:rsidRPr="00B81273" w:rsidRDefault="005839BC">
      <w:pPr>
        <w:pStyle w:val="TableofFigures"/>
        <w:rPr>
          <w:rFonts w:asciiTheme="majorHAnsi" w:eastAsiaTheme="minorEastAsia" w:hAnsiTheme="majorHAnsi" w:cstheme="minorBidi"/>
          <w:lang w:eastAsia="en-AU"/>
        </w:rPr>
      </w:pPr>
      <w:hyperlink w:anchor="_Toc383424646" w:history="1">
        <w:r w:rsidR="00B81273" w:rsidRPr="00B81273">
          <w:rPr>
            <w:rStyle w:val="Hyperlink"/>
            <w:rFonts w:asciiTheme="majorHAnsi" w:hAnsiTheme="majorHAnsi"/>
          </w:rPr>
          <w:t>Table E.15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Estimated cost of follow-up MRI in the requested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124</w:t>
        </w:r>
        <w:r w:rsidR="00B81273" w:rsidRPr="00B81273">
          <w:rPr>
            <w:rFonts w:asciiTheme="majorHAnsi" w:hAnsiTheme="majorHAnsi"/>
            <w:webHidden/>
          </w:rPr>
          <w:fldChar w:fldCharType="end"/>
        </w:r>
      </w:hyperlink>
    </w:p>
    <w:p w14:paraId="77CCB1DC" w14:textId="77777777" w:rsidR="00B81273" w:rsidRPr="00B81273" w:rsidRDefault="005839BC">
      <w:pPr>
        <w:pStyle w:val="TableofFigures"/>
        <w:rPr>
          <w:rFonts w:asciiTheme="majorHAnsi" w:eastAsiaTheme="minorEastAsia" w:hAnsiTheme="majorHAnsi" w:cstheme="minorBidi"/>
          <w:lang w:eastAsia="en-AU"/>
        </w:rPr>
      </w:pPr>
      <w:hyperlink w:anchor="_Toc383424647" w:history="1">
        <w:r w:rsidR="00B81273" w:rsidRPr="00B81273">
          <w:rPr>
            <w:rStyle w:val="Hyperlink"/>
            <w:rFonts w:asciiTheme="majorHAnsi" w:hAnsiTheme="majorHAnsi"/>
          </w:rPr>
          <w:t>Table E.16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estimated cost of MRI in the requested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125</w:t>
        </w:r>
        <w:r w:rsidR="00B81273" w:rsidRPr="00B81273">
          <w:rPr>
            <w:rFonts w:asciiTheme="majorHAnsi" w:hAnsiTheme="majorHAnsi"/>
            <w:webHidden/>
          </w:rPr>
          <w:fldChar w:fldCharType="end"/>
        </w:r>
      </w:hyperlink>
    </w:p>
    <w:p w14:paraId="02D04D72" w14:textId="77777777" w:rsidR="00B81273" w:rsidRPr="00B81273" w:rsidRDefault="005839BC">
      <w:pPr>
        <w:pStyle w:val="TableofFigures"/>
        <w:rPr>
          <w:rFonts w:asciiTheme="majorHAnsi" w:eastAsiaTheme="minorEastAsia" w:hAnsiTheme="majorHAnsi" w:cstheme="minorBidi"/>
          <w:lang w:eastAsia="en-AU"/>
        </w:rPr>
      </w:pPr>
      <w:hyperlink w:anchor="_Toc383424648" w:history="1">
        <w:r w:rsidR="00B81273" w:rsidRPr="00B81273">
          <w:rPr>
            <w:rStyle w:val="Hyperlink"/>
            <w:rFonts w:asciiTheme="majorHAnsi" w:hAnsiTheme="majorHAnsi"/>
          </w:rPr>
          <w:t>Table E.17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of specialist attendance with initial MRI in the requested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125</w:t>
        </w:r>
        <w:r w:rsidR="00B81273" w:rsidRPr="00B81273">
          <w:rPr>
            <w:rFonts w:asciiTheme="majorHAnsi" w:hAnsiTheme="majorHAnsi"/>
            <w:webHidden/>
          </w:rPr>
          <w:fldChar w:fldCharType="end"/>
        </w:r>
      </w:hyperlink>
    </w:p>
    <w:p w14:paraId="0C37BFF2" w14:textId="77777777" w:rsidR="00B81273" w:rsidRPr="00B81273" w:rsidRDefault="005839BC">
      <w:pPr>
        <w:pStyle w:val="TableofFigures"/>
        <w:rPr>
          <w:rFonts w:asciiTheme="majorHAnsi" w:eastAsiaTheme="minorEastAsia" w:hAnsiTheme="majorHAnsi" w:cstheme="minorBidi"/>
          <w:lang w:eastAsia="en-AU"/>
        </w:rPr>
      </w:pPr>
      <w:hyperlink w:anchor="_Toc383424649" w:history="1">
        <w:r w:rsidR="00B81273" w:rsidRPr="00B81273">
          <w:rPr>
            <w:rStyle w:val="Hyperlink"/>
            <w:rFonts w:asciiTheme="majorHAnsi" w:hAnsiTheme="majorHAnsi"/>
          </w:rPr>
          <w:t>Table E.18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Cost of specialist attendance with follow-up MRI in the requested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_Toc383424649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126</w:t>
        </w:r>
        <w:r w:rsidR="00B81273" w:rsidRPr="00B81273">
          <w:rPr>
            <w:rFonts w:asciiTheme="majorHAnsi" w:hAnsiTheme="majorHAnsi"/>
            <w:webHidden/>
          </w:rPr>
          <w:fldChar w:fldCharType="end"/>
        </w:r>
      </w:hyperlink>
    </w:p>
    <w:p w14:paraId="51CB5CDD" w14:textId="77777777" w:rsidR="00B81273" w:rsidRPr="00B81273" w:rsidRDefault="005839BC">
      <w:pPr>
        <w:pStyle w:val="TableofFigures"/>
        <w:rPr>
          <w:rFonts w:asciiTheme="majorHAnsi" w:eastAsiaTheme="minorEastAsia" w:hAnsiTheme="majorHAnsi" w:cstheme="minorBidi"/>
          <w:lang w:eastAsia="en-AU"/>
        </w:rPr>
      </w:pPr>
      <w:hyperlink w:anchor="_Toc383424650" w:history="1">
        <w:r w:rsidR="00B81273" w:rsidRPr="00B81273">
          <w:rPr>
            <w:rStyle w:val="Hyperlink"/>
            <w:rFonts w:asciiTheme="majorHAnsi" w:hAnsiTheme="majorHAnsi"/>
          </w:rPr>
          <w:t>Table E.19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estimated cost of specialist attendance with MRI in the requested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126</w:t>
        </w:r>
        <w:r w:rsidR="00B81273" w:rsidRPr="00B81273">
          <w:rPr>
            <w:rFonts w:asciiTheme="majorHAnsi" w:hAnsiTheme="majorHAnsi"/>
            <w:webHidden/>
          </w:rPr>
          <w:fldChar w:fldCharType="end"/>
        </w:r>
      </w:hyperlink>
    </w:p>
    <w:p w14:paraId="01B672BB" w14:textId="77777777" w:rsidR="00B81273" w:rsidRPr="00B81273" w:rsidRDefault="005839BC">
      <w:pPr>
        <w:pStyle w:val="TableofFigures"/>
        <w:rPr>
          <w:rFonts w:asciiTheme="majorHAnsi" w:eastAsiaTheme="minorEastAsia" w:hAnsiTheme="majorHAnsi" w:cstheme="minorBidi"/>
          <w:lang w:eastAsia="en-AU"/>
        </w:rPr>
      </w:pPr>
      <w:hyperlink w:anchor="_Toc383424651" w:history="1">
        <w:r w:rsidR="00B81273" w:rsidRPr="00B81273">
          <w:rPr>
            <w:rStyle w:val="Hyperlink"/>
            <w:rFonts w:asciiTheme="majorHAnsi" w:hAnsiTheme="majorHAnsi"/>
          </w:rPr>
          <w:t>Table E.20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Number of women for who breast MRI replaces ultrasound.</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126</w:t>
        </w:r>
        <w:r w:rsidR="00B81273" w:rsidRPr="00B81273">
          <w:rPr>
            <w:rFonts w:asciiTheme="majorHAnsi" w:hAnsiTheme="majorHAnsi"/>
            <w:webHidden/>
          </w:rPr>
          <w:fldChar w:fldCharType="end"/>
        </w:r>
      </w:hyperlink>
    </w:p>
    <w:p w14:paraId="4F5C1C11" w14:textId="77777777" w:rsidR="00B81273" w:rsidRPr="00B81273" w:rsidRDefault="005839BC">
      <w:pPr>
        <w:pStyle w:val="TableofFigures"/>
        <w:rPr>
          <w:rFonts w:asciiTheme="majorHAnsi" w:eastAsiaTheme="minorEastAsia" w:hAnsiTheme="majorHAnsi" w:cstheme="minorBidi"/>
          <w:lang w:eastAsia="en-AU"/>
        </w:rPr>
      </w:pPr>
      <w:hyperlink w:anchor="_Toc383424652" w:history="1">
        <w:r w:rsidR="00B81273" w:rsidRPr="00B81273">
          <w:rPr>
            <w:rStyle w:val="Hyperlink"/>
            <w:rFonts w:asciiTheme="majorHAnsi" w:hAnsiTheme="majorHAnsi"/>
          </w:rPr>
          <w:t>Table E.21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saving from replacement of ultrasound with MRI in the requested populations.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127</w:t>
        </w:r>
        <w:r w:rsidR="00B81273" w:rsidRPr="00B81273">
          <w:rPr>
            <w:rFonts w:asciiTheme="majorHAnsi" w:hAnsiTheme="majorHAnsi"/>
            <w:webHidden/>
          </w:rPr>
          <w:fldChar w:fldCharType="end"/>
        </w:r>
      </w:hyperlink>
    </w:p>
    <w:p w14:paraId="1BAD917F" w14:textId="77777777" w:rsidR="00B81273" w:rsidRPr="00B81273" w:rsidRDefault="005839BC">
      <w:pPr>
        <w:pStyle w:val="TableofFigures"/>
        <w:rPr>
          <w:rFonts w:asciiTheme="majorHAnsi" w:eastAsiaTheme="minorEastAsia" w:hAnsiTheme="majorHAnsi" w:cstheme="minorBidi"/>
          <w:lang w:eastAsia="en-AU"/>
        </w:rPr>
      </w:pPr>
      <w:hyperlink w:anchor="_Toc383424653" w:history="1">
        <w:r w:rsidR="00B81273" w:rsidRPr="00B81273">
          <w:rPr>
            <w:rStyle w:val="Hyperlink"/>
            <w:rFonts w:asciiTheme="majorHAnsi" w:hAnsiTheme="majorHAnsi"/>
          </w:rPr>
          <w:t>Table E.22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Number of additional positive findings with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127</w:t>
        </w:r>
        <w:r w:rsidR="00B81273" w:rsidRPr="00B81273">
          <w:rPr>
            <w:rFonts w:asciiTheme="majorHAnsi" w:hAnsiTheme="majorHAnsi"/>
            <w:webHidden/>
          </w:rPr>
          <w:fldChar w:fldCharType="end"/>
        </w:r>
      </w:hyperlink>
    </w:p>
    <w:p w14:paraId="6CB36D08" w14:textId="77777777" w:rsidR="00B81273" w:rsidRPr="00B81273" w:rsidRDefault="005839BC">
      <w:pPr>
        <w:pStyle w:val="TableofFigures"/>
        <w:rPr>
          <w:rFonts w:asciiTheme="majorHAnsi" w:eastAsiaTheme="minorEastAsia" w:hAnsiTheme="majorHAnsi" w:cstheme="minorBidi"/>
          <w:lang w:eastAsia="en-AU"/>
        </w:rPr>
      </w:pPr>
      <w:hyperlink w:anchor="_Toc383424654" w:history="1">
        <w:r w:rsidR="00B81273" w:rsidRPr="00B81273">
          <w:rPr>
            <w:rStyle w:val="Hyperlink"/>
            <w:rFonts w:asciiTheme="majorHAnsi" w:hAnsiTheme="majorHAnsi"/>
          </w:rPr>
          <w:t>Table E.23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Breakdown of the included costs for biopsy procedure.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128</w:t>
        </w:r>
        <w:r w:rsidR="00B81273" w:rsidRPr="00B81273">
          <w:rPr>
            <w:rFonts w:asciiTheme="majorHAnsi" w:hAnsiTheme="majorHAnsi"/>
            <w:webHidden/>
          </w:rPr>
          <w:fldChar w:fldCharType="end"/>
        </w:r>
      </w:hyperlink>
    </w:p>
    <w:p w14:paraId="3A6AB914" w14:textId="77777777" w:rsidR="00B81273" w:rsidRPr="00B81273" w:rsidRDefault="005839BC">
      <w:pPr>
        <w:pStyle w:val="TableofFigures"/>
        <w:rPr>
          <w:rFonts w:asciiTheme="majorHAnsi" w:eastAsiaTheme="minorEastAsia" w:hAnsiTheme="majorHAnsi" w:cstheme="minorBidi"/>
          <w:lang w:eastAsia="en-AU"/>
        </w:rPr>
      </w:pPr>
      <w:hyperlink w:anchor="_Toc383424655" w:history="1">
        <w:r w:rsidR="00B81273" w:rsidRPr="00B81273">
          <w:rPr>
            <w:rStyle w:val="Hyperlink"/>
            <w:rFonts w:asciiTheme="majorHAnsi" w:hAnsiTheme="majorHAnsi"/>
          </w:rPr>
          <w:t>Table E.24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of additional biopsies with breast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128</w:t>
        </w:r>
        <w:r w:rsidR="00B81273" w:rsidRPr="00B81273">
          <w:rPr>
            <w:rFonts w:asciiTheme="majorHAnsi" w:hAnsiTheme="majorHAnsi"/>
            <w:webHidden/>
          </w:rPr>
          <w:fldChar w:fldCharType="end"/>
        </w:r>
      </w:hyperlink>
    </w:p>
    <w:p w14:paraId="2B4B00C5" w14:textId="77777777" w:rsidR="00B81273" w:rsidRPr="00B81273" w:rsidRDefault="005839BC">
      <w:pPr>
        <w:pStyle w:val="TableofFigures"/>
        <w:rPr>
          <w:rFonts w:asciiTheme="majorHAnsi" w:eastAsiaTheme="minorEastAsia" w:hAnsiTheme="majorHAnsi" w:cstheme="minorBidi"/>
          <w:lang w:eastAsia="en-AU"/>
        </w:rPr>
      </w:pPr>
      <w:hyperlink w:anchor="_Toc383424656" w:history="1">
        <w:r w:rsidR="00B81273" w:rsidRPr="00B81273">
          <w:rPr>
            <w:rStyle w:val="Hyperlink"/>
            <w:rFonts w:asciiTheme="majorHAnsi" w:hAnsiTheme="majorHAnsi"/>
          </w:rPr>
          <w:t>Table E.25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Number of additional women in the four populations who receive treatment for breast cancer.</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129</w:t>
        </w:r>
        <w:r w:rsidR="00B81273" w:rsidRPr="00B81273">
          <w:rPr>
            <w:rFonts w:asciiTheme="majorHAnsi" w:hAnsiTheme="majorHAnsi"/>
            <w:webHidden/>
          </w:rPr>
          <w:fldChar w:fldCharType="end"/>
        </w:r>
      </w:hyperlink>
    </w:p>
    <w:p w14:paraId="77694A7F" w14:textId="77777777" w:rsidR="00B81273" w:rsidRPr="00B81273" w:rsidRDefault="005839BC">
      <w:pPr>
        <w:pStyle w:val="TableofFigures"/>
        <w:rPr>
          <w:rFonts w:asciiTheme="majorHAnsi" w:eastAsiaTheme="minorEastAsia" w:hAnsiTheme="majorHAnsi" w:cstheme="minorBidi"/>
          <w:lang w:eastAsia="en-AU"/>
        </w:rPr>
      </w:pPr>
      <w:hyperlink w:anchor="_Toc383424657" w:history="1">
        <w:r w:rsidR="00B81273" w:rsidRPr="00B81273">
          <w:rPr>
            <w:rStyle w:val="Hyperlink"/>
            <w:rFonts w:asciiTheme="majorHAnsi" w:hAnsiTheme="majorHAnsi"/>
          </w:rPr>
          <w:t>Table E.26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Breakdown of the included MBS costs for breast cancer treatment.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129</w:t>
        </w:r>
        <w:r w:rsidR="00B81273" w:rsidRPr="00B81273">
          <w:rPr>
            <w:rFonts w:asciiTheme="majorHAnsi" w:hAnsiTheme="majorHAnsi"/>
            <w:webHidden/>
          </w:rPr>
          <w:fldChar w:fldCharType="end"/>
        </w:r>
      </w:hyperlink>
    </w:p>
    <w:p w14:paraId="1D5BEE8A" w14:textId="77777777" w:rsidR="00B81273" w:rsidRPr="00B81273" w:rsidRDefault="005839BC">
      <w:pPr>
        <w:pStyle w:val="TableofFigures"/>
        <w:rPr>
          <w:rFonts w:asciiTheme="majorHAnsi" w:eastAsiaTheme="minorEastAsia" w:hAnsiTheme="majorHAnsi" w:cstheme="minorBidi"/>
          <w:lang w:eastAsia="en-AU"/>
        </w:rPr>
      </w:pPr>
      <w:hyperlink w:anchor="_Toc383424658" w:history="1">
        <w:r w:rsidR="00B81273" w:rsidRPr="00B81273">
          <w:rPr>
            <w:rStyle w:val="Hyperlink"/>
            <w:rFonts w:asciiTheme="majorHAnsi" w:hAnsiTheme="majorHAnsi"/>
          </w:rPr>
          <w:t>Table E.27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the MBS of treatment of additional breast cancers identified by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130</w:t>
        </w:r>
        <w:r w:rsidR="00B81273" w:rsidRPr="00B81273">
          <w:rPr>
            <w:rFonts w:asciiTheme="majorHAnsi" w:hAnsiTheme="majorHAnsi"/>
            <w:webHidden/>
          </w:rPr>
          <w:fldChar w:fldCharType="end"/>
        </w:r>
      </w:hyperlink>
    </w:p>
    <w:p w14:paraId="6ADAD61C" w14:textId="77777777" w:rsidR="00B81273" w:rsidRPr="00B81273" w:rsidRDefault="005839BC">
      <w:pPr>
        <w:pStyle w:val="TableofFigures"/>
        <w:rPr>
          <w:rFonts w:asciiTheme="majorHAnsi" w:eastAsiaTheme="minorEastAsia" w:hAnsiTheme="majorHAnsi" w:cstheme="minorBidi"/>
          <w:lang w:eastAsia="en-AU"/>
        </w:rPr>
      </w:pPr>
      <w:hyperlink w:anchor="_Toc383424659" w:history="1">
        <w:r w:rsidR="00B81273" w:rsidRPr="00B81273">
          <w:rPr>
            <w:rStyle w:val="Hyperlink"/>
            <w:rFonts w:asciiTheme="majorHAnsi" w:hAnsiTheme="majorHAnsi"/>
          </w:rPr>
          <w:t>Table E.28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the MBS of the requested listing.</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_Toc383424659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130</w:t>
        </w:r>
        <w:r w:rsidR="00B81273" w:rsidRPr="00B81273">
          <w:rPr>
            <w:rFonts w:asciiTheme="majorHAnsi" w:hAnsiTheme="majorHAnsi"/>
            <w:webHidden/>
          </w:rPr>
          <w:fldChar w:fldCharType="end"/>
        </w:r>
      </w:hyperlink>
    </w:p>
    <w:p w14:paraId="6854CFEE" w14:textId="77777777" w:rsidR="00B81273" w:rsidRPr="00B81273" w:rsidRDefault="005839BC">
      <w:pPr>
        <w:pStyle w:val="TableofFigures"/>
        <w:rPr>
          <w:rFonts w:asciiTheme="majorHAnsi" w:eastAsiaTheme="minorEastAsia" w:hAnsiTheme="majorHAnsi" w:cstheme="minorBidi"/>
          <w:lang w:eastAsia="en-AU"/>
        </w:rPr>
      </w:pPr>
      <w:hyperlink w:anchor="_Toc383424660" w:history="1">
        <w:r w:rsidR="00B81273" w:rsidRPr="00B81273">
          <w:rPr>
            <w:rStyle w:val="Hyperlink"/>
            <w:rFonts w:asciiTheme="majorHAnsi" w:hAnsiTheme="majorHAnsi"/>
          </w:rPr>
          <w:t>Table E.29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Breakdown of the included PBS costs for breast cancer treatment.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130</w:t>
        </w:r>
        <w:r w:rsidR="00B81273" w:rsidRPr="00B81273">
          <w:rPr>
            <w:rFonts w:asciiTheme="majorHAnsi" w:hAnsiTheme="majorHAnsi"/>
            <w:webHidden/>
          </w:rPr>
          <w:fldChar w:fldCharType="end"/>
        </w:r>
      </w:hyperlink>
    </w:p>
    <w:p w14:paraId="18B9BC8C" w14:textId="77777777" w:rsidR="00B81273" w:rsidRPr="00B81273" w:rsidRDefault="005839BC">
      <w:pPr>
        <w:pStyle w:val="TableofFigures"/>
        <w:rPr>
          <w:rFonts w:asciiTheme="majorHAnsi" w:eastAsiaTheme="minorEastAsia" w:hAnsiTheme="majorHAnsi" w:cstheme="minorBidi"/>
          <w:lang w:eastAsia="en-AU"/>
        </w:rPr>
      </w:pPr>
      <w:hyperlink w:anchor="_Toc383424661" w:history="1">
        <w:r w:rsidR="00B81273" w:rsidRPr="00B81273">
          <w:rPr>
            <w:rStyle w:val="Hyperlink"/>
            <w:rFonts w:asciiTheme="majorHAnsi" w:hAnsiTheme="majorHAnsi"/>
          </w:rPr>
          <w:t>Table E.30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the PBS of treatment of additional breast cancers identified by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131</w:t>
        </w:r>
        <w:r w:rsidR="00B81273" w:rsidRPr="00B81273">
          <w:rPr>
            <w:rFonts w:asciiTheme="majorHAnsi" w:hAnsiTheme="majorHAnsi"/>
            <w:webHidden/>
          </w:rPr>
          <w:fldChar w:fldCharType="end"/>
        </w:r>
      </w:hyperlink>
    </w:p>
    <w:p w14:paraId="28830D98" w14:textId="77777777" w:rsidR="00B81273" w:rsidRPr="00B81273" w:rsidRDefault="005839BC">
      <w:pPr>
        <w:pStyle w:val="TableofFigures"/>
        <w:rPr>
          <w:rFonts w:asciiTheme="majorHAnsi" w:eastAsiaTheme="minorEastAsia" w:hAnsiTheme="majorHAnsi" w:cstheme="minorBidi"/>
          <w:lang w:eastAsia="en-AU"/>
        </w:rPr>
      </w:pPr>
      <w:hyperlink w:anchor="_Toc383424662" w:history="1">
        <w:r w:rsidR="00B81273" w:rsidRPr="00B81273">
          <w:rPr>
            <w:rStyle w:val="Hyperlink"/>
            <w:rFonts w:asciiTheme="majorHAnsi" w:hAnsiTheme="majorHAnsi"/>
          </w:rPr>
          <w:t>Table E.31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costs to state and territory governments for treatment of additional breast cancers identified by MRI.</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132</w:t>
        </w:r>
        <w:r w:rsidR="00B81273" w:rsidRPr="00B81273">
          <w:rPr>
            <w:rFonts w:asciiTheme="majorHAnsi" w:hAnsiTheme="majorHAnsi"/>
            <w:webHidden/>
          </w:rPr>
          <w:fldChar w:fldCharType="end"/>
        </w:r>
      </w:hyperlink>
    </w:p>
    <w:p w14:paraId="46AD45AD" w14:textId="77777777" w:rsidR="00B81273" w:rsidRPr="00B81273" w:rsidRDefault="005839BC">
      <w:pPr>
        <w:pStyle w:val="TableofFigures"/>
        <w:rPr>
          <w:rFonts w:asciiTheme="majorHAnsi" w:eastAsiaTheme="minorEastAsia" w:hAnsiTheme="majorHAnsi" w:cstheme="minorBidi"/>
          <w:lang w:eastAsia="en-AU"/>
        </w:rPr>
      </w:pPr>
      <w:hyperlink w:anchor="_Toc383424663" w:history="1">
        <w:r w:rsidR="00B81273" w:rsidRPr="00B81273">
          <w:rPr>
            <w:rStyle w:val="Hyperlink"/>
            <w:rFonts w:asciiTheme="majorHAnsi" w:hAnsiTheme="majorHAnsi"/>
          </w:rPr>
          <w:t>Table E.32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costs to government health budgets.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132</w:t>
        </w:r>
        <w:r w:rsidR="00B81273" w:rsidRPr="00B81273">
          <w:rPr>
            <w:rFonts w:asciiTheme="majorHAnsi" w:hAnsiTheme="majorHAnsi"/>
            <w:webHidden/>
          </w:rPr>
          <w:fldChar w:fldCharType="end"/>
        </w:r>
      </w:hyperlink>
    </w:p>
    <w:p w14:paraId="0056E64D" w14:textId="77777777" w:rsidR="00B81273" w:rsidRPr="00B81273" w:rsidRDefault="005839BC">
      <w:pPr>
        <w:pStyle w:val="TableofFigures"/>
        <w:rPr>
          <w:rFonts w:asciiTheme="majorHAnsi" w:eastAsiaTheme="minorEastAsia" w:hAnsiTheme="majorHAnsi" w:cstheme="minorBidi"/>
          <w:lang w:eastAsia="en-AU"/>
        </w:rPr>
      </w:pPr>
      <w:hyperlink w:anchor="_Toc383424664" w:history="1">
        <w:r w:rsidR="00B81273" w:rsidRPr="00B81273">
          <w:rPr>
            <w:rStyle w:val="Hyperlink"/>
            <w:rFonts w:asciiTheme="majorHAnsi" w:hAnsiTheme="majorHAnsi"/>
          </w:rPr>
          <w:t>Table E.33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Estimation of the number of women with gene mutations or family history who receive MRI using monthly use data.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133</w:t>
        </w:r>
        <w:r w:rsidR="00B81273" w:rsidRPr="00B81273">
          <w:rPr>
            <w:rFonts w:asciiTheme="majorHAnsi" w:hAnsiTheme="majorHAnsi"/>
            <w:webHidden/>
          </w:rPr>
          <w:fldChar w:fldCharType="end"/>
        </w:r>
      </w:hyperlink>
    </w:p>
    <w:p w14:paraId="20CDD365" w14:textId="77777777" w:rsidR="00B81273" w:rsidRPr="00B81273" w:rsidRDefault="005839BC">
      <w:pPr>
        <w:pStyle w:val="TableofFigures"/>
        <w:rPr>
          <w:rFonts w:asciiTheme="majorHAnsi" w:eastAsiaTheme="minorEastAsia" w:hAnsiTheme="majorHAnsi" w:cstheme="minorBidi"/>
          <w:lang w:eastAsia="en-AU"/>
        </w:rPr>
      </w:pPr>
      <w:hyperlink w:anchor="_Toc383424665" w:history="1">
        <w:r w:rsidR="00B81273" w:rsidRPr="00B81273">
          <w:rPr>
            <w:rStyle w:val="Hyperlink"/>
            <w:rFonts w:asciiTheme="majorHAnsi" w:hAnsiTheme="majorHAnsi"/>
          </w:rPr>
          <w:t>Table E.34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lang w:eastAsia="en-AU"/>
          </w:rPr>
          <w:t>Alternative uptake rates for breast MRI across 5 years.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133</w:t>
        </w:r>
        <w:r w:rsidR="00B81273" w:rsidRPr="00B81273">
          <w:rPr>
            <w:rFonts w:asciiTheme="majorHAnsi" w:hAnsiTheme="majorHAnsi"/>
            <w:webHidden/>
          </w:rPr>
          <w:fldChar w:fldCharType="end"/>
        </w:r>
      </w:hyperlink>
    </w:p>
    <w:p w14:paraId="13337EBF" w14:textId="77777777" w:rsidR="00B81273" w:rsidRPr="00B81273" w:rsidRDefault="005839BC">
      <w:pPr>
        <w:pStyle w:val="TableofFigures"/>
        <w:rPr>
          <w:rFonts w:asciiTheme="majorHAnsi" w:eastAsiaTheme="minorEastAsia" w:hAnsiTheme="majorHAnsi" w:cstheme="minorBidi"/>
          <w:lang w:eastAsia="en-AU"/>
        </w:rPr>
      </w:pPr>
      <w:hyperlink w:anchor="_Toc383424666" w:history="1">
        <w:r w:rsidR="00B81273" w:rsidRPr="00B81273">
          <w:rPr>
            <w:rStyle w:val="Hyperlink"/>
            <w:rFonts w:asciiTheme="majorHAnsi" w:hAnsiTheme="majorHAnsi"/>
          </w:rPr>
          <w:t>Table E.35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the MBS of the requested listing using alternative uptake rates.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133</w:t>
        </w:r>
        <w:r w:rsidR="00B81273" w:rsidRPr="00B81273">
          <w:rPr>
            <w:rFonts w:asciiTheme="majorHAnsi" w:hAnsiTheme="majorHAnsi"/>
            <w:webHidden/>
          </w:rPr>
          <w:fldChar w:fldCharType="end"/>
        </w:r>
      </w:hyperlink>
    </w:p>
    <w:p w14:paraId="399217F7" w14:textId="77777777" w:rsidR="00B81273" w:rsidRPr="00B81273" w:rsidRDefault="005839BC">
      <w:pPr>
        <w:pStyle w:val="TableofFigures"/>
        <w:rPr>
          <w:rFonts w:asciiTheme="majorHAnsi" w:eastAsiaTheme="minorEastAsia" w:hAnsiTheme="majorHAnsi" w:cstheme="minorBidi"/>
          <w:lang w:eastAsia="en-AU"/>
        </w:rPr>
      </w:pPr>
      <w:hyperlink w:anchor="_Toc383424667" w:history="1">
        <w:r w:rsidR="00B81273" w:rsidRPr="00B81273">
          <w:rPr>
            <w:rStyle w:val="Hyperlink"/>
            <w:rFonts w:asciiTheme="majorHAnsi" w:hAnsiTheme="majorHAnsi"/>
          </w:rPr>
          <w:t>Table E.36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government health budgets using alternative uptake rates.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134</w:t>
        </w:r>
        <w:r w:rsidR="00B81273" w:rsidRPr="00B81273">
          <w:rPr>
            <w:rFonts w:asciiTheme="majorHAnsi" w:hAnsiTheme="majorHAnsi"/>
            <w:webHidden/>
          </w:rPr>
          <w:fldChar w:fldCharType="end"/>
        </w:r>
      </w:hyperlink>
    </w:p>
    <w:p w14:paraId="34AE2983" w14:textId="77777777" w:rsidR="00B81273" w:rsidRPr="00B81273" w:rsidRDefault="005839BC">
      <w:pPr>
        <w:pStyle w:val="TableofFigures"/>
        <w:rPr>
          <w:rFonts w:asciiTheme="majorHAnsi" w:eastAsiaTheme="minorEastAsia" w:hAnsiTheme="majorHAnsi" w:cstheme="minorBidi"/>
          <w:lang w:eastAsia="en-AU"/>
        </w:rPr>
      </w:pPr>
      <w:hyperlink w:anchor="_Toc383424668" w:history="1">
        <w:r w:rsidR="00B81273" w:rsidRPr="00B81273">
          <w:rPr>
            <w:rStyle w:val="Hyperlink"/>
            <w:rFonts w:asciiTheme="majorHAnsi" w:hAnsiTheme="majorHAnsi"/>
          </w:rPr>
          <w:t>Table E.37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spacing w:val="-4"/>
          </w:rPr>
          <w:t>Higher estimates for the annual risk of breast cancer in each of the included populations</w:t>
        </w:r>
        <w:r w:rsidR="00B81273" w:rsidRPr="00B81273">
          <w:rPr>
            <w:rStyle w:val="Hyperlink"/>
            <w:rFonts w:asciiTheme="majorHAnsi" w:hAnsiTheme="majorHAnsi"/>
          </w:rPr>
          <w:t>.</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134</w:t>
        </w:r>
        <w:r w:rsidR="00B81273" w:rsidRPr="00B81273">
          <w:rPr>
            <w:rFonts w:asciiTheme="majorHAnsi" w:hAnsiTheme="majorHAnsi"/>
            <w:webHidden/>
          </w:rPr>
          <w:fldChar w:fldCharType="end"/>
        </w:r>
      </w:hyperlink>
    </w:p>
    <w:p w14:paraId="187B44B5" w14:textId="77777777" w:rsidR="00B81273" w:rsidRPr="00B81273" w:rsidRDefault="005839BC">
      <w:pPr>
        <w:pStyle w:val="TableofFigures"/>
        <w:rPr>
          <w:rFonts w:asciiTheme="majorHAnsi" w:eastAsiaTheme="minorEastAsia" w:hAnsiTheme="majorHAnsi" w:cstheme="minorBidi"/>
          <w:lang w:eastAsia="en-AU"/>
        </w:rPr>
      </w:pPr>
      <w:hyperlink w:anchor="_Toc383424669" w:history="1">
        <w:r w:rsidR="00B81273" w:rsidRPr="00B81273">
          <w:rPr>
            <w:rStyle w:val="Hyperlink"/>
            <w:rFonts w:asciiTheme="majorHAnsi" w:hAnsiTheme="majorHAnsi"/>
          </w:rPr>
          <w:t>Table E.38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the MBS of the requested listing using higher breast cancer risk estimates.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_Toc383424669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134</w:t>
        </w:r>
        <w:r w:rsidR="00B81273" w:rsidRPr="00B81273">
          <w:rPr>
            <w:rFonts w:asciiTheme="majorHAnsi" w:hAnsiTheme="majorHAnsi"/>
            <w:webHidden/>
          </w:rPr>
          <w:fldChar w:fldCharType="end"/>
        </w:r>
      </w:hyperlink>
    </w:p>
    <w:p w14:paraId="4C079D7C" w14:textId="77777777" w:rsidR="00B81273" w:rsidRPr="00B81273" w:rsidRDefault="005839BC">
      <w:pPr>
        <w:pStyle w:val="TableofFigures"/>
        <w:rPr>
          <w:rFonts w:asciiTheme="majorHAnsi" w:eastAsiaTheme="minorEastAsia" w:hAnsiTheme="majorHAnsi" w:cstheme="minorBidi"/>
          <w:lang w:eastAsia="en-AU"/>
        </w:rPr>
      </w:pPr>
      <w:hyperlink w:anchor="_Toc383424670" w:history="1">
        <w:r w:rsidR="00B81273" w:rsidRPr="00B81273">
          <w:rPr>
            <w:rStyle w:val="Hyperlink"/>
            <w:rFonts w:asciiTheme="majorHAnsi" w:hAnsiTheme="majorHAnsi"/>
          </w:rPr>
          <w:t>Table E.39</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government health budgets using higher breast cancer risk estimates.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135</w:t>
        </w:r>
        <w:r w:rsidR="00B81273" w:rsidRPr="00B81273">
          <w:rPr>
            <w:rFonts w:asciiTheme="majorHAnsi" w:hAnsiTheme="majorHAnsi"/>
            <w:webHidden/>
          </w:rPr>
          <w:fldChar w:fldCharType="end"/>
        </w:r>
      </w:hyperlink>
    </w:p>
    <w:p w14:paraId="5B316DB2" w14:textId="77777777" w:rsidR="00B81273" w:rsidRPr="00B81273" w:rsidRDefault="005839BC">
      <w:pPr>
        <w:pStyle w:val="TableofFigures"/>
        <w:rPr>
          <w:rFonts w:asciiTheme="majorHAnsi" w:eastAsiaTheme="minorEastAsia" w:hAnsiTheme="majorHAnsi" w:cstheme="minorBidi"/>
          <w:lang w:eastAsia="en-AU"/>
        </w:rPr>
      </w:pPr>
      <w:hyperlink w:anchor="_Toc383424671" w:history="1">
        <w:r w:rsidR="00B81273" w:rsidRPr="00B81273">
          <w:rPr>
            <w:rStyle w:val="Hyperlink"/>
            <w:rFonts w:asciiTheme="majorHAnsi" w:hAnsiTheme="majorHAnsi"/>
          </w:rPr>
          <w:t>Table E.40</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the MBS of the requested listing using alternative diagnostic accuracy estimates.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135</w:t>
        </w:r>
        <w:r w:rsidR="00B81273" w:rsidRPr="00B81273">
          <w:rPr>
            <w:rFonts w:asciiTheme="majorHAnsi" w:hAnsiTheme="majorHAnsi"/>
            <w:webHidden/>
          </w:rPr>
          <w:fldChar w:fldCharType="end"/>
        </w:r>
      </w:hyperlink>
    </w:p>
    <w:p w14:paraId="124A22BA" w14:textId="77777777" w:rsidR="00B81273" w:rsidRPr="00B81273" w:rsidRDefault="005839BC">
      <w:pPr>
        <w:pStyle w:val="TableofFigures"/>
        <w:rPr>
          <w:rFonts w:asciiTheme="majorHAnsi" w:eastAsiaTheme="minorEastAsia" w:hAnsiTheme="majorHAnsi" w:cstheme="minorBidi"/>
          <w:lang w:eastAsia="en-AU"/>
        </w:rPr>
      </w:pPr>
      <w:hyperlink w:anchor="_Toc383424672" w:history="1">
        <w:r w:rsidR="00B81273" w:rsidRPr="00B81273">
          <w:rPr>
            <w:rStyle w:val="Hyperlink"/>
            <w:rFonts w:asciiTheme="majorHAnsi" w:hAnsiTheme="majorHAnsi"/>
          </w:rPr>
          <w:t>Table E.41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government health budgets using alternative diagnostic accuracy estimates.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135</w:t>
        </w:r>
        <w:r w:rsidR="00B81273" w:rsidRPr="00B81273">
          <w:rPr>
            <w:rFonts w:asciiTheme="majorHAnsi" w:hAnsiTheme="majorHAnsi"/>
            <w:webHidden/>
          </w:rPr>
          <w:fldChar w:fldCharType="end"/>
        </w:r>
      </w:hyperlink>
    </w:p>
    <w:p w14:paraId="412303F9" w14:textId="77777777" w:rsidR="00B81273" w:rsidRPr="00B81273" w:rsidRDefault="005839BC">
      <w:pPr>
        <w:pStyle w:val="TableofFigures"/>
        <w:rPr>
          <w:rFonts w:asciiTheme="majorHAnsi" w:eastAsiaTheme="minorEastAsia" w:hAnsiTheme="majorHAnsi" w:cstheme="minorBidi"/>
          <w:lang w:eastAsia="en-AU"/>
        </w:rPr>
      </w:pPr>
      <w:hyperlink w:anchor="_Toc383424673" w:history="1">
        <w:r w:rsidR="00B81273" w:rsidRPr="00B81273">
          <w:rPr>
            <w:rStyle w:val="Hyperlink"/>
            <w:rFonts w:asciiTheme="majorHAnsi" w:hAnsiTheme="majorHAnsi"/>
          </w:rPr>
          <w:t>Table E.42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the MBS of the requested listing using alternative costs for breast MRI MBS items.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136</w:t>
        </w:r>
        <w:r w:rsidR="00B81273" w:rsidRPr="00B81273">
          <w:rPr>
            <w:rFonts w:asciiTheme="majorHAnsi" w:hAnsiTheme="majorHAnsi"/>
            <w:webHidden/>
          </w:rPr>
          <w:fldChar w:fldCharType="end"/>
        </w:r>
      </w:hyperlink>
    </w:p>
    <w:p w14:paraId="775C4F74" w14:textId="77777777" w:rsidR="00B81273" w:rsidRPr="00B81273" w:rsidRDefault="005839BC">
      <w:pPr>
        <w:pStyle w:val="TableofFigures"/>
        <w:rPr>
          <w:rFonts w:asciiTheme="majorHAnsi" w:eastAsiaTheme="minorEastAsia" w:hAnsiTheme="majorHAnsi" w:cstheme="minorBidi"/>
          <w:lang w:eastAsia="en-AU"/>
        </w:rPr>
      </w:pPr>
      <w:hyperlink w:anchor="_Toc383424674" w:history="1">
        <w:r w:rsidR="00B81273" w:rsidRPr="00B81273">
          <w:rPr>
            <w:rStyle w:val="Hyperlink"/>
            <w:rFonts w:asciiTheme="majorHAnsi" w:hAnsiTheme="majorHAnsi"/>
          </w:rPr>
          <w:t>Table E.43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Total cost to government health budgets using alternative costs for breast MRI MBS items.</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136</w:t>
        </w:r>
        <w:r w:rsidR="00B81273" w:rsidRPr="00B81273">
          <w:rPr>
            <w:rFonts w:asciiTheme="majorHAnsi" w:hAnsiTheme="majorHAnsi"/>
            <w:webHidden/>
          </w:rPr>
          <w:fldChar w:fldCharType="end"/>
        </w:r>
      </w:hyperlink>
    </w:p>
    <w:p w14:paraId="5002874A" w14:textId="77777777" w:rsidR="00E47AB8" w:rsidRPr="008B2F8A" w:rsidRDefault="00E47AB8" w:rsidP="00422306">
      <w:pPr>
        <w:rPr>
          <w:noProof/>
        </w:rPr>
      </w:pPr>
      <w:r w:rsidRPr="00B81273">
        <w:rPr>
          <w:rFonts w:asciiTheme="majorHAnsi" w:hAnsiTheme="majorHAnsi"/>
          <w:noProof/>
        </w:rPr>
        <w:fldChar w:fldCharType="end"/>
      </w:r>
    </w:p>
    <w:p w14:paraId="0C0D017F" w14:textId="77777777" w:rsidR="00E47AB8" w:rsidRPr="008B2F8A" w:rsidRDefault="00E47AB8" w:rsidP="00422306">
      <w:pPr>
        <w:pStyle w:val="Heading2"/>
        <w:numPr>
          <w:ilvl w:val="0"/>
          <w:numId w:val="0"/>
        </w:numPr>
        <w:rPr>
          <w:lang w:eastAsia="en-AU"/>
        </w:rPr>
      </w:pPr>
      <w:bookmarkStart w:id="4" w:name="_Toc383424393"/>
      <w:r w:rsidRPr="008B2F8A">
        <w:rPr>
          <w:lang w:eastAsia="en-AU"/>
        </w:rPr>
        <w:t>List of Figures</w:t>
      </w:r>
      <w:bookmarkEnd w:id="4"/>
    </w:p>
    <w:p w14:paraId="5483C5B1" w14:textId="77777777" w:rsidR="00B81273" w:rsidRPr="00B81273" w:rsidRDefault="00E47AB8">
      <w:pPr>
        <w:pStyle w:val="TableofFigures"/>
        <w:rPr>
          <w:rFonts w:asciiTheme="majorHAnsi" w:eastAsiaTheme="minorEastAsia" w:hAnsiTheme="majorHAnsi" w:cstheme="minorBidi"/>
          <w:lang w:eastAsia="en-AU"/>
        </w:rPr>
      </w:pPr>
      <w:r w:rsidRPr="008B2F8A">
        <w:rPr>
          <w:lang w:eastAsia="en-AU"/>
        </w:rPr>
        <w:fldChar w:fldCharType="begin"/>
      </w:r>
      <w:r w:rsidRPr="008B2F8A">
        <w:rPr>
          <w:lang w:eastAsia="en-AU"/>
        </w:rPr>
        <w:instrText xml:space="preserve"> TOC \h \z \c "Figure" </w:instrText>
      </w:r>
      <w:r w:rsidRPr="008B2F8A">
        <w:rPr>
          <w:lang w:eastAsia="en-AU"/>
        </w:rPr>
        <w:fldChar w:fldCharType="separate"/>
      </w:r>
      <w:hyperlink w:anchor="_Toc383424675" w:history="1">
        <w:r w:rsidR="00B81273" w:rsidRPr="00B81273">
          <w:rPr>
            <w:rStyle w:val="Hyperlink"/>
            <w:rFonts w:asciiTheme="majorHAnsi" w:hAnsiTheme="majorHAnsi"/>
          </w:rPr>
          <w:t>Figure 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Structure of economic model by NICE Clinical Guideline 41.</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xxii</w:t>
        </w:r>
        <w:r w:rsidR="00B81273" w:rsidRPr="00B81273">
          <w:rPr>
            <w:rFonts w:asciiTheme="majorHAnsi" w:hAnsiTheme="majorHAnsi"/>
            <w:webHidden/>
          </w:rPr>
          <w:fldChar w:fldCharType="end"/>
        </w:r>
      </w:hyperlink>
    </w:p>
    <w:p w14:paraId="5E440837" w14:textId="77777777" w:rsidR="00B81273" w:rsidRPr="00B81273" w:rsidRDefault="005839BC">
      <w:pPr>
        <w:pStyle w:val="TableofFigures"/>
        <w:rPr>
          <w:rFonts w:asciiTheme="majorHAnsi" w:eastAsiaTheme="minorEastAsia" w:hAnsiTheme="majorHAnsi" w:cstheme="minorBidi"/>
          <w:lang w:eastAsia="en-AU"/>
        </w:rPr>
      </w:pPr>
      <w:hyperlink w:anchor="_Toc383424676" w:history="1">
        <w:r w:rsidR="00B81273" w:rsidRPr="00B81273">
          <w:rPr>
            <w:rStyle w:val="Hyperlink"/>
            <w:rFonts w:asciiTheme="majorHAnsi" w:hAnsiTheme="majorHAnsi"/>
          </w:rPr>
          <w:t>Figure A.1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Clinical algorithm (clinical pathway) for screening asymptomatic high-risk women.</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_Toc383424676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16</w:t>
        </w:r>
        <w:r w:rsidR="00B81273" w:rsidRPr="00B81273">
          <w:rPr>
            <w:rFonts w:asciiTheme="majorHAnsi" w:hAnsiTheme="majorHAnsi"/>
            <w:webHidden/>
          </w:rPr>
          <w:fldChar w:fldCharType="end"/>
        </w:r>
      </w:hyperlink>
    </w:p>
    <w:p w14:paraId="72FC1BEA" w14:textId="77777777" w:rsidR="00B81273" w:rsidRPr="00B81273" w:rsidRDefault="005839BC">
      <w:pPr>
        <w:pStyle w:val="TableofFigures"/>
        <w:rPr>
          <w:rFonts w:asciiTheme="majorHAnsi" w:eastAsiaTheme="minorEastAsia" w:hAnsiTheme="majorHAnsi" w:cstheme="minorBidi"/>
          <w:lang w:eastAsia="en-AU"/>
        </w:rPr>
      </w:pPr>
      <w:hyperlink w:anchor="_Toc383424677" w:history="1">
        <w:r w:rsidR="00B81273" w:rsidRPr="00B81273">
          <w:rPr>
            <w:rStyle w:val="Hyperlink"/>
            <w:rFonts w:asciiTheme="majorHAnsi" w:hAnsiTheme="majorHAnsi"/>
          </w:rPr>
          <w:t>Figure D.1 Structure of economic model by NICE Clinical Guideline 41.</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_Toc383424677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78</w:t>
        </w:r>
        <w:r w:rsidR="00B81273" w:rsidRPr="00B81273">
          <w:rPr>
            <w:rFonts w:asciiTheme="majorHAnsi" w:hAnsiTheme="majorHAnsi"/>
            <w:webHidden/>
          </w:rPr>
          <w:fldChar w:fldCharType="end"/>
        </w:r>
      </w:hyperlink>
    </w:p>
    <w:p w14:paraId="4CC7DC77" w14:textId="77777777" w:rsidR="00B81273" w:rsidRPr="00B81273" w:rsidRDefault="005839BC">
      <w:pPr>
        <w:pStyle w:val="TableofFigures"/>
        <w:rPr>
          <w:rFonts w:asciiTheme="majorHAnsi" w:eastAsiaTheme="minorEastAsia" w:hAnsiTheme="majorHAnsi" w:cstheme="minorBidi"/>
          <w:lang w:eastAsia="en-AU"/>
        </w:rPr>
      </w:pPr>
      <w:hyperlink w:anchor="_Toc383424678" w:history="1">
        <w:r w:rsidR="00B81273" w:rsidRPr="00B81273">
          <w:rPr>
            <w:rStyle w:val="Hyperlink"/>
            <w:rFonts w:asciiTheme="majorHAnsi" w:hAnsiTheme="majorHAnsi"/>
          </w:rPr>
          <w:t>Figure D.2</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Cumulative breast cancer incidence by age estimated in the economic model.</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_Toc383424678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86</w:t>
        </w:r>
        <w:r w:rsidR="00B81273" w:rsidRPr="00B81273">
          <w:rPr>
            <w:rFonts w:asciiTheme="majorHAnsi" w:hAnsiTheme="majorHAnsi"/>
            <w:webHidden/>
          </w:rPr>
          <w:fldChar w:fldCharType="end"/>
        </w:r>
      </w:hyperlink>
    </w:p>
    <w:p w14:paraId="2A618FD5" w14:textId="77777777" w:rsidR="00B81273" w:rsidRPr="00B81273" w:rsidRDefault="005839BC">
      <w:pPr>
        <w:pStyle w:val="TableofFigures"/>
        <w:rPr>
          <w:rFonts w:asciiTheme="majorHAnsi" w:eastAsiaTheme="minorEastAsia" w:hAnsiTheme="majorHAnsi" w:cstheme="minorBidi"/>
          <w:lang w:eastAsia="en-AU"/>
        </w:rPr>
      </w:pPr>
      <w:hyperlink w:anchor="_Toc383424679" w:history="1">
        <w:r w:rsidR="00B81273" w:rsidRPr="00B81273">
          <w:rPr>
            <w:rStyle w:val="Hyperlink"/>
            <w:rFonts w:asciiTheme="majorHAnsi" w:hAnsiTheme="majorHAnsi"/>
          </w:rPr>
          <w:t>Figure D.3</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Sensitivity of mammography by age.</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_Toc383424679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91</w:t>
        </w:r>
        <w:r w:rsidR="00B81273" w:rsidRPr="00B81273">
          <w:rPr>
            <w:rFonts w:asciiTheme="majorHAnsi" w:hAnsiTheme="majorHAnsi"/>
            <w:webHidden/>
          </w:rPr>
          <w:fldChar w:fldCharType="end"/>
        </w:r>
      </w:hyperlink>
    </w:p>
    <w:p w14:paraId="7BD7A69B" w14:textId="77777777" w:rsidR="00B81273" w:rsidRPr="00B81273" w:rsidRDefault="005839BC">
      <w:pPr>
        <w:pStyle w:val="TableofFigures"/>
        <w:rPr>
          <w:rFonts w:asciiTheme="majorHAnsi" w:eastAsiaTheme="minorEastAsia" w:hAnsiTheme="majorHAnsi" w:cstheme="minorBidi"/>
          <w:lang w:eastAsia="en-AU"/>
        </w:rPr>
      </w:pPr>
      <w:hyperlink w:anchor="_Toc383424680" w:history="1">
        <w:r w:rsidR="00B81273" w:rsidRPr="00B81273">
          <w:rPr>
            <w:rStyle w:val="Hyperlink"/>
            <w:rFonts w:asciiTheme="majorHAnsi" w:hAnsiTheme="majorHAnsi"/>
          </w:rPr>
          <w:t>Figure D.4</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Proportion of women alive with MRI + mammography or mammography alone (women with a high risk of breast cancer based on family history).</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_Toc383424680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102</w:t>
        </w:r>
        <w:r w:rsidR="00B81273" w:rsidRPr="00B81273">
          <w:rPr>
            <w:rFonts w:asciiTheme="majorHAnsi" w:hAnsiTheme="majorHAnsi"/>
            <w:webHidden/>
          </w:rPr>
          <w:fldChar w:fldCharType="end"/>
        </w:r>
      </w:hyperlink>
    </w:p>
    <w:p w14:paraId="1B1F8C69" w14:textId="77777777" w:rsidR="00B81273" w:rsidRPr="00B81273" w:rsidRDefault="005839BC">
      <w:pPr>
        <w:pStyle w:val="TableofFigures"/>
        <w:rPr>
          <w:rFonts w:asciiTheme="majorHAnsi" w:eastAsiaTheme="minorEastAsia" w:hAnsiTheme="majorHAnsi" w:cstheme="minorBidi"/>
          <w:lang w:eastAsia="en-AU"/>
        </w:rPr>
      </w:pPr>
      <w:hyperlink w:anchor="_Toc383424681" w:history="1">
        <w:r w:rsidR="00B81273" w:rsidRPr="00B81273">
          <w:rPr>
            <w:rStyle w:val="Hyperlink"/>
            <w:rFonts w:asciiTheme="majorHAnsi" w:hAnsiTheme="majorHAnsi"/>
          </w:rPr>
          <w:t>Figure D.5</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cost/QALY by 5-year breast cancer risk (base-case population-specific data).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_Toc383424681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106</w:t>
        </w:r>
        <w:r w:rsidR="00B81273" w:rsidRPr="00B81273">
          <w:rPr>
            <w:rFonts w:asciiTheme="majorHAnsi" w:hAnsiTheme="majorHAnsi"/>
            <w:webHidden/>
          </w:rPr>
          <w:fldChar w:fldCharType="end"/>
        </w:r>
      </w:hyperlink>
    </w:p>
    <w:p w14:paraId="245A549D" w14:textId="77777777" w:rsidR="00B81273" w:rsidRPr="00B81273" w:rsidRDefault="005839BC">
      <w:pPr>
        <w:pStyle w:val="TableofFigures"/>
        <w:rPr>
          <w:rFonts w:asciiTheme="majorHAnsi" w:eastAsiaTheme="minorEastAsia" w:hAnsiTheme="majorHAnsi" w:cstheme="minorBidi"/>
          <w:lang w:eastAsia="en-AU"/>
        </w:rPr>
      </w:pPr>
      <w:hyperlink w:anchor="_Toc383424682" w:history="1">
        <w:r w:rsidR="00B81273" w:rsidRPr="00B81273">
          <w:rPr>
            <w:rStyle w:val="Hyperlink"/>
            <w:rFonts w:asciiTheme="majorHAnsi" w:hAnsiTheme="majorHAnsi"/>
          </w:rPr>
          <w:t>Figure D.6</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cost/QALY by 5-year breast cancer risk (HIQA, 2013 data).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_Toc383424682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106</w:t>
        </w:r>
        <w:r w:rsidR="00B81273" w:rsidRPr="00B81273">
          <w:rPr>
            <w:rFonts w:asciiTheme="majorHAnsi" w:hAnsiTheme="majorHAnsi"/>
            <w:webHidden/>
          </w:rPr>
          <w:fldChar w:fldCharType="end"/>
        </w:r>
      </w:hyperlink>
    </w:p>
    <w:p w14:paraId="386CD4EA" w14:textId="77777777" w:rsidR="00B81273" w:rsidRPr="00B81273" w:rsidRDefault="005839BC">
      <w:pPr>
        <w:pStyle w:val="TableofFigures"/>
        <w:rPr>
          <w:rFonts w:asciiTheme="majorHAnsi" w:eastAsiaTheme="minorEastAsia" w:hAnsiTheme="majorHAnsi" w:cstheme="minorBidi"/>
          <w:lang w:eastAsia="en-AU"/>
        </w:rPr>
      </w:pPr>
      <w:hyperlink w:anchor="_Toc383424683" w:history="1">
        <w:r w:rsidR="00B81273" w:rsidRPr="00B81273">
          <w:rPr>
            <w:rStyle w:val="Hyperlink"/>
            <w:rFonts w:asciiTheme="majorHAnsi" w:hAnsiTheme="majorHAnsi"/>
          </w:rPr>
          <w:t>Figure D.7</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cost/QALY by decrement in overall survival due to late detection (base-case population-specific data).</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_Toc383424683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107</w:t>
        </w:r>
        <w:r w:rsidR="00B81273" w:rsidRPr="00B81273">
          <w:rPr>
            <w:rFonts w:asciiTheme="majorHAnsi" w:hAnsiTheme="majorHAnsi"/>
            <w:webHidden/>
          </w:rPr>
          <w:fldChar w:fldCharType="end"/>
        </w:r>
      </w:hyperlink>
    </w:p>
    <w:p w14:paraId="4230F298" w14:textId="77777777" w:rsidR="00B81273" w:rsidRPr="00B81273" w:rsidRDefault="005839BC">
      <w:pPr>
        <w:pStyle w:val="TableofFigures"/>
        <w:rPr>
          <w:rFonts w:asciiTheme="majorHAnsi" w:eastAsiaTheme="minorEastAsia" w:hAnsiTheme="majorHAnsi" w:cstheme="minorBidi"/>
          <w:lang w:eastAsia="en-AU"/>
        </w:rPr>
      </w:pPr>
      <w:hyperlink w:anchor="_Toc383424684" w:history="1">
        <w:r w:rsidR="00B81273" w:rsidRPr="00B81273">
          <w:rPr>
            <w:rStyle w:val="Hyperlink"/>
            <w:rFonts w:asciiTheme="majorHAnsi" w:hAnsiTheme="majorHAnsi"/>
          </w:rPr>
          <w:t>Figure D.8</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Incremental cost/QALY by decrement in overall survival due to late detection (HIQA, 2013).</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_Toc383424684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108</w:t>
        </w:r>
        <w:r w:rsidR="00B81273" w:rsidRPr="00B81273">
          <w:rPr>
            <w:rFonts w:asciiTheme="majorHAnsi" w:hAnsiTheme="majorHAnsi"/>
            <w:webHidden/>
          </w:rPr>
          <w:fldChar w:fldCharType="end"/>
        </w:r>
      </w:hyperlink>
    </w:p>
    <w:p w14:paraId="6AD78609" w14:textId="77777777" w:rsidR="00B81273" w:rsidRPr="00B81273" w:rsidRDefault="005839BC">
      <w:pPr>
        <w:pStyle w:val="TableofFigures"/>
        <w:rPr>
          <w:rFonts w:asciiTheme="majorHAnsi" w:eastAsiaTheme="minorEastAsia" w:hAnsiTheme="majorHAnsi" w:cstheme="minorBidi"/>
          <w:lang w:eastAsia="en-AU"/>
        </w:rPr>
      </w:pPr>
      <w:hyperlink w:anchor="_Toc383424685" w:history="1">
        <w:r w:rsidR="00B81273" w:rsidRPr="00B81273">
          <w:rPr>
            <w:rStyle w:val="Hyperlink"/>
            <w:rFonts w:asciiTheme="majorHAnsi" w:hAnsiTheme="majorHAnsi"/>
          </w:rPr>
          <w:t>Figure E.1</w:t>
        </w:r>
        <w:r w:rsidR="00B81273" w:rsidRPr="00B81273">
          <w:rPr>
            <w:rFonts w:asciiTheme="majorHAnsi" w:eastAsiaTheme="minorEastAsia" w:hAnsiTheme="majorHAnsi" w:cstheme="minorBidi"/>
            <w:lang w:eastAsia="en-AU"/>
          </w:rPr>
          <w:tab/>
        </w:r>
        <w:r w:rsidR="00B81273" w:rsidRPr="00B81273">
          <w:rPr>
            <w:rStyle w:val="Hyperlink"/>
            <w:rFonts w:asciiTheme="majorHAnsi" w:hAnsiTheme="majorHAnsi"/>
          </w:rPr>
          <w:t>Projected use of MBS item 63464.</w:t>
        </w:r>
        <w:r w:rsidR="00B81273" w:rsidRPr="00B81273">
          <w:rPr>
            <w:rFonts w:asciiTheme="majorHAnsi" w:hAnsiTheme="majorHAnsi"/>
            <w:webHidden/>
          </w:rPr>
          <w:tab/>
        </w:r>
        <w:r w:rsidR="00B81273" w:rsidRPr="00B81273">
          <w:rPr>
            <w:rFonts w:asciiTheme="majorHAnsi" w:hAnsiTheme="majorHAnsi"/>
            <w:webHidden/>
          </w:rPr>
          <w:fldChar w:fldCharType="begin"/>
        </w:r>
        <w:r w:rsidR="00B81273" w:rsidRPr="00B81273">
          <w:rPr>
            <w:rFonts w:asciiTheme="majorHAnsi" w:hAnsiTheme="majorHAnsi"/>
            <w:webHidden/>
          </w:rPr>
          <w:instrText xml:space="preserve"> PAGEREF _Toc383424685 \h </w:instrText>
        </w:r>
        <w:r w:rsidR="00B81273" w:rsidRPr="00B81273">
          <w:rPr>
            <w:rFonts w:asciiTheme="majorHAnsi" w:hAnsiTheme="majorHAnsi"/>
            <w:webHidden/>
          </w:rPr>
        </w:r>
        <w:r w:rsidR="00B81273" w:rsidRPr="00B81273">
          <w:rPr>
            <w:rFonts w:asciiTheme="majorHAnsi" w:hAnsiTheme="majorHAnsi"/>
            <w:webHidden/>
          </w:rPr>
          <w:fldChar w:fldCharType="separate"/>
        </w:r>
        <w:r w:rsidR="00B81273" w:rsidRPr="00B81273">
          <w:rPr>
            <w:rFonts w:asciiTheme="majorHAnsi" w:hAnsiTheme="majorHAnsi"/>
            <w:webHidden/>
          </w:rPr>
          <w:t>120</w:t>
        </w:r>
        <w:r w:rsidR="00B81273" w:rsidRPr="00B81273">
          <w:rPr>
            <w:rFonts w:asciiTheme="majorHAnsi" w:hAnsiTheme="majorHAnsi"/>
            <w:webHidden/>
          </w:rPr>
          <w:fldChar w:fldCharType="end"/>
        </w:r>
      </w:hyperlink>
    </w:p>
    <w:p w14:paraId="0110963E" w14:textId="77777777" w:rsidR="00E47AB8" w:rsidRPr="008B2F8A" w:rsidRDefault="00E47AB8" w:rsidP="00422306">
      <w:pPr>
        <w:spacing w:after="200"/>
        <w:rPr>
          <w:rFonts w:ascii="Tahoma" w:eastAsia="Times New Roman" w:hAnsi="Tahoma" w:cs="Tahoma"/>
          <w:b/>
          <w:bCs/>
          <w:color w:val="000000"/>
          <w:sz w:val="44"/>
          <w:szCs w:val="44"/>
          <w:lang w:eastAsia="en-AU"/>
        </w:rPr>
      </w:pPr>
      <w:r w:rsidRPr="008B2F8A">
        <w:rPr>
          <w:lang w:eastAsia="en-AU"/>
        </w:rPr>
        <w:fldChar w:fldCharType="end"/>
      </w:r>
      <w:r w:rsidRPr="008B2F8A">
        <w:rPr>
          <w:lang w:eastAsia="en-AU"/>
        </w:rPr>
        <w:br w:type="page"/>
      </w:r>
    </w:p>
    <w:p w14:paraId="7460886F" w14:textId="77777777" w:rsidR="00E47AB8" w:rsidRPr="008B2F8A" w:rsidRDefault="00E47AB8" w:rsidP="00422306">
      <w:pPr>
        <w:pStyle w:val="Heading1"/>
        <w:numPr>
          <w:ilvl w:val="0"/>
          <w:numId w:val="0"/>
        </w:numPr>
        <w:ind w:left="432" w:hanging="432"/>
        <w:rPr>
          <w:lang w:eastAsia="en-AU"/>
        </w:rPr>
      </w:pPr>
      <w:bookmarkStart w:id="5" w:name="_Toc383424394"/>
      <w:r w:rsidRPr="008B2F8A">
        <w:rPr>
          <w:lang w:eastAsia="en-AU"/>
        </w:rPr>
        <w:lastRenderedPageBreak/>
        <w:t>Abbreviations and acronyms</w:t>
      </w:r>
      <w:bookmarkEnd w:id="5"/>
    </w:p>
    <w:p w14:paraId="365F0835" w14:textId="77777777" w:rsidR="00E47AB8" w:rsidRPr="008B2F8A" w:rsidRDefault="00E47AB8" w:rsidP="00422306">
      <w:pPr>
        <w:rPr>
          <w:lang w:eastAsia="en-AU"/>
        </w:rPr>
      </w:pPr>
    </w:p>
    <w:p w14:paraId="5B945CC1" w14:textId="77777777" w:rsidR="009B7B2F" w:rsidRDefault="009B7B2F">
      <w:pPr>
        <w:pStyle w:val="Abbrevs"/>
        <w:sectPr w:rsidR="009B7B2F" w:rsidSect="00422306">
          <w:footerReference w:type="even" r:id="rId11"/>
          <w:footerReference w:type="default" r:id="rId12"/>
          <w:type w:val="continuous"/>
          <w:pgSz w:w="11906" w:h="16838"/>
          <w:pgMar w:top="1418" w:right="1418" w:bottom="1418" w:left="1418" w:header="708" w:footer="708" w:gutter="0"/>
          <w:pgNumType w:fmt="lowerRoman"/>
          <w:cols w:space="708"/>
          <w:docGrid w:linePitch="360"/>
        </w:sectPr>
      </w:pPr>
    </w:p>
    <w:p w14:paraId="56265558" w14:textId="50F82AF2" w:rsidR="00E47AB8" w:rsidRPr="008B2F8A" w:rsidRDefault="00E47AB8" w:rsidP="002D45F6">
      <w:pPr>
        <w:pStyle w:val="Abbrevs"/>
      </w:pPr>
      <w:r w:rsidRPr="008B2F8A">
        <w:lastRenderedPageBreak/>
        <w:t>ABS</w:t>
      </w:r>
      <w:r w:rsidRPr="008B2F8A">
        <w:tab/>
        <w:t>Australian Bureau of Statistics</w:t>
      </w:r>
    </w:p>
    <w:p w14:paraId="17A4E51E" w14:textId="77777777" w:rsidR="00E47AB8" w:rsidRPr="008B2F8A" w:rsidRDefault="00E47AB8" w:rsidP="002D45F6">
      <w:pPr>
        <w:pStyle w:val="Abbrevs"/>
      </w:pPr>
      <w:r w:rsidRPr="008B2F8A">
        <w:t>AIHW</w:t>
      </w:r>
      <w:r w:rsidRPr="008B2F8A">
        <w:tab/>
      </w:r>
      <w:bookmarkStart w:id="8" w:name="OLE_LINK371"/>
      <w:bookmarkStart w:id="9" w:name="OLE_LINK372"/>
      <w:r w:rsidRPr="008B2F8A">
        <w:t>Australian Institute of Health and Welfare</w:t>
      </w:r>
      <w:bookmarkEnd w:id="8"/>
      <w:bookmarkEnd w:id="9"/>
    </w:p>
    <w:p w14:paraId="2BF662B4" w14:textId="04D406F3" w:rsidR="00E47AB8" w:rsidRPr="008B2F8A" w:rsidRDefault="00E47AB8" w:rsidP="002D45F6">
      <w:pPr>
        <w:pStyle w:val="Abbrevs"/>
      </w:pPr>
      <w:r w:rsidRPr="008B2F8A">
        <w:t>ANZCTR</w:t>
      </w:r>
      <w:r w:rsidRPr="008B2F8A">
        <w:tab/>
      </w:r>
      <w:r w:rsidR="00155B54">
        <w:t>Australian and New Zealand Clinical trials registry</w:t>
      </w:r>
    </w:p>
    <w:p w14:paraId="26354CB6" w14:textId="77777777" w:rsidR="00E47AB8" w:rsidRPr="008B2F8A" w:rsidRDefault="00E47AB8" w:rsidP="002D45F6">
      <w:pPr>
        <w:pStyle w:val="Abbrevs"/>
      </w:pPr>
      <w:r w:rsidRPr="008B2F8A">
        <w:t>AQoL</w:t>
      </w:r>
      <w:r w:rsidRPr="008B2F8A">
        <w:tab/>
      </w:r>
      <w:bookmarkStart w:id="10" w:name="OLE_LINK377"/>
      <w:bookmarkStart w:id="11" w:name="OLE_LINK378"/>
      <w:r w:rsidRPr="008B2F8A">
        <w:t>Assessment of Quality of Life</w:t>
      </w:r>
      <w:bookmarkEnd w:id="10"/>
      <w:bookmarkEnd w:id="11"/>
    </w:p>
    <w:p w14:paraId="65CCBA3B" w14:textId="77777777" w:rsidR="00E47AB8" w:rsidRPr="008B2F8A" w:rsidRDefault="00E47AB8" w:rsidP="002D45F6">
      <w:pPr>
        <w:pStyle w:val="Abbrevs"/>
      </w:pPr>
      <w:r w:rsidRPr="008B2F8A">
        <w:t>AUC</w:t>
      </w:r>
      <w:r w:rsidRPr="008B2F8A">
        <w:tab/>
        <w:t>area under curve</w:t>
      </w:r>
    </w:p>
    <w:p w14:paraId="06CF7DC1" w14:textId="77777777" w:rsidR="00E47AB8" w:rsidRPr="008B2F8A" w:rsidRDefault="00E47AB8" w:rsidP="002D45F6">
      <w:pPr>
        <w:pStyle w:val="Abbrevs"/>
      </w:pPr>
      <w:r w:rsidRPr="008B2F8A">
        <w:t>BI-RADS</w:t>
      </w:r>
      <w:r w:rsidRPr="008B2F8A">
        <w:tab/>
      </w:r>
      <w:bookmarkStart w:id="12" w:name="OLE_LINK379"/>
      <w:bookmarkStart w:id="13" w:name="OLE_LINK380"/>
      <w:r w:rsidRPr="008B2F8A">
        <w:t>Breast Imaging Reporting</w:t>
      </w:r>
      <w:bookmarkEnd w:id="12"/>
      <w:bookmarkEnd w:id="13"/>
      <w:r w:rsidRPr="008B2F8A">
        <w:t xml:space="preserve"> and Data System (American College of Radiology)</w:t>
      </w:r>
    </w:p>
    <w:p w14:paraId="74CBBAF8" w14:textId="77777777" w:rsidR="00E47AB8" w:rsidRPr="008B2F8A" w:rsidRDefault="00E47AB8" w:rsidP="002D45F6">
      <w:pPr>
        <w:pStyle w:val="Abbrevs"/>
      </w:pPr>
      <w:r w:rsidRPr="008B2F8A">
        <w:rPr>
          <w:i/>
        </w:rPr>
        <w:t>BRCA1</w:t>
      </w:r>
      <w:r w:rsidRPr="008B2F8A">
        <w:tab/>
        <w:t>breast cancer gene 1</w:t>
      </w:r>
    </w:p>
    <w:p w14:paraId="46D0B3C1" w14:textId="77777777" w:rsidR="00E47AB8" w:rsidRPr="008B2F8A" w:rsidRDefault="00E47AB8" w:rsidP="002D45F6">
      <w:pPr>
        <w:pStyle w:val="Abbrevs"/>
      </w:pPr>
      <w:r w:rsidRPr="008B2F8A">
        <w:rPr>
          <w:i/>
        </w:rPr>
        <w:t>BRCA2</w:t>
      </w:r>
      <w:r w:rsidRPr="008B2F8A">
        <w:tab/>
        <w:t>breast cancer gene 2</w:t>
      </w:r>
    </w:p>
    <w:p w14:paraId="044AFBDD" w14:textId="77777777" w:rsidR="00E47AB8" w:rsidRPr="008B2F8A" w:rsidRDefault="00E47AB8" w:rsidP="002D45F6">
      <w:pPr>
        <w:pStyle w:val="Abbrevs"/>
      </w:pPr>
      <w:r w:rsidRPr="008B2F8A">
        <w:t>CBE</w:t>
      </w:r>
      <w:r w:rsidRPr="008B2F8A">
        <w:tab/>
      </w:r>
      <w:bookmarkStart w:id="14" w:name="OLE_LINK393"/>
      <w:bookmarkStart w:id="15" w:name="OLE_LINK394"/>
      <w:r w:rsidRPr="008B2F8A">
        <w:t>clinical breast examination</w:t>
      </w:r>
      <w:bookmarkEnd w:id="14"/>
      <w:bookmarkEnd w:id="15"/>
    </w:p>
    <w:p w14:paraId="47A12366" w14:textId="77777777" w:rsidR="00E47AB8" w:rsidRPr="008B2F8A" w:rsidRDefault="00E47AB8" w:rsidP="002D45F6">
      <w:pPr>
        <w:pStyle w:val="Abbrevs"/>
      </w:pPr>
      <w:r w:rsidRPr="008B2F8A">
        <w:t>CI</w:t>
      </w:r>
      <w:r w:rsidRPr="008B2F8A">
        <w:tab/>
        <w:t>confidence interval</w:t>
      </w:r>
    </w:p>
    <w:p w14:paraId="0BD7DCF8" w14:textId="77777777" w:rsidR="00E47AB8" w:rsidRPr="008B2F8A" w:rsidRDefault="00E47AB8" w:rsidP="002D45F6">
      <w:pPr>
        <w:pStyle w:val="Abbrevs"/>
      </w:pPr>
      <w:r w:rsidRPr="008B2F8A">
        <w:t>CUA</w:t>
      </w:r>
      <w:r w:rsidRPr="008B2F8A">
        <w:tab/>
        <w:t>cost-utility analysis</w:t>
      </w:r>
    </w:p>
    <w:p w14:paraId="7344D28F" w14:textId="77777777" w:rsidR="00E47AB8" w:rsidRPr="008B2F8A" w:rsidRDefault="00E47AB8" w:rsidP="002D45F6">
      <w:pPr>
        <w:pStyle w:val="Abbrevs"/>
      </w:pPr>
      <w:r w:rsidRPr="008B2F8A">
        <w:t>DALY</w:t>
      </w:r>
      <w:r w:rsidRPr="008B2F8A">
        <w:tab/>
        <w:t>disability-adjusted life year</w:t>
      </w:r>
    </w:p>
    <w:p w14:paraId="324EA831" w14:textId="77777777" w:rsidR="00E47AB8" w:rsidRPr="008B2F8A" w:rsidRDefault="00E47AB8" w:rsidP="002D45F6">
      <w:pPr>
        <w:pStyle w:val="Abbrevs"/>
      </w:pPr>
      <w:r w:rsidRPr="008B2F8A">
        <w:t>DAP</w:t>
      </w:r>
      <w:r w:rsidRPr="008B2F8A">
        <w:tab/>
        <w:t>Decision-Analytic Protocol</w:t>
      </w:r>
    </w:p>
    <w:p w14:paraId="5B209386" w14:textId="77777777" w:rsidR="00E47AB8" w:rsidRPr="008B2F8A" w:rsidRDefault="00E47AB8" w:rsidP="002D45F6">
      <w:pPr>
        <w:pStyle w:val="Abbrevs"/>
      </w:pPr>
      <w:r w:rsidRPr="008B2F8A">
        <w:t>DCIS</w:t>
      </w:r>
      <w:r w:rsidRPr="008B2F8A">
        <w:tab/>
      </w:r>
      <w:bookmarkStart w:id="16" w:name="OLE_LINK405"/>
      <w:bookmarkStart w:id="17" w:name="OLE_LINK406"/>
      <w:r w:rsidRPr="008B2F8A">
        <w:t>ductal carcinoma in situ</w:t>
      </w:r>
      <w:bookmarkEnd w:id="16"/>
      <w:bookmarkEnd w:id="17"/>
    </w:p>
    <w:p w14:paraId="212718C7" w14:textId="4C20CEC6" w:rsidR="00E47AB8" w:rsidRPr="008B2F8A" w:rsidRDefault="00E47AB8" w:rsidP="002D45F6">
      <w:pPr>
        <w:pStyle w:val="Abbrevs"/>
      </w:pPr>
      <w:r w:rsidRPr="008B2F8A">
        <w:t>FN</w:t>
      </w:r>
      <w:r w:rsidRPr="008B2F8A">
        <w:tab/>
        <w:t>false-negative</w:t>
      </w:r>
    </w:p>
    <w:p w14:paraId="19D7F14C" w14:textId="48646F50" w:rsidR="00E47AB8" w:rsidRPr="008B2F8A" w:rsidRDefault="00E47AB8" w:rsidP="002D45F6">
      <w:pPr>
        <w:pStyle w:val="Abbrevs"/>
      </w:pPr>
      <w:r w:rsidRPr="008B2F8A">
        <w:t>FP</w:t>
      </w:r>
      <w:r w:rsidRPr="008B2F8A">
        <w:tab/>
        <w:t>false-positive</w:t>
      </w:r>
    </w:p>
    <w:p w14:paraId="0C50A3F0" w14:textId="77777777" w:rsidR="00E47AB8" w:rsidRPr="008B2F8A" w:rsidRDefault="00E47AB8" w:rsidP="002D45F6">
      <w:pPr>
        <w:pStyle w:val="Abbrevs"/>
      </w:pPr>
      <w:r w:rsidRPr="008B2F8A">
        <w:t>FY</w:t>
      </w:r>
      <w:r w:rsidRPr="008B2F8A">
        <w:tab/>
        <w:t>financial year</w:t>
      </w:r>
    </w:p>
    <w:p w14:paraId="0CADF1ED" w14:textId="0DB18FFC" w:rsidR="00E47AB8" w:rsidRPr="008B2F8A" w:rsidRDefault="00E47AB8" w:rsidP="002D45F6">
      <w:pPr>
        <w:pStyle w:val="Abbrevs"/>
      </w:pPr>
      <w:r w:rsidRPr="008B2F8A">
        <w:t>G</w:t>
      </w:r>
      <w:r w:rsidR="00792697">
        <w:t>-</w:t>
      </w:r>
      <w:r w:rsidRPr="008B2F8A">
        <w:t>CSF</w:t>
      </w:r>
      <w:r w:rsidRPr="008B2F8A">
        <w:tab/>
      </w:r>
      <w:r w:rsidR="00792697" w:rsidRPr="00792697">
        <w:t>Granulocyte-colony Stimulating Factor</w:t>
      </w:r>
    </w:p>
    <w:p w14:paraId="0826CC5F" w14:textId="77777777" w:rsidR="00E47AB8" w:rsidRPr="008B2F8A" w:rsidRDefault="00E47AB8" w:rsidP="002D45F6">
      <w:pPr>
        <w:pStyle w:val="Abbrevs"/>
      </w:pPr>
      <w:r w:rsidRPr="008B2F8A">
        <w:t>GP</w:t>
      </w:r>
      <w:r w:rsidRPr="008B2F8A">
        <w:tab/>
        <w:t>general practitioner</w:t>
      </w:r>
    </w:p>
    <w:p w14:paraId="537AFFA0" w14:textId="77777777" w:rsidR="00E47AB8" w:rsidRPr="008B2F8A" w:rsidRDefault="00E47AB8" w:rsidP="002D45F6">
      <w:pPr>
        <w:pStyle w:val="Abbrevs"/>
      </w:pPr>
      <w:r w:rsidRPr="008B2F8A">
        <w:t>HESP</w:t>
      </w:r>
      <w:r w:rsidRPr="008B2F8A">
        <w:tab/>
        <w:t>Health Expert Standing Panel</w:t>
      </w:r>
    </w:p>
    <w:p w14:paraId="08AB7F90" w14:textId="77777777" w:rsidR="00E47AB8" w:rsidRPr="008B2F8A" w:rsidRDefault="00E47AB8" w:rsidP="002D45F6">
      <w:pPr>
        <w:pStyle w:val="Abbrevs"/>
      </w:pPr>
      <w:r w:rsidRPr="008B2F8A">
        <w:t>HR</w:t>
      </w:r>
      <w:r w:rsidRPr="008B2F8A">
        <w:tab/>
        <w:t>hazard ratio</w:t>
      </w:r>
    </w:p>
    <w:p w14:paraId="3A11135D" w14:textId="77777777" w:rsidR="00E47AB8" w:rsidRPr="008B2F8A" w:rsidRDefault="00E47AB8" w:rsidP="002D45F6">
      <w:pPr>
        <w:pStyle w:val="Abbrevs"/>
      </w:pPr>
      <w:r w:rsidRPr="008B2F8A">
        <w:t>HTA</w:t>
      </w:r>
      <w:r w:rsidRPr="008B2F8A">
        <w:tab/>
      </w:r>
      <w:bookmarkStart w:id="18" w:name="OLE_LINK425"/>
      <w:bookmarkStart w:id="19" w:name="OLE_LINK426"/>
      <w:r w:rsidRPr="008B2F8A">
        <w:t>health technology assessment</w:t>
      </w:r>
      <w:bookmarkEnd w:id="18"/>
      <w:bookmarkEnd w:id="19"/>
    </w:p>
    <w:p w14:paraId="4E20C7D9" w14:textId="77777777" w:rsidR="00E47AB8" w:rsidRPr="008B2F8A" w:rsidRDefault="00E47AB8" w:rsidP="002D45F6">
      <w:pPr>
        <w:pStyle w:val="Abbrevs"/>
      </w:pPr>
      <w:bookmarkStart w:id="20" w:name="OLE_LINK20"/>
      <w:bookmarkStart w:id="21" w:name="OLE_LINK21"/>
      <w:r w:rsidRPr="008B2F8A">
        <w:t>IBTR</w:t>
      </w:r>
      <w:bookmarkEnd w:id="20"/>
      <w:bookmarkEnd w:id="21"/>
      <w:r w:rsidRPr="008B2F8A">
        <w:tab/>
      </w:r>
      <w:bookmarkStart w:id="22" w:name="OLE_LINK427"/>
      <w:bookmarkStart w:id="23" w:name="OLE_LINK428"/>
      <w:r w:rsidRPr="008B2F8A">
        <w:t>ipsilateral breast tumour recurrence</w:t>
      </w:r>
      <w:bookmarkEnd w:id="22"/>
      <w:bookmarkEnd w:id="23"/>
    </w:p>
    <w:p w14:paraId="5A9FA9E5" w14:textId="77777777" w:rsidR="00E47AB8" w:rsidRPr="008B2F8A" w:rsidRDefault="00E47AB8" w:rsidP="002D45F6">
      <w:pPr>
        <w:pStyle w:val="Abbrevs"/>
      </w:pPr>
      <w:r w:rsidRPr="008B2F8A">
        <w:t>ICER</w:t>
      </w:r>
      <w:r w:rsidRPr="008B2F8A">
        <w:tab/>
        <w:t>incremental cost-effectiveness ratio</w:t>
      </w:r>
    </w:p>
    <w:p w14:paraId="3A459CC5" w14:textId="77777777" w:rsidR="00E47AB8" w:rsidRPr="008B2F8A" w:rsidRDefault="00E47AB8" w:rsidP="002D45F6">
      <w:pPr>
        <w:pStyle w:val="Abbrevs"/>
      </w:pPr>
      <w:r w:rsidRPr="008B2F8A">
        <w:lastRenderedPageBreak/>
        <w:t>ICTRP</w:t>
      </w:r>
      <w:r w:rsidRPr="008B2F8A">
        <w:tab/>
        <w:t>International Clinical Trials Registry Platform (WHO)</w:t>
      </w:r>
    </w:p>
    <w:p w14:paraId="1B9BFE98" w14:textId="77777777" w:rsidR="00E47AB8" w:rsidRPr="008B2F8A" w:rsidRDefault="00E47AB8" w:rsidP="002D45F6">
      <w:pPr>
        <w:pStyle w:val="Abbrevs"/>
      </w:pPr>
      <w:r w:rsidRPr="008B2F8A">
        <w:t>IV</w:t>
      </w:r>
      <w:r w:rsidRPr="008B2F8A">
        <w:tab/>
        <w:t>intravenous</w:t>
      </w:r>
    </w:p>
    <w:p w14:paraId="19548E3B" w14:textId="77777777" w:rsidR="00E47AB8" w:rsidRPr="008B2F8A" w:rsidRDefault="00E47AB8" w:rsidP="002D45F6">
      <w:pPr>
        <w:pStyle w:val="Abbrevs"/>
      </w:pPr>
      <w:r w:rsidRPr="008B2F8A">
        <w:t>LCIS</w:t>
      </w:r>
      <w:r w:rsidRPr="008B2F8A">
        <w:tab/>
      </w:r>
      <w:bookmarkStart w:id="24" w:name="OLE_LINK411"/>
      <w:bookmarkStart w:id="25" w:name="OLE_LINK412"/>
      <w:r w:rsidRPr="008B2F8A">
        <w:t>lobular carcinoma in situ</w:t>
      </w:r>
      <w:bookmarkEnd w:id="24"/>
      <w:bookmarkEnd w:id="25"/>
    </w:p>
    <w:p w14:paraId="5BE121F5" w14:textId="77777777" w:rsidR="00E47AB8" w:rsidRPr="008B2F8A" w:rsidRDefault="00E47AB8" w:rsidP="002D45F6">
      <w:pPr>
        <w:pStyle w:val="Abbrevs"/>
      </w:pPr>
      <w:r w:rsidRPr="008B2F8A">
        <w:t>LCL</w:t>
      </w:r>
      <w:r w:rsidRPr="008B2F8A">
        <w:tab/>
        <w:t>lower control limit</w:t>
      </w:r>
    </w:p>
    <w:p w14:paraId="51943349" w14:textId="54B778A3" w:rsidR="00E47AB8" w:rsidRPr="008B2F8A" w:rsidRDefault="00E47AB8" w:rsidP="002D45F6">
      <w:pPr>
        <w:pStyle w:val="Abbrevs"/>
      </w:pPr>
      <w:r w:rsidRPr="008B2F8A">
        <w:t>MAM</w:t>
      </w:r>
      <w:r w:rsidRPr="008B2F8A">
        <w:tab/>
        <w:t>mammography</w:t>
      </w:r>
    </w:p>
    <w:p w14:paraId="3D804AFD" w14:textId="77777777" w:rsidR="00E47AB8" w:rsidRPr="008B2F8A" w:rsidRDefault="00E47AB8" w:rsidP="002D45F6">
      <w:pPr>
        <w:pStyle w:val="Abbrevs"/>
      </w:pPr>
      <w:bookmarkStart w:id="26" w:name="OLE_LINK22"/>
      <w:r w:rsidRPr="008B2F8A">
        <w:t>MARIBS</w:t>
      </w:r>
      <w:bookmarkEnd w:id="26"/>
      <w:r w:rsidRPr="008B2F8A">
        <w:tab/>
      </w:r>
      <w:bookmarkStart w:id="27" w:name="OLE_LINK439"/>
      <w:bookmarkStart w:id="28" w:name="OLE_LINK440"/>
      <w:r w:rsidRPr="008B2F8A">
        <w:t>magnetic resonance imaging breast screening</w:t>
      </w:r>
      <w:bookmarkEnd w:id="27"/>
      <w:bookmarkEnd w:id="28"/>
    </w:p>
    <w:p w14:paraId="7DC9B315" w14:textId="77777777" w:rsidR="00E47AB8" w:rsidRPr="008B2F8A" w:rsidRDefault="00E47AB8" w:rsidP="002D45F6">
      <w:pPr>
        <w:pStyle w:val="Abbrevs"/>
      </w:pPr>
      <w:r w:rsidRPr="008B2F8A">
        <w:t>MBS</w:t>
      </w:r>
      <w:r w:rsidRPr="008B2F8A">
        <w:tab/>
      </w:r>
      <w:bookmarkStart w:id="29" w:name="OLE_LINK435"/>
      <w:bookmarkStart w:id="30" w:name="OLE_LINK436"/>
      <w:r w:rsidRPr="008B2F8A">
        <w:t>Medicare Benefits Schedule</w:t>
      </w:r>
      <w:bookmarkEnd w:id="29"/>
      <w:bookmarkEnd w:id="30"/>
    </w:p>
    <w:p w14:paraId="3DE83167" w14:textId="77777777" w:rsidR="00E47AB8" w:rsidRPr="008B2F8A" w:rsidRDefault="00E47AB8" w:rsidP="002D45F6">
      <w:pPr>
        <w:pStyle w:val="Abbrevs"/>
      </w:pPr>
      <w:r w:rsidRPr="008B2F8A">
        <w:t>MCBC</w:t>
      </w:r>
      <w:r w:rsidRPr="008B2F8A">
        <w:tab/>
      </w:r>
      <w:bookmarkStart w:id="31" w:name="OLE_LINK437"/>
      <w:bookmarkStart w:id="32" w:name="OLE_LINK438"/>
      <w:r w:rsidRPr="008B2F8A">
        <w:t>metachronous contralateral breast cancer</w:t>
      </w:r>
      <w:bookmarkEnd w:id="31"/>
      <w:bookmarkEnd w:id="32"/>
    </w:p>
    <w:p w14:paraId="0FBC112A" w14:textId="77777777" w:rsidR="00E47AB8" w:rsidRPr="008B2F8A" w:rsidRDefault="00E47AB8" w:rsidP="002D45F6">
      <w:pPr>
        <w:pStyle w:val="Abbrevs"/>
      </w:pPr>
      <w:r w:rsidRPr="008B2F8A">
        <w:t>MRI</w:t>
      </w:r>
      <w:r w:rsidRPr="008B2F8A">
        <w:tab/>
      </w:r>
      <w:bookmarkStart w:id="33" w:name="OLE_LINK441"/>
      <w:bookmarkStart w:id="34" w:name="OLE_LINK442"/>
      <w:r w:rsidRPr="008B2F8A">
        <w:t>magnetic resonance imaging</w:t>
      </w:r>
      <w:bookmarkEnd w:id="33"/>
      <w:bookmarkEnd w:id="34"/>
    </w:p>
    <w:p w14:paraId="3CEB3C71" w14:textId="77777777" w:rsidR="00E47AB8" w:rsidRPr="008B2F8A" w:rsidRDefault="00E47AB8" w:rsidP="002D45F6">
      <w:pPr>
        <w:pStyle w:val="Abbrevs"/>
      </w:pPr>
      <w:bookmarkStart w:id="35" w:name="OLE_LINK23"/>
      <w:bookmarkStart w:id="36" w:name="OLE_LINK24"/>
      <w:r w:rsidRPr="008B2F8A">
        <w:t>MRISC</w:t>
      </w:r>
      <w:bookmarkEnd w:id="35"/>
      <w:bookmarkEnd w:id="36"/>
      <w:r w:rsidRPr="008B2F8A">
        <w:tab/>
      </w:r>
      <w:bookmarkStart w:id="37" w:name="OLE_LINK447"/>
      <w:bookmarkStart w:id="38" w:name="OLE_LINK448"/>
      <w:r w:rsidRPr="008B2F8A">
        <w:t xml:space="preserve">Magnetic Resonance Imaging </w:t>
      </w:r>
      <w:bookmarkStart w:id="39" w:name="OLE_LINK445"/>
      <w:bookmarkStart w:id="40" w:name="OLE_LINK446"/>
      <w:r w:rsidRPr="008B2F8A">
        <w:t>Screening Study Group</w:t>
      </w:r>
      <w:bookmarkEnd w:id="37"/>
      <w:bookmarkEnd w:id="38"/>
      <w:bookmarkEnd w:id="39"/>
      <w:bookmarkEnd w:id="40"/>
    </w:p>
    <w:p w14:paraId="277AA022" w14:textId="77777777" w:rsidR="00E47AB8" w:rsidRPr="008B2F8A" w:rsidRDefault="00E47AB8" w:rsidP="002D45F6">
      <w:pPr>
        <w:pStyle w:val="Abbrevs"/>
      </w:pPr>
      <w:r w:rsidRPr="008B2F8A">
        <w:t>MSAC</w:t>
      </w:r>
      <w:r w:rsidRPr="008B2F8A">
        <w:tab/>
      </w:r>
      <w:bookmarkStart w:id="41" w:name="OLE_LINK449"/>
      <w:bookmarkStart w:id="42" w:name="OLE_LINK450"/>
      <w:r w:rsidRPr="008B2F8A">
        <w:t>Medical Services Advisory Committee</w:t>
      </w:r>
      <w:bookmarkEnd w:id="41"/>
      <w:bookmarkEnd w:id="42"/>
    </w:p>
    <w:p w14:paraId="265DED1A" w14:textId="77777777" w:rsidR="00E47AB8" w:rsidRPr="008B2F8A" w:rsidRDefault="00E47AB8" w:rsidP="002D45F6">
      <w:pPr>
        <w:pStyle w:val="Abbrevs"/>
      </w:pPr>
      <w:r w:rsidRPr="008B2F8A">
        <w:t>NBCC</w:t>
      </w:r>
      <w:r w:rsidRPr="008B2F8A">
        <w:tab/>
        <w:t>National Breast Cancer Centre</w:t>
      </w:r>
    </w:p>
    <w:p w14:paraId="7C5DD37C" w14:textId="77777777" w:rsidR="00E47AB8" w:rsidRPr="008B2F8A" w:rsidRDefault="00E47AB8" w:rsidP="002D45F6">
      <w:pPr>
        <w:pStyle w:val="Abbrevs"/>
      </w:pPr>
      <w:r w:rsidRPr="008B2F8A">
        <w:t>NBOCC</w:t>
      </w:r>
      <w:r w:rsidRPr="008B2F8A">
        <w:tab/>
        <w:t xml:space="preserve">National Breast </w:t>
      </w:r>
      <w:r w:rsidRPr="002D45F6">
        <w:t xml:space="preserve">and </w:t>
      </w:r>
      <w:r w:rsidRPr="008B2F8A">
        <w:t>Ovarian Cancer Centre</w:t>
      </w:r>
    </w:p>
    <w:p w14:paraId="7E0DCA56" w14:textId="77777777" w:rsidR="00E47AB8" w:rsidRPr="008B2F8A" w:rsidRDefault="00E47AB8" w:rsidP="002D45F6">
      <w:pPr>
        <w:pStyle w:val="Abbrevs"/>
      </w:pPr>
      <w:r w:rsidRPr="008B2F8A">
        <w:t>NHMRC</w:t>
      </w:r>
      <w:r w:rsidRPr="008B2F8A">
        <w:tab/>
      </w:r>
      <w:bookmarkStart w:id="43" w:name="OLE_LINK455"/>
      <w:bookmarkStart w:id="44" w:name="OLE_LINK456"/>
      <w:r w:rsidRPr="008B2F8A">
        <w:t>National Health and Medical Research Council</w:t>
      </w:r>
      <w:bookmarkEnd w:id="43"/>
      <w:bookmarkEnd w:id="44"/>
    </w:p>
    <w:p w14:paraId="72182FCA" w14:textId="77777777" w:rsidR="00E47AB8" w:rsidRPr="008B2F8A" w:rsidRDefault="00E47AB8" w:rsidP="002D45F6">
      <w:pPr>
        <w:pStyle w:val="Abbrevs"/>
      </w:pPr>
      <w:r w:rsidRPr="008B2F8A">
        <w:t>NHS</w:t>
      </w:r>
      <w:r w:rsidRPr="008B2F8A">
        <w:tab/>
        <w:t xml:space="preserve">UK </w:t>
      </w:r>
      <w:bookmarkStart w:id="45" w:name="OLE_LINK457"/>
      <w:bookmarkStart w:id="46" w:name="OLE_LINK458"/>
      <w:r w:rsidRPr="008B2F8A">
        <w:t>National Health Service</w:t>
      </w:r>
      <w:bookmarkEnd w:id="45"/>
      <w:bookmarkEnd w:id="46"/>
    </w:p>
    <w:p w14:paraId="62BE72CB" w14:textId="77777777" w:rsidR="00E47AB8" w:rsidRPr="008B2F8A" w:rsidRDefault="00E47AB8" w:rsidP="002D45F6">
      <w:pPr>
        <w:pStyle w:val="Abbrevs"/>
      </w:pPr>
      <w:r w:rsidRPr="008B2F8A">
        <w:t>NICE</w:t>
      </w:r>
      <w:r w:rsidRPr="008B2F8A">
        <w:tab/>
        <w:t>UK National Institute for Health and Clinical Excellence</w:t>
      </w:r>
    </w:p>
    <w:p w14:paraId="3F46CFE1" w14:textId="77777777" w:rsidR="00E47AB8" w:rsidRPr="008B2F8A" w:rsidRDefault="00E47AB8" w:rsidP="002D45F6">
      <w:pPr>
        <w:pStyle w:val="Abbrevs"/>
      </w:pPr>
      <w:r w:rsidRPr="008B2F8A">
        <w:t>NIH</w:t>
      </w:r>
      <w:r w:rsidRPr="008B2F8A">
        <w:tab/>
        <w:t xml:space="preserve">US </w:t>
      </w:r>
      <w:bookmarkStart w:id="47" w:name="OLE_LINK463"/>
      <w:bookmarkStart w:id="48" w:name="OLE_LINK464"/>
      <w:r w:rsidRPr="008B2F8A">
        <w:t>National Institutes of Health</w:t>
      </w:r>
      <w:bookmarkEnd w:id="47"/>
      <w:bookmarkEnd w:id="48"/>
    </w:p>
    <w:p w14:paraId="1AA1C76D" w14:textId="77777777" w:rsidR="00E47AB8" w:rsidRPr="008B2F8A" w:rsidRDefault="00E47AB8" w:rsidP="002D45F6">
      <w:pPr>
        <w:pStyle w:val="Abbrevs"/>
      </w:pPr>
      <w:r w:rsidRPr="008B2F8A">
        <w:t>NPV</w:t>
      </w:r>
      <w:r w:rsidRPr="008B2F8A">
        <w:tab/>
      </w:r>
      <w:bookmarkStart w:id="49" w:name="OLE_LINK467"/>
      <w:bookmarkStart w:id="50" w:name="OLE_LINK468"/>
      <w:r w:rsidRPr="008B2F8A">
        <w:t>negative predictive value</w:t>
      </w:r>
      <w:bookmarkEnd w:id="49"/>
      <w:bookmarkEnd w:id="50"/>
    </w:p>
    <w:p w14:paraId="4B6C6E86" w14:textId="77777777" w:rsidR="00E47AB8" w:rsidRPr="008B2F8A" w:rsidRDefault="00E47AB8" w:rsidP="002D45F6">
      <w:pPr>
        <w:pStyle w:val="Abbrevs"/>
      </w:pPr>
      <w:r w:rsidRPr="008B2F8A">
        <w:t>NR</w:t>
      </w:r>
      <w:r w:rsidRPr="008B2F8A">
        <w:tab/>
        <w:t>not reported</w:t>
      </w:r>
    </w:p>
    <w:p w14:paraId="19D8E0ED" w14:textId="77777777" w:rsidR="00E47AB8" w:rsidRPr="008B2F8A" w:rsidRDefault="00E47AB8" w:rsidP="002D45F6">
      <w:pPr>
        <w:pStyle w:val="Abbrevs"/>
      </w:pPr>
      <w:r w:rsidRPr="008B2F8A">
        <w:t>OR</w:t>
      </w:r>
      <w:r w:rsidRPr="008B2F8A">
        <w:tab/>
        <w:t>odds ratio</w:t>
      </w:r>
    </w:p>
    <w:p w14:paraId="2CDD4F8D" w14:textId="77777777" w:rsidR="00E47AB8" w:rsidRPr="008B2F8A" w:rsidRDefault="00E47AB8" w:rsidP="002D45F6">
      <w:pPr>
        <w:pStyle w:val="Abbrevs"/>
      </w:pPr>
      <w:bookmarkStart w:id="51" w:name="OLE_LINK25"/>
      <w:r w:rsidRPr="008B2F8A">
        <w:t>p53</w:t>
      </w:r>
      <w:bookmarkEnd w:id="51"/>
      <w:r w:rsidRPr="008B2F8A">
        <w:tab/>
        <w:t>cellular tumour antigen p53</w:t>
      </w:r>
    </w:p>
    <w:p w14:paraId="41419077" w14:textId="77777777" w:rsidR="00E47AB8" w:rsidRPr="008B2F8A" w:rsidRDefault="00E47AB8" w:rsidP="002D45F6">
      <w:pPr>
        <w:pStyle w:val="Abbrevs"/>
      </w:pPr>
      <w:r w:rsidRPr="008B2F8A">
        <w:t>PASC</w:t>
      </w:r>
      <w:r w:rsidRPr="008B2F8A">
        <w:tab/>
        <w:t>Protocol Advisory Sub-committee</w:t>
      </w:r>
    </w:p>
    <w:p w14:paraId="0B500092" w14:textId="77777777" w:rsidR="00E47AB8" w:rsidRPr="008B2F8A" w:rsidRDefault="00E47AB8" w:rsidP="002D45F6">
      <w:pPr>
        <w:pStyle w:val="Abbrevs"/>
      </w:pPr>
      <w:r w:rsidRPr="008B2F8A">
        <w:t>PBS</w:t>
      </w:r>
      <w:r w:rsidRPr="008B2F8A">
        <w:tab/>
      </w:r>
      <w:bookmarkStart w:id="52" w:name="OLE_LINK471"/>
      <w:bookmarkStart w:id="53" w:name="OLE_LINK472"/>
      <w:r w:rsidRPr="008B2F8A">
        <w:t>Pharmaceutical Benefits Scheme</w:t>
      </w:r>
      <w:bookmarkEnd w:id="52"/>
      <w:bookmarkEnd w:id="53"/>
    </w:p>
    <w:p w14:paraId="1732A4A1" w14:textId="77777777" w:rsidR="00E47AB8" w:rsidRPr="008B2F8A" w:rsidRDefault="00E47AB8" w:rsidP="002D45F6">
      <w:pPr>
        <w:pStyle w:val="Abbrevs"/>
      </w:pPr>
      <w:r w:rsidRPr="008B2F8A">
        <w:lastRenderedPageBreak/>
        <w:t>PICO</w:t>
      </w:r>
      <w:r w:rsidRPr="008B2F8A">
        <w:tab/>
        <w:t>population, intervention, comparator, outcome</w:t>
      </w:r>
    </w:p>
    <w:p w14:paraId="63CF8B01" w14:textId="77777777" w:rsidR="00E47AB8" w:rsidRPr="008B2F8A" w:rsidRDefault="00E47AB8" w:rsidP="002D45F6">
      <w:pPr>
        <w:pStyle w:val="Abbrevs"/>
      </w:pPr>
      <w:r w:rsidRPr="008B2F8A">
        <w:t>PPV</w:t>
      </w:r>
      <w:r w:rsidRPr="008B2F8A">
        <w:tab/>
      </w:r>
      <w:bookmarkStart w:id="54" w:name="OLE_LINK477"/>
      <w:bookmarkStart w:id="55" w:name="OLE_LINK478"/>
      <w:r w:rsidRPr="008B2F8A">
        <w:t>positive predictive value</w:t>
      </w:r>
      <w:bookmarkEnd w:id="54"/>
      <w:bookmarkEnd w:id="55"/>
    </w:p>
    <w:p w14:paraId="2DF58ACD" w14:textId="0366841E" w:rsidR="00E47AB8" w:rsidRPr="008B2F8A" w:rsidRDefault="00E47AB8" w:rsidP="002D45F6">
      <w:pPr>
        <w:pStyle w:val="Abbrevs"/>
      </w:pPr>
      <w:r w:rsidRPr="008B2F8A">
        <w:t>QALY</w:t>
      </w:r>
      <w:r w:rsidRPr="008B2F8A">
        <w:tab/>
      </w:r>
      <w:bookmarkStart w:id="56" w:name="OLE_LINK481"/>
      <w:bookmarkStart w:id="57" w:name="OLE_LINK482"/>
      <w:bookmarkStart w:id="58" w:name="OLE_LINK479"/>
      <w:bookmarkStart w:id="59" w:name="OLE_LINK480"/>
      <w:r w:rsidRPr="008B2F8A">
        <w:t>quality</w:t>
      </w:r>
      <w:r w:rsidRPr="002D45F6">
        <w:t>-</w:t>
      </w:r>
      <w:r w:rsidRPr="008B2F8A">
        <w:t>adjusted life year</w:t>
      </w:r>
      <w:bookmarkEnd w:id="56"/>
      <w:bookmarkEnd w:id="57"/>
      <w:r w:rsidRPr="008B2F8A">
        <w:t>s</w:t>
      </w:r>
      <w:bookmarkEnd w:id="58"/>
      <w:bookmarkEnd w:id="59"/>
    </w:p>
    <w:p w14:paraId="3FDA9418" w14:textId="77777777" w:rsidR="00E47AB8" w:rsidRPr="008B2F8A" w:rsidRDefault="00E47AB8" w:rsidP="002D45F6">
      <w:pPr>
        <w:pStyle w:val="Abbrevs"/>
      </w:pPr>
      <w:r w:rsidRPr="008B2F8A">
        <w:t>QUADAS</w:t>
      </w:r>
      <w:r w:rsidRPr="008B2F8A">
        <w:tab/>
        <w:t>Quality Assessment of Diagnostic Accuracy Studies</w:t>
      </w:r>
    </w:p>
    <w:p w14:paraId="461289F9" w14:textId="77777777" w:rsidR="00E47AB8" w:rsidRPr="008B2F8A" w:rsidRDefault="00E47AB8" w:rsidP="002D45F6">
      <w:pPr>
        <w:pStyle w:val="Abbrevs"/>
      </w:pPr>
      <w:r w:rsidRPr="008B2F8A">
        <w:t>RR</w:t>
      </w:r>
      <w:r w:rsidRPr="008B2F8A">
        <w:tab/>
      </w:r>
      <w:bookmarkStart w:id="60" w:name="OLE_LINK489"/>
      <w:bookmarkStart w:id="61" w:name="OLE_LINK490"/>
      <w:r w:rsidRPr="008B2F8A">
        <w:t>relative risk</w:t>
      </w:r>
      <w:bookmarkEnd w:id="60"/>
      <w:bookmarkEnd w:id="61"/>
    </w:p>
    <w:p w14:paraId="5043F357" w14:textId="77777777" w:rsidR="00E47AB8" w:rsidRPr="008B2F8A" w:rsidRDefault="00E47AB8" w:rsidP="002D45F6">
      <w:pPr>
        <w:pStyle w:val="Abbrevs"/>
      </w:pPr>
      <w:r w:rsidRPr="008B2F8A">
        <w:t>RT</w:t>
      </w:r>
      <w:r w:rsidRPr="008B2F8A">
        <w:tab/>
        <w:t>radiotherapy</w:t>
      </w:r>
    </w:p>
    <w:p w14:paraId="59DB414C" w14:textId="77777777" w:rsidR="00E47AB8" w:rsidRPr="008B2F8A" w:rsidRDefault="00E47AB8" w:rsidP="002D45F6">
      <w:pPr>
        <w:pStyle w:val="Abbrevs"/>
      </w:pPr>
      <w:r w:rsidRPr="008B2F8A">
        <w:t>SD</w:t>
      </w:r>
      <w:r w:rsidRPr="008B2F8A">
        <w:tab/>
      </w:r>
      <w:bookmarkStart w:id="62" w:name="OLE_LINK493"/>
      <w:bookmarkStart w:id="63" w:name="OLE_LINK494"/>
      <w:r w:rsidRPr="008B2F8A">
        <w:t>standard deviation</w:t>
      </w:r>
      <w:bookmarkEnd w:id="62"/>
      <w:bookmarkEnd w:id="63"/>
    </w:p>
    <w:p w14:paraId="4B64E1A4" w14:textId="77777777" w:rsidR="00E47AB8" w:rsidRPr="008B2F8A" w:rsidRDefault="00E47AB8" w:rsidP="002D45F6">
      <w:pPr>
        <w:pStyle w:val="Abbrevs"/>
      </w:pPr>
      <w:bookmarkStart w:id="64" w:name="OLE_LINK26"/>
      <w:r w:rsidRPr="008B2F8A">
        <w:t>Sens</w:t>
      </w:r>
      <w:bookmarkEnd w:id="64"/>
      <w:r w:rsidRPr="008B2F8A">
        <w:tab/>
        <w:t>sensitivity</w:t>
      </w:r>
    </w:p>
    <w:p w14:paraId="78313308" w14:textId="77777777" w:rsidR="00E47AB8" w:rsidRPr="008B2F8A" w:rsidRDefault="00E47AB8" w:rsidP="002D45F6">
      <w:pPr>
        <w:pStyle w:val="Abbrevs"/>
      </w:pPr>
      <w:r w:rsidRPr="008B2F8A">
        <w:lastRenderedPageBreak/>
        <w:t>Spec</w:t>
      </w:r>
      <w:r w:rsidRPr="008B2F8A">
        <w:tab/>
        <w:t>specificity</w:t>
      </w:r>
    </w:p>
    <w:p w14:paraId="47366B63" w14:textId="1262EFF2" w:rsidR="00E47AB8" w:rsidRPr="008B2F8A" w:rsidRDefault="00E47AB8" w:rsidP="002D45F6">
      <w:pPr>
        <w:pStyle w:val="Abbrevs"/>
      </w:pPr>
      <w:r w:rsidRPr="008B2F8A">
        <w:t>STAI</w:t>
      </w:r>
      <w:r w:rsidRPr="008B2F8A">
        <w:tab/>
        <w:t>State-Trait Anxiety Inventory</w:t>
      </w:r>
    </w:p>
    <w:p w14:paraId="0DC28EE2" w14:textId="789BE4D6" w:rsidR="00E47AB8" w:rsidRPr="008B2F8A" w:rsidRDefault="00E47AB8" w:rsidP="002D45F6">
      <w:pPr>
        <w:pStyle w:val="Abbrevs"/>
      </w:pPr>
      <w:r w:rsidRPr="008B2F8A">
        <w:t>TN</w:t>
      </w:r>
      <w:r w:rsidRPr="008B2F8A">
        <w:tab/>
        <w:t>true-negative</w:t>
      </w:r>
    </w:p>
    <w:p w14:paraId="46FD2C82" w14:textId="73FFC6FF" w:rsidR="00E47AB8" w:rsidRPr="008B2F8A" w:rsidRDefault="00E47AB8" w:rsidP="002D45F6">
      <w:pPr>
        <w:pStyle w:val="Abbrevs"/>
      </w:pPr>
      <w:r w:rsidRPr="008B2F8A">
        <w:t>TP</w:t>
      </w:r>
      <w:r w:rsidRPr="008B2F8A">
        <w:tab/>
        <w:t>true-positive</w:t>
      </w:r>
    </w:p>
    <w:p w14:paraId="79A145F9" w14:textId="3682297C" w:rsidR="00E47AB8" w:rsidRPr="008B2F8A" w:rsidRDefault="00E47AB8" w:rsidP="002D45F6">
      <w:pPr>
        <w:pStyle w:val="Abbrevs"/>
      </w:pPr>
      <w:r w:rsidRPr="008B2F8A">
        <w:rPr>
          <w:i/>
        </w:rPr>
        <w:t>TP53</w:t>
      </w:r>
      <w:r w:rsidRPr="008B2F8A">
        <w:tab/>
      </w:r>
      <w:r w:rsidRPr="002D45F6">
        <w:t xml:space="preserve">tumour protein </w:t>
      </w:r>
      <w:r w:rsidRPr="008B2F8A">
        <w:t>p53 gene</w:t>
      </w:r>
    </w:p>
    <w:p w14:paraId="3B065DFD" w14:textId="77777777" w:rsidR="00E47AB8" w:rsidRPr="008B2F8A" w:rsidRDefault="00E47AB8" w:rsidP="002D45F6">
      <w:pPr>
        <w:pStyle w:val="Abbrevs"/>
      </w:pPr>
      <w:r w:rsidRPr="008B2F8A">
        <w:t>U/S</w:t>
      </w:r>
      <w:r w:rsidRPr="008B2F8A">
        <w:tab/>
        <w:t>ultrasound</w:t>
      </w:r>
    </w:p>
    <w:p w14:paraId="7E50888D" w14:textId="77777777" w:rsidR="00E47AB8" w:rsidRPr="008B2F8A" w:rsidRDefault="00E47AB8" w:rsidP="002D45F6">
      <w:pPr>
        <w:pStyle w:val="Abbrevs"/>
      </w:pPr>
      <w:r w:rsidRPr="008B2F8A">
        <w:t>UCL</w:t>
      </w:r>
      <w:r w:rsidRPr="008B2F8A">
        <w:tab/>
        <w:t>upper control limit</w:t>
      </w:r>
    </w:p>
    <w:p w14:paraId="72937AA9" w14:textId="77777777" w:rsidR="00E47AB8" w:rsidRPr="008B2F8A" w:rsidRDefault="00E47AB8" w:rsidP="002D45F6">
      <w:pPr>
        <w:pStyle w:val="Abbrevs"/>
      </w:pPr>
      <w:r w:rsidRPr="008B2F8A">
        <w:t>UK</w:t>
      </w:r>
      <w:r w:rsidRPr="008B2F8A">
        <w:tab/>
        <w:t>United Kingdom</w:t>
      </w:r>
    </w:p>
    <w:p w14:paraId="1ED5A5E6" w14:textId="77777777" w:rsidR="00E47AB8" w:rsidRPr="008B2F8A" w:rsidRDefault="00E47AB8" w:rsidP="002D45F6">
      <w:pPr>
        <w:pStyle w:val="Abbrevs"/>
      </w:pPr>
      <w:r w:rsidRPr="008B2F8A">
        <w:t>US</w:t>
      </w:r>
      <w:r w:rsidRPr="008B2F8A">
        <w:tab/>
        <w:t>United States of America</w:t>
      </w:r>
    </w:p>
    <w:p w14:paraId="0A190E71" w14:textId="1BAFB9C7" w:rsidR="00E47AB8" w:rsidRDefault="00E47AB8" w:rsidP="00422306">
      <w:pPr>
        <w:pStyle w:val="Abbrevs"/>
      </w:pPr>
      <w:r w:rsidRPr="008B2F8A">
        <w:t>WHO</w:t>
      </w:r>
      <w:r w:rsidRPr="008B2F8A">
        <w:tab/>
        <w:t>World Health Organization</w:t>
      </w:r>
    </w:p>
    <w:p w14:paraId="4303ACC8" w14:textId="77777777" w:rsidR="009B7B2F" w:rsidRDefault="009B7B2F">
      <w:pPr>
        <w:pStyle w:val="Abbrevs"/>
        <w:sectPr w:rsidR="009B7B2F" w:rsidSect="009B7B2F">
          <w:type w:val="continuous"/>
          <w:pgSz w:w="11906" w:h="16838"/>
          <w:pgMar w:top="1418" w:right="1418" w:bottom="1418" w:left="1418" w:header="708" w:footer="708" w:gutter="0"/>
          <w:pgNumType w:fmt="lowerRoman"/>
          <w:cols w:num="2" w:space="708"/>
          <w:docGrid w:linePitch="360"/>
        </w:sectPr>
      </w:pPr>
    </w:p>
    <w:p w14:paraId="7E4BAA49" w14:textId="65B745F5" w:rsidR="00E47AB8" w:rsidRPr="008B2F8A" w:rsidRDefault="00E47AB8" w:rsidP="002D45F6">
      <w:pPr>
        <w:pStyle w:val="Abbrevs"/>
      </w:pPr>
    </w:p>
    <w:p w14:paraId="5DFA82A4" w14:textId="77777777" w:rsidR="00E47AB8" w:rsidRPr="008B2F8A" w:rsidRDefault="00E47AB8" w:rsidP="00422306">
      <w:pPr>
        <w:spacing w:after="200"/>
        <w:rPr>
          <w:lang w:eastAsia="en-AU"/>
        </w:rPr>
      </w:pPr>
      <w:r w:rsidRPr="008B2F8A">
        <w:rPr>
          <w:lang w:eastAsia="en-AU"/>
        </w:rPr>
        <w:br w:type="page"/>
      </w:r>
    </w:p>
    <w:p w14:paraId="6E72C7B5" w14:textId="77777777" w:rsidR="00E47AB8" w:rsidRPr="008B2F8A" w:rsidRDefault="00E47AB8" w:rsidP="00422306">
      <w:pPr>
        <w:pStyle w:val="Heading1"/>
        <w:numPr>
          <w:ilvl w:val="0"/>
          <w:numId w:val="0"/>
        </w:numPr>
        <w:ind w:left="432" w:hanging="432"/>
      </w:pPr>
      <w:bookmarkStart w:id="65" w:name="Top"/>
      <w:bookmarkStart w:id="66" w:name="_Toc383424395"/>
      <w:bookmarkEnd w:id="65"/>
      <w:r w:rsidRPr="008B2F8A">
        <w:lastRenderedPageBreak/>
        <w:t>Executive summary</w:t>
      </w:r>
      <w:bookmarkEnd w:id="66"/>
    </w:p>
    <w:p w14:paraId="44646DCE" w14:textId="77777777" w:rsidR="00E47AB8" w:rsidRPr="008B2F8A" w:rsidRDefault="00E47AB8" w:rsidP="002D45F6">
      <w:pPr>
        <w:pStyle w:val="Heading2"/>
        <w:numPr>
          <w:ilvl w:val="0"/>
          <w:numId w:val="0"/>
        </w:numPr>
      </w:pPr>
      <w:bookmarkStart w:id="67" w:name="_Toc383424396"/>
      <w:r w:rsidRPr="008B2F8A">
        <w:t>Assessment of breast MRI for screening of high-risk women</w:t>
      </w:r>
      <w:bookmarkEnd w:id="67"/>
    </w:p>
    <w:p w14:paraId="5BD545D6" w14:textId="77777777" w:rsidR="00E47AB8" w:rsidRPr="008B2F8A" w:rsidRDefault="00E47AB8" w:rsidP="002D45F6">
      <w:pPr>
        <w:pStyle w:val="Heading3"/>
      </w:pPr>
      <w:bookmarkStart w:id="68" w:name="_Toc383424397"/>
      <w:r w:rsidRPr="008B2F8A">
        <w:t>Purpose of the Application</w:t>
      </w:r>
      <w:bookmarkEnd w:id="68"/>
    </w:p>
    <w:p w14:paraId="1FE4FFF5" w14:textId="1FA88920" w:rsidR="00E47AB8" w:rsidRPr="008B2F8A" w:rsidRDefault="00E47AB8" w:rsidP="00422306">
      <w:r w:rsidRPr="008B2F8A">
        <w:t>In May 2011, the Department of Health and Ageing received an application (‘the Application’) from the Royal Australian and New Zealand College of Radiologists requesting the review of the Medicare Benefits Schedule (</w:t>
      </w:r>
      <w:bookmarkStart w:id="69" w:name="OLE_LINK216"/>
      <w:bookmarkStart w:id="70" w:name="OLE_LINK217"/>
      <w:r w:rsidRPr="008B2F8A">
        <w:t>MBS</w:t>
      </w:r>
      <w:bookmarkEnd w:id="69"/>
      <w:bookmarkEnd w:id="70"/>
      <w:r w:rsidRPr="008B2F8A">
        <w:t>) listing of breast magnetic resonance imaging (</w:t>
      </w:r>
      <w:bookmarkStart w:id="71" w:name="OLE_LINK218"/>
      <w:bookmarkStart w:id="72" w:name="OLE_LINK219"/>
      <w:r w:rsidRPr="008B2F8A">
        <w:t>MRI</w:t>
      </w:r>
      <w:bookmarkEnd w:id="71"/>
      <w:bookmarkEnd w:id="72"/>
      <w:r w:rsidRPr="008B2F8A">
        <w:t>) for screening of young women at high risk of breast cancer. The Application requested a review of:</w:t>
      </w:r>
    </w:p>
    <w:p w14:paraId="2F3C0BFC" w14:textId="3C99641A" w:rsidR="00E47AB8" w:rsidRPr="008B2F8A" w:rsidRDefault="00E47AB8" w:rsidP="00E47AB8">
      <w:pPr>
        <w:pStyle w:val="ListParagraph"/>
        <w:numPr>
          <w:ilvl w:val="0"/>
          <w:numId w:val="83"/>
        </w:numPr>
      </w:pPr>
      <w:r w:rsidRPr="008B2F8A">
        <w:t xml:space="preserve">the use of breast MRI for the screening of high-risk women </w:t>
      </w:r>
      <w:r w:rsidRPr="008B2F8A">
        <w:rPr>
          <w:b/>
          <w:bCs/>
        </w:rPr>
        <w:t xml:space="preserve">in addition </w:t>
      </w:r>
      <w:r w:rsidRPr="008B2F8A">
        <w:t xml:space="preserve">to an organised screening program for women &lt;50 years of age, as recommended by </w:t>
      </w:r>
      <w:bookmarkStart w:id="73" w:name="OLE_LINK220"/>
      <w:bookmarkStart w:id="74" w:name="OLE_LINK221"/>
      <w:r w:rsidRPr="008B2F8A">
        <w:t xml:space="preserve">the Medical Services Advisory Committee </w:t>
      </w:r>
      <w:bookmarkEnd w:id="73"/>
      <w:bookmarkEnd w:id="74"/>
      <w:r w:rsidRPr="008B2F8A">
        <w:t xml:space="preserve">in 2007 (MSAC, </w:t>
      </w:r>
      <w:bookmarkStart w:id="75" w:name="OLE_LINK568"/>
      <w:bookmarkStart w:id="76" w:name="OLE_LINK569"/>
      <w:r w:rsidRPr="008B2F8A">
        <w:t>2006)</w:t>
      </w:r>
      <w:bookmarkEnd w:id="75"/>
      <w:bookmarkEnd w:id="76"/>
      <w:r w:rsidRPr="008B2F8A">
        <w:t>; as such, no change is being proposed to the use of breast MRI in the clinical pathway from what was recommended in the 2006 review</w:t>
      </w:r>
    </w:p>
    <w:p w14:paraId="2DA47BF2" w14:textId="63A20100" w:rsidR="00E47AB8" w:rsidRPr="008B2F8A" w:rsidRDefault="00E47AB8" w:rsidP="00E47AB8">
      <w:pPr>
        <w:pStyle w:val="ListParagraph"/>
        <w:numPr>
          <w:ilvl w:val="0"/>
          <w:numId w:val="83"/>
        </w:numPr>
      </w:pPr>
      <w:r w:rsidRPr="008B2F8A">
        <w:t>the inclusion of additional high-risk patient populations, namely women who are &lt;50 years of age and have had either:</w:t>
      </w:r>
    </w:p>
    <w:p w14:paraId="1A33ABA3" w14:textId="77777777" w:rsidR="00E47AB8" w:rsidRPr="008B2F8A" w:rsidRDefault="00E47AB8" w:rsidP="00E47AB8">
      <w:pPr>
        <w:pStyle w:val="ListParagraph"/>
        <w:numPr>
          <w:ilvl w:val="0"/>
          <w:numId w:val="84"/>
        </w:numPr>
      </w:pPr>
      <w:r w:rsidRPr="008B2F8A">
        <w:t>a prior history of invasive breast cancer</w:t>
      </w:r>
    </w:p>
    <w:p w14:paraId="4B4C52F2" w14:textId="590D48BF" w:rsidR="00E47AB8" w:rsidRPr="008B2F8A" w:rsidRDefault="00E47AB8" w:rsidP="00E47AB8">
      <w:pPr>
        <w:pStyle w:val="ListParagraph"/>
        <w:numPr>
          <w:ilvl w:val="0"/>
          <w:numId w:val="84"/>
        </w:numPr>
      </w:pPr>
      <w:r w:rsidRPr="008B2F8A">
        <w:t>a prior history of treatment for lobular carcinoma in situ (</w:t>
      </w:r>
      <w:bookmarkStart w:id="77" w:name="OLE_LINK222"/>
      <w:bookmarkStart w:id="78" w:name="OLE_LINK223"/>
      <w:r w:rsidRPr="008B2F8A">
        <w:t>LCIS</w:t>
      </w:r>
      <w:bookmarkEnd w:id="77"/>
      <w:bookmarkEnd w:id="78"/>
      <w:r w:rsidRPr="008B2F8A">
        <w:t>) or ductal carcinoma in situ (</w:t>
      </w:r>
      <w:bookmarkStart w:id="79" w:name="OLE_LINK224"/>
      <w:bookmarkStart w:id="80" w:name="OLE_LINK225"/>
      <w:r w:rsidRPr="008B2F8A">
        <w:t>DCIS</w:t>
      </w:r>
      <w:bookmarkEnd w:id="79"/>
      <w:bookmarkEnd w:id="80"/>
      <w:r w:rsidRPr="008B2F8A">
        <w:t>)</w:t>
      </w:r>
    </w:p>
    <w:p w14:paraId="4A16F9BC" w14:textId="13D7328E" w:rsidR="00E47AB8" w:rsidRPr="008B2F8A" w:rsidRDefault="00E47AB8" w:rsidP="00E47AB8">
      <w:pPr>
        <w:pStyle w:val="ListParagraph"/>
        <w:numPr>
          <w:ilvl w:val="0"/>
          <w:numId w:val="84"/>
        </w:numPr>
      </w:pPr>
      <w:r w:rsidRPr="008B2F8A">
        <w:t>a history of radiotherapy to the chest area between 10 and 35 years of age.</w:t>
      </w:r>
    </w:p>
    <w:p w14:paraId="6E7789BF" w14:textId="41BB2643" w:rsidR="00E47AB8" w:rsidRPr="008B2F8A" w:rsidRDefault="00E47AB8" w:rsidP="00422306">
      <w:r w:rsidRPr="008B2F8A">
        <w:t>The change in the proposed patient population will see additional patients screened who would not previously have had access to MBS item 63464. In all populations, MRI is proposed as an additional test to standard imaging, which is mammography ± ultrasound.</w:t>
      </w:r>
    </w:p>
    <w:p w14:paraId="7AEC462A" w14:textId="77777777" w:rsidR="00E47AB8" w:rsidRPr="008B2F8A" w:rsidRDefault="00E47AB8" w:rsidP="002D45F6">
      <w:pPr>
        <w:pStyle w:val="Heading3"/>
      </w:pPr>
      <w:bookmarkStart w:id="81" w:name="_Toc383424398"/>
      <w:r w:rsidRPr="008B2F8A">
        <w:t>Proposal for public funding</w:t>
      </w:r>
      <w:bookmarkEnd w:id="81"/>
    </w:p>
    <w:p w14:paraId="554CBB1C" w14:textId="77777777" w:rsidR="00E47AB8" w:rsidRPr="008B2F8A" w:rsidRDefault="00E47AB8" w:rsidP="00422306">
      <w:r w:rsidRPr="008B2F8A">
        <w:t xml:space="preserve">The proposed MBS item descriptors as determined by </w:t>
      </w:r>
      <w:bookmarkStart w:id="82" w:name="OLE_LINK226"/>
      <w:bookmarkStart w:id="83" w:name="OLE_LINK227"/>
      <w:r w:rsidRPr="008B2F8A">
        <w:t>the Protocol Advisory Sub-committee</w:t>
      </w:r>
      <w:r w:rsidRPr="002D45F6">
        <w:t xml:space="preserve"> </w:t>
      </w:r>
      <w:r w:rsidRPr="008B2F8A">
        <w:t xml:space="preserve">(PASC) </w:t>
      </w:r>
      <w:bookmarkEnd w:id="82"/>
      <w:bookmarkEnd w:id="83"/>
      <w:r w:rsidRPr="008B2F8A">
        <w:t>are presented below, with proposed additions to the current wording shown in bold italic text.</w:t>
      </w:r>
    </w:p>
    <w:p w14:paraId="7BB2F2C4" w14:textId="43B7A66A" w:rsidR="00E47AB8" w:rsidRPr="008B2F8A" w:rsidRDefault="00E47AB8" w:rsidP="00422306">
      <w:pPr>
        <w:pStyle w:val="Caption"/>
        <w:rPr>
          <w:lang w:eastAsia="en-AU"/>
        </w:rPr>
      </w:pPr>
      <w:bookmarkStart w:id="84" w:name="OLE_LINK914"/>
      <w:bookmarkStart w:id="85" w:name="OLE_LINK915"/>
      <w:r w:rsidRPr="008B2F8A">
        <w:rPr>
          <w:lang w:eastAsia="en-AU"/>
        </w:rPr>
        <w:t>Proposed PASC-determined item descriptors</w:t>
      </w:r>
      <w:bookmarkEnd w:id="84"/>
      <w:bookmarkEnd w:id="85"/>
      <w:r w:rsidRPr="008B2F8A">
        <w:rPr>
          <w:lang w:eastAsia="en-AU"/>
        </w:rPr>
        <w:t>.</w:t>
      </w:r>
    </w:p>
    <w:tbl>
      <w:tblPr>
        <w:tblW w:w="9070"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Caption w:val="Proposed PASC-determined item descriptors"/>
      </w:tblPr>
      <w:tblGrid>
        <w:gridCol w:w="9070"/>
      </w:tblGrid>
      <w:tr w:rsidR="00E47AB8" w:rsidRPr="008B2F8A" w14:paraId="0CA85943" w14:textId="77777777" w:rsidTr="00422306">
        <w:trPr>
          <w:tblHeader/>
        </w:trPr>
        <w:tc>
          <w:tcPr>
            <w:tcW w:w="9082" w:type="dxa"/>
            <w:tcBorders>
              <w:top w:val="single" w:sz="4" w:space="0" w:color="auto"/>
              <w:bottom w:val="single" w:sz="4" w:space="0" w:color="auto"/>
            </w:tcBorders>
          </w:tcPr>
          <w:p w14:paraId="1B1841FD" w14:textId="77777777" w:rsidR="00E47AB8" w:rsidRPr="008B2F8A" w:rsidRDefault="00E47AB8" w:rsidP="00422306">
            <w:pPr>
              <w:tabs>
                <w:tab w:val="left" w:pos="2835"/>
              </w:tabs>
              <w:spacing w:before="40" w:after="80"/>
              <w:jc w:val="right"/>
              <w:rPr>
                <w:rFonts w:ascii="Arial Narrow" w:hAnsi="Arial Narrow"/>
                <w:b/>
                <w:sz w:val="20"/>
                <w:szCs w:val="20"/>
                <w:lang w:eastAsia="ja-JP"/>
              </w:rPr>
            </w:pPr>
            <w:r w:rsidRPr="008B2F8A">
              <w:rPr>
                <w:rFonts w:ascii="Arial Narrow" w:hAnsi="Arial Narrow"/>
                <w:b/>
                <w:sz w:val="20"/>
                <w:szCs w:val="20"/>
                <w:lang w:eastAsia="ja-JP"/>
              </w:rPr>
              <w:t>Category 5—Diagnostic Imaging Services</w:t>
            </w:r>
          </w:p>
        </w:tc>
      </w:tr>
      <w:tr w:rsidR="00E47AB8" w:rsidRPr="008B2F8A" w14:paraId="582899AC" w14:textId="77777777" w:rsidTr="00422306">
        <w:tc>
          <w:tcPr>
            <w:tcW w:w="9082" w:type="dxa"/>
            <w:tcBorders>
              <w:top w:val="single" w:sz="4" w:space="0" w:color="auto"/>
            </w:tcBorders>
          </w:tcPr>
          <w:p w14:paraId="3175045B" w14:textId="777814AF"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 xml:space="preserve">MBS </w:t>
            </w:r>
            <w:hyperlink r:id="rId13" w:history="1">
              <w:r w:rsidRPr="008B2F8A">
                <w:rPr>
                  <w:rFonts w:ascii="Arial Narrow" w:eastAsia="SimSun" w:hAnsi="Arial Narrow" w:cs="Tahoma"/>
                  <w:sz w:val="20"/>
                  <w:szCs w:val="20"/>
                  <w:lang w:eastAsia="ja-JP"/>
                </w:rPr>
                <w:t>63464</w:t>
              </w:r>
            </w:hyperlink>
          </w:p>
          <w:p w14:paraId="7134E68E"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sz w:val="20"/>
                <w:szCs w:val="20"/>
                <w:lang w:eastAsia="ja-JP"/>
              </w:rPr>
              <w:t>Magnetic resonance imaging</w:t>
            </w:r>
            <w:r w:rsidRPr="008B2F8A">
              <w:rPr>
                <w:rFonts w:ascii="Arial Narrow" w:eastAsia="SimSun" w:hAnsi="Arial Narrow" w:cs="Tahoma"/>
                <w:sz w:val="20"/>
                <w:szCs w:val="20"/>
                <w:lang w:eastAsia="ja-JP"/>
              </w:rPr>
              <w:t xml:space="preserve"> performed under the professional supervision of an eligible provider at an eligible location where the patient is referred by a specialist or by a consultant physician and where:</w:t>
            </w:r>
          </w:p>
          <w:p w14:paraId="157DCB14"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a dedicated breast coil is used; and</w:t>
            </w:r>
          </w:p>
          <w:p w14:paraId="15E46A8D" w14:textId="01F69D23"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the request for scan identifies that the woman is asymptomatic and is &lt;50 years of age; and</w:t>
            </w:r>
          </w:p>
          <w:p w14:paraId="0910CB67" w14:textId="6457DEE5" w:rsidR="00A279C5" w:rsidRDefault="00E47AB8" w:rsidP="00A279C5">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(c) the request for scan identifies either:</w:t>
            </w:r>
          </w:p>
          <w:p w14:paraId="66856B8C" w14:textId="4CCAA9C8" w:rsidR="00E47AB8" w:rsidRPr="008B2F8A" w:rsidRDefault="002E5F0F" w:rsidP="00A279C5">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sz w:val="20"/>
                <w:szCs w:val="20"/>
                <w:lang w:eastAsia="ja-JP"/>
              </w:rPr>
            </w:pPr>
            <w:r>
              <w:rPr>
                <w:rFonts w:ascii="Arial Narrow" w:eastAsia="SimSun" w:hAnsi="Arial Narrow" w:cs="Tahoma"/>
                <w:sz w:val="20"/>
                <w:szCs w:val="20"/>
                <w:lang w:eastAsia="ja-JP"/>
              </w:rPr>
              <w:t xml:space="preserve"> </w:t>
            </w:r>
            <w:r w:rsidR="00E47AB8" w:rsidRPr="008B2F8A">
              <w:rPr>
                <w:rFonts w:ascii="Arial Narrow" w:eastAsia="SimSun" w:hAnsi="Arial Narrow" w:cs="Tahoma"/>
                <w:sz w:val="20"/>
                <w:szCs w:val="20"/>
                <w:lang w:eastAsia="ja-JP"/>
              </w:rPr>
              <w:t>(i) that the patient is at high risk of developing breast cancer due to one of the following:</w:t>
            </w:r>
          </w:p>
          <w:p w14:paraId="540AB943" w14:textId="75D36785" w:rsidR="00E47AB8" w:rsidRPr="008B2F8A" w:rsidRDefault="00E47AB8" w:rsidP="00E0111F">
            <w:pPr>
              <w:pStyle w:val="NormalWeb"/>
              <w:shd w:val="clear" w:color="auto" w:fill="FFFFFF"/>
              <w:tabs>
                <w:tab w:val="left" w:pos="2835"/>
              </w:tabs>
              <w:spacing w:before="40" w:beforeAutospacing="0" w:after="80" w:afterAutospacing="0" w:line="276" w:lineRule="auto"/>
              <w:ind w:left="1290" w:hanging="1006"/>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3 or more first- or second-degree relatives on the same side of the family diagnosed with breast or ovarian cancer</w:t>
            </w:r>
          </w:p>
          <w:p w14:paraId="46C6C52D" w14:textId="4A375D7D" w:rsidR="00E47AB8" w:rsidRPr="008B2F8A" w:rsidRDefault="00E47AB8" w:rsidP="00E0111F">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2 or more first- or second-degree relatives on the same side of the family diagnosed with breast or ovarian cancer, if any of the following applies to at least 1 of the relatives:</w:t>
            </w:r>
          </w:p>
          <w:p w14:paraId="528722BE" w14:textId="490A6E22"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—has been diagnosed with bilateral breast cancer</w:t>
            </w:r>
          </w:p>
          <w:p w14:paraId="254CB33C" w14:textId="302FF382"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—had onset of breast cancer before the age of 40 years</w:t>
            </w:r>
          </w:p>
          <w:p w14:paraId="0A84C0F8" w14:textId="3A9D7DF2"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—had onset of ovarian cancer before the age of 50 years</w:t>
            </w:r>
          </w:p>
          <w:p w14:paraId="21EB981A" w14:textId="46F57DD6"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lastRenderedPageBreak/>
              <w:tab/>
              <w:t>—has been diagnosed with breast and ovarian cancer, at the same time or at different times</w:t>
            </w:r>
          </w:p>
          <w:p w14:paraId="6636E526" w14:textId="52E95B2D"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—has Ashkenazi Jewish ancestry</w:t>
            </w:r>
          </w:p>
          <w:p w14:paraId="6301DC7D" w14:textId="5D5B9E6B"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—is a male relative who has been diagnosed with breast cancer.</w:t>
            </w:r>
          </w:p>
          <w:p w14:paraId="5246F8FF" w14:textId="45F06E40" w:rsidR="00E47AB8" w:rsidRPr="008B2F8A" w:rsidRDefault="00E47AB8" w:rsidP="00A279C5">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(C) 1 first- or second-degree relative diagnosed with breast cancer at age 45 years or younger, plus another first- or second-degree relative on the same side of the family with bone or soft tissue sarcoma at age 45 years or younger; or</w:t>
            </w:r>
            <w:r w:rsidR="002E5F0F">
              <w:rPr>
                <w:rFonts w:ascii="Arial Narrow" w:eastAsia="SimSun" w:hAnsi="Arial Narrow" w:cs="Tahoma"/>
                <w:sz w:val="20"/>
                <w:szCs w:val="20"/>
                <w:lang w:eastAsia="ja-JP"/>
              </w:rPr>
              <w:t xml:space="preserve"> </w:t>
            </w:r>
            <w:r w:rsidRPr="008B2F8A">
              <w:rPr>
                <w:rFonts w:ascii="Arial Narrow" w:eastAsia="SimSun" w:hAnsi="Arial Narrow" w:cs="Tahoma"/>
                <w:sz w:val="20"/>
                <w:szCs w:val="20"/>
                <w:lang w:eastAsia="ja-JP"/>
              </w:rPr>
              <w:t>(ii) that genetic testing has identified the presence of a high-risk breast cancer gene mutation</w:t>
            </w:r>
          </w:p>
          <w:p w14:paraId="1B6BD900" w14:textId="77777777" w:rsidR="00E47AB8" w:rsidRPr="008B2F8A" w:rsidRDefault="00E47AB8" w:rsidP="00E0111F">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b/>
                <w:i/>
                <w:sz w:val="20"/>
                <w:szCs w:val="20"/>
                <w:lang w:eastAsia="ja-JP"/>
              </w:rPr>
            </w:pPr>
            <w:r w:rsidRPr="008B2F8A">
              <w:rPr>
                <w:rFonts w:ascii="Arial Narrow" w:eastAsia="SimSun" w:hAnsi="Arial Narrow" w:cs="Tahoma"/>
                <w:b/>
                <w:i/>
                <w:sz w:val="20"/>
                <w:szCs w:val="20"/>
                <w:lang w:eastAsia="ja-JP"/>
              </w:rPr>
              <w:t>(D) prior history of treatment for invasive breast cancer</w:t>
            </w:r>
          </w:p>
          <w:p w14:paraId="5ED1A642" w14:textId="77777777" w:rsidR="00E47AB8" w:rsidRPr="008B2F8A" w:rsidRDefault="00E47AB8" w:rsidP="00E0111F">
            <w:pPr>
              <w:autoSpaceDE w:val="0"/>
              <w:autoSpaceDN w:val="0"/>
              <w:adjustRightInd w:val="0"/>
              <w:spacing w:before="40" w:after="80"/>
              <w:ind w:left="284"/>
              <w:rPr>
                <w:rFonts w:ascii="Arial Narrow" w:hAnsi="Arial Narrow"/>
                <w:b/>
                <w:i/>
                <w:sz w:val="20"/>
                <w:szCs w:val="20"/>
                <w:lang w:eastAsia="ja-JP"/>
              </w:rPr>
            </w:pPr>
            <w:r w:rsidRPr="008B2F8A">
              <w:rPr>
                <w:rFonts w:ascii="Arial Narrow" w:hAnsi="Arial Narrow"/>
                <w:b/>
                <w:i/>
                <w:sz w:val="20"/>
                <w:szCs w:val="20"/>
                <w:lang w:eastAsia="ja-JP"/>
              </w:rPr>
              <w:t>(E) prior history of treatment for ductal carcinoma in situ (DCIS) or lobular carcinoma in situ (LCIS)</w:t>
            </w:r>
          </w:p>
          <w:p w14:paraId="69B6DF4A" w14:textId="55E06863" w:rsidR="00E47AB8" w:rsidRPr="008B2F8A" w:rsidRDefault="00E47AB8" w:rsidP="00E0111F">
            <w:pPr>
              <w:pStyle w:val="NoSpacing"/>
              <w:spacing w:before="40" w:after="80" w:line="276" w:lineRule="auto"/>
              <w:ind w:left="284"/>
              <w:rPr>
                <w:rFonts w:ascii="Arial Narrow" w:eastAsia="SimSun" w:hAnsi="Arial Narrow" w:cs="Tahoma"/>
                <w:b/>
                <w:i/>
                <w:sz w:val="20"/>
                <w:szCs w:val="20"/>
                <w:lang w:val="en-AU" w:eastAsia="ja-JP"/>
              </w:rPr>
            </w:pPr>
            <w:r w:rsidRPr="008B2F8A">
              <w:rPr>
                <w:rFonts w:ascii="Arial Narrow" w:eastAsia="SimSun" w:hAnsi="Arial Narrow" w:cs="Tahoma"/>
                <w:b/>
                <w:i/>
                <w:sz w:val="20"/>
                <w:szCs w:val="20"/>
                <w:lang w:val="en-AU" w:eastAsia="ja-JP"/>
              </w:rPr>
              <w:t>(F) with a history of therapeutic radiation treatment to the chest area between the ages of 10 and 35 years</w:t>
            </w:r>
          </w:p>
          <w:p w14:paraId="68814609" w14:textId="1D1189DD"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Scan of both breasts</w:t>
            </w:r>
            <w:r w:rsidRPr="008B2F8A">
              <w:rPr>
                <w:rFonts w:ascii="Arial Narrow" w:eastAsia="SimSun" w:hAnsi="Arial Narrow" w:cs="Tahoma"/>
                <w:sz w:val="20"/>
                <w:szCs w:val="20"/>
                <w:lang w:eastAsia="ja-JP"/>
              </w:rPr>
              <w:t xml:space="preserve"> for:</w:t>
            </w:r>
          </w:p>
          <w:p w14:paraId="4268B710"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—detection of cancer (R)</w:t>
            </w:r>
          </w:p>
          <w:p w14:paraId="4643BAF4" w14:textId="44E2AC5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Style w:val="Strong"/>
                <w:rFonts w:ascii="Arial Narrow" w:hAnsi="Arial Narrow"/>
                <w:sz w:val="20"/>
                <w:szCs w:val="20"/>
              </w:rPr>
              <w:t>Note: Benefits are payable on one occasion only in any 12-month period.</w:t>
            </w:r>
          </w:p>
          <w:p w14:paraId="2F67E9D3" w14:textId="46FA6344"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Fee: $690.00</w:t>
            </w:r>
            <w:r w:rsidRPr="008B2F8A">
              <w:rPr>
                <w:rFonts w:ascii="Arial Narrow" w:eastAsia="SimSun" w:hAnsi="Arial Narrow" w:cs="Tahoma"/>
                <w:sz w:val="20"/>
                <w:szCs w:val="20"/>
                <w:lang w:eastAsia="ja-JP"/>
              </w:rPr>
              <w:t> </w:t>
            </w:r>
            <w:r w:rsidRPr="008B2F8A">
              <w:rPr>
                <w:rFonts w:ascii="Arial Narrow" w:eastAsia="SimSun" w:hAnsi="Arial Narrow" w:cs="Tahoma"/>
                <w:sz w:val="20"/>
                <w:szCs w:val="20"/>
                <w:lang w:eastAsia="ja-JP"/>
              </w:rPr>
              <w:t>Benefit: 75% = $517.50, 85% = $613.80</w:t>
            </w:r>
          </w:p>
          <w:p w14:paraId="40820C8F" w14:textId="77777777" w:rsidR="00E47AB8" w:rsidRPr="008B2F8A" w:rsidRDefault="00E47AB8" w:rsidP="00422306">
            <w:pPr>
              <w:tabs>
                <w:tab w:val="left" w:pos="2835"/>
              </w:tabs>
              <w:spacing w:before="40" w:after="80"/>
              <w:rPr>
                <w:rFonts w:ascii="Arial Narrow" w:hAnsi="Arial Narrow"/>
                <w:sz w:val="20"/>
                <w:szCs w:val="20"/>
                <w:lang w:eastAsia="ja-JP"/>
              </w:rPr>
            </w:pPr>
            <w:r w:rsidRPr="008B2F8A">
              <w:rPr>
                <w:rFonts w:ascii="Arial Narrow" w:hAnsi="Arial Narrow"/>
                <w:sz w:val="20"/>
                <w:szCs w:val="20"/>
                <w:lang w:eastAsia="ja-JP"/>
              </w:rPr>
              <w:t>Relevant explanatory note: Bulk bill incentive</w:t>
            </w:r>
          </w:p>
        </w:tc>
      </w:tr>
      <w:tr w:rsidR="00E47AB8" w:rsidRPr="008B2F8A" w14:paraId="202E8BEB" w14:textId="77777777" w:rsidTr="00422306">
        <w:tc>
          <w:tcPr>
            <w:tcW w:w="9082" w:type="dxa"/>
            <w:tcBorders>
              <w:top w:val="single" w:sz="4" w:space="0" w:color="auto"/>
              <w:bottom w:val="single" w:sz="4" w:space="0" w:color="auto"/>
            </w:tcBorders>
          </w:tcPr>
          <w:p w14:paraId="289C3F84"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lastRenderedPageBreak/>
              <w:t>MBS 63467</w:t>
            </w:r>
          </w:p>
          <w:p w14:paraId="0D3D713D"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E0111F">
              <w:rPr>
                <w:rFonts w:ascii="Arial Narrow" w:eastAsia="SimSun" w:hAnsi="Arial Narrow" w:cs="Tahoma"/>
                <w:b/>
                <w:sz w:val="20"/>
                <w:szCs w:val="20"/>
                <w:lang w:eastAsia="ja-JP"/>
              </w:rPr>
              <w:t>Magnetic resonance imaging</w:t>
            </w:r>
            <w:r w:rsidRPr="008B2F8A">
              <w:rPr>
                <w:rFonts w:ascii="Arial Narrow" w:eastAsia="SimSun" w:hAnsi="Arial Narrow" w:cs="Tahoma"/>
                <w:sz w:val="20"/>
                <w:szCs w:val="20"/>
                <w:lang w:eastAsia="ja-JP"/>
              </w:rPr>
              <w:t xml:space="preserve"> performed under the professional supervision of an eligible provider at an eligible location where the patient is referred by a specialist or by a consultant physician and where:</w:t>
            </w:r>
          </w:p>
          <w:p w14:paraId="092DF32D"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a dedicated breast coil is used; and</w:t>
            </w:r>
          </w:p>
          <w:p w14:paraId="42D6B9CC" w14:textId="766A3EC5"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the woman has had an abnormality detected as a result of a service described in item 63464 performed in the previous 12 months</w:t>
            </w:r>
          </w:p>
          <w:p w14:paraId="42A2A6A5"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Scan of both breasts for:</w:t>
            </w:r>
          </w:p>
          <w:p w14:paraId="74DFD21E"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—detection of cancer (R)</w:t>
            </w:r>
          </w:p>
          <w:p w14:paraId="498CC25B" w14:textId="0EBF037E"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Note 1: Benefits are payable on one occasion only in any 12-month period.</w:t>
            </w:r>
          </w:p>
          <w:p w14:paraId="380907D5"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Note 2: This item is intended for follow-up imaging of abnormalities diagnosed on a scan described by item</w:t>
            </w:r>
            <w:r w:rsidRPr="00E0111F">
              <w:rPr>
                <w:rFonts w:ascii="Arial Narrow" w:eastAsia="SimSun" w:hAnsi="Arial Narrow" w:cs="Tahoma"/>
                <w:b/>
                <w:sz w:val="20"/>
                <w:szCs w:val="20"/>
                <w:lang w:eastAsia="ja-JP"/>
              </w:rPr>
              <w:t xml:space="preserve"> 63464.</w:t>
            </w:r>
          </w:p>
          <w:p w14:paraId="4D7E4A00" w14:textId="77777777" w:rsidR="00E47AB8" w:rsidRPr="008B2F8A" w:rsidRDefault="005839BC"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hyperlink r:id="rId14" w:history="1">
              <w:r w:rsidR="00E47AB8" w:rsidRPr="008B2F8A">
                <w:rPr>
                  <w:rFonts w:ascii="Arial Narrow" w:eastAsia="SimSun" w:hAnsi="Arial Narrow" w:cs="Tahoma"/>
                  <w:sz w:val="20"/>
                  <w:szCs w:val="20"/>
                  <w:lang w:eastAsia="ja-JP"/>
                </w:rPr>
                <w:t>Bulk bill incentive</w:t>
              </w:r>
            </w:hyperlink>
          </w:p>
          <w:p w14:paraId="00E9B0C1" w14:textId="50F5BFCE"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sz w:val="20"/>
                <w:szCs w:val="20"/>
              </w:rPr>
            </w:pPr>
            <w:r w:rsidRPr="008B2F8A">
              <w:rPr>
                <w:rFonts w:ascii="Arial Narrow" w:eastAsia="SimSun" w:hAnsi="Arial Narrow" w:cs="Tahoma"/>
                <w:sz w:val="20"/>
                <w:szCs w:val="20"/>
                <w:lang w:eastAsia="ja-JP"/>
              </w:rPr>
              <w:t>Fee: $690.00</w:t>
            </w:r>
            <w:r w:rsidRPr="008B2F8A">
              <w:rPr>
                <w:rFonts w:ascii="Arial Narrow" w:eastAsia="SimSun" w:hAnsi="Arial Narrow" w:cs="Tahoma"/>
                <w:sz w:val="20"/>
                <w:szCs w:val="20"/>
                <w:lang w:eastAsia="ja-JP"/>
              </w:rPr>
              <w:t> </w:t>
            </w:r>
            <w:r w:rsidRPr="008B2F8A">
              <w:rPr>
                <w:rFonts w:ascii="Arial Narrow" w:eastAsia="SimSun" w:hAnsi="Arial Narrow" w:cs="Tahoma"/>
                <w:sz w:val="20"/>
                <w:szCs w:val="20"/>
                <w:lang w:eastAsia="ja-JP"/>
              </w:rPr>
              <w:t>Benefit: 75% = $517.50, 85% = $613.80</w:t>
            </w:r>
          </w:p>
        </w:tc>
      </w:tr>
    </w:tbl>
    <w:p w14:paraId="34BA8BDE" w14:textId="786E0095" w:rsidR="00E47AB8" w:rsidRPr="008B2F8A" w:rsidRDefault="00E47AB8" w:rsidP="00E0111F">
      <w:pPr>
        <w:pStyle w:val="TableNotesLast"/>
        <w:rPr>
          <w:rFonts w:eastAsia="Arial Narrow"/>
        </w:rPr>
      </w:pPr>
      <w:r w:rsidRPr="008B2F8A">
        <w:rPr>
          <w:rFonts w:eastAsia="Arial Narrow"/>
        </w:rPr>
        <w:t xml:space="preserve">Source: Final </w:t>
      </w:r>
      <w:r w:rsidRPr="008B2F8A">
        <w:t>Decision-Analytic Protocol,</w:t>
      </w:r>
      <w:r w:rsidRPr="008B2F8A" w:rsidDel="00D3092E">
        <w:rPr>
          <w:rFonts w:eastAsia="Arial Narrow"/>
        </w:rPr>
        <w:t xml:space="preserve"> </w:t>
      </w:r>
      <w:r w:rsidRPr="008B2F8A">
        <w:rPr>
          <w:rFonts w:eastAsia="Arial Narrow"/>
        </w:rPr>
        <w:t>Table 2, p. 9. MBS = Medicare Benefits Schedule.</w:t>
      </w:r>
    </w:p>
    <w:p w14:paraId="73948C4A" w14:textId="77777777" w:rsidR="00E47AB8" w:rsidRPr="008B2F8A" w:rsidRDefault="00E47AB8" w:rsidP="00422306">
      <w:r w:rsidRPr="008B2F8A">
        <w:t xml:space="preserve">A team from </w:t>
      </w:r>
      <w:bookmarkStart w:id="86" w:name="OLE_LINK229"/>
      <w:bookmarkStart w:id="87" w:name="OLE_LINK230"/>
      <w:r w:rsidRPr="008B2F8A">
        <w:t xml:space="preserve">the National Health and Medical Research Council (NHMRC)’s </w:t>
      </w:r>
      <w:bookmarkEnd w:id="86"/>
      <w:bookmarkEnd w:id="87"/>
      <w:r w:rsidRPr="008B2F8A">
        <w:t xml:space="preserve">Clinical Trials Centre at the University of Sydney and </w:t>
      </w:r>
      <w:bookmarkStart w:id="88" w:name="OLE_LINK27"/>
      <w:bookmarkStart w:id="89" w:name="OLE_LINK28"/>
      <w:bookmarkStart w:id="90" w:name="OLE_LINK228"/>
      <w:r w:rsidRPr="008B2F8A">
        <w:t xml:space="preserve">THEMA </w:t>
      </w:r>
      <w:bookmarkEnd w:id="88"/>
      <w:bookmarkEnd w:id="89"/>
      <w:bookmarkEnd w:id="90"/>
      <w:r w:rsidRPr="008B2F8A">
        <w:t>Consulting was engaged to conduct a systematic review of the literature and an economic evaluation of breast MRI for surveillance in high-risk women.</w:t>
      </w:r>
    </w:p>
    <w:p w14:paraId="24D6E3C4" w14:textId="77777777" w:rsidR="00E47AB8" w:rsidRPr="008B2F8A" w:rsidRDefault="00E47AB8" w:rsidP="00E0111F">
      <w:pPr>
        <w:pStyle w:val="Heading3"/>
      </w:pPr>
      <w:bookmarkStart w:id="91" w:name="_Toc383424399"/>
      <w:r w:rsidRPr="008B2F8A">
        <w:t>Current arrangements for public reimbursement</w:t>
      </w:r>
      <w:bookmarkEnd w:id="91"/>
    </w:p>
    <w:p w14:paraId="62EC8F39" w14:textId="2F195DC6" w:rsidR="00E47AB8" w:rsidRPr="008B2F8A" w:rsidRDefault="00E47AB8" w:rsidP="00422306">
      <w:r w:rsidRPr="008B2F8A">
        <w:t>In 2007, MSAC recommended interim public funding for breast MRI in the surveillance of breast cancer in asymptomatic women with a high risk of developing breast cancer when used as part of an organised screening program. In February 2009, the government acted on MSAC’s advice and listed breast MRI on the MBS as item numbers 63464 and 63467.</w:t>
      </w:r>
    </w:p>
    <w:p w14:paraId="283F6050" w14:textId="77777777" w:rsidR="00E47AB8" w:rsidRPr="008B2F8A" w:rsidRDefault="00E47AB8" w:rsidP="00E0111F">
      <w:pPr>
        <w:pStyle w:val="Heading3"/>
      </w:pPr>
      <w:bookmarkStart w:id="92" w:name="_Toc383424400"/>
      <w:r w:rsidRPr="008B2F8A">
        <w:t>Background</w:t>
      </w:r>
      <w:bookmarkEnd w:id="92"/>
    </w:p>
    <w:p w14:paraId="225EB867" w14:textId="79E37AD3" w:rsidR="00E47AB8" w:rsidRPr="008B2F8A" w:rsidRDefault="00E47AB8" w:rsidP="00422306">
      <w:r w:rsidRPr="008B2F8A">
        <w:t xml:space="preserve">The NHMRC estimates that women at high risk of breast cancer due to genetic predisposition or family history account for &lt;1% of the Australian female population, make up 5% to 10% of women </w:t>
      </w:r>
      <w:r w:rsidRPr="008B2F8A">
        <w:lastRenderedPageBreak/>
        <w:t>with breast cancers (</w:t>
      </w:r>
      <w:bookmarkStart w:id="93" w:name="OLE_LINK233"/>
      <w:bookmarkStart w:id="94" w:name="OLE_LINK234"/>
      <w:bookmarkStart w:id="95" w:name="OLE_LINK570"/>
      <w:bookmarkStart w:id="96" w:name="OLE_LINK571"/>
      <w:r w:rsidRPr="008B2F8A">
        <w:t xml:space="preserve">NBOCC, </w:t>
      </w:r>
      <w:bookmarkEnd w:id="93"/>
      <w:bookmarkEnd w:id="94"/>
      <w:r w:rsidRPr="008B2F8A">
        <w:t>2009</w:t>
      </w:r>
      <w:bookmarkEnd w:id="95"/>
      <w:bookmarkEnd w:id="96"/>
      <w:r w:rsidRPr="008B2F8A">
        <w:t>) and often develop breast cancer earlier in life. Risk reduction strategies for these women include:</w:t>
      </w:r>
    </w:p>
    <w:p w14:paraId="26D50B01" w14:textId="26EBE1B9" w:rsidR="00E47AB8" w:rsidRPr="008B2F8A" w:rsidRDefault="00E47AB8" w:rsidP="00E47AB8">
      <w:pPr>
        <w:pStyle w:val="ListParagraph"/>
        <w:numPr>
          <w:ilvl w:val="0"/>
          <w:numId w:val="85"/>
        </w:numPr>
      </w:pPr>
      <w:r w:rsidRPr="008B2F8A">
        <w:t>prophylactic surgical options (risk reduction for breast cancer of ~90%)</w:t>
      </w:r>
    </w:p>
    <w:p w14:paraId="5613F90F" w14:textId="423F2D6E" w:rsidR="00E47AB8" w:rsidRPr="008B2F8A" w:rsidRDefault="00E47AB8" w:rsidP="00E47AB8">
      <w:pPr>
        <w:pStyle w:val="ListParagraph"/>
        <w:numPr>
          <w:ilvl w:val="0"/>
          <w:numId w:val="85"/>
        </w:numPr>
      </w:pPr>
      <w:r w:rsidRPr="008B2F8A">
        <w:t>chemoprevention (risk reduction for breast cancer of ~40%)</w:t>
      </w:r>
    </w:p>
    <w:p w14:paraId="57468A2B" w14:textId="0CBEA9C9" w:rsidR="00E47AB8" w:rsidRPr="008B2F8A" w:rsidRDefault="00E47AB8" w:rsidP="00E47AB8">
      <w:pPr>
        <w:pStyle w:val="ListParagraph"/>
        <w:numPr>
          <w:ilvl w:val="0"/>
          <w:numId w:val="85"/>
        </w:numPr>
      </w:pPr>
      <w:r w:rsidRPr="008B2F8A">
        <w:t>intensified screening or surveillance.</w:t>
      </w:r>
    </w:p>
    <w:p w14:paraId="482F65AB" w14:textId="4E8B5FFE" w:rsidR="00E47AB8" w:rsidRPr="008B2F8A" w:rsidRDefault="00E47AB8" w:rsidP="00422306">
      <w:r w:rsidRPr="008B2F8A">
        <w:t>This assessment includes women with a prior history of breast cancer (invasive, DCIS and LCIS) and women with a history of irradiation to the chest between 10 and 35 years of age, on the basis that they are at elevated risk of breast cancer.</w:t>
      </w:r>
    </w:p>
    <w:p w14:paraId="5D5C26FD" w14:textId="77777777" w:rsidR="00E47AB8" w:rsidRPr="008B2F8A" w:rsidRDefault="00E47AB8" w:rsidP="00422306">
      <w:r w:rsidRPr="008B2F8A">
        <w:t xml:space="preserve">In women with a history of breast cancer, the risk of a subsequent breast cancer (recurrence or second) is highly dependent on the prognostic factors associated with the tumour and on the treatment received (addition of radiotherapy and systemic therapies). Risk estimates therefore vary greatly in these groups (see sections </w:t>
      </w:r>
      <w:r w:rsidRPr="008B2F8A">
        <w:fldChar w:fldCharType="begin"/>
      </w:r>
      <w:r w:rsidRPr="008B2F8A">
        <w:instrText xml:space="preserve"> REF _Ref377651270 \r \h  \* MERGEFORMAT </w:instrText>
      </w:r>
      <w:r w:rsidRPr="008B2F8A">
        <w:fldChar w:fldCharType="separate"/>
      </w:r>
      <w:r w:rsidR="00B81273">
        <w:rPr>
          <w:noProof/>
        </w:rPr>
        <w:t>A.1.2</w:t>
      </w:r>
      <w:r w:rsidRPr="008B2F8A">
        <w:fldChar w:fldCharType="end"/>
      </w:r>
      <w:r w:rsidRPr="008B2F8A">
        <w:t xml:space="preserve">, page </w:t>
      </w:r>
      <w:r w:rsidRPr="008B2F8A">
        <w:fldChar w:fldCharType="begin"/>
      </w:r>
      <w:r w:rsidRPr="008B2F8A">
        <w:instrText xml:space="preserve"> PAGEREF _Ref377651280 \h </w:instrText>
      </w:r>
      <w:r w:rsidRPr="008B2F8A">
        <w:fldChar w:fldCharType="separate"/>
      </w:r>
      <w:r w:rsidR="00B81273">
        <w:rPr>
          <w:noProof/>
        </w:rPr>
        <w:t>2</w:t>
      </w:r>
      <w:r w:rsidRPr="008B2F8A">
        <w:fldChar w:fldCharType="end"/>
      </w:r>
      <w:r w:rsidRPr="008B2F8A">
        <w:t xml:space="preserve">, and </w:t>
      </w:r>
      <w:r w:rsidRPr="008B2F8A">
        <w:fldChar w:fldCharType="begin"/>
      </w:r>
      <w:r w:rsidRPr="008B2F8A">
        <w:instrText xml:space="preserve"> REF _Ref255812455 \r \h </w:instrText>
      </w:r>
      <w:r w:rsidRPr="008B2F8A">
        <w:fldChar w:fldCharType="separate"/>
      </w:r>
      <w:r w:rsidR="00B81273">
        <w:t>D.4.2</w:t>
      </w:r>
      <w:r w:rsidRPr="008B2F8A">
        <w:fldChar w:fldCharType="end"/>
      </w:r>
      <w:r w:rsidRPr="008B2F8A">
        <w:t xml:space="preserve">, page </w:t>
      </w:r>
      <w:r w:rsidRPr="008B2F8A">
        <w:fldChar w:fldCharType="begin"/>
      </w:r>
      <w:r w:rsidRPr="008B2F8A">
        <w:instrText xml:space="preserve"> PAGEREF _Ref377647719 \h </w:instrText>
      </w:r>
      <w:r w:rsidRPr="008B2F8A">
        <w:fldChar w:fldCharType="separate"/>
      </w:r>
      <w:r w:rsidR="00B81273">
        <w:rPr>
          <w:noProof/>
        </w:rPr>
        <w:t>84</w:t>
      </w:r>
      <w:r w:rsidRPr="008B2F8A">
        <w:fldChar w:fldCharType="end"/>
      </w:r>
      <w:r w:rsidRPr="008B2F8A">
        <w:t>, for detailed discussion), although rates appear to be declining with improved treatments.</w:t>
      </w:r>
    </w:p>
    <w:p w14:paraId="335097E5" w14:textId="01583321" w:rsidR="00E47AB8" w:rsidRPr="008B2F8A" w:rsidRDefault="00E47AB8" w:rsidP="00422306">
      <w:r w:rsidRPr="008B2F8A">
        <w:t>In women treated with radiotherapy for mediastinal Hodgkin’s lymphoma, breast cancer is the most common secondary malignancy. Factors which affect the risk of developing breast cancer are the patient’s age at treatment, time since treatment, dose and field of radiotherapy, and whether alkylating chemotherapy has been received. Risk estimates are variable in these women.</w:t>
      </w:r>
    </w:p>
    <w:p w14:paraId="35DFF9D1" w14:textId="77777777" w:rsidR="00E47AB8" w:rsidRPr="008B2F8A" w:rsidRDefault="00E47AB8" w:rsidP="002E5F0F">
      <w:pPr>
        <w:pStyle w:val="Heading3"/>
      </w:pPr>
      <w:bookmarkStart w:id="97" w:name="_Toc383424401"/>
      <w:r w:rsidRPr="008B2F8A">
        <w:t>Prerequisites to implementation of any funding advice</w:t>
      </w:r>
      <w:bookmarkEnd w:id="97"/>
    </w:p>
    <w:p w14:paraId="6C7FA7A8" w14:textId="4609B8A1" w:rsidR="00E47AB8" w:rsidRPr="008B2F8A" w:rsidRDefault="00E47AB8" w:rsidP="00422306">
      <w:r w:rsidRPr="008B2F8A">
        <w:t>MRI is currently available in public and private facilities in major centres in each state and territory; 337 units have been licensed throughout Australia to provide services eligible for funding under the MBS.</w:t>
      </w:r>
      <w:bookmarkStart w:id="98" w:name="_Toc376853887"/>
    </w:p>
    <w:p w14:paraId="784FC4F9" w14:textId="7DFCDF2D" w:rsidR="00E47AB8" w:rsidRPr="008B2F8A" w:rsidRDefault="00E47AB8" w:rsidP="002E5F0F">
      <w:pPr>
        <w:pStyle w:val="Heading3"/>
        <w:rPr>
          <w:color w:val="000000" w:themeColor="text1"/>
        </w:rPr>
      </w:pPr>
      <w:bookmarkStart w:id="99" w:name="OLE_LINK503"/>
      <w:bookmarkStart w:id="100" w:name="OLE_LINK504"/>
      <w:bookmarkStart w:id="101" w:name="_Toc383424402"/>
      <w:r w:rsidRPr="008B2F8A">
        <w:t>Other relevant applications or reviews</w:t>
      </w:r>
      <w:bookmarkEnd w:id="98"/>
      <w:bookmarkEnd w:id="99"/>
      <w:bookmarkEnd w:id="100"/>
      <w:bookmarkEnd w:id="101"/>
    </w:p>
    <w:p w14:paraId="274488DB" w14:textId="690AAC0B" w:rsidR="00E47AB8" w:rsidRPr="008B2F8A" w:rsidRDefault="00E47AB8" w:rsidP="00422306">
      <w:pPr>
        <w:pStyle w:val="Caption"/>
      </w:pPr>
      <w:bookmarkStart w:id="102" w:name="_Toc377462359"/>
      <w:bookmarkStart w:id="103" w:name="OLE_LINK916"/>
      <w:r w:rsidRPr="008B2F8A">
        <w:t>Other applications or reviews relevant to the current assessment</w:t>
      </w:r>
      <w:bookmarkEnd w:id="102"/>
      <w:bookmarkEnd w:id="103"/>
      <w:r w:rsidRPr="008B2F8A">
        <w:t>.</w:t>
      </w:r>
    </w:p>
    <w:tbl>
      <w:tblPr>
        <w:tblStyle w:val="TableGrid"/>
        <w:tblW w:w="9070" w:type="dxa"/>
        <w:tblCellMar>
          <w:left w:w="28" w:type="dxa"/>
          <w:right w:w="28" w:type="dxa"/>
        </w:tblCellMar>
        <w:tblLook w:val="04A0" w:firstRow="1" w:lastRow="0" w:firstColumn="1" w:lastColumn="0" w:noHBand="0" w:noVBand="1"/>
        <w:tblCaption w:val="Other applications or reviews relevant to the current assessment"/>
      </w:tblPr>
      <w:tblGrid>
        <w:gridCol w:w="730"/>
        <w:gridCol w:w="4552"/>
        <w:gridCol w:w="3788"/>
      </w:tblGrid>
      <w:tr w:rsidR="00E47AB8" w:rsidRPr="008B2F8A" w14:paraId="78C00889" w14:textId="77777777" w:rsidTr="00422306">
        <w:trPr>
          <w:tblHeader/>
        </w:trPr>
        <w:tc>
          <w:tcPr>
            <w:tcW w:w="730" w:type="dxa"/>
          </w:tcPr>
          <w:p w14:paraId="0B4311E7" w14:textId="77777777" w:rsidR="00E47AB8" w:rsidRPr="008B2F8A" w:rsidRDefault="00E47AB8" w:rsidP="00422306">
            <w:pPr>
              <w:spacing w:before="40" w:after="80"/>
              <w:rPr>
                <w:rFonts w:ascii="Arial Narrow" w:hAnsi="Arial Narrow"/>
                <w:b/>
              </w:rPr>
            </w:pPr>
            <w:r w:rsidRPr="008B2F8A">
              <w:rPr>
                <w:rFonts w:ascii="Arial Narrow" w:hAnsi="Arial Narrow"/>
                <w:b/>
              </w:rPr>
              <w:t>No</w:t>
            </w:r>
          </w:p>
        </w:tc>
        <w:tc>
          <w:tcPr>
            <w:tcW w:w="4552" w:type="dxa"/>
          </w:tcPr>
          <w:p w14:paraId="27128451" w14:textId="77777777" w:rsidR="00E47AB8" w:rsidRPr="008B2F8A" w:rsidRDefault="00E47AB8" w:rsidP="00422306">
            <w:pPr>
              <w:spacing w:before="40" w:after="80"/>
              <w:rPr>
                <w:rFonts w:ascii="Arial Narrow" w:hAnsi="Arial Narrow"/>
                <w:b/>
              </w:rPr>
            </w:pPr>
            <w:r w:rsidRPr="008B2F8A">
              <w:rPr>
                <w:rFonts w:ascii="Arial Narrow" w:hAnsi="Arial Narrow"/>
                <w:b/>
              </w:rPr>
              <w:t>Application title</w:t>
            </w:r>
          </w:p>
        </w:tc>
        <w:tc>
          <w:tcPr>
            <w:tcW w:w="3788" w:type="dxa"/>
          </w:tcPr>
          <w:p w14:paraId="0C6AD026" w14:textId="77777777" w:rsidR="00E47AB8" w:rsidRPr="008B2F8A" w:rsidRDefault="00E47AB8" w:rsidP="00422306">
            <w:pPr>
              <w:spacing w:before="40" w:after="80"/>
              <w:rPr>
                <w:rFonts w:ascii="Arial Narrow" w:hAnsi="Arial Narrow"/>
                <w:b/>
              </w:rPr>
            </w:pPr>
            <w:r w:rsidRPr="008B2F8A">
              <w:rPr>
                <w:rFonts w:ascii="Arial Narrow" w:hAnsi="Arial Narrow"/>
                <w:b/>
              </w:rPr>
              <w:t xml:space="preserve">Progress </w:t>
            </w:r>
          </w:p>
        </w:tc>
      </w:tr>
      <w:tr w:rsidR="00E47AB8" w:rsidRPr="008B2F8A" w14:paraId="137D0626" w14:textId="77777777" w:rsidTr="00422306">
        <w:tc>
          <w:tcPr>
            <w:tcW w:w="730" w:type="dxa"/>
          </w:tcPr>
          <w:p w14:paraId="7A145B97" w14:textId="77777777" w:rsidR="00E47AB8" w:rsidRPr="008B2F8A" w:rsidRDefault="005839BC" w:rsidP="00422306">
            <w:pPr>
              <w:spacing w:before="40" w:after="80"/>
              <w:rPr>
                <w:rFonts w:ascii="Arial Narrow" w:hAnsi="Arial Narrow"/>
                <w:color w:val="000000"/>
              </w:rPr>
            </w:pPr>
            <w:hyperlink r:id="rId15" w:history="1">
              <w:r w:rsidR="00E47AB8" w:rsidRPr="008B2F8A">
                <w:rPr>
                  <w:rFonts w:ascii="Arial Narrow" w:hAnsi="Arial Narrow"/>
                  <w:color w:val="0000FF"/>
                  <w:u w:val="single"/>
                </w:rPr>
                <w:t>1333</w:t>
              </w:r>
            </w:hyperlink>
          </w:p>
        </w:tc>
        <w:tc>
          <w:tcPr>
            <w:tcW w:w="4552" w:type="dxa"/>
          </w:tcPr>
          <w:p w14:paraId="7A0A9861" w14:textId="77777777" w:rsidR="00E47AB8" w:rsidRPr="008B2F8A" w:rsidRDefault="00E47AB8" w:rsidP="00422306">
            <w:pPr>
              <w:spacing w:before="40" w:after="80"/>
              <w:rPr>
                <w:rFonts w:ascii="Arial Narrow" w:hAnsi="Arial Narrow"/>
                <w:color w:val="000000"/>
              </w:rPr>
            </w:pPr>
            <w:r w:rsidRPr="008B2F8A">
              <w:rPr>
                <w:rFonts w:ascii="Arial Narrow" w:hAnsi="Arial Narrow"/>
              </w:rPr>
              <w:t>Breast magnetic resonance imaging (MRI) for staging in women with newly diagnosed breast cancer</w:t>
            </w:r>
          </w:p>
        </w:tc>
        <w:tc>
          <w:tcPr>
            <w:tcW w:w="3788" w:type="dxa"/>
          </w:tcPr>
          <w:p w14:paraId="0384AA11" w14:textId="486DE6F6" w:rsidR="00E47AB8" w:rsidRPr="008B2F8A" w:rsidRDefault="00E47AB8" w:rsidP="00422306">
            <w:pPr>
              <w:spacing w:before="40" w:after="80"/>
              <w:rPr>
                <w:rFonts w:ascii="Arial Narrow" w:hAnsi="Arial Narrow"/>
                <w:color w:val="000000"/>
              </w:rPr>
            </w:pPr>
            <w:r w:rsidRPr="008B2F8A">
              <w:rPr>
                <w:rFonts w:ascii="Arial Narrow" w:hAnsi="Arial Narrow"/>
              </w:rPr>
              <w:t>Proposed DAP reviewed at PASC, 13 December 2013; awaiting release for public consultation</w:t>
            </w:r>
          </w:p>
        </w:tc>
      </w:tr>
    </w:tbl>
    <w:p w14:paraId="3E61AD95" w14:textId="32A5AE64" w:rsidR="00E47AB8" w:rsidRPr="008B2F8A" w:rsidRDefault="00E47AB8" w:rsidP="002E5F0F">
      <w:pPr>
        <w:pStyle w:val="TableNotesFirst"/>
      </w:pPr>
      <w:r w:rsidRPr="008B2F8A">
        <w:t>DAP = Decision-Analytic Protocol; PASC = Protocol Advisory Sub-committee.</w:t>
      </w:r>
    </w:p>
    <w:p w14:paraId="444CF56F" w14:textId="77777777" w:rsidR="00E47AB8" w:rsidRPr="008B2F8A" w:rsidRDefault="00E47AB8" w:rsidP="002E5F0F">
      <w:pPr>
        <w:pStyle w:val="TableNotesLast"/>
        <w:rPr>
          <w:color w:val="000000"/>
          <w:szCs w:val="18"/>
        </w:rPr>
      </w:pPr>
      <w:r w:rsidRPr="008B2F8A">
        <w:rPr>
          <w:color w:val="000000"/>
          <w:szCs w:val="18"/>
        </w:rPr>
        <w:t xml:space="preserve">Source: </w:t>
      </w:r>
      <w:hyperlink r:id="rId16" w:tooltip="This link goes to the MSAC assessment information site" w:history="1">
        <w:r w:rsidRPr="008B2F8A">
          <w:rPr>
            <w:color w:val="0000FF"/>
            <w:szCs w:val="18"/>
            <w:u w:val="single"/>
          </w:rPr>
          <w:t>MSAC</w:t>
        </w:r>
      </w:hyperlink>
      <w:r w:rsidRPr="008B2F8A">
        <w:rPr>
          <w:color w:val="000000"/>
          <w:szCs w:val="18"/>
        </w:rPr>
        <w:t xml:space="preserve"> website [accessed 8 January 2014].</w:t>
      </w:r>
    </w:p>
    <w:p w14:paraId="57708807" w14:textId="77777777" w:rsidR="00E47AB8" w:rsidRPr="008B2F8A" w:rsidRDefault="00E47AB8" w:rsidP="002E5F0F">
      <w:pPr>
        <w:pStyle w:val="Heading3"/>
      </w:pPr>
      <w:bookmarkStart w:id="104" w:name="_Toc383424403"/>
      <w:r w:rsidRPr="008B2F8A">
        <w:t>Clinical need</w:t>
      </w:r>
      <w:bookmarkEnd w:id="104"/>
    </w:p>
    <w:p w14:paraId="131F532E" w14:textId="2A9E3679" w:rsidR="00E47AB8" w:rsidRPr="008B2F8A" w:rsidRDefault="00E47AB8" w:rsidP="00422306">
      <w:r w:rsidRPr="008B2F8A">
        <w:t xml:space="preserve">Breast MRI has been conditionally recommended for use as an </w:t>
      </w:r>
      <w:r w:rsidRPr="008B2F8A">
        <w:rPr>
          <w:b/>
          <w:bCs/>
        </w:rPr>
        <w:t xml:space="preserve">additional </w:t>
      </w:r>
      <w:r w:rsidRPr="008B2F8A">
        <w:t xml:space="preserve">test in the diagnosis of breast cancer in asymptomatic women &lt;50 years of age with a high risk of developing breast cancer when used as part of organised screening, on the basis of the 2006 MSAC assessment. Under this scheme, women eligible for MRI in addition to organised screening programs include women with a genetic mutation (such as </w:t>
      </w:r>
      <w:r w:rsidRPr="008B2F8A">
        <w:rPr>
          <w:i/>
        </w:rPr>
        <w:t>BRCA1</w:t>
      </w:r>
      <w:r w:rsidRPr="008B2F8A">
        <w:t xml:space="preserve">, </w:t>
      </w:r>
      <w:bookmarkStart w:id="105" w:name="OLE_LINK235"/>
      <w:r w:rsidRPr="008B2F8A">
        <w:rPr>
          <w:i/>
        </w:rPr>
        <w:t>BRCA2</w:t>
      </w:r>
      <w:bookmarkEnd w:id="105"/>
      <w:r w:rsidRPr="008B2F8A">
        <w:t xml:space="preserve"> </w:t>
      </w:r>
      <w:bookmarkStart w:id="106" w:name="OLE_LINK236"/>
      <w:r w:rsidRPr="008B2F8A">
        <w:t xml:space="preserve">or </w:t>
      </w:r>
      <w:r w:rsidRPr="008B2F8A">
        <w:rPr>
          <w:i/>
        </w:rPr>
        <w:t>TP53</w:t>
      </w:r>
      <w:r w:rsidRPr="008B2F8A">
        <w:t xml:space="preserve"> </w:t>
      </w:r>
      <w:bookmarkEnd w:id="106"/>
      <w:r w:rsidRPr="008B2F8A">
        <w:t xml:space="preserve">defined by genetic testing) and familial history of breast or ovarian cancer or sarcoma (bone or soft tissue). </w:t>
      </w:r>
      <w:r w:rsidR="002E5F0F">
        <w:t>Breast MRI</w:t>
      </w:r>
      <w:r w:rsidRPr="008B2F8A">
        <w:t xml:space="preserve"> occurs outside of the BreastScreen Australia program.</w:t>
      </w:r>
    </w:p>
    <w:p w14:paraId="33C6CEFF" w14:textId="66143330" w:rsidR="00E47AB8" w:rsidRPr="008B2F8A" w:rsidRDefault="00E47AB8" w:rsidP="00422306">
      <w:r w:rsidRPr="008B2F8A">
        <w:t xml:space="preserve">This assessment includes the proposal to include a new cohort of women at elevated risk of developing breast cancer; this would allow additional women to be screened with MRI who have not </w:t>
      </w:r>
      <w:r w:rsidRPr="008B2F8A">
        <w:lastRenderedPageBreak/>
        <w:t>previously had access to MBS item 63464. The new cohort includes women who have a previous history of invasive breast cancer, DCIS or LCIS, or chest irradiation from 10 to 35 years of age for Hodgkin’s lymphoma.</w:t>
      </w:r>
    </w:p>
    <w:p w14:paraId="6CFFEAD2" w14:textId="77777777" w:rsidR="00E47AB8" w:rsidRPr="008B2F8A" w:rsidRDefault="00E47AB8" w:rsidP="002E5F0F">
      <w:pPr>
        <w:pStyle w:val="Heading3"/>
      </w:pPr>
      <w:bookmarkStart w:id="107" w:name="_Toc383424404"/>
      <w:r w:rsidRPr="008B2F8A">
        <w:t>Comparator</w:t>
      </w:r>
      <w:bookmarkEnd w:id="107"/>
    </w:p>
    <w:p w14:paraId="2AE29253" w14:textId="7989A048" w:rsidR="00E47AB8" w:rsidRPr="008B2F8A" w:rsidRDefault="00E47AB8" w:rsidP="00422306">
      <w:r w:rsidRPr="008B2F8A">
        <w:t>Mammography is the most common form of breast imaging for asymptomatic and symptomatic women. BreastScreen Australia, the national population-based screening program, is targeted to asymptomatic women at average risk of breast cancer. It provides free screening mammograms at 2-yearly intervals for women aged 50 to 69 years, although women aged 40 to 49 and 70 years and older are also eligible. The MBS also provides a rebate for diagnostic mammography where there is a reason to suspect the presence of a malignancy, for example in women with breast symptoms and women with a personal or family history of breast cancer (MBS items 59300 and 59301). Breast ultrasound may be used to complement mammography (MBS items 55070, 55073 and 55076), with its use varying by centre.</w:t>
      </w:r>
      <w:r w:rsidR="00604D4F">
        <w:t xml:space="preserve"> </w:t>
      </w:r>
      <w:r w:rsidRPr="008B2F8A">
        <w:t>Se</w:t>
      </w:r>
      <w:r w:rsidR="00604D4F">
        <w:t xml:space="preserve">e </w:t>
      </w:r>
      <w:r w:rsidRPr="008B2F8A">
        <w:fldChar w:fldCharType="begin"/>
      </w:r>
      <w:r w:rsidRPr="008B2F8A">
        <w:instrText xml:space="preserve"> REF _Ref376941243 \h  \* MERGEFORMAT </w:instrText>
      </w:r>
      <w:r w:rsidRPr="008B2F8A">
        <w:fldChar w:fldCharType="separate"/>
      </w:r>
      <w:r w:rsidR="00B81273" w:rsidRPr="008B2F8A">
        <w:t xml:space="preserve">Figure </w:t>
      </w:r>
      <w:r w:rsidR="00B81273">
        <w:t>A</w:t>
      </w:r>
      <w:r w:rsidR="00B81273" w:rsidRPr="008B2F8A">
        <w:t>.</w:t>
      </w:r>
      <w:r w:rsidR="00B81273">
        <w:t>1</w:t>
      </w:r>
      <w:r w:rsidRPr="008B2F8A">
        <w:fldChar w:fldCharType="end"/>
      </w:r>
      <w:r w:rsidR="00604D4F" w:rsidRPr="008B2F8A">
        <w:t xml:space="preserve"> </w:t>
      </w:r>
      <w:r w:rsidRPr="008B2F8A">
        <w:t xml:space="preserve">, page </w:t>
      </w:r>
      <w:r w:rsidRPr="008B2F8A">
        <w:fldChar w:fldCharType="begin"/>
      </w:r>
      <w:r w:rsidRPr="008B2F8A">
        <w:instrText xml:space="preserve"> PAGEREF _Ref377651468 \h </w:instrText>
      </w:r>
      <w:r w:rsidRPr="008B2F8A">
        <w:fldChar w:fldCharType="separate"/>
      </w:r>
      <w:r w:rsidR="00B81273">
        <w:rPr>
          <w:noProof/>
        </w:rPr>
        <w:t>16</w:t>
      </w:r>
      <w:r w:rsidRPr="008B2F8A">
        <w:fldChar w:fldCharType="end"/>
      </w:r>
      <w:r w:rsidRPr="008B2F8A">
        <w:t xml:space="preserve"> for the clinical algorithm.</w:t>
      </w:r>
    </w:p>
    <w:p w14:paraId="511437BE" w14:textId="77777777" w:rsidR="00E47AB8" w:rsidRPr="008B2F8A" w:rsidRDefault="00E47AB8" w:rsidP="002E5F0F">
      <w:pPr>
        <w:pStyle w:val="Heading2"/>
        <w:numPr>
          <w:ilvl w:val="0"/>
          <w:numId w:val="0"/>
        </w:numPr>
      </w:pPr>
      <w:bookmarkStart w:id="108" w:name="_Toc383424405"/>
      <w:r w:rsidRPr="008B2F8A">
        <w:t>Scientific basis of comparison</w:t>
      </w:r>
      <w:bookmarkEnd w:id="108"/>
    </w:p>
    <w:p w14:paraId="0FAB59B4" w14:textId="75B8F467" w:rsidR="00E47AB8" w:rsidRPr="008B2F8A" w:rsidRDefault="00E47AB8" w:rsidP="00422306">
      <w:r w:rsidRPr="008B2F8A">
        <w:t xml:space="preserve">Evidence about the relative effectiveness of adding MRI to standard mammography is limited to studies reporting on test accuracy. These studies are designed to demonstrate differences in the performance of different screening strategies and do not provide evidence about the impact of these strategies on patient outcomes. Details of the included studies are provided in section </w:t>
      </w:r>
      <w:r w:rsidRPr="008B2F8A">
        <w:rPr>
          <w:highlight w:val="yellow"/>
        </w:rPr>
        <w:fldChar w:fldCharType="begin"/>
      </w:r>
      <w:r w:rsidRPr="008B2F8A">
        <w:instrText xml:space="preserve"> REF _Ref377651517 \w \h </w:instrText>
      </w:r>
      <w:r w:rsidRPr="008B2F8A">
        <w:rPr>
          <w:highlight w:val="yellow"/>
        </w:rPr>
      </w:r>
      <w:r w:rsidRPr="008B2F8A">
        <w:rPr>
          <w:highlight w:val="yellow"/>
        </w:rPr>
        <w:fldChar w:fldCharType="separate"/>
      </w:r>
      <w:r w:rsidR="00B81273">
        <w:t>B.3.2</w:t>
      </w:r>
      <w:r w:rsidRPr="008B2F8A">
        <w:rPr>
          <w:highlight w:val="yellow"/>
        </w:rPr>
        <w:fldChar w:fldCharType="end"/>
      </w:r>
      <w:r w:rsidRPr="008B2F8A">
        <w:t xml:space="preserve">, </w:t>
      </w:r>
      <w:r w:rsidRPr="008B2F8A">
        <w:rPr>
          <w:highlight w:val="yellow"/>
        </w:rPr>
        <w:fldChar w:fldCharType="begin"/>
      </w:r>
      <w:r w:rsidRPr="008B2F8A">
        <w:rPr>
          <w:highlight w:val="yellow"/>
        </w:rPr>
        <w:instrText xml:space="preserve"> REF _Ref377651525 \h </w:instrText>
      </w:r>
      <w:r w:rsidRPr="008B2F8A">
        <w:rPr>
          <w:highlight w:val="yellow"/>
        </w:rPr>
      </w:r>
      <w:r w:rsidRPr="008B2F8A">
        <w:rPr>
          <w:highlight w:val="yellow"/>
        </w:rPr>
        <w:fldChar w:fldCharType="separate"/>
      </w:r>
      <w:r w:rsidR="00B81273" w:rsidRPr="008B2F8A">
        <w:t>Master list of studies</w:t>
      </w:r>
      <w:r w:rsidRPr="008B2F8A">
        <w:rPr>
          <w:highlight w:val="yellow"/>
        </w:rPr>
        <w:fldChar w:fldCharType="end"/>
      </w:r>
      <w:r w:rsidRPr="008B2F8A">
        <w:t>. The included studies covered four areas:</w:t>
      </w:r>
    </w:p>
    <w:p w14:paraId="3B9D1486" w14:textId="53850216" w:rsidR="00E47AB8" w:rsidRPr="008B2F8A" w:rsidRDefault="00E47AB8" w:rsidP="00E47AB8">
      <w:pPr>
        <w:pStyle w:val="ListParagraph"/>
        <w:numPr>
          <w:ilvl w:val="0"/>
          <w:numId w:val="86"/>
        </w:numPr>
      </w:pPr>
      <w:r w:rsidRPr="008B2F8A">
        <w:t>MBS interim-funded item (asymptomatic high-risk women)</w:t>
      </w:r>
    </w:p>
    <w:p w14:paraId="1429331F" w14:textId="1B146D2C" w:rsidR="00E47AB8" w:rsidRPr="008B2F8A" w:rsidRDefault="00E47AB8" w:rsidP="00E47AB8">
      <w:pPr>
        <w:pStyle w:val="ListParagraph"/>
        <w:numPr>
          <w:ilvl w:val="1"/>
          <w:numId w:val="86"/>
        </w:numPr>
      </w:pPr>
      <w:r w:rsidRPr="008B2F8A">
        <w:t xml:space="preserve">2 </w:t>
      </w:r>
      <w:bookmarkStart w:id="109" w:name="OLE_LINK276"/>
      <w:bookmarkStart w:id="110" w:name="OLE_LINK277"/>
      <w:r w:rsidRPr="008B2F8A">
        <w:t>health technology assessment</w:t>
      </w:r>
      <w:r w:rsidRPr="008B2F8A" w:rsidDel="00455348">
        <w:t xml:space="preserve"> </w:t>
      </w:r>
      <w:bookmarkEnd w:id="109"/>
      <w:bookmarkEnd w:id="110"/>
      <w:r w:rsidRPr="008B2F8A">
        <w:t>reports</w:t>
      </w:r>
    </w:p>
    <w:p w14:paraId="0B9AE8F5" w14:textId="79ACF025" w:rsidR="00E47AB8" w:rsidRPr="008B2F8A" w:rsidRDefault="00E47AB8" w:rsidP="00E47AB8">
      <w:pPr>
        <w:pStyle w:val="ListParagraph"/>
        <w:numPr>
          <w:ilvl w:val="1"/>
          <w:numId w:val="86"/>
        </w:numPr>
      </w:pPr>
      <w:r w:rsidRPr="008B2F8A">
        <w:t>5 diagnostic accuracy studies</w:t>
      </w:r>
    </w:p>
    <w:p w14:paraId="50E7B76D" w14:textId="7A85C05C" w:rsidR="00E47AB8" w:rsidRPr="008B2F8A" w:rsidRDefault="00E47AB8" w:rsidP="00E47AB8">
      <w:pPr>
        <w:pStyle w:val="ListParagraph"/>
        <w:numPr>
          <w:ilvl w:val="1"/>
          <w:numId w:val="86"/>
        </w:numPr>
      </w:pPr>
      <w:r w:rsidRPr="008B2F8A">
        <w:t>1 patient outcomes study</w:t>
      </w:r>
    </w:p>
    <w:p w14:paraId="6474A1D1" w14:textId="77777777" w:rsidR="00E47AB8" w:rsidRPr="008B2F8A" w:rsidRDefault="00E47AB8" w:rsidP="00E47AB8">
      <w:pPr>
        <w:pStyle w:val="ListParagraph"/>
        <w:numPr>
          <w:ilvl w:val="0"/>
          <w:numId w:val="86"/>
        </w:numPr>
      </w:pPr>
      <w:r w:rsidRPr="008B2F8A">
        <w:t>New additional high-risk group—women with a history of breast cancer</w:t>
      </w:r>
    </w:p>
    <w:p w14:paraId="6970CB3B" w14:textId="20CCC19D" w:rsidR="00E47AB8" w:rsidRPr="008B2F8A" w:rsidRDefault="00E47AB8" w:rsidP="00E47AB8">
      <w:pPr>
        <w:pStyle w:val="ListParagraph"/>
        <w:numPr>
          <w:ilvl w:val="1"/>
          <w:numId w:val="86"/>
        </w:numPr>
      </w:pPr>
      <w:r w:rsidRPr="008B2F8A">
        <w:t>2 health technology assessment</w:t>
      </w:r>
      <w:r w:rsidRPr="008B2F8A" w:rsidDel="00455348">
        <w:t xml:space="preserve"> </w:t>
      </w:r>
      <w:r w:rsidRPr="008B2F8A">
        <w:t>reports</w:t>
      </w:r>
    </w:p>
    <w:p w14:paraId="27317D63" w14:textId="6A2C6A8A" w:rsidR="00E47AB8" w:rsidRPr="008B2F8A" w:rsidRDefault="00E47AB8" w:rsidP="00E47AB8">
      <w:pPr>
        <w:pStyle w:val="ListParagraph"/>
        <w:numPr>
          <w:ilvl w:val="1"/>
          <w:numId w:val="86"/>
        </w:numPr>
      </w:pPr>
      <w:r w:rsidRPr="008B2F8A">
        <w:t>2 diagnostic accuracy studies</w:t>
      </w:r>
    </w:p>
    <w:p w14:paraId="30A40879" w14:textId="77777777" w:rsidR="00E47AB8" w:rsidRPr="008B2F8A" w:rsidRDefault="00E47AB8" w:rsidP="00E47AB8">
      <w:pPr>
        <w:pStyle w:val="ListParagraph"/>
        <w:numPr>
          <w:ilvl w:val="0"/>
          <w:numId w:val="86"/>
        </w:numPr>
      </w:pPr>
      <w:r w:rsidRPr="008B2F8A">
        <w:t>New additional high-risk group—women with a history of DCIS/LCIS</w:t>
      </w:r>
    </w:p>
    <w:p w14:paraId="1FE5C4B4" w14:textId="45002D6A" w:rsidR="00E47AB8" w:rsidRPr="008B2F8A" w:rsidRDefault="00E47AB8" w:rsidP="00E47AB8">
      <w:pPr>
        <w:pStyle w:val="ListParagraph"/>
        <w:numPr>
          <w:ilvl w:val="1"/>
          <w:numId w:val="86"/>
        </w:numPr>
      </w:pPr>
      <w:r w:rsidRPr="008B2F8A">
        <w:t>1 diagnostic accuracy study</w:t>
      </w:r>
    </w:p>
    <w:p w14:paraId="4CB7F073" w14:textId="77777777" w:rsidR="00E47AB8" w:rsidRPr="008B2F8A" w:rsidRDefault="00E47AB8" w:rsidP="00E47AB8">
      <w:pPr>
        <w:pStyle w:val="ListParagraph"/>
        <w:numPr>
          <w:ilvl w:val="0"/>
          <w:numId w:val="86"/>
        </w:numPr>
      </w:pPr>
      <w:r w:rsidRPr="008B2F8A">
        <w:t>New additional high-risk group—women with a history of chest irradiation</w:t>
      </w:r>
    </w:p>
    <w:p w14:paraId="47905B6C" w14:textId="32DB09F5" w:rsidR="00E47AB8" w:rsidRPr="008B2F8A" w:rsidRDefault="00E47AB8" w:rsidP="00E47AB8">
      <w:pPr>
        <w:pStyle w:val="ListParagraph"/>
        <w:numPr>
          <w:ilvl w:val="1"/>
          <w:numId w:val="86"/>
        </w:numPr>
      </w:pPr>
      <w:r w:rsidRPr="008B2F8A">
        <w:t>3 diagnostic accuracy studies.</w:t>
      </w:r>
    </w:p>
    <w:p w14:paraId="08100A71" w14:textId="77777777" w:rsidR="00E47AB8" w:rsidRPr="008B2F8A" w:rsidRDefault="00E47AB8" w:rsidP="002E5F0F">
      <w:pPr>
        <w:pStyle w:val="Heading2"/>
        <w:numPr>
          <w:ilvl w:val="0"/>
          <w:numId w:val="0"/>
        </w:numPr>
      </w:pPr>
      <w:bookmarkStart w:id="111" w:name="_Toc383424406"/>
      <w:r w:rsidRPr="008B2F8A">
        <w:t>Comparative safety</w:t>
      </w:r>
      <w:bookmarkEnd w:id="111"/>
    </w:p>
    <w:p w14:paraId="6A6D3A1C" w14:textId="0AE7AB46" w:rsidR="00E47AB8" w:rsidRPr="008B2F8A" w:rsidRDefault="00E47AB8" w:rsidP="00422306">
      <w:bookmarkStart w:id="112" w:name="OLE_LINK572"/>
      <w:bookmarkStart w:id="113" w:name="OLE_LINK573"/>
      <w:r w:rsidRPr="008B2F8A">
        <w:t>MSAC (2006</w:t>
      </w:r>
      <w:bookmarkEnd w:id="112"/>
      <w:bookmarkEnd w:id="113"/>
      <w:r w:rsidRPr="008B2F8A">
        <w:t>) identified the following safety concerns in breast MRI screening for high-risk women:</w:t>
      </w:r>
    </w:p>
    <w:p w14:paraId="7B5B32B0" w14:textId="77777777" w:rsidR="00E47AB8" w:rsidRPr="008B2F8A" w:rsidRDefault="00E47AB8" w:rsidP="00E47AB8">
      <w:pPr>
        <w:pStyle w:val="ListParagraph"/>
        <w:numPr>
          <w:ilvl w:val="0"/>
          <w:numId w:val="87"/>
        </w:numPr>
      </w:pPr>
      <w:r w:rsidRPr="008B2F8A">
        <w:t>Adverse effects of false-positive findings (unnecessary investigation).</w:t>
      </w:r>
    </w:p>
    <w:p w14:paraId="74B48711" w14:textId="74A25A9E" w:rsidR="00E47AB8" w:rsidRPr="008B2F8A" w:rsidRDefault="00E47AB8" w:rsidP="00E47AB8">
      <w:pPr>
        <w:pStyle w:val="ListParagraph"/>
        <w:numPr>
          <w:ilvl w:val="0"/>
          <w:numId w:val="87"/>
        </w:numPr>
      </w:pPr>
      <w:r w:rsidRPr="008B2F8A">
        <w:t>Use in patients with contraindications to exposure to magnetic fields.</w:t>
      </w:r>
    </w:p>
    <w:p w14:paraId="4CAE7E34" w14:textId="77777777" w:rsidR="00E47AB8" w:rsidRPr="008B2F8A" w:rsidRDefault="00E47AB8" w:rsidP="00E47AB8">
      <w:pPr>
        <w:pStyle w:val="ListParagraph"/>
        <w:numPr>
          <w:ilvl w:val="0"/>
          <w:numId w:val="87"/>
        </w:numPr>
      </w:pPr>
      <w:r w:rsidRPr="008B2F8A">
        <w:t>Allergy to gadolinium contrast agent.</w:t>
      </w:r>
    </w:p>
    <w:p w14:paraId="5D2C6170" w14:textId="77777777" w:rsidR="00E47AB8" w:rsidRPr="008B2F8A" w:rsidRDefault="00E47AB8" w:rsidP="00E47AB8">
      <w:pPr>
        <w:pStyle w:val="ListParagraph"/>
        <w:numPr>
          <w:ilvl w:val="0"/>
          <w:numId w:val="87"/>
        </w:numPr>
      </w:pPr>
      <w:r w:rsidRPr="008B2F8A">
        <w:t>Claustrophobia, which may preclude use in some patients.</w:t>
      </w:r>
    </w:p>
    <w:p w14:paraId="0AA2E9A5" w14:textId="77777777" w:rsidR="00E47AB8" w:rsidRPr="008B2F8A" w:rsidRDefault="00E47AB8" w:rsidP="00E47AB8">
      <w:pPr>
        <w:pStyle w:val="ListParagraph"/>
        <w:numPr>
          <w:ilvl w:val="0"/>
          <w:numId w:val="87"/>
        </w:numPr>
      </w:pPr>
      <w:r w:rsidRPr="008B2F8A">
        <w:t>Patient discomfort due to the noise of the machine.</w:t>
      </w:r>
    </w:p>
    <w:p w14:paraId="26EA1E42" w14:textId="7DB0B877" w:rsidR="00E47AB8" w:rsidRPr="008B2F8A" w:rsidRDefault="00E47AB8" w:rsidP="00E47AB8">
      <w:pPr>
        <w:pStyle w:val="ListParagraph"/>
        <w:numPr>
          <w:ilvl w:val="0"/>
          <w:numId w:val="87"/>
        </w:numPr>
      </w:pPr>
      <w:r w:rsidRPr="008B2F8A">
        <w:t>Avoidance advised in pregnant women owing to limited evidence about the safety of MRI on the developing fetus.</w:t>
      </w:r>
    </w:p>
    <w:p w14:paraId="7E97901B" w14:textId="7A1C9AC2" w:rsidR="00E47AB8" w:rsidRPr="008B2F8A" w:rsidRDefault="00E47AB8" w:rsidP="00422306">
      <w:r w:rsidRPr="008B2F8A">
        <w:lastRenderedPageBreak/>
        <w:t xml:space="preserve">The key safety issue with mammography is exposure to ionising radiation. Because there are documented harms from exposure to ionising radiation, relevant evidence is summarised in section </w:t>
      </w:r>
      <w:r w:rsidRPr="008B2F8A">
        <w:fldChar w:fldCharType="begin"/>
      </w:r>
      <w:r w:rsidRPr="008B2F8A">
        <w:instrText xml:space="preserve"> REF _Ref256063258 \r \h </w:instrText>
      </w:r>
      <w:r w:rsidRPr="008B2F8A">
        <w:fldChar w:fldCharType="separate"/>
      </w:r>
      <w:r w:rsidR="00B81273">
        <w:t>B.10</w:t>
      </w:r>
      <w:r w:rsidRPr="008B2F8A">
        <w:fldChar w:fldCharType="end"/>
      </w:r>
      <w:r w:rsidRPr="008B2F8A">
        <w:rPr>
          <w:noProof/>
        </w:rPr>
        <w:t>.</w:t>
      </w:r>
      <w:r w:rsidRPr="008B2F8A">
        <w:t xml:space="preserve"> However, given that mammography is proposed for both the intervention and the comparator, the harms associated with mammography would be expected to be the same regardless of the addition of MRI to the existing mammographic surveillance.</w:t>
      </w:r>
    </w:p>
    <w:p w14:paraId="17805C9D" w14:textId="77777777" w:rsidR="00E47AB8" w:rsidRPr="008B2F8A" w:rsidRDefault="00E47AB8" w:rsidP="00422306">
      <w:r w:rsidRPr="008B2F8A">
        <w:t>In conclusion, both breast MRI and mammography are considered to be safe procedures.</w:t>
      </w:r>
    </w:p>
    <w:p w14:paraId="326DAFCE" w14:textId="77777777" w:rsidR="00E47AB8" w:rsidRPr="008B2F8A" w:rsidRDefault="00E47AB8" w:rsidP="002E5F0F">
      <w:pPr>
        <w:pStyle w:val="Heading2"/>
        <w:numPr>
          <w:ilvl w:val="0"/>
          <w:numId w:val="0"/>
        </w:numPr>
      </w:pPr>
      <w:bookmarkStart w:id="114" w:name="_Toc383424407"/>
      <w:r w:rsidRPr="008B2F8A">
        <w:t>Comparative effectiveness</w:t>
      </w:r>
      <w:bookmarkEnd w:id="114"/>
    </w:p>
    <w:p w14:paraId="34FE313A" w14:textId="1B5C634E" w:rsidR="00E47AB8" w:rsidRPr="008B2F8A" w:rsidRDefault="00E47AB8" w:rsidP="002E5F0F">
      <w:pPr>
        <w:pStyle w:val="Heading3"/>
      </w:pPr>
      <w:bookmarkStart w:id="115" w:name="_Toc383424408"/>
      <w:r w:rsidRPr="008B2F8A">
        <w:t>Asymptomatic, high-risk women: MBS interim-funded item</w:t>
      </w:r>
      <w:bookmarkEnd w:id="115"/>
    </w:p>
    <w:p w14:paraId="16B34B2D" w14:textId="77777777" w:rsidR="00E47AB8" w:rsidRPr="008B2F8A" w:rsidRDefault="00E47AB8" w:rsidP="00422306">
      <w:r w:rsidRPr="008B2F8A">
        <w:t xml:space="preserve">The conclusions largely mirror those of MSAC </w:t>
      </w:r>
      <w:r w:rsidRPr="008B2F8A">
        <w:rPr>
          <w:noProof/>
        </w:rPr>
        <w:t>(2006, p. 71),</w:t>
      </w:r>
      <w:r w:rsidRPr="008B2F8A">
        <w:t xml:space="preserve"> as no new studies of diagnostic accuracy which provided evidence applicable to the proposed use of breast MRI in addition to mammography were included.</w:t>
      </w:r>
    </w:p>
    <w:p w14:paraId="7757AD4C" w14:textId="41195571" w:rsidR="00E47AB8" w:rsidRPr="008B2F8A" w:rsidRDefault="00E47AB8" w:rsidP="00422306">
      <w:r w:rsidRPr="008B2F8A">
        <w:t xml:space="preserve">This review identified five level III-1/2 studies investigating the relative test accuracy of screening protocols with and without breast MRI in high-risk women. Four of these studies provided evidence applicable to the proposed use of breast MRI </w:t>
      </w:r>
      <w:r>
        <w:t>+</w:t>
      </w:r>
      <w:r w:rsidRPr="008B2F8A">
        <w:t xml:space="preserve"> mammography versus mammography. Risk classification varied across studies. Two studies included women who would be classified as at moderate rather than high risk (cumulative lifetime risk of &gt;15% or 20%). All studies either had an average age of participants of &lt;50 years or enabled the calculation of diagnostic accuracy for a subset of women who were &lt;50 years or pre-menopausal (</w:t>
      </w:r>
      <w:r w:rsidRPr="008B2F8A">
        <w:fldChar w:fldCharType="begin"/>
      </w:r>
      <w:r w:rsidRPr="008B2F8A">
        <w:instrText xml:space="preserve"> REF _Ref368231182 \h </w:instrText>
      </w:r>
      <w:r w:rsidRPr="008B2F8A">
        <w:fldChar w:fldCharType="separate"/>
      </w:r>
      <w:r w:rsidR="00B81273" w:rsidRPr="008B2F8A">
        <w:t xml:space="preserve">Table </w:t>
      </w:r>
      <w:r w:rsidR="00B81273">
        <w:rPr>
          <w:noProof/>
        </w:rPr>
        <w:t>B</w:t>
      </w:r>
      <w:r w:rsidR="00B81273" w:rsidRPr="008B2F8A">
        <w:t>.</w:t>
      </w:r>
      <w:r w:rsidR="00B81273">
        <w:rPr>
          <w:noProof/>
        </w:rPr>
        <w:t>8</w:t>
      </w:r>
      <w:r w:rsidRPr="008B2F8A">
        <w:fldChar w:fldCharType="end"/>
      </w:r>
      <w:r w:rsidRPr="008B2F8A">
        <w:t xml:space="preserve">, </w:t>
      </w:r>
      <w:r w:rsidRPr="008B2F8A">
        <w:fldChar w:fldCharType="begin"/>
      </w:r>
      <w:r w:rsidRPr="008B2F8A">
        <w:instrText xml:space="preserve"> REF _Ref368232816 \h </w:instrText>
      </w:r>
      <w:r w:rsidRPr="008B2F8A">
        <w:fldChar w:fldCharType="separate"/>
      </w:r>
      <w:r w:rsidR="00B81273" w:rsidRPr="008B2F8A">
        <w:t xml:space="preserve">Table </w:t>
      </w:r>
      <w:r w:rsidR="00B81273">
        <w:rPr>
          <w:noProof/>
        </w:rPr>
        <w:t>B</w:t>
      </w:r>
      <w:r w:rsidR="00B81273" w:rsidRPr="008B2F8A">
        <w:t>.</w:t>
      </w:r>
      <w:r w:rsidR="00B81273">
        <w:rPr>
          <w:noProof/>
        </w:rPr>
        <w:t>15</w:t>
      </w:r>
      <w:r w:rsidRPr="008B2F8A">
        <w:fldChar w:fldCharType="end"/>
      </w:r>
      <w:r w:rsidRPr="008B2F8A">
        <w:t xml:space="preserve"> and </w:t>
      </w:r>
      <w:r w:rsidRPr="008B2F8A">
        <w:fldChar w:fldCharType="begin"/>
      </w:r>
      <w:r w:rsidRPr="008B2F8A">
        <w:instrText xml:space="preserve"> REF _Ref368233905 \h </w:instrText>
      </w:r>
      <w:r w:rsidRPr="008B2F8A">
        <w:fldChar w:fldCharType="separate"/>
      </w:r>
      <w:r w:rsidR="00B81273" w:rsidRPr="008B2F8A">
        <w:t xml:space="preserve">Table </w:t>
      </w:r>
      <w:r w:rsidR="00B81273">
        <w:rPr>
          <w:noProof/>
        </w:rPr>
        <w:t>B</w:t>
      </w:r>
      <w:r w:rsidR="00B81273" w:rsidRPr="008B2F8A">
        <w:t>.</w:t>
      </w:r>
      <w:r w:rsidR="00B81273">
        <w:rPr>
          <w:noProof/>
        </w:rPr>
        <w:t>16</w:t>
      </w:r>
      <w:r w:rsidRPr="008B2F8A">
        <w:fldChar w:fldCharType="end"/>
      </w:r>
      <w:r w:rsidRPr="008B2F8A">
        <w:t>).</w:t>
      </w:r>
    </w:p>
    <w:p w14:paraId="79A04666" w14:textId="38C7939C" w:rsidR="00E47AB8" w:rsidRPr="008B2F8A" w:rsidRDefault="00E47AB8" w:rsidP="00422306">
      <w:r w:rsidRPr="008B2F8A">
        <w:t xml:space="preserve">None of the studies were assessed as high quality; however, the consistency and precision of estimates of test sensitivity across these studies provide strong evidence that the combination of breast MRI and mammography is a highly sensitive test for the detection of breast cancer (range 0.85–0.94, </w:t>
      </w:r>
      <w:bookmarkStart w:id="116" w:name="OLE_LINK29"/>
      <w:bookmarkStart w:id="117" w:name="OLE_LINK30"/>
      <w:bookmarkStart w:id="118" w:name="OLE_LINK237"/>
      <w:r w:rsidRPr="008B2F8A">
        <w:t xml:space="preserve">HIQA [2013] </w:t>
      </w:r>
      <w:bookmarkEnd w:id="116"/>
      <w:bookmarkEnd w:id="117"/>
      <w:bookmarkEnd w:id="118"/>
      <w:r w:rsidRPr="008B2F8A">
        <w:t xml:space="preserve">meta-analysis 0.88 [0.78–0.93]) and offers approximately a 2.3 fold increase in the early detection of breast cancer </w:t>
      </w:r>
      <w:r>
        <w:t>over</w:t>
      </w:r>
      <w:r w:rsidRPr="008B2F8A">
        <w:t xml:space="preserve"> the use of mammography alone (range 0.36–0.40, HIQA [2013] meta-analysis 0.38 [0.26–0.51]) in the surveillance of high-risk women (</w:t>
      </w:r>
      <w:r w:rsidRPr="008B2F8A">
        <w:fldChar w:fldCharType="begin"/>
      </w:r>
      <w:r w:rsidRPr="008B2F8A">
        <w:instrText xml:space="preserve"> REF _Ref368310958 \h  \* MERGEFORMAT </w:instrText>
      </w:r>
      <w:r w:rsidRPr="008B2F8A">
        <w:fldChar w:fldCharType="separate"/>
      </w:r>
      <w:r w:rsidR="00B81273" w:rsidRPr="008B2F8A">
        <w:t xml:space="preserve">Table </w:t>
      </w:r>
      <w:r w:rsidR="00B81273">
        <w:rPr>
          <w:noProof/>
        </w:rPr>
        <w:t>B</w:t>
      </w:r>
      <w:r w:rsidR="00B81273" w:rsidRPr="008B2F8A">
        <w:rPr>
          <w:noProof/>
        </w:rPr>
        <w:t>.</w:t>
      </w:r>
      <w:r w:rsidR="00B81273">
        <w:rPr>
          <w:noProof/>
        </w:rPr>
        <w:t>25</w:t>
      </w:r>
      <w:r w:rsidRPr="008B2F8A">
        <w:fldChar w:fldCharType="end"/>
      </w:r>
      <w:r w:rsidRPr="008B2F8A">
        <w:t xml:space="preserve">, </w:t>
      </w:r>
      <w:r w:rsidRPr="008B2F8A">
        <w:fldChar w:fldCharType="begin"/>
      </w:r>
      <w:r w:rsidRPr="008B2F8A">
        <w:instrText xml:space="preserve"> REF _Ref368310963 \h  \* MERGEFORMAT </w:instrText>
      </w:r>
      <w:r w:rsidRPr="008B2F8A">
        <w:fldChar w:fldCharType="separate"/>
      </w:r>
      <w:r w:rsidR="00B81273" w:rsidRPr="008B2F8A">
        <w:t xml:space="preserve">Table </w:t>
      </w:r>
      <w:r w:rsidR="00B81273">
        <w:rPr>
          <w:noProof/>
        </w:rPr>
        <w:t>B</w:t>
      </w:r>
      <w:r w:rsidR="00B81273" w:rsidRPr="008B2F8A">
        <w:rPr>
          <w:noProof/>
        </w:rPr>
        <w:t>.</w:t>
      </w:r>
      <w:r w:rsidR="00B81273">
        <w:rPr>
          <w:noProof/>
        </w:rPr>
        <w:t>26</w:t>
      </w:r>
      <w:r w:rsidRPr="008B2F8A">
        <w:fldChar w:fldCharType="end"/>
      </w:r>
      <w:r w:rsidRPr="008B2F8A">
        <w:t xml:space="preserve">, </w:t>
      </w:r>
      <w:r w:rsidRPr="008B2F8A">
        <w:fldChar w:fldCharType="begin"/>
      </w:r>
      <w:r w:rsidRPr="008B2F8A">
        <w:instrText xml:space="preserve"> REF _Ref377651649 \h  \* MERGEFORMAT </w:instrText>
      </w:r>
      <w:r w:rsidRPr="008B2F8A">
        <w:fldChar w:fldCharType="separate"/>
      </w:r>
      <w:r w:rsidR="00B81273" w:rsidRPr="008B2F8A">
        <w:t xml:space="preserve">Table </w:t>
      </w:r>
      <w:r w:rsidR="00B81273">
        <w:rPr>
          <w:noProof/>
        </w:rPr>
        <w:t>B</w:t>
      </w:r>
      <w:r w:rsidR="00B81273" w:rsidRPr="008B2F8A">
        <w:rPr>
          <w:noProof/>
        </w:rPr>
        <w:t>.</w:t>
      </w:r>
      <w:r w:rsidR="00B81273">
        <w:rPr>
          <w:noProof/>
        </w:rPr>
        <w:t>27</w:t>
      </w:r>
      <w:r w:rsidRPr="008B2F8A">
        <w:fldChar w:fldCharType="end"/>
      </w:r>
      <w:r w:rsidRPr="008B2F8A">
        <w:t>).</w:t>
      </w:r>
    </w:p>
    <w:p w14:paraId="14B9B8C2" w14:textId="5B769DFD" w:rsidR="00E47AB8" w:rsidRPr="008B2F8A" w:rsidRDefault="00E47AB8" w:rsidP="00422306">
      <w:r w:rsidRPr="008B2F8A">
        <w:t>Less evidence was identified for an assessment of the relative accuracy of adding breast MRI to a mammography program that includes the use of ultrasound. Two studies reported an increased sensitivity of mammography combined with ultrasound (Kuhl et al, 2005; Warner et al, 2004) compared with mammography alone. They indicate that the incremental benefit of adding breast MRI to a screening program will be lower if standard imaging includes the routine or selected use of ultrasound</w:t>
      </w:r>
      <w:r w:rsidR="00693BE5">
        <w:t xml:space="preserve"> than if it includes mammography alone</w:t>
      </w:r>
      <w:r w:rsidRPr="008B2F8A">
        <w:t>.</w:t>
      </w:r>
    </w:p>
    <w:p w14:paraId="33F1AE23" w14:textId="60B927C8" w:rsidR="00E47AB8" w:rsidRPr="008B2F8A" w:rsidRDefault="00E47AB8" w:rsidP="00422306">
      <w:r w:rsidRPr="008B2F8A">
        <w:t xml:space="preserve">Evidence about the specificity of screening protocols that include breast MRI was less consistent. This may be attributed, at least in part, to the different </w:t>
      </w:r>
      <w:r w:rsidR="005923BE">
        <w:t>criteria</w:t>
      </w:r>
      <w:r w:rsidRPr="008B2F8A">
        <w:t xml:space="preserve"> used to define false-positives. The two studies which defined a false-positive as a test finding that initiated further testing to exclude malignancy provide the most relevant data and found specificities of 0.77 (0.75–0.79) (</w:t>
      </w:r>
      <w:bookmarkStart w:id="119" w:name="OLE_LINK574"/>
      <w:bookmarkStart w:id="120" w:name="OLE_LINK575"/>
      <w:r>
        <w:t>Leach, 2005</w:t>
      </w:r>
      <w:bookmarkEnd w:id="119"/>
      <w:bookmarkEnd w:id="120"/>
      <w:r w:rsidRPr="008B2F8A">
        <w:t>) and 0.85 (0.84–0.86) (</w:t>
      </w:r>
      <w:bookmarkStart w:id="121" w:name="OLE_LINK576"/>
      <w:bookmarkStart w:id="122" w:name="OLE_LINK577"/>
      <w:bookmarkStart w:id="123" w:name="OLE_LINK934"/>
      <w:r w:rsidRPr="008B2F8A">
        <w:t xml:space="preserve">Kriege et al, </w:t>
      </w:r>
      <w:bookmarkStart w:id="124" w:name="OLE_LINK1"/>
      <w:bookmarkStart w:id="125" w:name="OLE_LINK2"/>
      <w:r w:rsidRPr="008B2F8A">
        <w:t>2006a</w:t>
      </w:r>
      <w:bookmarkEnd w:id="121"/>
      <w:bookmarkEnd w:id="122"/>
      <w:bookmarkEnd w:id="123"/>
      <w:bookmarkEnd w:id="124"/>
      <w:bookmarkEnd w:id="125"/>
      <w:r w:rsidRPr="008B2F8A">
        <w:t xml:space="preserve">), corresponding to false-positive rate of 23% and 15%, respectively, compared with rates for mammography alone of 7% and 5%, respectively. </w:t>
      </w:r>
      <w:r>
        <w:t>Leach (2005)</w:t>
      </w:r>
      <w:r w:rsidRPr="008B2F8A">
        <w:t xml:space="preserve"> reported that the biopsy rate for false-positive imaging was 5% for MRI </w:t>
      </w:r>
      <w:r>
        <w:t>+</w:t>
      </w:r>
      <w:r w:rsidRPr="008B2F8A">
        <w:t xml:space="preserve"> mammography, versus 1.5% for mammography alone.</w:t>
      </w:r>
    </w:p>
    <w:p w14:paraId="59B24F60" w14:textId="77777777" w:rsidR="00E47AB8" w:rsidRPr="008B2F8A" w:rsidRDefault="00E47AB8" w:rsidP="005923BE">
      <w:pPr>
        <w:pStyle w:val="Heading3"/>
      </w:pPr>
      <w:bookmarkStart w:id="126" w:name="_Toc383424409"/>
      <w:r w:rsidRPr="008B2F8A">
        <w:lastRenderedPageBreak/>
        <w:t>Women with a history of treatment for invasive breast cancer</w:t>
      </w:r>
      <w:bookmarkEnd w:id="126"/>
    </w:p>
    <w:p w14:paraId="289C0DD6" w14:textId="3A3813C0" w:rsidR="00E47AB8" w:rsidRPr="008B2F8A" w:rsidRDefault="00E47AB8" w:rsidP="00422306">
      <w:r w:rsidRPr="008B2F8A">
        <w:t>This review identified two level III-2 studies of test accuracy investigating the relative accuracy of screening protocols with and without breast MRI in women with a history of treatment for invasive breast cancer. Both studies included women aged over 50 years (median of 57 and 55.7 years). Both studies had methodological flaws and were at high risk of bias across multiple domains (</w:t>
      </w:r>
      <w:r w:rsidRPr="008B2F8A">
        <w:fldChar w:fldCharType="begin"/>
      </w:r>
      <w:r w:rsidRPr="008B2F8A">
        <w:instrText xml:space="preserve"> REF _Ref368654012 \h </w:instrText>
      </w:r>
      <w:r w:rsidRPr="008B2F8A">
        <w:fldChar w:fldCharType="separate"/>
      </w:r>
      <w:r w:rsidR="00B81273" w:rsidRPr="008B2F8A">
        <w:t xml:space="preserve">Table </w:t>
      </w:r>
      <w:r w:rsidR="00B81273">
        <w:rPr>
          <w:noProof/>
        </w:rPr>
        <w:t>B</w:t>
      </w:r>
      <w:r w:rsidR="00B81273" w:rsidRPr="008B2F8A">
        <w:t>.</w:t>
      </w:r>
      <w:r w:rsidR="00B81273">
        <w:rPr>
          <w:noProof/>
        </w:rPr>
        <w:t>11</w:t>
      </w:r>
      <w:r w:rsidRPr="008B2F8A">
        <w:fldChar w:fldCharType="end"/>
      </w:r>
      <w:r w:rsidRPr="008B2F8A">
        <w:t xml:space="preserve">, </w:t>
      </w:r>
      <w:r w:rsidRPr="008B2F8A">
        <w:fldChar w:fldCharType="begin"/>
      </w:r>
      <w:r w:rsidRPr="008B2F8A">
        <w:instrText xml:space="preserve"> REF _Ref372897075 \h </w:instrText>
      </w:r>
      <w:r w:rsidRPr="008B2F8A">
        <w:fldChar w:fldCharType="separate"/>
      </w:r>
      <w:r w:rsidR="00B81273" w:rsidRPr="008B2F8A">
        <w:t xml:space="preserve">Table </w:t>
      </w:r>
      <w:r w:rsidR="00B81273">
        <w:rPr>
          <w:noProof/>
        </w:rPr>
        <w:t>B</w:t>
      </w:r>
      <w:r w:rsidR="00B81273" w:rsidRPr="008B2F8A">
        <w:t>.</w:t>
      </w:r>
      <w:r w:rsidR="00B81273">
        <w:rPr>
          <w:noProof/>
        </w:rPr>
        <w:t>18</w:t>
      </w:r>
      <w:r w:rsidRPr="008B2F8A">
        <w:fldChar w:fldCharType="end"/>
      </w:r>
      <w:r w:rsidRPr="008B2F8A">
        <w:t xml:space="preserve">, </w:t>
      </w:r>
      <w:r w:rsidRPr="008B2F8A">
        <w:fldChar w:fldCharType="begin"/>
      </w:r>
      <w:r w:rsidRPr="008B2F8A">
        <w:instrText xml:space="preserve"> REF _Ref368644541 \h </w:instrText>
      </w:r>
      <w:r w:rsidRPr="008B2F8A">
        <w:fldChar w:fldCharType="separate"/>
      </w:r>
      <w:r w:rsidR="00B81273" w:rsidRPr="008B2F8A">
        <w:t xml:space="preserve">Table </w:t>
      </w:r>
      <w:r w:rsidR="00B81273">
        <w:rPr>
          <w:noProof/>
        </w:rPr>
        <w:t>B</w:t>
      </w:r>
      <w:r w:rsidR="00B81273" w:rsidRPr="008B2F8A">
        <w:t>.</w:t>
      </w:r>
      <w:r w:rsidR="00B81273">
        <w:rPr>
          <w:noProof/>
        </w:rPr>
        <w:t>19</w:t>
      </w:r>
      <w:r w:rsidRPr="008B2F8A">
        <w:fldChar w:fldCharType="end"/>
      </w:r>
      <w:r w:rsidRPr="008B2F8A">
        <w:t>).</w:t>
      </w:r>
    </w:p>
    <w:p w14:paraId="05CB9D2B" w14:textId="3702390D" w:rsidR="00E47AB8" w:rsidRPr="008B2F8A" w:rsidRDefault="00E47AB8" w:rsidP="00422306">
      <w:r w:rsidRPr="008B2F8A">
        <w:t>The studies were consistent in showing that breast MRI combined with mammography is a highly sensitive test (no false-negatives identified) for the early detection of breast cancer in women with a previous history of invasive breast cancer. However, the small sample sizes reduced the precision of these estimates and the statistical power.</w:t>
      </w:r>
    </w:p>
    <w:p w14:paraId="6F59269A" w14:textId="5BF580B3" w:rsidR="00E47AB8" w:rsidRPr="008B2F8A" w:rsidRDefault="00E47AB8" w:rsidP="00422306">
      <w:r w:rsidRPr="008B2F8A">
        <w:t xml:space="preserve">Evidence about specificity was inconsistent. </w:t>
      </w:r>
      <w:bookmarkStart w:id="127" w:name="OLE_LINK578"/>
      <w:bookmarkStart w:id="128" w:name="OLE_LINK579"/>
      <w:r>
        <w:t>Berg et al (2012</w:t>
      </w:r>
      <w:bookmarkEnd w:id="127"/>
      <w:bookmarkEnd w:id="128"/>
      <w:r>
        <w:t>)</w:t>
      </w:r>
      <w:r w:rsidRPr="008B2F8A">
        <w:t xml:space="preserve"> defined a false-positive as a test finding that initiated further testing to exclude malignancy and found a specificity of 0.79 (0.73–0.83) for breast MRI </w:t>
      </w:r>
      <w:r>
        <w:t>+</w:t>
      </w:r>
      <w:r w:rsidRPr="008B2F8A">
        <w:t xml:space="preserve"> mammography, corresponding to a false-positive rate of 21%</w:t>
      </w:r>
      <w:r>
        <w:t>,</w:t>
      </w:r>
      <w:r w:rsidRPr="008B2F8A">
        <w:t xml:space="preserve"> </w:t>
      </w:r>
      <w:r>
        <w:t>versus</w:t>
      </w:r>
      <w:r w:rsidRPr="008B2F8A">
        <w:t xml:space="preserve"> 5% for mammography alone. The false-positive biopsy rate in this study was 4.0% for breast MRI </w:t>
      </w:r>
      <w:r>
        <w:t>+</w:t>
      </w:r>
      <w:r w:rsidRPr="008B2F8A">
        <w:t xml:space="preserve"> mammography, versus 0.73% for mammography alone (</w:t>
      </w:r>
      <w:r w:rsidRPr="008B2F8A">
        <w:fldChar w:fldCharType="begin"/>
      </w:r>
      <w:r w:rsidRPr="008B2F8A">
        <w:instrText xml:space="preserve"> REF _Ref368654339 \h </w:instrText>
      </w:r>
      <w:r w:rsidRPr="008B2F8A">
        <w:fldChar w:fldCharType="separate"/>
      </w:r>
      <w:r w:rsidR="00B81273" w:rsidRPr="008B2F8A">
        <w:t xml:space="preserve">Table </w:t>
      </w:r>
      <w:r w:rsidR="00B81273">
        <w:rPr>
          <w:noProof/>
        </w:rPr>
        <w:t>B</w:t>
      </w:r>
      <w:r w:rsidR="00B81273" w:rsidRPr="008B2F8A">
        <w:t>.</w:t>
      </w:r>
      <w:r w:rsidR="00B81273">
        <w:rPr>
          <w:noProof/>
        </w:rPr>
        <w:t>31</w:t>
      </w:r>
      <w:r w:rsidRPr="008B2F8A">
        <w:fldChar w:fldCharType="end"/>
      </w:r>
      <w:r w:rsidRPr="008B2F8A">
        <w:t xml:space="preserve">, </w:t>
      </w:r>
      <w:r w:rsidRPr="008B2F8A">
        <w:fldChar w:fldCharType="begin"/>
      </w:r>
      <w:r w:rsidRPr="008B2F8A">
        <w:instrText xml:space="preserve"> REF _Ref368644583 \h </w:instrText>
      </w:r>
      <w:r w:rsidRPr="008B2F8A">
        <w:fldChar w:fldCharType="separate"/>
      </w:r>
      <w:r w:rsidR="00B81273" w:rsidRPr="008B2F8A">
        <w:t xml:space="preserve">Table </w:t>
      </w:r>
      <w:r w:rsidR="00B81273">
        <w:rPr>
          <w:noProof/>
        </w:rPr>
        <w:t>B</w:t>
      </w:r>
      <w:r w:rsidR="00B81273" w:rsidRPr="008B2F8A">
        <w:t>.</w:t>
      </w:r>
      <w:r w:rsidR="00B81273">
        <w:rPr>
          <w:noProof/>
        </w:rPr>
        <w:t>32</w:t>
      </w:r>
      <w:r w:rsidRPr="008B2F8A">
        <w:fldChar w:fldCharType="end"/>
      </w:r>
      <w:r w:rsidRPr="008B2F8A">
        <w:t xml:space="preserve">, </w:t>
      </w:r>
      <w:r w:rsidRPr="008B2F8A">
        <w:fldChar w:fldCharType="begin"/>
      </w:r>
      <w:r w:rsidRPr="008B2F8A">
        <w:instrText xml:space="preserve"> REF _Ref368644589 \h </w:instrText>
      </w:r>
      <w:r w:rsidRPr="008B2F8A">
        <w:fldChar w:fldCharType="separate"/>
      </w:r>
      <w:r w:rsidR="00B81273" w:rsidRPr="008B2F8A">
        <w:t xml:space="preserve">Table </w:t>
      </w:r>
      <w:r w:rsidR="00B81273">
        <w:rPr>
          <w:noProof/>
        </w:rPr>
        <w:t>B</w:t>
      </w:r>
      <w:r w:rsidR="00B81273" w:rsidRPr="008B2F8A">
        <w:t>.</w:t>
      </w:r>
      <w:r w:rsidR="00B81273">
        <w:rPr>
          <w:noProof/>
        </w:rPr>
        <w:t>33</w:t>
      </w:r>
      <w:r w:rsidRPr="008B2F8A">
        <w:fldChar w:fldCharType="end"/>
      </w:r>
      <w:r w:rsidRPr="008B2F8A">
        <w:t>).</w:t>
      </w:r>
    </w:p>
    <w:p w14:paraId="4A2AD3B0" w14:textId="77777777" w:rsidR="00E47AB8" w:rsidRPr="008B2F8A" w:rsidRDefault="00E47AB8" w:rsidP="005923BE">
      <w:pPr>
        <w:pStyle w:val="Heading3"/>
      </w:pPr>
      <w:bookmarkStart w:id="129" w:name="_Toc383424410"/>
      <w:r w:rsidRPr="008B2F8A">
        <w:t>Women with a history of treatment for DCIS or LCIS</w:t>
      </w:r>
      <w:bookmarkEnd w:id="129"/>
    </w:p>
    <w:p w14:paraId="6807D696" w14:textId="0C06A2DF" w:rsidR="00E47AB8" w:rsidRPr="008B2F8A" w:rsidRDefault="00E47AB8" w:rsidP="00422306">
      <w:r w:rsidRPr="008B2F8A">
        <w:t>This review did not identify any studies of test accuracy which compared screening protocols with and without breast MRI in women with a history of treatment for DCIS or LCIS. It did identify one level III-2 diagnostic accuracy study which compared breast MRI alone with mammography alone in women who had been treated for LCIS. The study was small and had a high risk of bias across multiple domains (</w:t>
      </w:r>
      <w:r w:rsidRPr="008B2F8A">
        <w:fldChar w:fldCharType="begin"/>
      </w:r>
      <w:r w:rsidRPr="008B2F8A">
        <w:instrText xml:space="preserve"> REF _Ref368485078 \h </w:instrText>
      </w:r>
      <w:r w:rsidRPr="008B2F8A">
        <w:fldChar w:fldCharType="separate"/>
      </w:r>
      <w:r w:rsidR="00B81273" w:rsidRPr="008B2F8A">
        <w:t xml:space="preserve">Table </w:t>
      </w:r>
      <w:r w:rsidR="00B81273">
        <w:rPr>
          <w:noProof/>
        </w:rPr>
        <w:t>B</w:t>
      </w:r>
      <w:r w:rsidR="00B81273" w:rsidRPr="008B2F8A">
        <w:t>.</w:t>
      </w:r>
      <w:r w:rsidR="00B81273">
        <w:rPr>
          <w:noProof/>
        </w:rPr>
        <w:t>12</w:t>
      </w:r>
      <w:r w:rsidRPr="008B2F8A">
        <w:fldChar w:fldCharType="end"/>
      </w:r>
      <w:r w:rsidRPr="008B2F8A">
        <w:t xml:space="preserve">, </w:t>
      </w:r>
      <w:r w:rsidRPr="008B2F8A">
        <w:fldChar w:fldCharType="begin"/>
      </w:r>
      <w:r w:rsidRPr="008B2F8A">
        <w:instrText xml:space="preserve"> REF _Ref368486517 \h </w:instrText>
      </w:r>
      <w:r w:rsidRPr="008B2F8A">
        <w:fldChar w:fldCharType="separate"/>
      </w:r>
      <w:r w:rsidR="00B81273" w:rsidRPr="008B2F8A">
        <w:t xml:space="preserve">Table </w:t>
      </w:r>
      <w:r w:rsidR="00B81273">
        <w:rPr>
          <w:noProof/>
        </w:rPr>
        <w:t>B</w:t>
      </w:r>
      <w:r w:rsidR="00B81273" w:rsidRPr="008B2F8A">
        <w:t>.</w:t>
      </w:r>
      <w:r w:rsidR="00B81273">
        <w:rPr>
          <w:noProof/>
        </w:rPr>
        <w:t>20</w:t>
      </w:r>
      <w:r w:rsidRPr="008B2F8A">
        <w:fldChar w:fldCharType="end"/>
      </w:r>
      <w:r w:rsidRPr="008B2F8A">
        <w:t xml:space="preserve">, </w:t>
      </w:r>
      <w:r w:rsidRPr="008B2F8A">
        <w:fldChar w:fldCharType="begin"/>
      </w:r>
      <w:r w:rsidRPr="008B2F8A">
        <w:instrText xml:space="preserve"> REF _Ref368486839 \h </w:instrText>
      </w:r>
      <w:r w:rsidRPr="008B2F8A">
        <w:fldChar w:fldCharType="separate"/>
      </w:r>
      <w:r w:rsidR="00B81273" w:rsidRPr="008B2F8A">
        <w:t xml:space="preserve">Table </w:t>
      </w:r>
      <w:r w:rsidR="00B81273">
        <w:rPr>
          <w:noProof/>
        </w:rPr>
        <w:t>B</w:t>
      </w:r>
      <w:r w:rsidR="00B81273" w:rsidRPr="008B2F8A">
        <w:t>.</w:t>
      </w:r>
      <w:r w:rsidR="00B81273">
        <w:rPr>
          <w:noProof/>
        </w:rPr>
        <w:t>21</w:t>
      </w:r>
      <w:r w:rsidRPr="008B2F8A">
        <w:fldChar w:fldCharType="end"/>
      </w:r>
      <w:r w:rsidRPr="008B2F8A">
        <w:t>). It suggests that MRI may double the early detection of breast cancer in women with a history of LCIS (sensitivity</w:t>
      </w:r>
      <w:r>
        <w:t>:</w:t>
      </w:r>
      <w:r w:rsidRPr="008B2F8A">
        <w:t xml:space="preserve"> MRI 0.71 [0.42, 0.92]</w:t>
      </w:r>
      <w:r>
        <w:t>,</w:t>
      </w:r>
      <w:r w:rsidRPr="008B2F8A">
        <w:t xml:space="preserve"> mammography 0.36 [0.13, 0.65]) (</w:t>
      </w:r>
      <w:bookmarkStart w:id="130" w:name="OLE_LINK935"/>
      <w:bookmarkStart w:id="131" w:name="OLE_LINK936"/>
      <w:r w:rsidRPr="008B2F8A">
        <w:t xml:space="preserve">Sung et al, </w:t>
      </w:r>
      <w:bookmarkStart w:id="132" w:name="OLE_LINK3"/>
      <w:bookmarkStart w:id="133" w:name="OLE_LINK4"/>
      <w:r w:rsidRPr="008B2F8A">
        <w:t>2011b</w:t>
      </w:r>
      <w:bookmarkEnd w:id="130"/>
      <w:bookmarkEnd w:id="131"/>
      <w:bookmarkEnd w:id="132"/>
      <w:bookmarkEnd w:id="133"/>
      <w:r w:rsidRPr="008B2F8A">
        <w:t>) (</w:t>
      </w:r>
      <w:r w:rsidRPr="008B2F8A">
        <w:fldChar w:fldCharType="begin"/>
      </w:r>
      <w:r w:rsidRPr="008B2F8A">
        <w:instrText xml:space="preserve"> REF _Ref368492741 \h </w:instrText>
      </w:r>
      <w:r w:rsidRPr="008B2F8A">
        <w:fldChar w:fldCharType="separate"/>
      </w:r>
      <w:r w:rsidR="00B81273" w:rsidRPr="008B2F8A">
        <w:t xml:space="preserve">Table </w:t>
      </w:r>
      <w:r w:rsidR="00B81273">
        <w:rPr>
          <w:noProof/>
        </w:rPr>
        <w:t>B</w:t>
      </w:r>
      <w:r w:rsidR="00B81273" w:rsidRPr="008B2F8A">
        <w:t>.</w:t>
      </w:r>
      <w:r w:rsidR="00B81273">
        <w:rPr>
          <w:noProof/>
        </w:rPr>
        <w:t>36</w:t>
      </w:r>
      <w:r w:rsidRPr="008B2F8A">
        <w:fldChar w:fldCharType="end"/>
      </w:r>
      <w:r w:rsidRPr="008B2F8A">
        <w:t xml:space="preserve">, </w:t>
      </w:r>
      <w:r w:rsidRPr="008B2F8A">
        <w:fldChar w:fldCharType="begin"/>
      </w:r>
      <w:r w:rsidRPr="008B2F8A">
        <w:instrText xml:space="preserve"> REF _Ref377651791 \h </w:instrText>
      </w:r>
      <w:r w:rsidRPr="008B2F8A">
        <w:fldChar w:fldCharType="separate"/>
      </w:r>
      <w:r w:rsidR="00B81273" w:rsidRPr="008B2F8A">
        <w:t xml:space="preserve">Table </w:t>
      </w:r>
      <w:r w:rsidR="00B81273">
        <w:rPr>
          <w:noProof/>
        </w:rPr>
        <w:t>B</w:t>
      </w:r>
      <w:r w:rsidR="00B81273" w:rsidRPr="008B2F8A">
        <w:t>.</w:t>
      </w:r>
      <w:r w:rsidR="00B81273">
        <w:rPr>
          <w:noProof/>
        </w:rPr>
        <w:t>37</w:t>
      </w:r>
      <w:r w:rsidRPr="008B2F8A">
        <w:fldChar w:fldCharType="end"/>
      </w:r>
      <w:r w:rsidRPr="008B2F8A">
        <w:t>), and found a 2.4-fold increase in the rate of biopsies for false-positive findings, but the body of evidence is too limited to allow any conclusions to be drawn.</w:t>
      </w:r>
    </w:p>
    <w:p w14:paraId="0FC0158E" w14:textId="77777777" w:rsidR="00E47AB8" w:rsidRPr="008B2F8A" w:rsidRDefault="00E47AB8" w:rsidP="005923BE">
      <w:pPr>
        <w:pStyle w:val="Heading3"/>
      </w:pPr>
      <w:bookmarkStart w:id="134" w:name="_Toc383424411"/>
      <w:r w:rsidRPr="008B2F8A">
        <w:t>Women who have had chest irradiation between 10 and 35 years</w:t>
      </w:r>
      <w:bookmarkEnd w:id="134"/>
    </w:p>
    <w:p w14:paraId="5707B2FD" w14:textId="08FE1147" w:rsidR="00E47AB8" w:rsidRPr="008B2F8A" w:rsidRDefault="00E47AB8" w:rsidP="00422306">
      <w:r w:rsidRPr="008B2F8A">
        <w:t>This review identified one level III-1 test accuracy study investigating the relative accuracy of screening protocols with and without breast MRI for women who have had chest irradiation between the ages of 10 and 35 years (</w:t>
      </w:r>
      <w:bookmarkStart w:id="135" w:name="OLE_LINK580"/>
      <w:bookmarkStart w:id="136" w:name="OLE_LINK581"/>
      <w:r w:rsidRPr="008B2F8A">
        <w:t>Ng et al, 2013</w:t>
      </w:r>
      <w:bookmarkEnd w:id="135"/>
      <w:bookmarkEnd w:id="136"/>
      <w:r w:rsidRPr="008B2F8A">
        <w:t xml:space="preserve">). Two additional level III-2 test accuracy studies investigated the accuracy of breast MRI alone compared with mammography alone </w:t>
      </w:r>
      <w:r w:rsidR="005923BE" w:rsidRPr="008B2F8A">
        <w:t xml:space="preserve">for women who have had chest irradiation between the ages of 10 and 35 years </w:t>
      </w:r>
      <w:r w:rsidRPr="008B2F8A">
        <w:t>(</w:t>
      </w:r>
      <w:bookmarkStart w:id="137" w:name="OLE_LINK582"/>
      <w:bookmarkStart w:id="138" w:name="OLE_LINK583"/>
      <w:r w:rsidRPr="008B2F8A">
        <w:t xml:space="preserve">Freitas et al, 2013; Sung et al, </w:t>
      </w:r>
      <w:bookmarkStart w:id="139" w:name="OLE_LINK5"/>
      <w:bookmarkStart w:id="140" w:name="OLE_LINK6"/>
      <w:r w:rsidRPr="008B2F8A">
        <w:t>2011a</w:t>
      </w:r>
      <w:bookmarkEnd w:id="137"/>
      <w:bookmarkEnd w:id="138"/>
      <w:bookmarkEnd w:id="139"/>
      <w:bookmarkEnd w:id="140"/>
      <w:r w:rsidRPr="008B2F8A">
        <w:t>). All studies had a mean or median age of &lt;50 years (</w:t>
      </w:r>
      <w:r w:rsidRPr="008B2F8A">
        <w:fldChar w:fldCharType="begin"/>
      </w:r>
      <w:r w:rsidRPr="008B2F8A">
        <w:instrText xml:space="preserve"> REF _Ref368485667 \h </w:instrText>
      </w:r>
      <w:r w:rsidRPr="008B2F8A">
        <w:fldChar w:fldCharType="separate"/>
      </w:r>
      <w:r w:rsidR="00B81273" w:rsidRPr="008B2F8A">
        <w:t xml:space="preserve">Table </w:t>
      </w:r>
      <w:r w:rsidR="00B81273">
        <w:rPr>
          <w:noProof/>
        </w:rPr>
        <w:t>B</w:t>
      </w:r>
      <w:r w:rsidR="00B81273" w:rsidRPr="008B2F8A">
        <w:t>.</w:t>
      </w:r>
      <w:r w:rsidR="00B81273">
        <w:rPr>
          <w:noProof/>
        </w:rPr>
        <w:t>13</w:t>
      </w:r>
      <w:r w:rsidRPr="008B2F8A">
        <w:fldChar w:fldCharType="end"/>
      </w:r>
      <w:r w:rsidRPr="008B2F8A">
        <w:t xml:space="preserve">, </w:t>
      </w:r>
      <w:r w:rsidRPr="008B2F8A">
        <w:fldChar w:fldCharType="begin"/>
      </w:r>
      <w:r w:rsidRPr="008B2F8A">
        <w:instrText xml:space="preserve"> REF _Ref368491860 \h </w:instrText>
      </w:r>
      <w:r w:rsidRPr="008B2F8A">
        <w:fldChar w:fldCharType="separate"/>
      </w:r>
      <w:r w:rsidR="00B81273" w:rsidRPr="008B2F8A">
        <w:t xml:space="preserve">Table </w:t>
      </w:r>
      <w:r w:rsidR="00B81273">
        <w:rPr>
          <w:noProof/>
        </w:rPr>
        <w:t>B</w:t>
      </w:r>
      <w:r w:rsidR="00B81273" w:rsidRPr="008B2F8A">
        <w:t>.</w:t>
      </w:r>
      <w:r w:rsidR="00B81273">
        <w:rPr>
          <w:noProof/>
        </w:rPr>
        <w:t>22</w:t>
      </w:r>
      <w:r w:rsidRPr="008B2F8A">
        <w:fldChar w:fldCharType="end"/>
      </w:r>
      <w:r w:rsidRPr="008B2F8A">
        <w:t xml:space="preserve">, </w:t>
      </w:r>
      <w:r w:rsidRPr="008B2F8A">
        <w:fldChar w:fldCharType="begin"/>
      </w:r>
      <w:r w:rsidRPr="008B2F8A">
        <w:instrText xml:space="preserve"> REF _Ref368491863 \h </w:instrText>
      </w:r>
      <w:r w:rsidRPr="008B2F8A">
        <w:fldChar w:fldCharType="separate"/>
      </w:r>
      <w:r w:rsidR="00B81273" w:rsidRPr="008B2F8A">
        <w:t xml:space="preserve">Table </w:t>
      </w:r>
      <w:r w:rsidR="00B81273">
        <w:rPr>
          <w:noProof/>
        </w:rPr>
        <w:t>B</w:t>
      </w:r>
      <w:r w:rsidR="00B81273" w:rsidRPr="008B2F8A">
        <w:t>.</w:t>
      </w:r>
      <w:r w:rsidR="00B81273">
        <w:rPr>
          <w:noProof/>
        </w:rPr>
        <w:t>23</w:t>
      </w:r>
      <w:r w:rsidRPr="008B2F8A">
        <w:fldChar w:fldCharType="end"/>
      </w:r>
      <w:r w:rsidRPr="008B2F8A">
        <w:t>).</w:t>
      </w:r>
    </w:p>
    <w:p w14:paraId="5D6A7BE9" w14:textId="0982554F" w:rsidR="00E47AB8" w:rsidRPr="008B2F8A" w:rsidRDefault="00E47AB8" w:rsidP="00422306">
      <w:r w:rsidRPr="008B2F8A">
        <w:t>The Ng et al (2013) study is the most applicable and at a lower risk of bias than the other included studies. It provides weak evidence that the addition of breast MRI increases the early detection of breast cancer over mammography alone in women who have had chest irradiation (sensitivity</w:t>
      </w:r>
      <w:r>
        <w:t>:</w:t>
      </w:r>
      <w:r w:rsidRPr="008B2F8A">
        <w:t xml:space="preserve"> breast MRI </w:t>
      </w:r>
      <w:r>
        <w:t>+</w:t>
      </w:r>
      <w:r w:rsidRPr="008B2F8A">
        <w:t xml:space="preserve"> mammography 0.95 [0.74, 1.00]</w:t>
      </w:r>
      <w:r>
        <w:t>,</w:t>
      </w:r>
      <w:r w:rsidRPr="008B2F8A">
        <w:t xml:space="preserve"> mammography alone 0.68 [0.43, 0.87])</w:t>
      </w:r>
      <w:r>
        <w:t>,</w:t>
      </w:r>
      <w:r w:rsidRPr="008B2F8A">
        <w:t xml:space="preserve"> an increase in the early detection of breast cancer of approximately 1.4-fold. The biopsy rate in this study was 18% (14.5</w:t>
      </w:r>
      <w:r>
        <w:t>%</w:t>
      </w:r>
      <w:r w:rsidRPr="008B2F8A">
        <w:t>–22.6</w:t>
      </w:r>
      <w:r>
        <w:t>%</w:t>
      </w:r>
      <w:r w:rsidRPr="008B2F8A">
        <w:t>) for the combined tests and 11% (8.0</w:t>
      </w:r>
      <w:r>
        <w:t>%</w:t>
      </w:r>
      <w:r w:rsidRPr="008B2F8A">
        <w:t>–14.7</w:t>
      </w:r>
      <w:r>
        <w:t>%</w:t>
      </w:r>
      <w:r w:rsidRPr="008B2F8A">
        <w:t>) for mammography alone, an increase in the rate of biopsy of 1.6 fold (</w:t>
      </w:r>
      <w:r w:rsidRPr="008B2F8A">
        <w:fldChar w:fldCharType="begin"/>
      </w:r>
      <w:r w:rsidRPr="008B2F8A">
        <w:instrText xml:space="preserve"> REF _Ref377651851 \h </w:instrText>
      </w:r>
      <w:r w:rsidRPr="008B2F8A">
        <w:fldChar w:fldCharType="separate"/>
      </w:r>
      <w:r w:rsidR="00B81273" w:rsidRPr="008B2F8A">
        <w:t xml:space="preserve">Table </w:t>
      </w:r>
      <w:r w:rsidR="00B81273">
        <w:rPr>
          <w:noProof/>
        </w:rPr>
        <w:t>B</w:t>
      </w:r>
      <w:r w:rsidR="00B81273" w:rsidRPr="008B2F8A">
        <w:t>.</w:t>
      </w:r>
      <w:r w:rsidR="00B81273">
        <w:rPr>
          <w:noProof/>
        </w:rPr>
        <w:t>38</w:t>
      </w:r>
      <w:r w:rsidRPr="008B2F8A">
        <w:fldChar w:fldCharType="end"/>
      </w:r>
      <w:r w:rsidRPr="008B2F8A">
        <w:t xml:space="preserve">, </w:t>
      </w:r>
      <w:r w:rsidRPr="008B2F8A">
        <w:fldChar w:fldCharType="begin"/>
      </w:r>
      <w:r w:rsidRPr="008B2F8A">
        <w:instrText xml:space="preserve"> REF _Ref368492881 \h </w:instrText>
      </w:r>
      <w:r w:rsidRPr="008B2F8A">
        <w:fldChar w:fldCharType="separate"/>
      </w:r>
      <w:r w:rsidR="00B81273" w:rsidRPr="008B2F8A">
        <w:t xml:space="preserve">Table </w:t>
      </w:r>
      <w:r w:rsidR="00B81273">
        <w:rPr>
          <w:noProof/>
        </w:rPr>
        <w:t>B</w:t>
      </w:r>
      <w:r w:rsidR="00B81273" w:rsidRPr="008B2F8A">
        <w:t>.</w:t>
      </w:r>
      <w:r w:rsidR="00B81273">
        <w:rPr>
          <w:noProof/>
        </w:rPr>
        <w:t>39</w:t>
      </w:r>
      <w:r w:rsidRPr="008B2F8A">
        <w:fldChar w:fldCharType="end"/>
      </w:r>
      <w:r w:rsidRPr="008B2F8A">
        <w:t xml:space="preserve">, </w:t>
      </w:r>
      <w:r w:rsidRPr="008B2F8A">
        <w:fldChar w:fldCharType="begin"/>
      </w:r>
      <w:r w:rsidRPr="008B2F8A">
        <w:instrText xml:space="preserve"> REF _Ref368492883 \h </w:instrText>
      </w:r>
      <w:r w:rsidRPr="008B2F8A">
        <w:fldChar w:fldCharType="separate"/>
      </w:r>
      <w:r w:rsidR="00B81273" w:rsidRPr="008B2F8A">
        <w:t xml:space="preserve">Table </w:t>
      </w:r>
      <w:r w:rsidR="00B81273">
        <w:rPr>
          <w:noProof/>
        </w:rPr>
        <w:t>B</w:t>
      </w:r>
      <w:r w:rsidR="00B81273" w:rsidRPr="008B2F8A">
        <w:t>.</w:t>
      </w:r>
      <w:r w:rsidR="00B81273">
        <w:rPr>
          <w:noProof/>
        </w:rPr>
        <w:t>40</w:t>
      </w:r>
      <w:r w:rsidRPr="008B2F8A">
        <w:fldChar w:fldCharType="end"/>
      </w:r>
      <w:r w:rsidRPr="008B2F8A">
        <w:t>).</w:t>
      </w:r>
    </w:p>
    <w:p w14:paraId="592077FA" w14:textId="77777777" w:rsidR="00E47AB8" w:rsidRPr="008B2F8A" w:rsidRDefault="00E47AB8" w:rsidP="005923BE">
      <w:pPr>
        <w:pStyle w:val="Heading3"/>
      </w:pPr>
      <w:bookmarkStart w:id="141" w:name="_Toc383424412"/>
      <w:r w:rsidRPr="008B2F8A">
        <w:lastRenderedPageBreak/>
        <w:t>Summary</w:t>
      </w:r>
      <w:bookmarkEnd w:id="141"/>
    </w:p>
    <w:p w14:paraId="4DA7A5F5" w14:textId="3F2E7390" w:rsidR="00E47AB8" w:rsidRPr="008B2F8A" w:rsidRDefault="00E47AB8" w:rsidP="00422306">
      <w:pPr>
        <w:rPr>
          <w:b/>
        </w:rPr>
      </w:pPr>
      <w:r w:rsidRPr="008B2F8A">
        <w:t>Asymptomatic, high-risk women: MBS interim-funded item</w:t>
      </w:r>
    </w:p>
    <w:p w14:paraId="339696AD" w14:textId="680F66AD" w:rsidR="00E47AB8" w:rsidRPr="008B2F8A" w:rsidRDefault="00E47AB8" w:rsidP="00E47AB8">
      <w:pPr>
        <w:pStyle w:val="ListParagraph"/>
        <w:numPr>
          <w:ilvl w:val="0"/>
          <w:numId w:val="93"/>
        </w:numPr>
      </w:pPr>
      <w:r w:rsidRPr="008B2F8A">
        <w:t xml:space="preserve">Breast MRI offers a 2.3 fold increase in the detection of breast cancer in younger high-risk women </w:t>
      </w:r>
      <w:r>
        <w:t>over</w:t>
      </w:r>
      <w:r w:rsidRPr="008B2F8A">
        <w:t xml:space="preserve"> mammography alone.</w:t>
      </w:r>
    </w:p>
    <w:p w14:paraId="331F2930" w14:textId="31E2F6C8" w:rsidR="00E47AB8" w:rsidRPr="008B2F8A" w:rsidRDefault="00E47AB8" w:rsidP="00E47AB8">
      <w:pPr>
        <w:pStyle w:val="ListParagraph"/>
        <w:numPr>
          <w:ilvl w:val="0"/>
          <w:numId w:val="88"/>
        </w:numPr>
      </w:pPr>
      <w:r w:rsidRPr="008B2F8A">
        <w:t>Breast MRI increases by 3-fold the rate of investigations for false-positive findings.</w:t>
      </w:r>
    </w:p>
    <w:p w14:paraId="4D7BF512" w14:textId="77777777" w:rsidR="00E47AB8" w:rsidRPr="008B2F8A" w:rsidRDefault="00E47AB8" w:rsidP="00422306">
      <w:pPr>
        <w:rPr>
          <w:b/>
        </w:rPr>
      </w:pPr>
      <w:r w:rsidRPr="008B2F8A">
        <w:t>Women with a history of treatment for invasive breast cancer</w:t>
      </w:r>
    </w:p>
    <w:p w14:paraId="27759D31" w14:textId="516382F7" w:rsidR="00E47AB8" w:rsidRPr="008B2F8A" w:rsidRDefault="00E47AB8" w:rsidP="00E47AB8">
      <w:pPr>
        <w:pStyle w:val="ListParagraph"/>
        <w:numPr>
          <w:ilvl w:val="0"/>
          <w:numId w:val="92"/>
        </w:numPr>
      </w:pPr>
      <w:r w:rsidRPr="008B2F8A">
        <w:t>Breast MRI may double the detection of breast cancer in women with a history of treatment for invasive breast cancer compared with mammography alone.</w:t>
      </w:r>
    </w:p>
    <w:p w14:paraId="661C189F" w14:textId="0DED0660" w:rsidR="00E47AB8" w:rsidRPr="008B2F8A" w:rsidRDefault="00E47AB8" w:rsidP="00E47AB8">
      <w:pPr>
        <w:pStyle w:val="ListParagraph"/>
        <w:numPr>
          <w:ilvl w:val="0"/>
          <w:numId w:val="89"/>
        </w:numPr>
      </w:pPr>
      <w:r w:rsidRPr="008B2F8A">
        <w:t>Breast MRI may increase by 4-fold the rate of investigations for false-positive findings.</w:t>
      </w:r>
    </w:p>
    <w:p w14:paraId="5EE971F6" w14:textId="77777777" w:rsidR="00E47AB8" w:rsidRPr="008B2F8A" w:rsidRDefault="00E47AB8" w:rsidP="00422306">
      <w:pPr>
        <w:rPr>
          <w:b/>
        </w:rPr>
      </w:pPr>
      <w:r w:rsidRPr="008B2F8A">
        <w:t>Women with a history of treatment for DCIS/LCIS</w:t>
      </w:r>
    </w:p>
    <w:p w14:paraId="3CC5E147" w14:textId="77777777" w:rsidR="00E47AB8" w:rsidRPr="008B2F8A" w:rsidRDefault="00E47AB8" w:rsidP="00E47AB8">
      <w:pPr>
        <w:pStyle w:val="ListParagraph"/>
        <w:numPr>
          <w:ilvl w:val="0"/>
          <w:numId w:val="91"/>
        </w:numPr>
      </w:pPr>
      <w:r w:rsidRPr="008B2F8A">
        <w:t>Insufficient evidence to draw conclusions.</w:t>
      </w:r>
    </w:p>
    <w:p w14:paraId="0E6044C0" w14:textId="77777777" w:rsidR="00E47AB8" w:rsidRPr="008B2F8A" w:rsidRDefault="00E47AB8" w:rsidP="00422306">
      <w:pPr>
        <w:rPr>
          <w:b/>
        </w:rPr>
      </w:pPr>
      <w:r w:rsidRPr="008B2F8A">
        <w:t>Women who have had chest irradiation between 10 and 35 years</w:t>
      </w:r>
    </w:p>
    <w:p w14:paraId="1E3A3911" w14:textId="591A53B6" w:rsidR="00E47AB8" w:rsidRPr="008B2F8A" w:rsidRDefault="00E47AB8" w:rsidP="00E47AB8">
      <w:pPr>
        <w:pStyle w:val="ListParagraph"/>
        <w:numPr>
          <w:ilvl w:val="0"/>
          <w:numId w:val="90"/>
        </w:numPr>
      </w:pPr>
      <w:r w:rsidRPr="008B2F8A">
        <w:t>Breast MRI may offer an approximately 1.4-fold increase in the detection of breast cancer in women who have had chest irradiation between 10 and 35 years compared with mammography alone.</w:t>
      </w:r>
    </w:p>
    <w:p w14:paraId="3AAC074F" w14:textId="620A47DB" w:rsidR="00E47AB8" w:rsidRPr="008B2F8A" w:rsidRDefault="00E47AB8" w:rsidP="00E47AB8">
      <w:pPr>
        <w:pStyle w:val="ListParagraph"/>
        <w:numPr>
          <w:ilvl w:val="0"/>
          <w:numId w:val="90"/>
        </w:numPr>
      </w:pPr>
      <w:r w:rsidRPr="008B2F8A">
        <w:t>Breast MRI may increase by approximately 1.6-foldthe rate of biopsy compared with mammography alone.</w:t>
      </w:r>
    </w:p>
    <w:p w14:paraId="74A13C23" w14:textId="77777777" w:rsidR="00E47AB8" w:rsidRPr="008B2F8A" w:rsidRDefault="00E47AB8" w:rsidP="00422306">
      <w:r w:rsidRPr="008B2F8A">
        <w:t xml:space="preserve">For all populations, any clinical benefits associated with earlier detection should be weighed against the potential distress and costs of additional investigations for false-positive MRI findings (see section </w:t>
      </w:r>
      <w:r w:rsidRPr="008B2F8A">
        <w:fldChar w:fldCharType="begin"/>
      </w:r>
      <w:r w:rsidRPr="008B2F8A">
        <w:instrText xml:space="preserve"> REF _Ref377651894 \r \h  \* MERGEFORMAT </w:instrText>
      </w:r>
      <w:r w:rsidRPr="008B2F8A">
        <w:fldChar w:fldCharType="separate"/>
      </w:r>
      <w:r w:rsidR="00B81273">
        <w:rPr>
          <w:noProof/>
        </w:rPr>
        <w:t>B.6.3</w:t>
      </w:r>
      <w:r w:rsidRPr="008B2F8A">
        <w:fldChar w:fldCharType="end"/>
      </w:r>
      <w:r w:rsidRPr="008B2F8A">
        <w:t xml:space="preserve"> </w:t>
      </w:r>
      <w:r w:rsidRPr="008B2F8A">
        <w:fldChar w:fldCharType="begin"/>
      </w:r>
      <w:r w:rsidRPr="008B2F8A">
        <w:instrText xml:space="preserve"> REF _Ref377651898 \h  \* MERGEFORMAT </w:instrText>
      </w:r>
      <w:r w:rsidRPr="008B2F8A">
        <w:fldChar w:fldCharType="separate"/>
      </w:r>
      <w:r w:rsidR="00B81273" w:rsidRPr="008B2F8A">
        <w:t>Health outcomes</w:t>
      </w:r>
      <w:r w:rsidRPr="008B2F8A">
        <w:fldChar w:fldCharType="end"/>
      </w:r>
      <w:r w:rsidRPr="008B2F8A">
        <w:t xml:space="preserve">, page </w:t>
      </w:r>
      <w:r w:rsidRPr="008B2F8A">
        <w:fldChar w:fldCharType="begin"/>
      </w:r>
      <w:r w:rsidRPr="008B2F8A">
        <w:instrText xml:space="preserve"> PAGEREF _Ref377651901 \h </w:instrText>
      </w:r>
      <w:r w:rsidRPr="008B2F8A">
        <w:fldChar w:fldCharType="separate"/>
      </w:r>
      <w:r w:rsidR="00B81273">
        <w:rPr>
          <w:noProof/>
        </w:rPr>
        <w:t>49</w:t>
      </w:r>
      <w:r w:rsidRPr="008B2F8A">
        <w:fldChar w:fldCharType="end"/>
      </w:r>
      <w:r w:rsidRPr="008B2F8A">
        <w:t>, for a discussion of linked evidence regarding possible clinical benefits).</w:t>
      </w:r>
    </w:p>
    <w:p w14:paraId="688CEDC5" w14:textId="77777777" w:rsidR="00E47AB8" w:rsidRPr="008B2F8A" w:rsidRDefault="00E47AB8" w:rsidP="005923BE">
      <w:pPr>
        <w:pStyle w:val="Heading2"/>
        <w:numPr>
          <w:ilvl w:val="0"/>
          <w:numId w:val="0"/>
        </w:numPr>
      </w:pPr>
      <w:bookmarkStart w:id="142" w:name="_Toc383424413"/>
      <w:r w:rsidRPr="008B2F8A">
        <w:t>Economic evaluation</w:t>
      </w:r>
      <w:bookmarkEnd w:id="142"/>
    </w:p>
    <w:p w14:paraId="018A7D81" w14:textId="77777777" w:rsidR="00E47AB8" w:rsidRPr="008B2F8A" w:rsidRDefault="00E47AB8" w:rsidP="005923BE">
      <w:pPr>
        <w:pStyle w:val="Heading3"/>
      </w:pPr>
      <w:bookmarkStart w:id="143" w:name="_Toc383424414"/>
      <w:r w:rsidRPr="008B2F8A">
        <w:t>Method and approach</w:t>
      </w:r>
      <w:bookmarkEnd w:id="143"/>
    </w:p>
    <w:p w14:paraId="38FD76A9" w14:textId="46A5942D" w:rsidR="00E47AB8" w:rsidRPr="008B2F8A" w:rsidRDefault="00E47AB8" w:rsidP="00422306">
      <w:r w:rsidRPr="008B2F8A">
        <w:t>The economic evaluation presents a cost-utility analysis using an Australian adaptation of an economic model developed by the UK National Institute for Health and Clinical Excellence (NICE) to assess the cost-effectiveness of different surveillance strategies in women at high risk of breast cancer (</w:t>
      </w:r>
      <w:bookmarkStart w:id="144" w:name="OLE_LINK238"/>
      <w:bookmarkStart w:id="145" w:name="OLE_LINK239"/>
      <w:r w:rsidRPr="008B2F8A">
        <w:t xml:space="preserve">NICE </w:t>
      </w:r>
      <w:bookmarkStart w:id="146" w:name="OLE_LINK31"/>
      <w:bookmarkStart w:id="147" w:name="OLE_LINK32"/>
      <w:bookmarkEnd w:id="144"/>
      <w:bookmarkEnd w:id="145"/>
      <w:r w:rsidRPr="008B2F8A">
        <w:t>Clinical Guideline [CG] 41</w:t>
      </w:r>
      <w:bookmarkEnd w:id="146"/>
      <w:bookmarkEnd w:id="147"/>
      <w:r w:rsidRPr="008B2F8A">
        <w:t xml:space="preserve">, 2006). A working version of the </w:t>
      </w:r>
      <w:bookmarkStart w:id="148" w:name="OLE_LINK584"/>
      <w:bookmarkStart w:id="149" w:name="OLE_LINK585"/>
      <w:r w:rsidRPr="008B2F8A">
        <w:t>NICE (2006</w:t>
      </w:r>
      <w:bookmarkEnd w:id="148"/>
      <w:bookmarkEnd w:id="149"/>
      <w:r w:rsidRPr="008B2F8A">
        <w:t>) model was provided to the assessment group with the permission of its developers, the National Collaborating Centre for Primary Care.</w:t>
      </w:r>
    </w:p>
    <w:p w14:paraId="6EBDFF18" w14:textId="2A3F683F" w:rsidR="00E47AB8" w:rsidRPr="008B2F8A" w:rsidRDefault="00E47AB8" w:rsidP="00422306">
      <w:r w:rsidRPr="008B2F8A">
        <w:t xml:space="preserve">The structure of the economic model used in this assessment report is based on the Markov model structure used in the </w:t>
      </w:r>
      <w:bookmarkStart w:id="150" w:name="OLE_LINK586"/>
      <w:bookmarkStart w:id="151" w:name="OLE_LINK587"/>
      <w:r w:rsidRPr="008B2F8A">
        <w:t>NICE (2006, 2013</w:t>
      </w:r>
      <w:bookmarkEnd w:id="150"/>
      <w:bookmarkEnd w:id="151"/>
      <w:r w:rsidRPr="008B2F8A">
        <w:t xml:space="preserve">) clinical guidelines for familial breast cancer (CG41 and CG164). A diagram of the health states used in the model is shown in </w:t>
      </w:r>
      <w:r w:rsidR="007F30CE">
        <w:fldChar w:fldCharType="begin"/>
      </w:r>
      <w:r w:rsidR="007F30CE">
        <w:instrText xml:space="preserve"> REF _Ref374615092 \h </w:instrText>
      </w:r>
      <w:r w:rsidR="007F30CE">
        <w:fldChar w:fldCharType="separate"/>
      </w:r>
      <w:r w:rsidR="00B81273" w:rsidRPr="008B2F8A">
        <w:t xml:space="preserve">Figure </w:t>
      </w:r>
      <w:r w:rsidR="00B81273">
        <w:rPr>
          <w:noProof/>
        </w:rPr>
        <w:t>1</w:t>
      </w:r>
      <w:r w:rsidR="007F30CE">
        <w:fldChar w:fldCharType="end"/>
      </w:r>
      <w:r w:rsidRPr="008B2F8A">
        <w:t>. The model uses a 1-year cycle length and a lifetime time-horizon.</w:t>
      </w:r>
    </w:p>
    <w:p w14:paraId="09F02EE3" w14:textId="77777777" w:rsidR="00E47AB8" w:rsidRPr="008B2F8A" w:rsidRDefault="00E47AB8" w:rsidP="00422306">
      <w:pPr>
        <w:pStyle w:val="Caption"/>
      </w:pPr>
      <w:bookmarkStart w:id="152" w:name="_Ref374615092"/>
      <w:bookmarkStart w:id="153" w:name="_Toc383424675"/>
      <w:r w:rsidRPr="008B2F8A">
        <w:lastRenderedPageBreak/>
        <w:t xml:space="preserve">Figure </w:t>
      </w:r>
      <w:fldSimple w:instr=" SEQ Figure \* ARABIC ">
        <w:r w:rsidR="00B81273">
          <w:rPr>
            <w:noProof/>
          </w:rPr>
          <w:t>1</w:t>
        </w:r>
      </w:fldSimple>
      <w:bookmarkEnd w:id="152"/>
      <w:r w:rsidRPr="008B2F8A">
        <w:tab/>
      </w:r>
      <w:bookmarkStart w:id="154" w:name="OLE_LINK917"/>
      <w:bookmarkStart w:id="155" w:name="OLE_LINK920"/>
      <w:r w:rsidRPr="008B2F8A">
        <w:t>Structure of economic model by NICE Clinical Guideline 41</w:t>
      </w:r>
      <w:bookmarkEnd w:id="154"/>
      <w:bookmarkEnd w:id="155"/>
      <w:r w:rsidRPr="008B2F8A">
        <w:t>.</w:t>
      </w:r>
      <w:bookmarkEnd w:id="153"/>
    </w:p>
    <w:p w14:paraId="5E4374FB" w14:textId="77777777" w:rsidR="00E47AB8" w:rsidRPr="008B2F8A" w:rsidRDefault="00E47AB8" w:rsidP="005923BE">
      <w:pPr>
        <w:pStyle w:val="Default"/>
        <w:keepNext/>
        <w:keepLines/>
        <w:spacing w:after="240"/>
        <w:jc w:val="center"/>
        <w:rPr>
          <w:rFonts w:ascii="Calibri" w:hAnsi="Calibri"/>
        </w:rPr>
      </w:pPr>
      <w:r w:rsidRPr="008B2F8A">
        <w:rPr>
          <w:noProof/>
          <w:bdr w:val="single" w:sz="4" w:space="0" w:color="auto"/>
        </w:rPr>
        <w:drawing>
          <wp:inline distT="0" distB="0" distL="0" distR="0" wp14:anchorId="78F91A39" wp14:editId="076FF485">
            <wp:extent cx="4273738" cy="2533650"/>
            <wp:effectExtent l="0" t="0" r="0" b="6350"/>
            <wp:docPr id="8" name="Picture 8" descr="Flow chart with 5 interlinked balloons" title="Structure of economic model by NICE Clinical Guidel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298935" cy="2548588"/>
                    </a:xfrm>
                    <a:prstGeom prst="rect">
                      <a:avLst/>
                    </a:prstGeom>
                  </pic:spPr>
                </pic:pic>
              </a:graphicData>
            </a:graphic>
          </wp:inline>
        </w:drawing>
      </w:r>
    </w:p>
    <w:p w14:paraId="5CEBBC11" w14:textId="63CCDB1F" w:rsidR="00E47AB8" w:rsidRPr="008B2F8A" w:rsidRDefault="00E47AB8" w:rsidP="00422306">
      <w:r w:rsidRPr="008B2F8A">
        <w:t>Five key changes were made to the design of the model to adapt it to the Australian healthcare setting:</w:t>
      </w:r>
    </w:p>
    <w:p w14:paraId="5A9AADD1" w14:textId="08D2615A" w:rsidR="00E47AB8" w:rsidRPr="008B2F8A" w:rsidRDefault="00E47AB8" w:rsidP="00E47AB8">
      <w:pPr>
        <w:pStyle w:val="ListParagraph"/>
        <w:numPr>
          <w:ilvl w:val="0"/>
          <w:numId w:val="94"/>
        </w:numPr>
      </w:pPr>
      <w:r w:rsidRPr="008B2F8A">
        <w:t xml:space="preserve">Only two surveillance methodologies were compared in the current application: MRI </w:t>
      </w:r>
      <w:r>
        <w:t>+</w:t>
      </w:r>
      <w:r w:rsidRPr="008B2F8A">
        <w:t xml:space="preserve"> mammography and mammography alone.</w:t>
      </w:r>
    </w:p>
    <w:p w14:paraId="7B0B1C5D" w14:textId="77777777" w:rsidR="00E47AB8" w:rsidRPr="008B2F8A" w:rsidRDefault="00E47AB8" w:rsidP="00E47AB8">
      <w:pPr>
        <w:pStyle w:val="ListParagraph"/>
        <w:numPr>
          <w:ilvl w:val="0"/>
          <w:numId w:val="77"/>
        </w:numPr>
      </w:pPr>
      <w:r w:rsidRPr="008B2F8A">
        <w:t>The revised model does not account for the risk of developing breast cancer as a result of radiation exposure through mammography, as the adapted model includes mammography in each arm and assumes that the risks would be approximately equal. This may be considered a conservative approach, as it underestimates the true risk of breast cancer and the full benefit of additional sensitivity.</w:t>
      </w:r>
    </w:p>
    <w:p w14:paraId="744C1C22" w14:textId="09ED7558" w:rsidR="00E47AB8" w:rsidRPr="008B2F8A" w:rsidRDefault="00E47AB8" w:rsidP="00E47AB8">
      <w:pPr>
        <w:pStyle w:val="ListParagraph"/>
        <w:numPr>
          <w:ilvl w:val="0"/>
          <w:numId w:val="77"/>
        </w:numPr>
      </w:pPr>
      <w:r w:rsidRPr="008B2F8A">
        <w:t>The revised model includes a background risk of death due to other causes on the basis of Australian life tables.</w:t>
      </w:r>
    </w:p>
    <w:p w14:paraId="26E04A66" w14:textId="77777777" w:rsidR="00E47AB8" w:rsidRPr="008B2F8A" w:rsidRDefault="00E47AB8" w:rsidP="00E47AB8">
      <w:pPr>
        <w:pStyle w:val="ListParagraph"/>
        <w:numPr>
          <w:ilvl w:val="0"/>
          <w:numId w:val="77"/>
        </w:numPr>
      </w:pPr>
      <w:r w:rsidRPr="008B2F8A">
        <w:t>The model allows patients to return to routine screening with mammography alone after the age of 50.</w:t>
      </w:r>
    </w:p>
    <w:p w14:paraId="05930340" w14:textId="77777777" w:rsidR="00E47AB8" w:rsidRPr="008B2F8A" w:rsidRDefault="00E47AB8" w:rsidP="00E47AB8">
      <w:pPr>
        <w:pStyle w:val="ListParagraph"/>
        <w:numPr>
          <w:ilvl w:val="0"/>
          <w:numId w:val="77"/>
        </w:numPr>
      </w:pPr>
      <w:r w:rsidRPr="008B2F8A">
        <w:rPr>
          <w:rFonts w:cs="Arial"/>
        </w:rPr>
        <w:t>A discount rate of 5% was applied to all costs and effects incurred after the first year of initial treatment.</w:t>
      </w:r>
    </w:p>
    <w:p w14:paraId="73F059B5" w14:textId="77777777" w:rsidR="00E47AB8" w:rsidRPr="008B2F8A" w:rsidRDefault="00E47AB8" w:rsidP="00422306">
      <w:r w:rsidRPr="008B2F8A">
        <w:t>The economic evaluation uses the same model structure to evaluate cost-effectiveness in five populations:</w:t>
      </w:r>
    </w:p>
    <w:p w14:paraId="66AE5C14" w14:textId="77777777" w:rsidR="00E47AB8" w:rsidRPr="008B2F8A" w:rsidRDefault="00E47AB8" w:rsidP="00E47AB8">
      <w:pPr>
        <w:pStyle w:val="ListParagraph"/>
        <w:numPr>
          <w:ilvl w:val="0"/>
          <w:numId w:val="78"/>
        </w:numPr>
      </w:pPr>
      <w:r w:rsidRPr="008B2F8A">
        <w:t>High-risk based on confirmed breast cancer gene mutation (a sub-population of the current MBS-funded population).</w:t>
      </w:r>
    </w:p>
    <w:p w14:paraId="4A0F57B0" w14:textId="77777777" w:rsidR="00E47AB8" w:rsidRPr="008B2F8A" w:rsidRDefault="00E47AB8" w:rsidP="00E47AB8">
      <w:pPr>
        <w:pStyle w:val="ListParagraph"/>
        <w:numPr>
          <w:ilvl w:val="0"/>
          <w:numId w:val="78"/>
        </w:numPr>
      </w:pPr>
      <w:r w:rsidRPr="008B2F8A">
        <w:t>Familial high-risk (the current MBS-funded population).</w:t>
      </w:r>
    </w:p>
    <w:p w14:paraId="49A3CE68" w14:textId="77777777" w:rsidR="00E47AB8" w:rsidRPr="008B2F8A" w:rsidRDefault="00E47AB8" w:rsidP="00E47AB8">
      <w:pPr>
        <w:pStyle w:val="ListParagraph"/>
        <w:numPr>
          <w:ilvl w:val="0"/>
          <w:numId w:val="78"/>
        </w:numPr>
      </w:pPr>
      <w:r w:rsidRPr="008B2F8A">
        <w:t>Prior history of invasive breast cancer.</w:t>
      </w:r>
    </w:p>
    <w:p w14:paraId="2C3252F6" w14:textId="77777777" w:rsidR="00E47AB8" w:rsidRPr="008B2F8A" w:rsidRDefault="00E47AB8" w:rsidP="00E47AB8">
      <w:pPr>
        <w:pStyle w:val="ListParagraph"/>
        <w:numPr>
          <w:ilvl w:val="0"/>
          <w:numId w:val="78"/>
        </w:numPr>
      </w:pPr>
      <w:r w:rsidRPr="008B2F8A">
        <w:t>Prior history of treatment for DCIS or LCIS.</w:t>
      </w:r>
    </w:p>
    <w:p w14:paraId="21A55F6A" w14:textId="77777777" w:rsidR="00E47AB8" w:rsidRPr="008B2F8A" w:rsidRDefault="00E47AB8" w:rsidP="00E47AB8">
      <w:pPr>
        <w:pStyle w:val="ListParagraph"/>
        <w:numPr>
          <w:ilvl w:val="0"/>
          <w:numId w:val="78"/>
        </w:numPr>
      </w:pPr>
      <w:r w:rsidRPr="008B2F8A">
        <w:t>Women with chest radiotherapy between 10 and 35 years of age.</w:t>
      </w:r>
    </w:p>
    <w:p w14:paraId="604A3A40" w14:textId="75BB548F" w:rsidR="00E47AB8" w:rsidRPr="008B2F8A" w:rsidRDefault="00E47AB8" w:rsidP="00422306">
      <w:r w:rsidRPr="008B2F8A">
        <w:t xml:space="preserve">For each population, updated clinical and cost data were incorporated into the model. See </w:t>
      </w:r>
      <w:r w:rsidRPr="008B2F8A">
        <w:fldChar w:fldCharType="begin"/>
      </w:r>
      <w:r w:rsidRPr="008B2F8A">
        <w:instrText xml:space="preserve"> REF _Ref376161660 \h </w:instrText>
      </w:r>
      <w:r w:rsidRPr="008B2F8A">
        <w:fldChar w:fldCharType="separate"/>
      </w:r>
      <w:r w:rsidR="00B81273" w:rsidRPr="008B2F8A">
        <w:t xml:space="preserve">Table </w:t>
      </w:r>
      <w:r w:rsidR="00B81273">
        <w:rPr>
          <w:noProof/>
        </w:rPr>
        <w:t>D</w:t>
      </w:r>
      <w:r w:rsidR="00B81273" w:rsidRPr="008B2F8A">
        <w:t>.</w:t>
      </w:r>
      <w:r w:rsidR="00B81273">
        <w:rPr>
          <w:noProof/>
        </w:rPr>
        <w:t>15</w:t>
      </w:r>
      <w:r w:rsidRPr="008B2F8A">
        <w:fldChar w:fldCharType="end"/>
      </w:r>
      <w:r w:rsidRPr="008B2F8A">
        <w:t xml:space="preserve"> for a full list of all parameters used for each population. The key parameters were:</w:t>
      </w:r>
    </w:p>
    <w:p w14:paraId="1AA993CD" w14:textId="2EA7D681" w:rsidR="00E47AB8" w:rsidRPr="008B2F8A" w:rsidRDefault="00E47AB8" w:rsidP="00E47AB8">
      <w:pPr>
        <w:pStyle w:val="ListParagraph"/>
        <w:numPr>
          <w:ilvl w:val="0"/>
          <w:numId w:val="62"/>
        </w:numPr>
      </w:pPr>
      <w:r w:rsidRPr="008B2F8A">
        <w:t xml:space="preserve">the sensitivities and specificities of the different screening methods (Section </w:t>
      </w:r>
      <w:r w:rsidRPr="008B2F8A">
        <w:fldChar w:fldCharType="begin"/>
      </w:r>
      <w:r w:rsidRPr="008B2F8A">
        <w:instrText xml:space="preserve"> REF _Ref375919934 \r \h </w:instrText>
      </w:r>
      <w:r w:rsidRPr="008B2F8A">
        <w:fldChar w:fldCharType="separate"/>
      </w:r>
      <w:r w:rsidR="00B81273">
        <w:t>D.4.3</w:t>
      </w:r>
      <w:r w:rsidRPr="008B2F8A">
        <w:fldChar w:fldCharType="end"/>
      </w:r>
      <w:r w:rsidRPr="008B2F8A">
        <w:t>)</w:t>
      </w:r>
    </w:p>
    <w:p w14:paraId="7697DE2F" w14:textId="1DC8D38B" w:rsidR="00E47AB8" w:rsidRPr="008B2F8A" w:rsidRDefault="00E47AB8" w:rsidP="00E47AB8">
      <w:pPr>
        <w:pStyle w:val="ListParagraph"/>
        <w:numPr>
          <w:ilvl w:val="0"/>
          <w:numId w:val="62"/>
        </w:numPr>
      </w:pPr>
      <w:r w:rsidRPr="008B2F8A">
        <w:lastRenderedPageBreak/>
        <w:t xml:space="preserve">the risk of developing breast cancer in women of different risk groups (including age; Section </w:t>
      </w:r>
      <w:r w:rsidRPr="008B2F8A">
        <w:fldChar w:fldCharType="begin"/>
      </w:r>
      <w:r w:rsidRPr="008B2F8A">
        <w:instrText xml:space="preserve"> REF _Ref255812455 \r \h </w:instrText>
      </w:r>
      <w:r w:rsidRPr="008B2F8A">
        <w:fldChar w:fldCharType="separate"/>
      </w:r>
      <w:r w:rsidR="00B81273">
        <w:t>D.4.2</w:t>
      </w:r>
      <w:r w:rsidRPr="008B2F8A">
        <w:fldChar w:fldCharType="end"/>
      </w:r>
      <w:r w:rsidRPr="008B2F8A">
        <w:t>)</w:t>
      </w:r>
    </w:p>
    <w:p w14:paraId="3B33B28D" w14:textId="1699CEF4" w:rsidR="00E47AB8" w:rsidRPr="008B2F8A" w:rsidRDefault="00E47AB8" w:rsidP="00E47AB8">
      <w:pPr>
        <w:pStyle w:val="ListParagraph"/>
        <w:numPr>
          <w:ilvl w:val="0"/>
          <w:numId w:val="62"/>
        </w:numPr>
      </w:pPr>
      <w:r w:rsidRPr="008B2F8A">
        <w:t xml:space="preserve">survival rate in women diagnosed with breast cancer (accounting for women with false diagnoses; Section </w:t>
      </w:r>
      <w:r w:rsidRPr="008B2F8A">
        <w:fldChar w:fldCharType="begin"/>
      </w:r>
      <w:r w:rsidRPr="008B2F8A">
        <w:instrText xml:space="preserve"> REF _Ref255812455 \r \h </w:instrText>
      </w:r>
      <w:r w:rsidRPr="008B2F8A">
        <w:fldChar w:fldCharType="separate"/>
      </w:r>
      <w:r w:rsidR="00B81273">
        <w:t>D.4.2</w:t>
      </w:r>
      <w:r w:rsidRPr="008B2F8A">
        <w:fldChar w:fldCharType="end"/>
      </w:r>
      <w:r w:rsidRPr="008B2F8A">
        <w:t>)</w:t>
      </w:r>
    </w:p>
    <w:p w14:paraId="4955A044" w14:textId="25A5232F" w:rsidR="00E47AB8" w:rsidRPr="008B2F8A" w:rsidRDefault="00E47AB8" w:rsidP="00E47AB8">
      <w:pPr>
        <w:pStyle w:val="ListParagraph"/>
        <w:numPr>
          <w:ilvl w:val="0"/>
          <w:numId w:val="62"/>
        </w:numPr>
      </w:pPr>
      <w:r w:rsidRPr="008B2F8A">
        <w:t xml:space="preserve">utility values for women in different health states (Section </w:t>
      </w:r>
      <w:r w:rsidRPr="008B2F8A">
        <w:fldChar w:fldCharType="begin"/>
      </w:r>
      <w:r w:rsidRPr="008B2F8A">
        <w:instrText xml:space="preserve"> REF _Ref377647754 \r \h </w:instrText>
      </w:r>
      <w:r w:rsidRPr="008B2F8A">
        <w:fldChar w:fldCharType="separate"/>
      </w:r>
      <w:r w:rsidR="00B81273">
        <w:t>D.4.5</w:t>
      </w:r>
      <w:r w:rsidRPr="008B2F8A">
        <w:fldChar w:fldCharType="end"/>
      </w:r>
      <w:r w:rsidRPr="008B2F8A">
        <w:t>)</w:t>
      </w:r>
    </w:p>
    <w:p w14:paraId="74F230C2" w14:textId="4B4392EC" w:rsidR="00E47AB8" w:rsidRPr="008B2F8A" w:rsidRDefault="00E47AB8" w:rsidP="00E47AB8">
      <w:pPr>
        <w:pStyle w:val="ListParagraph"/>
        <w:numPr>
          <w:ilvl w:val="0"/>
          <w:numId w:val="62"/>
        </w:numPr>
      </w:pPr>
      <w:r w:rsidRPr="008B2F8A">
        <w:t xml:space="preserve">costs (Section </w:t>
      </w:r>
      <w:r w:rsidRPr="008B2F8A">
        <w:fldChar w:fldCharType="begin"/>
      </w:r>
      <w:r w:rsidRPr="008B2F8A">
        <w:instrText xml:space="preserve"> REF _Ref358034079 \r \h </w:instrText>
      </w:r>
      <w:r w:rsidRPr="008B2F8A">
        <w:fldChar w:fldCharType="separate"/>
      </w:r>
      <w:r w:rsidR="00B81273">
        <w:t>D.4.4</w:t>
      </w:r>
      <w:r w:rsidRPr="008B2F8A">
        <w:fldChar w:fldCharType="end"/>
      </w:r>
      <w:r w:rsidRPr="008B2F8A">
        <w:t>).</w:t>
      </w:r>
    </w:p>
    <w:p w14:paraId="0A457D70" w14:textId="21FF4915" w:rsidR="00E47AB8" w:rsidRPr="008B2F8A" w:rsidRDefault="00E47AB8" w:rsidP="00A26D4B">
      <w:pPr>
        <w:pStyle w:val="Heading3"/>
      </w:pPr>
      <w:bookmarkStart w:id="156" w:name="_Toc383424415"/>
      <w:r w:rsidRPr="00A26D4B">
        <w:t>Results</w:t>
      </w:r>
      <w:bookmarkEnd w:id="156"/>
      <w:r w:rsidR="008A72A2">
        <w:tab/>
      </w:r>
    </w:p>
    <w:p w14:paraId="26E9E803" w14:textId="7B4F4D09" w:rsidR="00E47AB8" w:rsidRPr="008B2F8A" w:rsidRDefault="00E47AB8" w:rsidP="00422306">
      <w:r w:rsidRPr="008B2F8A">
        <w:t xml:space="preserve">The incremental cost per </w:t>
      </w:r>
      <w:bookmarkStart w:id="157" w:name="OLE_LINK242"/>
      <w:bookmarkStart w:id="158" w:name="OLE_LINK243"/>
      <w:r w:rsidRPr="008B2F8A">
        <w:t xml:space="preserve">quality-adjusted life year (QALY) </w:t>
      </w:r>
      <w:bookmarkEnd w:id="157"/>
      <w:bookmarkEnd w:id="158"/>
      <w:r w:rsidRPr="008B2F8A">
        <w:t xml:space="preserve">for the use of MRI </w:t>
      </w:r>
      <w:r>
        <w:t>+</w:t>
      </w:r>
      <w:r w:rsidRPr="008B2F8A">
        <w:t xml:space="preserve"> mammography compared with mammography alone is presented in the table below. The differences between the groups are driven largely by the baseline risk of breast cancer, the age at which each population begins screening and the population-specific diagnostic accuracy data for MRI </w:t>
      </w:r>
      <w:r>
        <w:t>+</w:t>
      </w:r>
      <w:r w:rsidRPr="008B2F8A">
        <w:t xml:space="preserve"> mammography compared with mammography alone (refer to Section </w:t>
      </w:r>
      <w:r w:rsidRPr="008B2F8A">
        <w:fldChar w:fldCharType="begin"/>
      </w:r>
      <w:r w:rsidRPr="008B2F8A">
        <w:instrText xml:space="preserve"> REF _Ref375919934 \r \h </w:instrText>
      </w:r>
      <w:r w:rsidRPr="008B2F8A">
        <w:fldChar w:fldCharType="separate"/>
      </w:r>
      <w:r w:rsidR="00B81273">
        <w:t>D.4.3</w:t>
      </w:r>
      <w:r w:rsidRPr="008B2F8A">
        <w:fldChar w:fldCharType="end"/>
      </w:r>
      <w:r w:rsidRPr="008B2F8A">
        <w:t>). In particular, the populations of women with prior breast cancer (DCIS, LCIS or invasive) begin screening at age 44, compared with age 30 in other populations, giving them a shorter period in which to accrue costs for MRI.</w:t>
      </w:r>
    </w:p>
    <w:p w14:paraId="76768903" w14:textId="2C4B5000" w:rsidR="00E47AB8" w:rsidRPr="008B2F8A" w:rsidRDefault="00E47AB8" w:rsidP="00422306">
      <w:pPr>
        <w:pStyle w:val="Caption"/>
      </w:pPr>
      <w:bookmarkStart w:id="159" w:name="OLE_LINK921"/>
      <w:bookmarkStart w:id="160" w:name="OLE_LINK924"/>
      <w:r w:rsidRPr="008B2F8A">
        <w:t>Incremental cost per QALY (base-case population-specific data)</w:t>
      </w:r>
      <w:bookmarkEnd w:id="159"/>
      <w:bookmarkEnd w:id="160"/>
      <w:r w:rsidRPr="008B2F8A">
        <w:t>.</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Incremental cost per QALY (base-case population-specific data)"/>
      </w:tblPr>
      <w:tblGrid>
        <w:gridCol w:w="3720"/>
        <w:gridCol w:w="1223"/>
        <w:gridCol w:w="1391"/>
        <w:gridCol w:w="1395"/>
        <w:gridCol w:w="1341"/>
      </w:tblGrid>
      <w:tr w:rsidR="00E47AB8" w:rsidRPr="008B2F8A" w14:paraId="32CC724D" w14:textId="77777777" w:rsidTr="008A72A2">
        <w:trPr>
          <w:cantSplit/>
          <w:tblHeader/>
        </w:trPr>
        <w:tc>
          <w:tcPr>
            <w:tcW w:w="2051" w:type="pct"/>
            <w:tcBorders>
              <w:bottom w:val="single" w:sz="4" w:space="0" w:color="auto"/>
            </w:tcBorders>
            <w:shd w:val="clear" w:color="auto" w:fill="EEECE1" w:themeFill="background2"/>
            <w:noWrap/>
            <w:vAlign w:val="bottom"/>
            <w:hideMark/>
          </w:tcPr>
          <w:p w14:paraId="3C7334B2" w14:textId="77777777" w:rsidR="00E47AB8" w:rsidRPr="008B2F8A" w:rsidRDefault="00E47AB8" w:rsidP="00422306">
            <w:pPr>
              <w:pStyle w:val="Tabletext"/>
              <w:spacing w:before="40" w:after="80" w:line="276" w:lineRule="auto"/>
              <w:rPr>
                <w:b/>
              </w:rPr>
            </w:pPr>
            <w:r w:rsidRPr="008B2F8A">
              <w:rPr>
                <w:b/>
              </w:rPr>
              <w:t>Population</w:t>
            </w:r>
          </w:p>
        </w:tc>
        <w:tc>
          <w:tcPr>
            <w:tcW w:w="674" w:type="pct"/>
            <w:shd w:val="clear" w:color="auto" w:fill="EEECE1" w:themeFill="background2"/>
            <w:vAlign w:val="bottom"/>
          </w:tcPr>
          <w:p w14:paraId="2AB96D34"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Result</w:t>
            </w:r>
          </w:p>
        </w:tc>
        <w:tc>
          <w:tcPr>
            <w:tcW w:w="767" w:type="pct"/>
            <w:shd w:val="clear" w:color="auto" w:fill="EEECE1" w:themeFill="background2"/>
            <w:vAlign w:val="bottom"/>
          </w:tcPr>
          <w:p w14:paraId="269F23E2" w14:textId="77777777" w:rsidR="00E47AB8" w:rsidRPr="008B2F8A" w:rsidRDefault="00E47AB8" w:rsidP="00422306">
            <w:pPr>
              <w:spacing w:before="40" w:after="80"/>
              <w:jc w:val="center"/>
              <w:rPr>
                <w:rFonts w:ascii="Arial Narrow" w:hAnsi="Arial Narrow"/>
                <w:b/>
                <w:color w:val="000000"/>
                <w:sz w:val="20"/>
                <w:szCs w:val="20"/>
              </w:rPr>
            </w:pPr>
            <w:r w:rsidRPr="008B2F8A">
              <w:rPr>
                <w:rFonts w:ascii="Arial Narrow" w:hAnsi="Arial Narrow"/>
                <w:b/>
                <w:color w:val="000000"/>
                <w:sz w:val="20"/>
                <w:szCs w:val="20"/>
              </w:rPr>
              <w:t>MRI + mammography</w:t>
            </w:r>
          </w:p>
        </w:tc>
        <w:tc>
          <w:tcPr>
            <w:tcW w:w="769" w:type="pct"/>
            <w:shd w:val="clear" w:color="auto" w:fill="EEECE1" w:themeFill="background2"/>
            <w:noWrap/>
            <w:vAlign w:val="bottom"/>
            <w:hideMark/>
          </w:tcPr>
          <w:p w14:paraId="42304D39" w14:textId="77777777" w:rsidR="00E47AB8" w:rsidRPr="008B2F8A" w:rsidRDefault="00E47AB8" w:rsidP="00422306">
            <w:pPr>
              <w:spacing w:before="40" w:after="80"/>
              <w:jc w:val="center"/>
              <w:rPr>
                <w:rFonts w:ascii="Arial Narrow" w:hAnsi="Arial Narrow"/>
                <w:b/>
                <w:color w:val="000000"/>
                <w:sz w:val="20"/>
                <w:szCs w:val="20"/>
              </w:rPr>
            </w:pPr>
            <w:r w:rsidRPr="008B2F8A">
              <w:rPr>
                <w:rFonts w:ascii="Arial Narrow" w:hAnsi="Arial Narrow"/>
                <w:b/>
                <w:color w:val="000000"/>
                <w:sz w:val="20"/>
                <w:szCs w:val="20"/>
              </w:rPr>
              <w:t>Mammography</w:t>
            </w:r>
          </w:p>
        </w:tc>
        <w:tc>
          <w:tcPr>
            <w:tcW w:w="739" w:type="pct"/>
            <w:shd w:val="clear" w:color="auto" w:fill="EEECE1" w:themeFill="background2"/>
            <w:noWrap/>
            <w:vAlign w:val="bottom"/>
            <w:hideMark/>
          </w:tcPr>
          <w:p w14:paraId="520F5F6B" w14:textId="77777777" w:rsidR="00E47AB8" w:rsidRPr="008B2F8A" w:rsidRDefault="00E47AB8" w:rsidP="00422306">
            <w:pPr>
              <w:spacing w:before="40" w:after="80"/>
              <w:jc w:val="center"/>
              <w:rPr>
                <w:rFonts w:ascii="Arial Narrow" w:hAnsi="Arial Narrow"/>
                <w:b/>
                <w:bCs/>
                <w:color w:val="000000"/>
                <w:sz w:val="20"/>
                <w:szCs w:val="20"/>
              </w:rPr>
            </w:pPr>
            <w:r w:rsidRPr="008B2F8A">
              <w:rPr>
                <w:rFonts w:ascii="Arial Narrow" w:hAnsi="Arial Narrow"/>
                <w:b/>
                <w:bCs/>
                <w:color w:val="000000"/>
                <w:sz w:val="20"/>
                <w:szCs w:val="20"/>
              </w:rPr>
              <w:t>Difference</w:t>
            </w:r>
          </w:p>
        </w:tc>
      </w:tr>
      <w:tr w:rsidR="00E47AB8" w:rsidRPr="008B2F8A" w14:paraId="5998F0F7" w14:textId="77777777" w:rsidTr="008A72A2">
        <w:trPr>
          <w:cantSplit/>
        </w:trPr>
        <w:tc>
          <w:tcPr>
            <w:tcW w:w="2051" w:type="pct"/>
            <w:tcBorders>
              <w:bottom w:val="nil"/>
            </w:tcBorders>
            <w:shd w:val="clear" w:color="auto" w:fill="auto"/>
            <w:noWrap/>
            <w:hideMark/>
          </w:tcPr>
          <w:p w14:paraId="6849B30F" w14:textId="77777777" w:rsidR="00E47AB8" w:rsidRPr="008B2F8A" w:rsidRDefault="00E47AB8" w:rsidP="00422306">
            <w:pPr>
              <w:pStyle w:val="Tabletext"/>
              <w:spacing w:before="40" w:after="80" w:line="276" w:lineRule="auto"/>
            </w:pPr>
            <w:r w:rsidRPr="008B2F8A">
              <w:rPr>
                <w:i/>
              </w:rPr>
              <w:t>High-risk based on breast cancer gene mutation</w:t>
            </w:r>
          </w:p>
        </w:tc>
        <w:tc>
          <w:tcPr>
            <w:tcW w:w="674" w:type="pct"/>
          </w:tcPr>
          <w:p w14:paraId="6E674467" w14:textId="77777777" w:rsidR="00E47AB8" w:rsidRPr="008B2F8A" w:rsidRDefault="00E47AB8" w:rsidP="00422306">
            <w:pPr>
              <w:pStyle w:val="Tabletext"/>
              <w:spacing w:before="40" w:after="80" w:line="276" w:lineRule="auto"/>
            </w:pPr>
            <w:r w:rsidRPr="008B2F8A">
              <w:t>Total costs</w:t>
            </w:r>
          </w:p>
        </w:tc>
        <w:tc>
          <w:tcPr>
            <w:tcW w:w="767" w:type="pct"/>
          </w:tcPr>
          <w:p w14:paraId="0AB80A39" w14:textId="77777777" w:rsidR="00E47AB8" w:rsidRPr="008B2F8A" w:rsidRDefault="00E47AB8" w:rsidP="005923BE">
            <w:pPr>
              <w:pStyle w:val="Tabletext"/>
              <w:spacing w:before="40" w:after="80"/>
              <w:ind w:right="284"/>
              <w:jc w:val="right"/>
              <w:rPr>
                <w:color w:val="000000"/>
                <w:lang w:eastAsia="en-AU"/>
              </w:rPr>
            </w:pPr>
            <w:r w:rsidRPr="008B2F8A">
              <w:t>$18,957</w:t>
            </w:r>
          </w:p>
        </w:tc>
        <w:tc>
          <w:tcPr>
            <w:tcW w:w="769" w:type="pct"/>
            <w:shd w:val="clear" w:color="auto" w:fill="auto"/>
            <w:noWrap/>
            <w:hideMark/>
          </w:tcPr>
          <w:p w14:paraId="516CE846" w14:textId="77777777" w:rsidR="00E47AB8" w:rsidRPr="008B2F8A" w:rsidRDefault="00E47AB8" w:rsidP="005923BE">
            <w:pPr>
              <w:pStyle w:val="Tabletext"/>
              <w:spacing w:before="40" w:after="80"/>
              <w:ind w:right="284"/>
              <w:jc w:val="right"/>
              <w:rPr>
                <w:color w:val="000000"/>
                <w:lang w:eastAsia="en-AU"/>
              </w:rPr>
            </w:pPr>
            <w:r w:rsidRPr="008B2F8A">
              <w:t>$9,582</w:t>
            </w:r>
          </w:p>
        </w:tc>
        <w:tc>
          <w:tcPr>
            <w:tcW w:w="739" w:type="pct"/>
            <w:shd w:val="clear" w:color="auto" w:fill="auto"/>
            <w:noWrap/>
            <w:hideMark/>
          </w:tcPr>
          <w:p w14:paraId="5A17AEC7" w14:textId="77777777" w:rsidR="00E47AB8" w:rsidRPr="008B2F8A" w:rsidRDefault="00E47AB8" w:rsidP="005923BE">
            <w:pPr>
              <w:pStyle w:val="Tabletext"/>
              <w:spacing w:before="40" w:after="80"/>
              <w:ind w:right="284"/>
              <w:jc w:val="right"/>
              <w:rPr>
                <w:color w:val="000000"/>
                <w:lang w:eastAsia="en-AU"/>
              </w:rPr>
            </w:pPr>
            <w:r w:rsidRPr="008B2F8A">
              <w:t>$9,375</w:t>
            </w:r>
          </w:p>
        </w:tc>
      </w:tr>
      <w:tr w:rsidR="00E47AB8" w:rsidRPr="008B2F8A" w14:paraId="69335C25" w14:textId="77777777" w:rsidTr="008A72A2">
        <w:trPr>
          <w:cantSplit/>
        </w:trPr>
        <w:tc>
          <w:tcPr>
            <w:tcW w:w="2051" w:type="pct"/>
            <w:tcBorders>
              <w:top w:val="nil"/>
              <w:bottom w:val="nil"/>
            </w:tcBorders>
            <w:shd w:val="clear" w:color="auto" w:fill="auto"/>
            <w:noWrap/>
          </w:tcPr>
          <w:p w14:paraId="5B612A6A" w14:textId="77777777" w:rsidR="00E47AB8" w:rsidRPr="008B2F8A" w:rsidRDefault="00E47AB8" w:rsidP="00422306">
            <w:pPr>
              <w:pStyle w:val="Tabletext"/>
              <w:spacing w:before="40" w:after="80" w:line="276" w:lineRule="auto"/>
              <w:rPr>
                <w:i/>
              </w:rPr>
            </w:pPr>
          </w:p>
        </w:tc>
        <w:tc>
          <w:tcPr>
            <w:tcW w:w="674" w:type="pct"/>
          </w:tcPr>
          <w:p w14:paraId="39A519EC" w14:textId="77777777" w:rsidR="00E47AB8" w:rsidRPr="008B2F8A" w:rsidRDefault="00E47AB8" w:rsidP="00422306">
            <w:pPr>
              <w:pStyle w:val="Tabletext"/>
              <w:spacing w:before="40" w:after="80" w:line="276" w:lineRule="auto"/>
            </w:pPr>
            <w:r w:rsidRPr="008B2F8A">
              <w:t>Total QALYs</w:t>
            </w:r>
          </w:p>
        </w:tc>
        <w:tc>
          <w:tcPr>
            <w:tcW w:w="767" w:type="pct"/>
            <w:tcBorders>
              <w:bottom w:val="single" w:sz="4" w:space="0" w:color="auto"/>
            </w:tcBorders>
          </w:tcPr>
          <w:p w14:paraId="0DE03E6A" w14:textId="77777777" w:rsidR="00E47AB8" w:rsidRPr="008B2F8A" w:rsidRDefault="00E47AB8" w:rsidP="005923BE">
            <w:pPr>
              <w:pStyle w:val="Tabletext"/>
              <w:spacing w:before="40" w:after="80"/>
              <w:ind w:right="284"/>
              <w:jc w:val="right"/>
              <w:rPr>
                <w:color w:val="000000"/>
                <w:lang w:eastAsia="en-AU"/>
              </w:rPr>
            </w:pPr>
            <w:r w:rsidRPr="008B2F8A">
              <w:t>14.6762</w:t>
            </w:r>
          </w:p>
        </w:tc>
        <w:tc>
          <w:tcPr>
            <w:tcW w:w="769" w:type="pct"/>
            <w:tcBorders>
              <w:bottom w:val="single" w:sz="4" w:space="0" w:color="auto"/>
            </w:tcBorders>
            <w:shd w:val="clear" w:color="auto" w:fill="auto"/>
            <w:noWrap/>
          </w:tcPr>
          <w:p w14:paraId="6EC72D84" w14:textId="77777777" w:rsidR="00E47AB8" w:rsidRPr="008B2F8A" w:rsidRDefault="00E47AB8" w:rsidP="005923BE">
            <w:pPr>
              <w:pStyle w:val="Tabletext"/>
              <w:spacing w:before="40" w:after="80"/>
              <w:ind w:right="284"/>
              <w:jc w:val="right"/>
              <w:rPr>
                <w:color w:val="000000"/>
                <w:lang w:eastAsia="en-AU"/>
              </w:rPr>
            </w:pPr>
            <w:r w:rsidRPr="008B2F8A">
              <w:t>14.4118</w:t>
            </w:r>
          </w:p>
        </w:tc>
        <w:tc>
          <w:tcPr>
            <w:tcW w:w="739" w:type="pct"/>
            <w:tcBorders>
              <w:bottom w:val="single" w:sz="4" w:space="0" w:color="auto"/>
            </w:tcBorders>
            <w:shd w:val="clear" w:color="auto" w:fill="auto"/>
            <w:noWrap/>
          </w:tcPr>
          <w:p w14:paraId="6A2A05F4" w14:textId="77777777" w:rsidR="00E47AB8" w:rsidRPr="008B2F8A" w:rsidRDefault="00E47AB8" w:rsidP="005923BE">
            <w:pPr>
              <w:pStyle w:val="Tabletext"/>
              <w:spacing w:before="40" w:after="80"/>
              <w:ind w:right="284"/>
              <w:jc w:val="right"/>
              <w:rPr>
                <w:color w:val="000000"/>
                <w:lang w:eastAsia="en-AU"/>
              </w:rPr>
            </w:pPr>
            <w:r w:rsidRPr="008B2F8A">
              <w:t>0.2644</w:t>
            </w:r>
          </w:p>
        </w:tc>
      </w:tr>
      <w:tr w:rsidR="00E47AB8" w:rsidRPr="008B2F8A" w14:paraId="1FB25ACE" w14:textId="77777777" w:rsidTr="008A72A2">
        <w:trPr>
          <w:cantSplit/>
        </w:trPr>
        <w:tc>
          <w:tcPr>
            <w:tcW w:w="2051" w:type="pct"/>
            <w:tcBorders>
              <w:top w:val="nil"/>
              <w:bottom w:val="single" w:sz="4" w:space="0" w:color="auto"/>
            </w:tcBorders>
            <w:shd w:val="clear" w:color="auto" w:fill="auto"/>
            <w:noWrap/>
          </w:tcPr>
          <w:p w14:paraId="7262F6F7" w14:textId="77777777" w:rsidR="00E47AB8" w:rsidRPr="008B2F8A" w:rsidRDefault="00E47AB8" w:rsidP="00422306">
            <w:pPr>
              <w:pStyle w:val="Tabletext"/>
              <w:spacing w:before="40" w:after="80" w:line="276" w:lineRule="auto"/>
              <w:rPr>
                <w:i/>
              </w:rPr>
            </w:pPr>
          </w:p>
        </w:tc>
        <w:tc>
          <w:tcPr>
            <w:tcW w:w="674" w:type="pct"/>
          </w:tcPr>
          <w:p w14:paraId="59A967C7" w14:textId="77777777" w:rsidR="00E47AB8" w:rsidRPr="008B2F8A" w:rsidRDefault="00E47AB8" w:rsidP="00422306">
            <w:pPr>
              <w:pStyle w:val="Tabletext"/>
              <w:spacing w:before="40" w:after="80" w:line="276" w:lineRule="auto"/>
              <w:rPr>
                <w:b/>
              </w:rPr>
            </w:pPr>
            <w:bookmarkStart w:id="161" w:name="OLE_LINK244"/>
            <w:bookmarkStart w:id="162" w:name="OLE_LINK245"/>
            <w:r w:rsidRPr="008B2F8A">
              <w:rPr>
                <w:b/>
              </w:rPr>
              <w:t>ICER</w:t>
            </w:r>
            <w:bookmarkEnd w:id="161"/>
            <w:bookmarkEnd w:id="162"/>
          </w:p>
        </w:tc>
        <w:tc>
          <w:tcPr>
            <w:tcW w:w="767" w:type="pct"/>
            <w:tcBorders>
              <w:right w:val="nil"/>
            </w:tcBorders>
          </w:tcPr>
          <w:p w14:paraId="52FF157C" w14:textId="77777777" w:rsidR="00E47AB8" w:rsidRPr="005923BE" w:rsidRDefault="00E47AB8" w:rsidP="005923BE">
            <w:pPr>
              <w:pStyle w:val="Tabletext"/>
              <w:spacing w:before="40" w:after="80"/>
              <w:ind w:right="284"/>
              <w:jc w:val="right"/>
              <w:rPr>
                <w:color w:val="FFFFFF" w:themeColor="background1"/>
              </w:rPr>
            </w:pPr>
            <w:bookmarkStart w:id="163" w:name="OLE_LINK950"/>
            <w:bookmarkStart w:id="164" w:name="OLE_LINK951"/>
            <w:r w:rsidRPr="005923BE">
              <w:rPr>
                <w:color w:val="FFFFFF" w:themeColor="background1"/>
              </w:rPr>
              <w:t>-</w:t>
            </w:r>
            <w:bookmarkEnd w:id="163"/>
            <w:bookmarkEnd w:id="164"/>
          </w:p>
        </w:tc>
        <w:tc>
          <w:tcPr>
            <w:tcW w:w="769" w:type="pct"/>
            <w:tcBorders>
              <w:left w:val="nil"/>
              <w:right w:val="nil"/>
            </w:tcBorders>
            <w:shd w:val="clear" w:color="auto" w:fill="auto"/>
            <w:noWrap/>
          </w:tcPr>
          <w:p w14:paraId="1EE807DF" w14:textId="77777777" w:rsidR="00E47AB8" w:rsidRPr="008B2F8A" w:rsidRDefault="00E47AB8" w:rsidP="005923BE">
            <w:pPr>
              <w:pStyle w:val="Tabletext"/>
              <w:spacing w:before="40" w:after="80"/>
              <w:ind w:right="284"/>
              <w:jc w:val="right"/>
              <w:rPr>
                <w:color w:val="000000"/>
                <w:lang w:eastAsia="en-AU"/>
              </w:rPr>
            </w:pPr>
            <w:r w:rsidRPr="00AA62E6">
              <w:rPr>
                <w:color w:val="FFFFFF" w:themeColor="background1"/>
              </w:rPr>
              <w:t>-</w:t>
            </w:r>
          </w:p>
        </w:tc>
        <w:tc>
          <w:tcPr>
            <w:tcW w:w="739" w:type="pct"/>
            <w:tcBorders>
              <w:left w:val="nil"/>
            </w:tcBorders>
            <w:shd w:val="clear" w:color="auto" w:fill="auto"/>
            <w:noWrap/>
          </w:tcPr>
          <w:p w14:paraId="4682B6F9" w14:textId="77777777" w:rsidR="00E47AB8" w:rsidRPr="008B2F8A" w:rsidRDefault="00E47AB8" w:rsidP="005923BE">
            <w:pPr>
              <w:pStyle w:val="Tabletext"/>
              <w:spacing w:before="40" w:after="80"/>
              <w:ind w:right="284"/>
              <w:jc w:val="right"/>
              <w:rPr>
                <w:b/>
                <w:color w:val="000000"/>
                <w:lang w:eastAsia="en-AU"/>
              </w:rPr>
            </w:pPr>
            <w:r w:rsidRPr="008B2F8A">
              <w:rPr>
                <w:b/>
              </w:rPr>
              <w:t>$35,460</w:t>
            </w:r>
          </w:p>
        </w:tc>
      </w:tr>
      <w:tr w:rsidR="00E47AB8" w:rsidRPr="008B2F8A" w14:paraId="7F7B3DE4" w14:textId="77777777" w:rsidTr="008A72A2">
        <w:trPr>
          <w:cantSplit/>
        </w:trPr>
        <w:tc>
          <w:tcPr>
            <w:tcW w:w="2051" w:type="pct"/>
            <w:tcBorders>
              <w:bottom w:val="nil"/>
            </w:tcBorders>
            <w:shd w:val="clear" w:color="auto" w:fill="auto"/>
            <w:noWrap/>
            <w:hideMark/>
          </w:tcPr>
          <w:p w14:paraId="18525D57" w14:textId="77777777" w:rsidR="00E47AB8" w:rsidRPr="008B2F8A" w:rsidRDefault="00E47AB8" w:rsidP="00422306">
            <w:pPr>
              <w:pStyle w:val="Tabletext"/>
              <w:spacing w:before="40" w:after="80" w:line="276" w:lineRule="auto"/>
              <w:rPr>
                <w:i/>
              </w:rPr>
            </w:pPr>
            <w:r w:rsidRPr="008B2F8A">
              <w:rPr>
                <w:i/>
              </w:rPr>
              <w:t>Familial high-risk</w:t>
            </w:r>
          </w:p>
        </w:tc>
        <w:tc>
          <w:tcPr>
            <w:tcW w:w="674" w:type="pct"/>
          </w:tcPr>
          <w:p w14:paraId="2AD3978B" w14:textId="77777777" w:rsidR="00E47AB8" w:rsidRPr="008B2F8A" w:rsidRDefault="00E47AB8" w:rsidP="00422306">
            <w:pPr>
              <w:pStyle w:val="Tabletext"/>
              <w:spacing w:before="40" w:after="80" w:line="276" w:lineRule="auto"/>
            </w:pPr>
            <w:r w:rsidRPr="008B2F8A">
              <w:t>Total costs</w:t>
            </w:r>
          </w:p>
        </w:tc>
        <w:tc>
          <w:tcPr>
            <w:tcW w:w="767" w:type="pct"/>
          </w:tcPr>
          <w:p w14:paraId="1269672C" w14:textId="77777777" w:rsidR="00E47AB8" w:rsidRPr="008B2F8A" w:rsidRDefault="00E47AB8" w:rsidP="00F820E5">
            <w:pPr>
              <w:pStyle w:val="Tabletext"/>
              <w:spacing w:before="40" w:after="80"/>
              <w:ind w:right="284"/>
              <w:jc w:val="right"/>
              <w:rPr>
                <w:color w:val="000000"/>
                <w:lang w:eastAsia="en-AU"/>
              </w:rPr>
            </w:pPr>
            <w:r w:rsidRPr="008B2F8A">
              <w:t>$16,022</w:t>
            </w:r>
          </w:p>
        </w:tc>
        <w:tc>
          <w:tcPr>
            <w:tcW w:w="769" w:type="pct"/>
            <w:shd w:val="clear" w:color="auto" w:fill="auto"/>
            <w:noWrap/>
            <w:hideMark/>
          </w:tcPr>
          <w:p w14:paraId="70A7B4E2" w14:textId="77777777" w:rsidR="00E47AB8" w:rsidRPr="008B2F8A" w:rsidRDefault="00E47AB8" w:rsidP="00F820E5">
            <w:pPr>
              <w:pStyle w:val="Tabletext"/>
              <w:spacing w:before="40" w:after="80"/>
              <w:ind w:right="284"/>
              <w:jc w:val="right"/>
              <w:rPr>
                <w:color w:val="000000"/>
                <w:lang w:eastAsia="en-AU"/>
              </w:rPr>
            </w:pPr>
            <w:r w:rsidRPr="008B2F8A">
              <w:t>$6,696</w:t>
            </w:r>
          </w:p>
        </w:tc>
        <w:tc>
          <w:tcPr>
            <w:tcW w:w="739" w:type="pct"/>
            <w:shd w:val="clear" w:color="auto" w:fill="auto"/>
            <w:noWrap/>
            <w:hideMark/>
          </w:tcPr>
          <w:p w14:paraId="6CD34141" w14:textId="77777777" w:rsidR="00E47AB8" w:rsidRPr="008B2F8A" w:rsidRDefault="00E47AB8" w:rsidP="00F820E5">
            <w:pPr>
              <w:pStyle w:val="Tabletext"/>
              <w:spacing w:before="40" w:after="80"/>
              <w:ind w:right="284"/>
              <w:jc w:val="right"/>
              <w:rPr>
                <w:color w:val="000000"/>
                <w:lang w:eastAsia="en-AU"/>
              </w:rPr>
            </w:pPr>
            <w:r w:rsidRPr="008B2F8A">
              <w:t>$9,326</w:t>
            </w:r>
          </w:p>
        </w:tc>
      </w:tr>
      <w:tr w:rsidR="00E47AB8" w:rsidRPr="008B2F8A" w14:paraId="4CFB154F" w14:textId="77777777" w:rsidTr="008A72A2">
        <w:trPr>
          <w:cantSplit/>
        </w:trPr>
        <w:tc>
          <w:tcPr>
            <w:tcW w:w="2051" w:type="pct"/>
            <w:tcBorders>
              <w:top w:val="nil"/>
              <w:bottom w:val="nil"/>
            </w:tcBorders>
            <w:shd w:val="clear" w:color="auto" w:fill="auto"/>
            <w:noWrap/>
          </w:tcPr>
          <w:p w14:paraId="36024798" w14:textId="77777777" w:rsidR="00E47AB8" w:rsidRPr="008B2F8A" w:rsidRDefault="00E47AB8" w:rsidP="00422306">
            <w:pPr>
              <w:pStyle w:val="Tabletext"/>
              <w:spacing w:before="40" w:after="80" w:line="276" w:lineRule="auto"/>
              <w:rPr>
                <w:i/>
              </w:rPr>
            </w:pPr>
          </w:p>
        </w:tc>
        <w:tc>
          <w:tcPr>
            <w:tcW w:w="674" w:type="pct"/>
          </w:tcPr>
          <w:p w14:paraId="10815E20" w14:textId="77777777" w:rsidR="00E47AB8" w:rsidRPr="008B2F8A" w:rsidRDefault="00E47AB8" w:rsidP="00422306">
            <w:pPr>
              <w:pStyle w:val="Tabletext"/>
              <w:spacing w:before="40" w:after="80" w:line="276" w:lineRule="auto"/>
            </w:pPr>
            <w:r w:rsidRPr="008B2F8A">
              <w:t>Total QALYs</w:t>
            </w:r>
          </w:p>
        </w:tc>
        <w:tc>
          <w:tcPr>
            <w:tcW w:w="767" w:type="pct"/>
            <w:tcBorders>
              <w:bottom w:val="single" w:sz="4" w:space="0" w:color="auto"/>
            </w:tcBorders>
          </w:tcPr>
          <w:p w14:paraId="4E04A52D" w14:textId="77777777" w:rsidR="00E47AB8" w:rsidRPr="008B2F8A" w:rsidRDefault="00E47AB8" w:rsidP="00F820E5">
            <w:pPr>
              <w:pStyle w:val="Tabletext"/>
              <w:spacing w:before="40" w:after="80"/>
              <w:ind w:right="284"/>
              <w:jc w:val="right"/>
              <w:rPr>
                <w:color w:val="000000"/>
                <w:lang w:eastAsia="en-AU"/>
              </w:rPr>
            </w:pPr>
            <w:r w:rsidRPr="008B2F8A">
              <w:t>15.3484</w:t>
            </w:r>
          </w:p>
        </w:tc>
        <w:tc>
          <w:tcPr>
            <w:tcW w:w="769" w:type="pct"/>
            <w:tcBorders>
              <w:bottom w:val="single" w:sz="4" w:space="0" w:color="auto"/>
            </w:tcBorders>
            <w:shd w:val="clear" w:color="auto" w:fill="auto"/>
            <w:noWrap/>
          </w:tcPr>
          <w:p w14:paraId="234187FD" w14:textId="77777777" w:rsidR="00E47AB8" w:rsidRPr="008B2F8A" w:rsidRDefault="00E47AB8" w:rsidP="00F820E5">
            <w:pPr>
              <w:pStyle w:val="Tabletext"/>
              <w:spacing w:before="40" w:after="80"/>
              <w:ind w:right="284"/>
              <w:jc w:val="right"/>
              <w:rPr>
                <w:color w:val="000000"/>
                <w:lang w:eastAsia="en-AU"/>
              </w:rPr>
            </w:pPr>
            <w:r w:rsidRPr="008B2F8A">
              <w:t>15.2465</w:t>
            </w:r>
          </w:p>
        </w:tc>
        <w:tc>
          <w:tcPr>
            <w:tcW w:w="739" w:type="pct"/>
            <w:tcBorders>
              <w:bottom w:val="single" w:sz="4" w:space="0" w:color="auto"/>
            </w:tcBorders>
            <w:shd w:val="clear" w:color="auto" w:fill="auto"/>
            <w:noWrap/>
          </w:tcPr>
          <w:p w14:paraId="240ACA2E" w14:textId="77777777" w:rsidR="00E47AB8" w:rsidRPr="008B2F8A" w:rsidRDefault="00E47AB8" w:rsidP="00F820E5">
            <w:pPr>
              <w:pStyle w:val="Tabletext"/>
              <w:spacing w:before="40" w:after="80"/>
              <w:ind w:right="284"/>
              <w:jc w:val="right"/>
              <w:rPr>
                <w:color w:val="000000"/>
                <w:lang w:eastAsia="en-AU"/>
              </w:rPr>
            </w:pPr>
            <w:r w:rsidRPr="008B2F8A">
              <w:t>0.1019</w:t>
            </w:r>
          </w:p>
        </w:tc>
      </w:tr>
      <w:tr w:rsidR="00E47AB8" w:rsidRPr="008B2F8A" w14:paraId="61E42ED8" w14:textId="77777777" w:rsidTr="008A72A2">
        <w:trPr>
          <w:cantSplit/>
        </w:trPr>
        <w:tc>
          <w:tcPr>
            <w:tcW w:w="2051" w:type="pct"/>
            <w:tcBorders>
              <w:top w:val="nil"/>
              <w:bottom w:val="single" w:sz="4" w:space="0" w:color="auto"/>
            </w:tcBorders>
            <w:shd w:val="clear" w:color="auto" w:fill="auto"/>
            <w:noWrap/>
          </w:tcPr>
          <w:p w14:paraId="576D664B" w14:textId="77777777" w:rsidR="00E47AB8" w:rsidRPr="008B2F8A" w:rsidRDefault="00E47AB8" w:rsidP="00422306">
            <w:pPr>
              <w:pStyle w:val="Tabletext"/>
              <w:spacing w:before="40" w:after="80" w:line="276" w:lineRule="auto"/>
              <w:rPr>
                <w:i/>
              </w:rPr>
            </w:pPr>
          </w:p>
        </w:tc>
        <w:tc>
          <w:tcPr>
            <w:tcW w:w="674" w:type="pct"/>
          </w:tcPr>
          <w:p w14:paraId="1AFA28FC" w14:textId="77777777" w:rsidR="00E47AB8" w:rsidRPr="008B2F8A" w:rsidRDefault="00E47AB8" w:rsidP="00422306">
            <w:pPr>
              <w:pStyle w:val="Tabletext"/>
              <w:spacing w:before="40" w:after="80" w:line="276" w:lineRule="auto"/>
              <w:rPr>
                <w:b/>
              </w:rPr>
            </w:pPr>
            <w:r w:rsidRPr="008B2F8A">
              <w:rPr>
                <w:b/>
              </w:rPr>
              <w:t>ICER</w:t>
            </w:r>
          </w:p>
        </w:tc>
        <w:tc>
          <w:tcPr>
            <w:tcW w:w="767" w:type="pct"/>
            <w:tcBorders>
              <w:right w:val="nil"/>
            </w:tcBorders>
          </w:tcPr>
          <w:p w14:paraId="0A0307F1" w14:textId="77777777" w:rsidR="00E47AB8" w:rsidRPr="008B2F8A" w:rsidRDefault="00E47AB8" w:rsidP="00F820E5">
            <w:pPr>
              <w:pStyle w:val="Tabletext"/>
              <w:spacing w:before="40" w:after="80"/>
              <w:ind w:right="284"/>
              <w:jc w:val="right"/>
              <w:rPr>
                <w:color w:val="000000"/>
                <w:lang w:eastAsia="en-AU"/>
              </w:rPr>
            </w:pPr>
            <w:r w:rsidRPr="00AA62E6">
              <w:rPr>
                <w:color w:val="FFFFFF" w:themeColor="background1"/>
              </w:rPr>
              <w:t>-</w:t>
            </w:r>
          </w:p>
        </w:tc>
        <w:tc>
          <w:tcPr>
            <w:tcW w:w="769" w:type="pct"/>
            <w:tcBorders>
              <w:left w:val="nil"/>
              <w:right w:val="nil"/>
            </w:tcBorders>
            <w:shd w:val="clear" w:color="auto" w:fill="auto"/>
            <w:noWrap/>
          </w:tcPr>
          <w:p w14:paraId="31546B77" w14:textId="77777777" w:rsidR="00E47AB8" w:rsidRPr="008B2F8A" w:rsidRDefault="00E47AB8" w:rsidP="00F820E5">
            <w:pPr>
              <w:pStyle w:val="Tabletext"/>
              <w:spacing w:before="40" w:after="80"/>
              <w:ind w:right="284"/>
              <w:jc w:val="right"/>
              <w:rPr>
                <w:color w:val="000000"/>
                <w:lang w:eastAsia="en-AU"/>
              </w:rPr>
            </w:pPr>
            <w:r w:rsidRPr="00AA62E6">
              <w:rPr>
                <w:color w:val="FFFFFF" w:themeColor="background1"/>
              </w:rPr>
              <w:t>-</w:t>
            </w:r>
          </w:p>
        </w:tc>
        <w:tc>
          <w:tcPr>
            <w:tcW w:w="739" w:type="pct"/>
            <w:tcBorders>
              <w:left w:val="nil"/>
            </w:tcBorders>
            <w:shd w:val="clear" w:color="auto" w:fill="auto"/>
            <w:noWrap/>
          </w:tcPr>
          <w:p w14:paraId="0EAB6F94" w14:textId="77777777" w:rsidR="00E47AB8" w:rsidRPr="008B2F8A" w:rsidRDefault="00E47AB8" w:rsidP="00F820E5">
            <w:pPr>
              <w:pStyle w:val="Tabletext"/>
              <w:spacing w:before="40" w:after="80"/>
              <w:ind w:right="284"/>
              <w:jc w:val="right"/>
              <w:rPr>
                <w:b/>
                <w:color w:val="000000"/>
                <w:lang w:eastAsia="en-AU"/>
              </w:rPr>
            </w:pPr>
            <w:r w:rsidRPr="008B2F8A">
              <w:rPr>
                <w:b/>
              </w:rPr>
              <w:t>$91,488</w:t>
            </w:r>
          </w:p>
        </w:tc>
      </w:tr>
      <w:tr w:rsidR="00E47AB8" w:rsidRPr="008B2F8A" w14:paraId="13EE7755" w14:textId="77777777" w:rsidTr="008A72A2">
        <w:trPr>
          <w:cantSplit/>
        </w:trPr>
        <w:tc>
          <w:tcPr>
            <w:tcW w:w="2051" w:type="pct"/>
            <w:tcBorders>
              <w:bottom w:val="nil"/>
            </w:tcBorders>
            <w:shd w:val="clear" w:color="auto" w:fill="auto"/>
            <w:noWrap/>
            <w:hideMark/>
          </w:tcPr>
          <w:p w14:paraId="09E60983" w14:textId="77777777" w:rsidR="00E47AB8" w:rsidRPr="008B2F8A" w:rsidRDefault="00E47AB8" w:rsidP="00422306">
            <w:pPr>
              <w:pStyle w:val="Tabletext"/>
              <w:spacing w:before="40" w:after="80" w:line="276" w:lineRule="auto"/>
            </w:pPr>
            <w:r w:rsidRPr="008B2F8A">
              <w:rPr>
                <w:i/>
              </w:rPr>
              <w:t>Prior history of invasive breast cancer</w:t>
            </w:r>
          </w:p>
        </w:tc>
        <w:tc>
          <w:tcPr>
            <w:tcW w:w="674" w:type="pct"/>
          </w:tcPr>
          <w:p w14:paraId="59078F6D" w14:textId="77777777" w:rsidR="00E47AB8" w:rsidRPr="008B2F8A" w:rsidRDefault="00E47AB8" w:rsidP="00422306">
            <w:pPr>
              <w:pStyle w:val="Tabletext"/>
              <w:spacing w:before="40" w:after="80" w:line="276" w:lineRule="auto"/>
            </w:pPr>
            <w:r w:rsidRPr="008B2F8A">
              <w:t>Total costs</w:t>
            </w:r>
          </w:p>
        </w:tc>
        <w:tc>
          <w:tcPr>
            <w:tcW w:w="767" w:type="pct"/>
          </w:tcPr>
          <w:p w14:paraId="12162237" w14:textId="77777777" w:rsidR="00E47AB8" w:rsidRPr="008B2F8A" w:rsidRDefault="00E47AB8" w:rsidP="00F820E5">
            <w:pPr>
              <w:pStyle w:val="Tabletext"/>
              <w:spacing w:before="40" w:after="80"/>
              <w:ind w:right="284"/>
              <w:jc w:val="right"/>
              <w:rPr>
                <w:color w:val="000000"/>
                <w:lang w:eastAsia="en-AU"/>
              </w:rPr>
            </w:pPr>
            <w:r w:rsidRPr="008B2F8A">
              <w:t>$8,661</w:t>
            </w:r>
          </w:p>
        </w:tc>
        <w:tc>
          <w:tcPr>
            <w:tcW w:w="769" w:type="pct"/>
            <w:shd w:val="clear" w:color="auto" w:fill="auto"/>
            <w:noWrap/>
            <w:hideMark/>
          </w:tcPr>
          <w:p w14:paraId="762B54BF" w14:textId="77777777" w:rsidR="00E47AB8" w:rsidRPr="008B2F8A" w:rsidRDefault="00E47AB8" w:rsidP="00F820E5">
            <w:pPr>
              <w:pStyle w:val="Tabletext"/>
              <w:spacing w:before="40" w:after="80"/>
              <w:ind w:right="284"/>
              <w:jc w:val="right"/>
              <w:rPr>
                <w:color w:val="000000"/>
                <w:lang w:eastAsia="en-AU"/>
              </w:rPr>
            </w:pPr>
            <w:r w:rsidRPr="008B2F8A">
              <w:t>$4,725</w:t>
            </w:r>
          </w:p>
        </w:tc>
        <w:tc>
          <w:tcPr>
            <w:tcW w:w="739" w:type="pct"/>
            <w:shd w:val="clear" w:color="auto" w:fill="auto"/>
            <w:noWrap/>
            <w:hideMark/>
          </w:tcPr>
          <w:p w14:paraId="775F0923" w14:textId="77777777" w:rsidR="00E47AB8" w:rsidRPr="008B2F8A" w:rsidRDefault="00E47AB8" w:rsidP="00F820E5">
            <w:pPr>
              <w:pStyle w:val="Tabletext"/>
              <w:spacing w:before="40" w:after="80"/>
              <w:ind w:right="284"/>
              <w:jc w:val="right"/>
              <w:rPr>
                <w:color w:val="000000"/>
                <w:lang w:eastAsia="en-AU"/>
              </w:rPr>
            </w:pPr>
            <w:r w:rsidRPr="008B2F8A">
              <w:t>$3,935</w:t>
            </w:r>
          </w:p>
        </w:tc>
      </w:tr>
      <w:tr w:rsidR="00E47AB8" w:rsidRPr="008B2F8A" w14:paraId="392C0328" w14:textId="77777777" w:rsidTr="008A72A2">
        <w:trPr>
          <w:cantSplit/>
        </w:trPr>
        <w:tc>
          <w:tcPr>
            <w:tcW w:w="2051" w:type="pct"/>
            <w:tcBorders>
              <w:top w:val="nil"/>
              <w:bottom w:val="nil"/>
            </w:tcBorders>
            <w:shd w:val="clear" w:color="auto" w:fill="auto"/>
            <w:noWrap/>
          </w:tcPr>
          <w:p w14:paraId="3E64B5D8" w14:textId="77777777" w:rsidR="00E47AB8" w:rsidRPr="008B2F8A" w:rsidRDefault="00E47AB8" w:rsidP="00422306">
            <w:pPr>
              <w:pStyle w:val="Tabletext"/>
              <w:spacing w:before="40" w:after="80" w:line="276" w:lineRule="auto"/>
              <w:rPr>
                <w:i/>
              </w:rPr>
            </w:pPr>
          </w:p>
        </w:tc>
        <w:tc>
          <w:tcPr>
            <w:tcW w:w="674" w:type="pct"/>
          </w:tcPr>
          <w:p w14:paraId="38A101A0" w14:textId="77777777" w:rsidR="00E47AB8" w:rsidRPr="008B2F8A" w:rsidRDefault="00E47AB8" w:rsidP="00422306">
            <w:pPr>
              <w:pStyle w:val="Tabletext"/>
              <w:spacing w:before="40" w:after="80" w:line="276" w:lineRule="auto"/>
            </w:pPr>
            <w:r w:rsidRPr="008B2F8A">
              <w:t>Total QALYs</w:t>
            </w:r>
          </w:p>
        </w:tc>
        <w:tc>
          <w:tcPr>
            <w:tcW w:w="767" w:type="pct"/>
            <w:tcBorders>
              <w:bottom w:val="single" w:sz="4" w:space="0" w:color="auto"/>
            </w:tcBorders>
          </w:tcPr>
          <w:p w14:paraId="13C82F05" w14:textId="77777777" w:rsidR="00E47AB8" w:rsidRPr="008B2F8A" w:rsidRDefault="00E47AB8" w:rsidP="00F820E5">
            <w:pPr>
              <w:pStyle w:val="Tabletext"/>
              <w:spacing w:before="40" w:after="80"/>
              <w:ind w:right="284"/>
              <w:jc w:val="right"/>
              <w:rPr>
                <w:color w:val="000000"/>
                <w:lang w:eastAsia="en-AU"/>
              </w:rPr>
            </w:pPr>
            <w:r w:rsidRPr="008B2F8A">
              <w:t>13.5186</w:t>
            </w:r>
          </w:p>
        </w:tc>
        <w:tc>
          <w:tcPr>
            <w:tcW w:w="769" w:type="pct"/>
            <w:tcBorders>
              <w:bottom w:val="single" w:sz="4" w:space="0" w:color="auto"/>
            </w:tcBorders>
            <w:shd w:val="clear" w:color="auto" w:fill="auto"/>
            <w:noWrap/>
          </w:tcPr>
          <w:p w14:paraId="01C088C5" w14:textId="77777777" w:rsidR="00E47AB8" w:rsidRPr="008B2F8A" w:rsidRDefault="00E47AB8" w:rsidP="00F820E5">
            <w:pPr>
              <w:pStyle w:val="Tabletext"/>
              <w:spacing w:before="40" w:after="80"/>
              <w:ind w:right="284"/>
              <w:jc w:val="right"/>
              <w:rPr>
                <w:color w:val="000000"/>
                <w:lang w:eastAsia="en-AU"/>
              </w:rPr>
            </w:pPr>
            <w:r w:rsidRPr="008B2F8A">
              <w:t>13.4511</w:t>
            </w:r>
          </w:p>
        </w:tc>
        <w:tc>
          <w:tcPr>
            <w:tcW w:w="739" w:type="pct"/>
            <w:tcBorders>
              <w:bottom w:val="single" w:sz="4" w:space="0" w:color="auto"/>
            </w:tcBorders>
            <w:shd w:val="clear" w:color="auto" w:fill="auto"/>
            <w:noWrap/>
          </w:tcPr>
          <w:p w14:paraId="524B98A6" w14:textId="77777777" w:rsidR="00E47AB8" w:rsidRPr="008B2F8A" w:rsidRDefault="00E47AB8" w:rsidP="00F820E5">
            <w:pPr>
              <w:pStyle w:val="Tabletext"/>
              <w:spacing w:before="40" w:after="80"/>
              <w:ind w:right="284"/>
              <w:jc w:val="right"/>
              <w:rPr>
                <w:color w:val="000000"/>
                <w:lang w:eastAsia="en-AU"/>
              </w:rPr>
            </w:pPr>
            <w:r w:rsidRPr="008B2F8A">
              <w:t>0.0676</w:t>
            </w:r>
          </w:p>
        </w:tc>
      </w:tr>
      <w:tr w:rsidR="00E47AB8" w:rsidRPr="008B2F8A" w14:paraId="351D5D33" w14:textId="77777777" w:rsidTr="008A72A2">
        <w:trPr>
          <w:cantSplit/>
        </w:trPr>
        <w:tc>
          <w:tcPr>
            <w:tcW w:w="2051" w:type="pct"/>
            <w:tcBorders>
              <w:top w:val="nil"/>
              <w:bottom w:val="single" w:sz="4" w:space="0" w:color="auto"/>
            </w:tcBorders>
            <w:shd w:val="clear" w:color="auto" w:fill="auto"/>
            <w:noWrap/>
          </w:tcPr>
          <w:p w14:paraId="6881E0C2" w14:textId="77777777" w:rsidR="00E47AB8" w:rsidRPr="008B2F8A" w:rsidRDefault="00E47AB8" w:rsidP="00422306">
            <w:pPr>
              <w:pStyle w:val="Tabletext"/>
              <w:spacing w:before="40" w:after="80" w:line="276" w:lineRule="auto"/>
              <w:rPr>
                <w:i/>
              </w:rPr>
            </w:pPr>
          </w:p>
        </w:tc>
        <w:tc>
          <w:tcPr>
            <w:tcW w:w="674" w:type="pct"/>
          </w:tcPr>
          <w:p w14:paraId="59985A67" w14:textId="77777777" w:rsidR="00E47AB8" w:rsidRPr="008B2F8A" w:rsidRDefault="00E47AB8" w:rsidP="00422306">
            <w:pPr>
              <w:pStyle w:val="Tabletext"/>
              <w:spacing w:before="40" w:after="80" w:line="276" w:lineRule="auto"/>
              <w:rPr>
                <w:b/>
              </w:rPr>
            </w:pPr>
            <w:r w:rsidRPr="008B2F8A">
              <w:rPr>
                <w:b/>
              </w:rPr>
              <w:t>ICER</w:t>
            </w:r>
          </w:p>
        </w:tc>
        <w:tc>
          <w:tcPr>
            <w:tcW w:w="767" w:type="pct"/>
            <w:tcBorders>
              <w:right w:val="nil"/>
            </w:tcBorders>
          </w:tcPr>
          <w:p w14:paraId="44D0F8C9" w14:textId="77777777" w:rsidR="00E47AB8" w:rsidRPr="008B2F8A" w:rsidRDefault="00E47AB8" w:rsidP="00F820E5">
            <w:pPr>
              <w:pStyle w:val="Tabletext"/>
              <w:spacing w:before="40" w:after="80"/>
              <w:ind w:right="284"/>
              <w:jc w:val="right"/>
              <w:rPr>
                <w:color w:val="000000"/>
                <w:lang w:eastAsia="en-AU"/>
              </w:rPr>
            </w:pPr>
            <w:r w:rsidRPr="00AA62E6">
              <w:rPr>
                <w:color w:val="FFFFFF" w:themeColor="background1"/>
              </w:rPr>
              <w:t>-</w:t>
            </w:r>
          </w:p>
        </w:tc>
        <w:tc>
          <w:tcPr>
            <w:tcW w:w="769" w:type="pct"/>
            <w:tcBorders>
              <w:left w:val="nil"/>
              <w:right w:val="nil"/>
            </w:tcBorders>
            <w:shd w:val="clear" w:color="auto" w:fill="auto"/>
            <w:noWrap/>
          </w:tcPr>
          <w:p w14:paraId="1FE508EB" w14:textId="77777777" w:rsidR="00E47AB8" w:rsidRPr="008B2F8A" w:rsidRDefault="00E47AB8" w:rsidP="00F820E5">
            <w:pPr>
              <w:pStyle w:val="Tabletext"/>
              <w:spacing w:before="40" w:after="80"/>
              <w:ind w:right="284"/>
              <w:jc w:val="right"/>
              <w:rPr>
                <w:color w:val="000000"/>
                <w:lang w:eastAsia="en-AU"/>
              </w:rPr>
            </w:pPr>
            <w:r w:rsidRPr="00AA62E6">
              <w:rPr>
                <w:color w:val="FFFFFF" w:themeColor="background1"/>
              </w:rPr>
              <w:t>-</w:t>
            </w:r>
          </w:p>
        </w:tc>
        <w:tc>
          <w:tcPr>
            <w:tcW w:w="739" w:type="pct"/>
            <w:tcBorders>
              <w:left w:val="nil"/>
            </w:tcBorders>
            <w:shd w:val="clear" w:color="auto" w:fill="auto"/>
            <w:noWrap/>
          </w:tcPr>
          <w:p w14:paraId="3093E74E" w14:textId="77777777" w:rsidR="00E47AB8" w:rsidRPr="008B2F8A" w:rsidRDefault="00E47AB8" w:rsidP="00F820E5">
            <w:pPr>
              <w:pStyle w:val="Tabletext"/>
              <w:spacing w:before="40" w:after="80"/>
              <w:ind w:right="284"/>
              <w:jc w:val="right"/>
              <w:rPr>
                <w:b/>
                <w:color w:val="000000"/>
                <w:lang w:eastAsia="en-AU"/>
              </w:rPr>
            </w:pPr>
            <w:r w:rsidRPr="008B2F8A">
              <w:rPr>
                <w:b/>
              </w:rPr>
              <w:t>$58,240</w:t>
            </w:r>
          </w:p>
        </w:tc>
      </w:tr>
      <w:tr w:rsidR="00E47AB8" w:rsidRPr="008B2F8A" w14:paraId="2D5BB817" w14:textId="77777777" w:rsidTr="008A72A2">
        <w:trPr>
          <w:cantSplit/>
        </w:trPr>
        <w:tc>
          <w:tcPr>
            <w:tcW w:w="2051" w:type="pct"/>
            <w:tcBorders>
              <w:bottom w:val="nil"/>
            </w:tcBorders>
            <w:shd w:val="clear" w:color="auto" w:fill="auto"/>
            <w:noWrap/>
            <w:hideMark/>
          </w:tcPr>
          <w:p w14:paraId="428D3A67" w14:textId="77777777" w:rsidR="00E47AB8" w:rsidRPr="008B2F8A" w:rsidRDefault="00E47AB8" w:rsidP="00422306">
            <w:pPr>
              <w:pStyle w:val="Tabletext"/>
              <w:spacing w:before="40" w:after="80" w:line="276" w:lineRule="auto"/>
            </w:pPr>
            <w:r w:rsidRPr="008B2F8A">
              <w:rPr>
                <w:i/>
              </w:rPr>
              <w:t>Prior history of treatment for DCIS or LCIS</w:t>
            </w:r>
          </w:p>
        </w:tc>
        <w:tc>
          <w:tcPr>
            <w:tcW w:w="674" w:type="pct"/>
          </w:tcPr>
          <w:p w14:paraId="3F066932" w14:textId="77777777" w:rsidR="00E47AB8" w:rsidRPr="008B2F8A" w:rsidRDefault="00E47AB8" w:rsidP="00422306">
            <w:pPr>
              <w:pStyle w:val="Tabletext"/>
              <w:spacing w:before="40" w:after="80" w:line="276" w:lineRule="auto"/>
            </w:pPr>
            <w:r w:rsidRPr="008B2F8A">
              <w:t>Total costs</w:t>
            </w:r>
          </w:p>
        </w:tc>
        <w:tc>
          <w:tcPr>
            <w:tcW w:w="767" w:type="pct"/>
          </w:tcPr>
          <w:p w14:paraId="73FE6C97" w14:textId="77777777" w:rsidR="00E47AB8" w:rsidRPr="008B2F8A" w:rsidRDefault="00E47AB8" w:rsidP="00F820E5">
            <w:pPr>
              <w:pStyle w:val="Tabletext"/>
              <w:spacing w:before="40" w:after="80"/>
              <w:ind w:right="284"/>
              <w:jc w:val="right"/>
              <w:rPr>
                <w:color w:val="000000"/>
                <w:lang w:eastAsia="en-AU"/>
              </w:rPr>
            </w:pPr>
            <w:r w:rsidRPr="008B2F8A">
              <w:t>$8,828</w:t>
            </w:r>
          </w:p>
        </w:tc>
        <w:tc>
          <w:tcPr>
            <w:tcW w:w="769" w:type="pct"/>
            <w:shd w:val="clear" w:color="auto" w:fill="auto"/>
            <w:noWrap/>
            <w:hideMark/>
          </w:tcPr>
          <w:p w14:paraId="0298DD5D" w14:textId="77777777" w:rsidR="00E47AB8" w:rsidRPr="008B2F8A" w:rsidRDefault="00E47AB8" w:rsidP="00F820E5">
            <w:pPr>
              <w:pStyle w:val="Tabletext"/>
              <w:spacing w:before="40" w:after="80"/>
              <w:ind w:right="284"/>
              <w:jc w:val="right"/>
              <w:rPr>
                <w:color w:val="000000"/>
                <w:lang w:eastAsia="en-AU"/>
              </w:rPr>
            </w:pPr>
            <w:r w:rsidRPr="008B2F8A">
              <w:t>$4,924</w:t>
            </w:r>
          </w:p>
        </w:tc>
        <w:tc>
          <w:tcPr>
            <w:tcW w:w="739" w:type="pct"/>
            <w:shd w:val="clear" w:color="auto" w:fill="auto"/>
            <w:noWrap/>
            <w:hideMark/>
          </w:tcPr>
          <w:p w14:paraId="3D70D9AE" w14:textId="77777777" w:rsidR="00E47AB8" w:rsidRPr="008B2F8A" w:rsidRDefault="00E47AB8" w:rsidP="00F820E5">
            <w:pPr>
              <w:pStyle w:val="Tabletext"/>
              <w:spacing w:before="40" w:after="80"/>
              <w:ind w:right="284"/>
              <w:jc w:val="right"/>
              <w:rPr>
                <w:color w:val="000000"/>
                <w:lang w:eastAsia="en-AU"/>
              </w:rPr>
            </w:pPr>
            <w:r w:rsidRPr="008B2F8A">
              <w:t>$3,904</w:t>
            </w:r>
          </w:p>
        </w:tc>
      </w:tr>
      <w:tr w:rsidR="00E47AB8" w:rsidRPr="008B2F8A" w14:paraId="119EA6E8" w14:textId="77777777" w:rsidTr="008A72A2">
        <w:trPr>
          <w:cantSplit/>
        </w:trPr>
        <w:tc>
          <w:tcPr>
            <w:tcW w:w="2051" w:type="pct"/>
            <w:tcBorders>
              <w:top w:val="nil"/>
              <w:bottom w:val="nil"/>
            </w:tcBorders>
            <w:shd w:val="clear" w:color="auto" w:fill="auto"/>
            <w:noWrap/>
          </w:tcPr>
          <w:p w14:paraId="32B20699" w14:textId="77777777" w:rsidR="00E47AB8" w:rsidRPr="008B2F8A" w:rsidRDefault="00E47AB8" w:rsidP="00422306">
            <w:pPr>
              <w:pStyle w:val="Tabletext"/>
              <w:spacing w:before="40" w:after="80" w:line="276" w:lineRule="auto"/>
              <w:rPr>
                <w:i/>
              </w:rPr>
            </w:pPr>
          </w:p>
        </w:tc>
        <w:tc>
          <w:tcPr>
            <w:tcW w:w="674" w:type="pct"/>
          </w:tcPr>
          <w:p w14:paraId="72B3F6EB" w14:textId="77777777" w:rsidR="00E47AB8" w:rsidRPr="008B2F8A" w:rsidRDefault="00E47AB8" w:rsidP="00422306">
            <w:pPr>
              <w:pStyle w:val="Tabletext"/>
              <w:spacing w:before="40" w:after="80" w:line="276" w:lineRule="auto"/>
            </w:pPr>
            <w:r w:rsidRPr="008B2F8A">
              <w:t>Total QALYs</w:t>
            </w:r>
          </w:p>
        </w:tc>
        <w:tc>
          <w:tcPr>
            <w:tcW w:w="767" w:type="pct"/>
            <w:tcBorders>
              <w:bottom w:val="single" w:sz="4" w:space="0" w:color="auto"/>
            </w:tcBorders>
          </w:tcPr>
          <w:p w14:paraId="7D147F51" w14:textId="77777777" w:rsidR="00E47AB8" w:rsidRPr="008B2F8A" w:rsidRDefault="00E47AB8" w:rsidP="00F820E5">
            <w:pPr>
              <w:pStyle w:val="Tabletext"/>
              <w:spacing w:before="40" w:after="80"/>
              <w:ind w:right="284"/>
              <w:jc w:val="right"/>
              <w:rPr>
                <w:color w:val="000000"/>
                <w:lang w:eastAsia="en-AU"/>
              </w:rPr>
            </w:pPr>
            <w:r w:rsidRPr="008B2F8A">
              <w:t>13.4765</w:t>
            </w:r>
          </w:p>
        </w:tc>
        <w:tc>
          <w:tcPr>
            <w:tcW w:w="769" w:type="pct"/>
            <w:tcBorders>
              <w:bottom w:val="single" w:sz="4" w:space="0" w:color="auto"/>
            </w:tcBorders>
            <w:shd w:val="clear" w:color="auto" w:fill="auto"/>
            <w:noWrap/>
          </w:tcPr>
          <w:p w14:paraId="166540A3" w14:textId="77777777" w:rsidR="00E47AB8" w:rsidRPr="008B2F8A" w:rsidRDefault="00E47AB8" w:rsidP="00F820E5">
            <w:pPr>
              <w:pStyle w:val="Tabletext"/>
              <w:spacing w:before="40" w:after="80"/>
              <w:ind w:right="284"/>
              <w:jc w:val="right"/>
              <w:rPr>
                <w:color w:val="000000"/>
                <w:lang w:eastAsia="en-AU"/>
              </w:rPr>
            </w:pPr>
            <w:r w:rsidRPr="008B2F8A">
              <w:t>13.4293</w:t>
            </w:r>
          </w:p>
        </w:tc>
        <w:tc>
          <w:tcPr>
            <w:tcW w:w="739" w:type="pct"/>
            <w:tcBorders>
              <w:bottom w:val="single" w:sz="4" w:space="0" w:color="auto"/>
            </w:tcBorders>
            <w:shd w:val="clear" w:color="auto" w:fill="auto"/>
            <w:noWrap/>
          </w:tcPr>
          <w:p w14:paraId="456D6A95" w14:textId="77777777" w:rsidR="00E47AB8" w:rsidRPr="008B2F8A" w:rsidRDefault="00E47AB8" w:rsidP="00F820E5">
            <w:pPr>
              <w:pStyle w:val="Tabletext"/>
              <w:spacing w:before="40" w:after="80"/>
              <w:ind w:right="284"/>
              <w:jc w:val="right"/>
              <w:rPr>
                <w:color w:val="000000"/>
                <w:lang w:eastAsia="en-AU"/>
              </w:rPr>
            </w:pPr>
            <w:r w:rsidRPr="008B2F8A">
              <w:t>0.0471</w:t>
            </w:r>
          </w:p>
        </w:tc>
      </w:tr>
      <w:tr w:rsidR="00E47AB8" w:rsidRPr="008B2F8A" w14:paraId="3254E4DA" w14:textId="77777777" w:rsidTr="008A72A2">
        <w:trPr>
          <w:cantSplit/>
        </w:trPr>
        <w:tc>
          <w:tcPr>
            <w:tcW w:w="2051" w:type="pct"/>
            <w:tcBorders>
              <w:top w:val="nil"/>
              <w:bottom w:val="single" w:sz="4" w:space="0" w:color="auto"/>
            </w:tcBorders>
            <w:shd w:val="clear" w:color="auto" w:fill="auto"/>
            <w:noWrap/>
          </w:tcPr>
          <w:p w14:paraId="0E75BE6B" w14:textId="77777777" w:rsidR="00E47AB8" w:rsidRPr="008B2F8A" w:rsidRDefault="00E47AB8" w:rsidP="00422306">
            <w:pPr>
              <w:pStyle w:val="Tabletext"/>
              <w:spacing w:before="40" w:after="80" w:line="276" w:lineRule="auto"/>
              <w:rPr>
                <w:i/>
              </w:rPr>
            </w:pPr>
          </w:p>
        </w:tc>
        <w:tc>
          <w:tcPr>
            <w:tcW w:w="674" w:type="pct"/>
          </w:tcPr>
          <w:p w14:paraId="5616C1D2" w14:textId="77777777" w:rsidR="00E47AB8" w:rsidRPr="008B2F8A" w:rsidRDefault="00E47AB8" w:rsidP="00422306">
            <w:pPr>
              <w:pStyle w:val="Tabletext"/>
              <w:spacing w:before="40" w:after="80" w:line="276" w:lineRule="auto"/>
              <w:rPr>
                <w:b/>
              </w:rPr>
            </w:pPr>
            <w:r w:rsidRPr="008B2F8A">
              <w:rPr>
                <w:b/>
              </w:rPr>
              <w:t>ICER</w:t>
            </w:r>
          </w:p>
        </w:tc>
        <w:tc>
          <w:tcPr>
            <w:tcW w:w="767" w:type="pct"/>
            <w:tcBorders>
              <w:right w:val="nil"/>
            </w:tcBorders>
          </w:tcPr>
          <w:p w14:paraId="421682E9" w14:textId="77777777" w:rsidR="00E47AB8" w:rsidRPr="008B2F8A" w:rsidRDefault="00E47AB8" w:rsidP="00F820E5">
            <w:pPr>
              <w:pStyle w:val="Tabletext"/>
              <w:spacing w:before="40" w:after="80"/>
              <w:ind w:right="284"/>
              <w:jc w:val="right"/>
              <w:rPr>
                <w:color w:val="000000"/>
                <w:lang w:eastAsia="en-AU"/>
              </w:rPr>
            </w:pPr>
            <w:r w:rsidRPr="00AA62E6">
              <w:rPr>
                <w:color w:val="FFFFFF" w:themeColor="background1"/>
              </w:rPr>
              <w:t>-</w:t>
            </w:r>
          </w:p>
        </w:tc>
        <w:tc>
          <w:tcPr>
            <w:tcW w:w="769" w:type="pct"/>
            <w:tcBorders>
              <w:left w:val="nil"/>
              <w:right w:val="nil"/>
            </w:tcBorders>
            <w:shd w:val="clear" w:color="auto" w:fill="auto"/>
            <w:noWrap/>
          </w:tcPr>
          <w:p w14:paraId="74A8F484" w14:textId="77777777" w:rsidR="00E47AB8" w:rsidRPr="008B2F8A" w:rsidRDefault="00E47AB8" w:rsidP="00F820E5">
            <w:pPr>
              <w:pStyle w:val="Tabletext"/>
              <w:spacing w:before="40" w:after="80"/>
              <w:ind w:right="284"/>
              <w:jc w:val="right"/>
              <w:rPr>
                <w:color w:val="000000"/>
                <w:lang w:eastAsia="en-AU"/>
              </w:rPr>
            </w:pPr>
            <w:r w:rsidRPr="00AA62E6">
              <w:rPr>
                <w:color w:val="FFFFFF" w:themeColor="background1"/>
              </w:rPr>
              <w:t>-</w:t>
            </w:r>
          </w:p>
        </w:tc>
        <w:tc>
          <w:tcPr>
            <w:tcW w:w="739" w:type="pct"/>
            <w:tcBorders>
              <w:left w:val="nil"/>
            </w:tcBorders>
            <w:shd w:val="clear" w:color="auto" w:fill="auto"/>
            <w:noWrap/>
          </w:tcPr>
          <w:p w14:paraId="10B95DEC" w14:textId="77777777" w:rsidR="00E47AB8" w:rsidRPr="008B2F8A" w:rsidRDefault="00E47AB8" w:rsidP="00F820E5">
            <w:pPr>
              <w:pStyle w:val="Tabletext"/>
              <w:spacing w:before="40" w:after="80"/>
              <w:ind w:right="284"/>
              <w:jc w:val="right"/>
              <w:rPr>
                <w:b/>
                <w:color w:val="000000"/>
                <w:lang w:eastAsia="en-AU"/>
              </w:rPr>
            </w:pPr>
            <w:r w:rsidRPr="008B2F8A">
              <w:rPr>
                <w:b/>
              </w:rPr>
              <w:t>$82,793</w:t>
            </w:r>
          </w:p>
        </w:tc>
      </w:tr>
      <w:tr w:rsidR="00E47AB8" w:rsidRPr="008B2F8A" w14:paraId="36451DBB" w14:textId="77777777" w:rsidTr="008A72A2">
        <w:trPr>
          <w:cantSplit/>
        </w:trPr>
        <w:tc>
          <w:tcPr>
            <w:tcW w:w="2051" w:type="pct"/>
            <w:tcBorders>
              <w:bottom w:val="nil"/>
            </w:tcBorders>
            <w:shd w:val="clear" w:color="auto" w:fill="auto"/>
            <w:noWrap/>
          </w:tcPr>
          <w:p w14:paraId="7DDC48EC" w14:textId="77777777" w:rsidR="00E47AB8" w:rsidRPr="008B2F8A" w:rsidRDefault="00E47AB8" w:rsidP="00422306">
            <w:pPr>
              <w:pStyle w:val="Tabletext"/>
              <w:spacing w:before="40" w:after="80" w:line="276" w:lineRule="auto"/>
            </w:pPr>
            <w:r w:rsidRPr="008B2F8A">
              <w:rPr>
                <w:i/>
              </w:rPr>
              <w:t>Chest radiotherapy between 10 and 35 years</w:t>
            </w:r>
          </w:p>
        </w:tc>
        <w:tc>
          <w:tcPr>
            <w:tcW w:w="674" w:type="pct"/>
          </w:tcPr>
          <w:p w14:paraId="06E67BC0" w14:textId="77777777" w:rsidR="00E47AB8" w:rsidRPr="008B2F8A" w:rsidRDefault="00E47AB8" w:rsidP="00422306">
            <w:pPr>
              <w:pStyle w:val="Tabletext"/>
              <w:spacing w:before="40" w:after="80" w:line="276" w:lineRule="auto"/>
            </w:pPr>
            <w:r w:rsidRPr="008B2F8A">
              <w:t>Total costs</w:t>
            </w:r>
          </w:p>
        </w:tc>
        <w:tc>
          <w:tcPr>
            <w:tcW w:w="767" w:type="pct"/>
          </w:tcPr>
          <w:p w14:paraId="53262B86" w14:textId="77777777" w:rsidR="00E47AB8" w:rsidRPr="008B2F8A" w:rsidRDefault="00E47AB8" w:rsidP="00F820E5">
            <w:pPr>
              <w:pStyle w:val="Tabletext"/>
              <w:spacing w:before="40" w:after="80"/>
              <w:ind w:right="284"/>
              <w:jc w:val="right"/>
              <w:rPr>
                <w:color w:val="000000"/>
                <w:lang w:eastAsia="en-AU"/>
              </w:rPr>
            </w:pPr>
            <w:r w:rsidRPr="008B2F8A">
              <w:t>$13,788</w:t>
            </w:r>
          </w:p>
        </w:tc>
        <w:tc>
          <w:tcPr>
            <w:tcW w:w="769" w:type="pct"/>
            <w:shd w:val="clear" w:color="auto" w:fill="auto"/>
            <w:noWrap/>
            <w:hideMark/>
          </w:tcPr>
          <w:p w14:paraId="7A60850C" w14:textId="77777777" w:rsidR="00E47AB8" w:rsidRPr="008B2F8A" w:rsidRDefault="00E47AB8" w:rsidP="00F820E5">
            <w:pPr>
              <w:pStyle w:val="Tabletext"/>
              <w:spacing w:before="40" w:after="80"/>
              <w:ind w:right="284"/>
              <w:jc w:val="right"/>
              <w:rPr>
                <w:color w:val="000000"/>
                <w:lang w:eastAsia="en-AU"/>
              </w:rPr>
            </w:pPr>
            <w:r w:rsidRPr="008B2F8A">
              <w:t>$4,682</w:t>
            </w:r>
          </w:p>
        </w:tc>
        <w:tc>
          <w:tcPr>
            <w:tcW w:w="739" w:type="pct"/>
            <w:shd w:val="clear" w:color="auto" w:fill="auto"/>
            <w:noWrap/>
            <w:hideMark/>
          </w:tcPr>
          <w:p w14:paraId="63DD279A" w14:textId="77777777" w:rsidR="00E47AB8" w:rsidRPr="008B2F8A" w:rsidRDefault="00E47AB8" w:rsidP="00F820E5">
            <w:pPr>
              <w:pStyle w:val="Tabletext"/>
              <w:spacing w:before="40" w:after="80"/>
              <w:ind w:right="284"/>
              <w:jc w:val="right"/>
              <w:rPr>
                <w:color w:val="000000"/>
                <w:lang w:eastAsia="en-AU"/>
              </w:rPr>
            </w:pPr>
            <w:r w:rsidRPr="008B2F8A">
              <w:t>$9,105</w:t>
            </w:r>
          </w:p>
        </w:tc>
      </w:tr>
      <w:tr w:rsidR="00E47AB8" w:rsidRPr="008B2F8A" w14:paraId="647C4E11" w14:textId="77777777" w:rsidTr="008A72A2">
        <w:trPr>
          <w:cantSplit/>
        </w:trPr>
        <w:tc>
          <w:tcPr>
            <w:tcW w:w="2051" w:type="pct"/>
            <w:tcBorders>
              <w:top w:val="nil"/>
              <w:bottom w:val="nil"/>
            </w:tcBorders>
            <w:shd w:val="clear" w:color="auto" w:fill="auto"/>
            <w:noWrap/>
          </w:tcPr>
          <w:p w14:paraId="14926029" w14:textId="77777777" w:rsidR="00E47AB8" w:rsidRPr="008B2F8A" w:rsidRDefault="00E47AB8" w:rsidP="00422306">
            <w:pPr>
              <w:pStyle w:val="Tabletext"/>
              <w:spacing w:before="40" w:after="80" w:line="276" w:lineRule="auto"/>
              <w:rPr>
                <w:i/>
              </w:rPr>
            </w:pPr>
          </w:p>
        </w:tc>
        <w:tc>
          <w:tcPr>
            <w:tcW w:w="674" w:type="pct"/>
          </w:tcPr>
          <w:p w14:paraId="4E7FB479" w14:textId="77777777" w:rsidR="00E47AB8" w:rsidRPr="008B2F8A" w:rsidRDefault="00E47AB8" w:rsidP="00422306">
            <w:pPr>
              <w:pStyle w:val="Tabletext"/>
              <w:spacing w:before="40" w:after="80" w:line="276" w:lineRule="auto"/>
            </w:pPr>
            <w:r w:rsidRPr="008B2F8A">
              <w:t>Total QALYs</w:t>
            </w:r>
          </w:p>
        </w:tc>
        <w:tc>
          <w:tcPr>
            <w:tcW w:w="767" w:type="pct"/>
            <w:tcBorders>
              <w:bottom w:val="single" w:sz="4" w:space="0" w:color="auto"/>
            </w:tcBorders>
          </w:tcPr>
          <w:p w14:paraId="143B6CE9" w14:textId="77777777" w:rsidR="00E47AB8" w:rsidRPr="008B2F8A" w:rsidRDefault="00E47AB8" w:rsidP="00F820E5">
            <w:pPr>
              <w:pStyle w:val="Tabletext"/>
              <w:spacing w:before="40" w:after="80"/>
              <w:ind w:right="284"/>
              <w:jc w:val="right"/>
              <w:rPr>
                <w:color w:val="000000"/>
                <w:lang w:eastAsia="en-AU"/>
              </w:rPr>
            </w:pPr>
            <w:r w:rsidRPr="008B2F8A">
              <w:t>15.5053</w:t>
            </w:r>
          </w:p>
        </w:tc>
        <w:tc>
          <w:tcPr>
            <w:tcW w:w="769" w:type="pct"/>
            <w:tcBorders>
              <w:bottom w:val="single" w:sz="4" w:space="0" w:color="auto"/>
            </w:tcBorders>
            <w:shd w:val="clear" w:color="auto" w:fill="auto"/>
            <w:noWrap/>
          </w:tcPr>
          <w:p w14:paraId="46CDF026" w14:textId="77777777" w:rsidR="00E47AB8" w:rsidRPr="008B2F8A" w:rsidRDefault="00E47AB8" w:rsidP="00F820E5">
            <w:pPr>
              <w:pStyle w:val="Tabletext"/>
              <w:spacing w:before="40" w:after="80"/>
              <w:ind w:right="284"/>
              <w:jc w:val="right"/>
              <w:rPr>
                <w:color w:val="000000"/>
                <w:lang w:eastAsia="en-AU"/>
              </w:rPr>
            </w:pPr>
            <w:r w:rsidRPr="008B2F8A">
              <w:t>15.4537</w:t>
            </w:r>
          </w:p>
        </w:tc>
        <w:tc>
          <w:tcPr>
            <w:tcW w:w="739" w:type="pct"/>
            <w:tcBorders>
              <w:bottom w:val="single" w:sz="4" w:space="0" w:color="auto"/>
            </w:tcBorders>
            <w:shd w:val="clear" w:color="auto" w:fill="auto"/>
            <w:noWrap/>
          </w:tcPr>
          <w:p w14:paraId="6582C2E9" w14:textId="77777777" w:rsidR="00E47AB8" w:rsidRPr="008B2F8A" w:rsidRDefault="00E47AB8" w:rsidP="00F820E5">
            <w:pPr>
              <w:pStyle w:val="Tabletext"/>
              <w:spacing w:before="40" w:after="80"/>
              <w:ind w:right="284"/>
              <w:jc w:val="right"/>
              <w:rPr>
                <w:color w:val="000000"/>
                <w:lang w:eastAsia="en-AU"/>
              </w:rPr>
            </w:pPr>
            <w:r w:rsidRPr="008B2F8A">
              <w:t>0.0516</w:t>
            </w:r>
          </w:p>
        </w:tc>
      </w:tr>
      <w:tr w:rsidR="00E47AB8" w:rsidRPr="008B2F8A" w14:paraId="3602027C" w14:textId="77777777" w:rsidTr="008A72A2">
        <w:trPr>
          <w:cantSplit/>
        </w:trPr>
        <w:tc>
          <w:tcPr>
            <w:tcW w:w="2051" w:type="pct"/>
            <w:tcBorders>
              <w:top w:val="nil"/>
            </w:tcBorders>
            <w:shd w:val="clear" w:color="auto" w:fill="auto"/>
            <w:noWrap/>
          </w:tcPr>
          <w:p w14:paraId="0FCBD1D2" w14:textId="77777777" w:rsidR="00E47AB8" w:rsidRPr="008B2F8A" w:rsidRDefault="00E47AB8" w:rsidP="00422306">
            <w:pPr>
              <w:pStyle w:val="Tabletext"/>
              <w:spacing w:before="40" w:after="80" w:line="276" w:lineRule="auto"/>
              <w:rPr>
                <w:i/>
              </w:rPr>
            </w:pPr>
          </w:p>
        </w:tc>
        <w:tc>
          <w:tcPr>
            <w:tcW w:w="674" w:type="pct"/>
          </w:tcPr>
          <w:p w14:paraId="193D317E" w14:textId="77777777" w:rsidR="00E47AB8" w:rsidRPr="008B2F8A" w:rsidRDefault="00E47AB8" w:rsidP="00422306">
            <w:pPr>
              <w:pStyle w:val="Tabletext"/>
              <w:spacing w:before="40" w:after="80" w:line="276" w:lineRule="auto"/>
              <w:rPr>
                <w:b/>
              </w:rPr>
            </w:pPr>
            <w:r w:rsidRPr="008B2F8A">
              <w:rPr>
                <w:b/>
              </w:rPr>
              <w:t>ICER</w:t>
            </w:r>
          </w:p>
        </w:tc>
        <w:tc>
          <w:tcPr>
            <w:tcW w:w="767" w:type="pct"/>
            <w:tcBorders>
              <w:right w:val="nil"/>
            </w:tcBorders>
          </w:tcPr>
          <w:p w14:paraId="5BA07E32" w14:textId="77777777" w:rsidR="00E47AB8" w:rsidRPr="008B2F8A" w:rsidRDefault="00E47AB8" w:rsidP="00F820E5">
            <w:pPr>
              <w:pStyle w:val="Tabletext"/>
              <w:spacing w:before="40" w:after="80"/>
              <w:ind w:right="284"/>
              <w:jc w:val="right"/>
              <w:rPr>
                <w:color w:val="000000"/>
                <w:lang w:eastAsia="en-AU"/>
              </w:rPr>
            </w:pPr>
            <w:r w:rsidRPr="00AA62E6">
              <w:rPr>
                <w:color w:val="FFFFFF" w:themeColor="background1"/>
              </w:rPr>
              <w:t>-</w:t>
            </w:r>
          </w:p>
        </w:tc>
        <w:tc>
          <w:tcPr>
            <w:tcW w:w="769" w:type="pct"/>
            <w:tcBorders>
              <w:left w:val="nil"/>
              <w:right w:val="nil"/>
            </w:tcBorders>
            <w:shd w:val="clear" w:color="auto" w:fill="auto"/>
            <w:noWrap/>
          </w:tcPr>
          <w:p w14:paraId="371632AF" w14:textId="77777777" w:rsidR="00E47AB8" w:rsidRPr="008B2F8A" w:rsidRDefault="00E47AB8" w:rsidP="00F820E5">
            <w:pPr>
              <w:pStyle w:val="Tabletext"/>
              <w:spacing w:before="40" w:after="80"/>
              <w:ind w:right="284"/>
              <w:jc w:val="right"/>
              <w:rPr>
                <w:color w:val="000000"/>
                <w:lang w:eastAsia="en-AU"/>
              </w:rPr>
            </w:pPr>
            <w:r w:rsidRPr="00AA62E6">
              <w:rPr>
                <w:color w:val="FFFFFF" w:themeColor="background1"/>
              </w:rPr>
              <w:t>-</w:t>
            </w:r>
          </w:p>
        </w:tc>
        <w:tc>
          <w:tcPr>
            <w:tcW w:w="739" w:type="pct"/>
            <w:tcBorders>
              <w:left w:val="nil"/>
            </w:tcBorders>
            <w:shd w:val="clear" w:color="auto" w:fill="auto"/>
            <w:noWrap/>
          </w:tcPr>
          <w:p w14:paraId="69A33A57" w14:textId="77777777" w:rsidR="00E47AB8" w:rsidRPr="008B2F8A" w:rsidRDefault="00E47AB8" w:rsidP="00F820E5">
            <w:pPr>
              <w:pStyle w:val="Tabletext"/>
              <w:spacing w:before="40" w:after="80"/>
              <w:ind w:right="284"/>
              <w:jc w:val="right"/>
              <w:rPr>
                <w:b/>
                <w:color w:val="000000"/>
                <w:lang w:eastAsia="en-AU"/>
              </w:rPr>
            </w:pPr>
            <w:r w:rsidRPr="008B2F8A">
              <w:rPr>
                <w:b/>
              </w:rPr>
              <w:t>$176,536</w:t>
            </w:r>
          </w:p>
        </w:tc>
      </w:tr>
    </w:tbl>
    <w:p w14:paraId="06261196" w14:textId="77777777" w:rsidR="00E47AB8" w:rsidRPr="008B2F8A" w:rsidRDefault="00E47AB8" w:rsidP="00F820E5">
      <w:pPr>
        <w:pStyle w:val="TableNotesLast"/>
      </w:pPr>
      <w:r w:rsidRPr="008B2F8A">
        <w:t>DCIS = ductal carcinoma in situ; LCIS = lobular carcinoma in situ; ICER = incremental cost-effectiveness ratio; MRI = magnetic resonance imaging; QALY = quality-adjusted life year.</w:t>
      </w:r>
    </w:p>
    <w:p w14:paraId="7D7D665B" w14:textId="40FD6427" w:rsidR="00E47AB8" w:rsidRPr="008B2F8A" w:rsidRDefault="00E47AB8" w:rsidP="00422306">
      <w:r w:rsidRPr="008B2F8A">
        <w:t xml:space="preserve">Variables tested in sensitivity analysis include diagnostic accuracy estimates, baseline risk of breast cancer, MRI screening age, clinical utility values, costs, time horizon and the discount rate. The model is extremely sensitive to the baseline risk of breast cancer and the estimated impact of delayed diagnosis on patient survival. The analyses for these two variables are shown in the table below. There was considerable variation in the incremental cost-effectiveness ratios (ICERs) for each </w:t>
      </w:r>
      <w:r w:rsidRPr="008B2F8A">
        <w:lastRenderedPageBreak/>
        <w:t xml:space="preserve">population when different age groups and different lengths of screening time were explored. Applying a decrement in health-related quality of life for 1 month in women with false-positive results substantially increases the ICER in populations where there is a low baseline risk of breast cancer, such as those with prior DCIS/LCIS or invasive breast cancer. For the results of all sensitivity analyses see Section </w:t>
      </w:r>
      <w:r w:rsidRPr="008B2F8A">
        <w:fldChar w:fldCharType="begin"/>
      </w:r>
      <w:r w:rsidRPr="008B2F8A">
        <w:instrText xml:space="preserve"> REF _Ref255812455 \r \h </w:instrText>
      </w:r>
      <w:r w:rsidRPr="008B2F8A">
        <w:fldChar w:fldCharType="separate"/>
      </w:r>
      <w:r w:rsidR="00B81273">
        <w:t>D.4.2</w:t>
      </w:r>
      <w:r w:rsidRPr="008B2F8A">
        <w:fldChar w:fldCharType="end"/>
      </w:r>
      <w:r w:rsidRPr="008B2F8A">
        <w:t>.</w:t>
      </w:r>
    </w:p>
    <w:p w14:paraId="4ECC9A1C" w14:textId="77777777" w:rsidR="00E47AB8" w:rsidRPr="008B2F8A" w:rsidRDefault="00E47AB8" w:rsidP="00422306">
      <w:pPr>
        <w:pStyle w:val="Caption"/>
      </w:pPr>
      <w:bookmarkStart w:id="165" w:name="OLE_LINK925"/>
      <w:bookmarkStart w:id="166" w:name="OLE_LINK949"/>
      <w:r w:rsidRPr="008B2F8A">
        <w:t>Sensitivity analyses: risk of breast cancer and survival decrement due to delayed detection</w:t>
      </w:r>
      <w:bookmarkEnd w:id="165"/>
      <w:bookmarkEnd w:id="166"/>
      <w:r w:rsidRPr="008B2F8A">
        <w:t>.</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Sensitivity analyses: risk of breast cancer and survival decrement due to delayed detection"/>
      </w:tblPr>
      <w:tblGrid>
        <w:gridCol w:w="3577"/>
        <w:gridCol w:w="710"/>
        <w:gridCol w:w="853"/>
        <w:gridCol w:w="851"/>
        <w:gridCol w:w="1136"/>
        <w:gridCol w:w="995"/>
        <w:gridCol w:w="953"/>
      </w:tblGrid>
      <w:tr w:rsidR="00E47AB8" w:rsidRPr="008B2F8A" w14:paraId="1D9FC1E1" w14:textId="77777777" w:rsidTr="00F820E5">
        <w:trPr>
          <w:tblHeader/>
        </w:trPr>
        <w:tc>
          <w:tcPr>
            <w:tcW w:w="1971" w:type="pct"/>
            <w:tcBorders>
              <w:bottom w:val="nil"/>
            </w:tcBorders>
            <w:shd w:val="clear" w:color="auto" w:fill="EEECE1" w:themeFill="background2"/>
            <w:noWrap/>
            <w:vAlign w:val="bottom"/>
            <w:hideMark/>
          </w:tcPr>
          <w:p w14:paraId="1A40F120" w14:textId="77777777" w:rsidR="00E47AB8" w:rsidRPr="008B2F8A" w:rsidRDefault="00E47AB8" w:rsidP="00422306">
            <w:pPr>
              <w:pStyle w:val="Tabletext"/>
              <w:spacing w:before="40" w:after="80" w:line="276" w:lineRule="auto"/>
            </w:pPr>
            <w:r w:rsidRPr="008B2F8A">
              <w:t>Variable tested</w:t>
            </w:r>
          </w:p>
        </w:tc>
        <w:tc>
          <w:tcPr>
            <w:tcW w:w="391" w:type="pct"/>
            <w:tcBorders>
              <w:bottom w:val="nil"/>
            </w:tcBorders>
            <w:shd w:val="clear" w:color="auto" w:fill="EEECE1" w:themeFill="background2"/>
            <w:noWrap/>
            <w:vAlign w:val="bottom"/>
            <w:hideMark/>
          </w:tcPr>
          <w:p w14:paraId="486F2101" w14:textId="53F813DE" w:rsidR="00E47AB8" w:rsidRPr="008B2F8A" w:rsidRDefault="00E47AB8" w:rsidP="00422306">
            <w:pPr>
              <w:pStyle w:val="Tabletext"/>
              <w:spacing w:before="40" w:after="80" w:line="276" w:lineRule="auto"/>
              <w:jc w:val="center"/>
            </w:pPr>
            <w:r w:rsidRPr="008B2F8A">
              <w:t>Value</w:t>
            </w:r>
          </w:p>
        </w:tc>
        <w:tc>
          <w:tcPr>
            <w:tcW w:w="470" w:type="pct"/>
            <w:tcBorders>
              <w:bottom w:val="nil"/>
            </w:tcBorders>
            <w:shd w:val="clear" w:color="auto" w:fill="EEECE1" w:themeFill="background2"/>
            <w:noWrap/>
            <w:vAlign w:val="bottom"/>
            <w:hideMark/>
          </w:tcPr>
          <w:p w14:paraId="6A520F08" w14:textId="77777777" w:rsidR="00E47AB8" w:rsidRPr="008B2F8A" w:rsidRDefault="00E47AB8" w:rsidP="00422306">
            <w:pPr>
              <w:pStyle w:val="Tabletext"/>
              <w:spacing w:before="40" w:after="80" w:line="276" w:lineRule="auto"/>
              <w:jc w:val="center"/>
            </w:pPr>
            <w:r w:rsidRPr="008B2F8A">
              <w:t>Pop. 1</w:t>
            </w:r>
          </w:p>
        </w:tc>
        <w:tc>
          <w:tcPr>
            <w:tcW w:w="469" w:type="pct"/>
            <w:tcBorders>
              <w:bottom w:val="nil"/>
            </w:tcBorders>
            <w:shd w:val="clear" w:color="auto" w:fill="EEECE1" w:themeFill="background2"/>
            <w:noWrap/>
            <w:vAlign w:val="bottom"/>
            <w:hideMark/>
          </w:tcPr>
          <w:p w14:paraId="6917A6C8" w14:textId="77777777" w:rsidR="00E47AB8" w:rsidRPr="008B2F8A" w:rsidRDefault="00E47AB8" w:rsidP="00422306">
            <w:pPr>
              <w:pStyle w:val="Tabletext"/>
              <w:spacing w:before="40" w:after="80" w:line="276" w:lineRule="auto"/>
              <w:jc w:val="center"/>
            </w:pPr>
            <w:r w:rsidRPr="008B2F8A">
              <w:t>Pop. 2</w:t>
            </w:r>
          </w:p>
        </w:tc>
        <w:tc>
          <w:tcPr>
            <w:tcW w:w="626" w:type="pct"/>
            <w:tcBorders>
              <w:bottom w:val="nil"/>
            </w:tcBorders>
            <w:shd w:val="clear" w:color="auto" w:fill="EEECE1" w:themeFill="background2"/>
            <w:noWrap/>
            <w:vAlign w:val="bottom"/>
            <w:hideMark/>
          </w:tcPr>
          <w:p w14:paraId="4B6630AE" w14:textId="77777777" w:rsidR="00E47AB8" w:rsidRPr="008B2F8A" w:rsidRDefault="00E47AB8" w:rsidP="00422306">
            <w:pPr>
              <w:pStyle w:val="Tabletext"/>
              <w:spacing w:before="40" w:after="80" w:line="276" w:lineRule="auto"/>
              <w:jc w:val="center"/>
            </w:pPr>
            <w:r w:rsidRPr="008B2F8A">
              <w:t>Pop. 3</w:t>
            </w:r>
          </w:p>
        </w:tc>
        <w:tc>
          <w:tcPr>
            <w:tcW w:w="548" w:type="pct"/>
            <w:tcBorders>
              <w:bottom w:val="nil"/>
            </w:tcBorders>
            <w:shd w:val="clear" w:color="auto" w:fill="EEECE1" w:themeFill="background2"/>
            <w:noWrap/>
            <w:vAlign w:val="bottom"/>
            <w:hideMark/>
          </w:tcPr>
          <w:p w14:paraId="2A665DE0" w14:textId="77777777" w:rsidR="00E47AB8" w:rsidRPr="008B2F8A" w:rsidRDefault="00E47AB8" w:rsidP="00422306">
            <w:pPr>
              <w:pStyle w:val="Tabletext"/>
              <w:spacing w:before="40" w:after="80" w:line="276" w:lineRule="auto"/>
              <w:jc w:val="center"/>
            </w:pPr>
            <w:r w:rsidRPr="008B2F8A">
              <w:t>Pop. 4</w:t>
            </w:r>
          </w:p>
        </w:tc>
        <w:tc>
          <w:tcPr>
            <w:tcW w:w="525" w:type="pct"/>
            <w:tcBorders>
              <w:bottom w:val="nil"/>
            </w:tcBorders>
            <w:shd w:val="clear" w:color="auto" w:fill="EEECE1" w:themeFill="background2"/>
            <w:noWrap/>
            <w:vAlign w:val="bottom"/>
            <w:hideMark/>
          </w:tcPr>
          <w:p w14:paraId="342C2BF9" w14:textId="77777777" w:rsidR="00E47AB8" w:rsidRPr="008B2F8A" w:rsidRDefault="00E47AB8" w:rsidP="00422306">
            <w:pPr>
              <w:pStyle w:val="Tabletext"/>
              <w:spacing w:before="40" w:after="80" w:line="276" w:lineRule="auto"/>
              <w:jc w:val="center"/>
            </w:pPr>
            <w:r w:rsidRPr="008B2F8A">
              <w:t>Pop. 5</w:t>
            </w:r>
          </w:p>
        </w:tc>
      </w:tr>
      <w:tr w:rsidR="00E47AB8" w:rsidRPr="008B2F8A" w14:paraId="13260948" w14:textId="77777777" w:rsidTr="00F820E5">
        <w:trPr>
          <w:tblHeader/>
        </w:trPr>
        <w:tc>
          <w:tcPr>
            <w:tcW w:w="1971" w:type="pct"/>
            <w:tcBorders>
              <w:top w:val="nil"/>
              <w:bottom w:val="single" w:sz="4" w:space="0" w:color="auto"/>
            </w:tcBorders>
            <w:shd w:val="clear" w:color="auto" w:fill="EEECE1" w:themeFill="background2"/>
            <w:noWrap/>
            <w:hideMark/>
          </w:tcPr>
          <w:p w14:paraId="14DDA716" w14:textId="77777777" w:rsidR="00E47AB8" w:rsidRPr="008B2F8A" w:rsidRDefault="00E47AB8" w:rsidP="00422306">
            <w:pPr>
              <w:pStyle w:val="Tabletext"/>
              <w:spacing w:before="40" w:after="80" w:line="276" w:lineRule="auto"/>
            </w:pPr>
            <w:r w:rsidRPr="008B2F8A">
              <w:t> </w:t>
            </w:r>
          </w:p>
        </w:tc>
        <w:tc>
          <w:tcPr>
            <w:tcW w:w="391" w:type="pct"/>
            <w:tcBorders>
              <w:top w:val="nil"/>
              <w:bottom w:val="single" w:sz="4" w:space="0" w:color="auto"/>
            </w:tcBorders>
            <w:shd w:val="clear" w:color="auto" w:fill="EEECE1" w:themeFill="background2"/>
            <w:noWrap/>
            <w:hideMark/>
          </w:tcPr>
          <w:p w14:paraId="165FC25F" w14:textId="77777777" w:rsidR="00E47AB8" w:rsidRPr="008B2F8A" w:rsidRDefault="00E47AB8" w:rsidP="00422306">
            <w:pPr>
              <w:pStyle w:val="Tabletext"/>
              <w:spacing w:before="40" w:after="80" w:line="276" w:lineRule="auto"/>
              <w:jc w:val="center"/>
            </w:pPr>
          </w:p>
        </w:tc>
        <w:tc>
          <w:tcPr>
            <w:tcW w:w="470" w:type="pct"/>
            <w:tcBorders>
              <w:top w:val="nil"/>
              <w:bottom w:val="single" w:sz="4" w:space="0" w:color="auto"/>
            </w:tcBorders>
            <w:shd w:val="clear" w:color="auto" w:fill="EEECE1" w:themeFill="background2"/>
            <w:hideMark/>
          </w:tcPr>
          <w:p w14:paraId="72B08602" w14:textId="77777777" w:rsidR="00E47AB8" w:rsidRPr="008B2F8A" w:rsidRDefault="00E47AB8" w:rsidP="00422306">
            <w:pPr>
              <w:pStyle w:val="Tabletext"/>
              <w:spacing w:before="40" w:after="80" w:line="276" w:lineRule="auto"/>
              <w:jc w:val="center"/>
            </w:pPr>
            <w:r w:rsidRPr="00F820E5">
              <w:rPr>
                <w:i/>
              </w:rPr>
              <w:t>BRCA1</w:t>
            </w:r>
          </w:p>
        </w:tc>
        <w:tc>
          <w:tcPr>
            <w:tcW w:w="469" w:type="pct"/>
            <w:tcBorders>
              <w:top w:val="nil"/>
              <w:bottom w:val="single" w:sz="4" w:space="0" w:color="auto"/>
            </w:tcBorders>
            <w:shd w:val="clear" w:color="auto" w:fill="EEECE1" w:themeFill="background2"/>
            <w:hideMark/>
          </w:tcPr>
          <w:p w14:paraId="7911F036" w14:textId="77777777" w:rsidR="00E47AB8" w:rsidRPr="008B2F8A" w:rsidRDefault="00E47AB8" w:rsidP="00422306">
            <w:pPr>
              <w:pStyle w:val="Tabletext"/>
              <w:spacing w:before="40" w:after="80" w:line="276" w:lineRule="auto"/>
              <w:jc w:val="center"/>
            </w:pPr>
            <w:r w:rsidRPr="008B2F8A">
              <w:t>Current MBS pop.</w:t>
            </w:r>
          </w:p>
        </w:tc>
        <w:tc>
          <w:tcPr>
            <w:tcW w:w="626" w:type="pct"/>
            <w:tcBorders>
              <w:top w:val="nil"/>
              <w:bottom w:val="single" w:sz="4" w:space="0" w:color="auto"/>
            </w:tcBorders>
            <w:shd w:val="clear" w:color="auto" w:fill="EEECE1" w:themeFill="background2"/>
            <w:hideMark/>
          </w:tcPr>
          <w:p w14:paraId="403940A0" w14:textId="6F1F1478" w:rsidR="00E47AB8" w:rsidRPr="008B2F8A" w:rsidRDefault="00E47AB8" w:rsidP="00422306">
            <w:pPr>
              <w:pStyle w:val="Tabletext"/>
              <w:spacing w:before="40" w:after="80" w:line="276" w:lineRule="auto"/>
              <w:jc w:val="center"/>
            </w:pPr>
            <w:r w:rsidRPr="008B2F8A">
              <w:t>Prior invasive breast cancer</w:t>
            </w:r>
          </w:p>
        </w:tc>
        <w:tc>
          <w:tcPr>
            <w:tcW w:w="548" w:type="pct"/>
            <w:tcBorders>
              <w:top w:val="nil"/>
              <w:bottom w:val="single" w:sz="4" w:space="0" w:color="auto"/>
            </w:tcBorders>
            <w:shd w:val="clear" w:color="auto" w:fill="EEECE1" w:themeFill="background2"/>
            <w:hideMark/>
          </w:tcPr>
          <w:p w14:paraId="6F712173" w14:textId="77777777" w:rsidR="00E47AB8" w:rsidRPr="008B2F8A" w:rsidRDefault="00E47AB8" w:rsidP="00422306">
            <w:pPr>
              <w:pStyle w:val="Tabletext"/>
              <w:spacing w:before="40" w:after="80" w:line="276" w:lineRule="auto"/>
              <w:jc w:val="center"/>
            </w:pPr>
            <w:r w:rsidRPr="008B2F8A">
              <w:t>Prior DCIS/LCIS</w:t>
            </w:r>
          </w:p>
        </w:tc>
        <w:tc>
          <w:tcPr>
            <w:tcW w:w="525" w:type="pct"/>
            <w:tcBorders>
              <w:top w:val="nil"/>
              <w:bottom w:val="single" w:sz="4" w:space="0" w:color="auto"/>
            </w:tcBorders>
            <w:shd w:val="clear" w:color="auto" w:fill="EEECE1" w:themeFill="background2"/>
            <w:hideMark/>
          </w:tcPr>
          <w:p w14:paraId="621D251F" w14:textId="77777777" w:rsidR="00E47AB8" w:rsidRPr="008B2F8A" w:rsidRDefault="00E47AB8" w:rsidP="00422306">
            <w:pPr>
              <w:pStyle w:val="Tabletext"/>
              <w:spacing w:before="40" w:after="80" w:line="276" w:lineRule="auto"/>
              <w:jc w:val="center"/>
            </w:pPr>
            <w:r w:rsidRPr="008B2F8A">
              <w:t>Prior chest irradiation</w:t>
            </w:r>
          </w:p>
        </w:tc>
      </w:tr>
      <w:tr w:rsidR="00E47AB8" w:rsidRPr="008B2F8A" w14:paraId="147450D9" w14:textId="77777777" w:rsidTr="00F820E5">
        <w:tc>
          <w:tcPr>
            <w:tcW w:w="1971" w:type="pct"/>
            <w:tcBorders>
              <w:bottom w:val="nil"/>
            </w:tcBorders>
            <w:shd w:val="clear" w:color="auto" w:fill="auto"/>
            <w:noWrap/>
            <w:hideMark/>
          </w:tcPr>
          <w:p w14:paraId="353EBBAA" w14:textId="16614438" w:rsidR="00E47AB8" w:rsidRPr="008B2F8A" w:rsidRDefault="00E47AB8" w:rsidP="00422306">
            <w:pPr>
              <w:pStyle w:val="Tabletext"/>
              <w:spacing w:before="40" w:after="80" w:line="276" w:lineRule="auto"/>
            </w:pPr>
            <w:r w:rsidRPr="008B2F8A">
              <w:t>Baseline breast cancer risk (over 5 years from age 40)</w:t>
            </w:r>
          </w:p>
        </w:tc>
        <w:tc>
          <w:tcPr>
            <w:tcW w:w="391" w:type="pct"/>
            <w:tcBorders>
              <w:bottom w:val="nil"/>
            </w:tcBorders>
            <w:shd w:val="clear" w:color="auto" w:fill="auto"/>
            <w:noWrap/>
            <w:hideMark/>
          </w:tcPr>
          <w:p w14:paraId="42B23E8D" w14:textId="77777777" w:rsidR="00E47AB8" w:rsidRPr="008B2F8A" w:rsidRDefault="00E47AB8" w:rsidP="00422306">
            <w:pPr>
              <w:pStyle w:val="Tabletext"/>
              <w:spacing w:before="40" w:after="80" w:line="276" w:lineRule="auto"/>
              <w:jc w:val="right"/>
            </w:pPr>
            <w:r w:rsidRPr="008B2F8A">
              <w:t>5%</w:t>
            </w:r>
          </w:p>
        </w:tc>
        <w:tc>
          <w:tcPr>
            <w:tcW w:w="470" w:type="pct"/>
            <w:tcBorders>
              <w:bottom w:val="nil"/>
            </w:tcBorders>
            <w:shd w:val="clear" w:color="auto" w:fill="auto"/>
            <w:noWrap/>
            <w:hideMark/>
          </w:tcPr>
          <w:p w14:paraId="4B16803D" w14:textId="77777777" w:rsidR="00E47AB8" w:rsidRPr="008B2F8A" w:rsidRDefault="00E47AB8" w:rsidP="00422306">
            <w:pPr>
              <w:pStyle w:val="Tabletext"/>
              <w:spacing w:before="40" w:after="80" w:line="276" w:lineRule="auto"/>
              <w:jc w:val="right"/>
            </w:pPr>
            <w:r w:rsidRPr="008B2F8A">
              <w:t>$89,294</w:t>
            </w:r>
          </w:p>
        </w:tc>
        <w:tc>
          <w:tcPr>
            <w:tcW w:w="469" w:type="pct"/>
            <w:tcBorders>
              <w:bottom w:val="nil"/>
            </w:tcBorders>
            <w:shd w:val="clear" w:color="auto" w:fill="auto"/>
            <w:noWrap/>
            <w:hideMark/>
          </w:tcPr>
          <w:p w14:paraId="394275E8" w14:textId="77777777" w:rsidR="00E47AB8" w:rsidRPr="008B2F8A" w:rsidRDefault="00E47AB8" w:rsidP="00422306">
            <w:pPr>
              <w:pStyle w:val="Tabletext"/>
              <w:spacing w:before="40" w:after="80" w:line="276" w:lineRule="auto"/>
              <w:jc w:val="right"/>
            </w:pPr>
            <w:r w:rsidRPr="008B2F8A">
              <w:t>$112,823</w:t>
            </w:r>
          </w:p>
        </w:tc>
        <w:tc>
          <w:tcPr>
            <w:tcW w:w="626" w:type="pct"/>
            <w:tcBorders>
              <w:bottom w:val="nil"/>
            </w:tcBorders>
            <w:shd w:val="clear" w:color="auto" w:fill="auto"/>
            <w:noWrap/>
            <w:hideMark/>
          </w:tcPr>
          <w:p w14:paraId="45B225A4" w14:textId="77777777" w:rsidR="00E47AB8" w:rsidRPr="008B2F8A" w:rsidRDefault="00E47AB8" w:rsidP="00422306">
            <w:pPr>
              <w:pStyle w:val="Tabletext"/>
              <w:spacing w:before="40" w:after="80" w:line="276" w:lineRule="auto"/>
              <w:jc w:val="right"/>
            </w:pPr>
            <w:r w:rsidRPr="008B2F8A">
              <w:t>$66,291</w:t>
            </w:r>
          </w:p>
        </w:tc>
        <w:tc>
          <w:tcPr>
            <w:tcW w:w="548" w:type="pct"/>
            <w:tcBorders>
              <w:bottom w:val="nil"/>
            </w:tcBorders>
            <w:shd w:val="clear" w:color="auto" w:fill="auto"/>
            <w:noWrap/>
            <w:hideMark/>
          </w:tcPr>
          <w:p w14:paraId="5E5ACEAE" w14:textId="77777777" w:rsidR="00E47AB8" w:rsidRPr="008B2F8A" w:rsidRDefault="00E47AB8" w:rsidP="00422306">
            <w:pPr>
              <w:pStyle w:val="Tabletext"/>
              <w:spacing w:before="40" w:after="80" w:line="276" w:lineRule="auto"/>
              <w:jc w:val="right"/>
            </w:pPr>
            <w:r w:rsidRPr="008B2F8A">
              <w:t>$94,225</w:t>
            </w:r>
          </w:p>
        </w:tc>
        <w:tc>
          <w:tcPr>
            <w:tcW w:w="525" w:type="pct"/>
            <w:tcBorders>
              <w:bottom w:val="nil"/>
            </w:tcBorders>
            <w:shd w:val="clear" w:color="auto" w:fill="auto"/>
            <w:noWrap/>
            <w:hideMark/>
          </w:tcPr>
          <w:p w14:paraId="5CB7DBB3" w14:textId="77777777" w:rsidR="00E47AB8" w:rsidRPr="008B2F8A" w:rsidRDefault="00E47AB8" w:rsidP="00422306">
            <w:pPr>
              <w:pStyle w:val="Tabletext"/>
              <w:spacing w:before="40" w:after="80" w:line="276" w:lineRule="auto"/>
              <w:jc w:val="right"/>
            </w:pPr>
            <w:r w:rsidRPr="008B2F8A">
              <w:t>$94,498</w:t>
            </w:r>
          </w:p>
        </w:tc>
      </w:tr>
      <w:tr w:rsidR="00E47AB8" w:rsidRPr="008B2F8A" w14:paraId="3571126F" w14:textId="77777777" w:rsidTr="00F820E5">
        <w:tc>
          <w:tcPr>
            <w:tcW w:w="1971" w:type="pct"/>
            <w:tcBorders>
              <w:top w:val="nil"/>
              <w:bottom w:val="nil"/>
            </w:tcBorders>
            <w:shd w:val="clear" w:color="auto" w:fill="auto"/>
            <w:noWrap/>
            <w:hideMark/>
          </w:tcPr>
          <w:p w14:paraId="4D4E611C" w14:textId="77777777" w:rsidR="00E47AB8" w:rsidRPr="00F820E5" w:rsidRDefault="00E47AB8" w:rsidP="00422306">
            <w:pPr>
              <w:pStyle w:val="Tabletext"/>
              <w:spacing w:before="40" w:after="80" w:line="276" w:lineRule="auto"/>
              <w:rPr>
                <w:color w:val="FFFFFF" w:themeColor="background1"/>
              </w:rPr>
            </w:pPr>
            <w:r w:rsidRPr="00F820E5">
              <w:rPr>
                <w:color w:val="FFFFFF" w:themeColor="background1"/>
              </w:rPr>
              <w:t>-</w:t>
            </w:r>
          </w:p>
        </w:tc>
        <w:tc>
          <w:tcPr>
            <w:tcW w:w="391" w:type="pct"/>
            <w:tcBorders>
              <w:top w:val="nil"/>
              <w:bottom w:val="nil"/>
            </w:tcBorders>
            <w:shd w:val="clear" w:color="auto" w:fill="auto"/>
            <w:noWrap/>
            <w:hideMark/>
          </w:tcPr>
          <w:p w14:paraId="52F04590" w14:textId="77777777" w:rsidR="00E47AB8" w:rsidRPr="008B2F8A" w:rsidRDefault="00E47AB8" w:rsidP="00422306">
            <w:pPr>
              <w:pStyle w:val="Tabletext"/>
              <w:spacing w:before="40" w:after="80" w:line="276" w:lineRule="auto"/>
              <w:jc w:val="right"/>
            </w:pPr>
            <w:r w:rsidRPr="008B2F8A">
              <w:t>10%</w:t>
            </w:r>
          </w:p>
        </w:tc>
        <w:tc>
          <w:tcPr>
            <w:tcW w:w="470" w:type="pct"/>
            <w:tcBorders>
              <w:top w:val="nil"/>
              <w:bottom w:val="nil"/>
            </w:tcBorders>
            <w:shd w:val="clear" w:color="auto" w:fill="auto"/>
            <w:noWrap/>
            <w:hideMark/>
          </w:tcPr>
          <w:p w14:paraId="66A98FB5" w14:textId="77777777" w:rsidR="00E47AB8" w:rsidRPr="008B2F8A" w:rsidRDefault="00E47AB8" w:rsidP="00422306">
            <w:pPr>
              <w:pStyle w:val="Tabletext"/>
              <w:spacing w:before="40" w:after="80" w:line="276" w:lineRule="auto"/>
              <w:jc w:val="right"/>
            </w:pPr>
            <w:r w:rsidRPr="008B2F8A">
              <w:t>$46,958</w:t>
            </w:r>
          </w:p>
        </w:tc>
        <w:tc>
          <w:tcPr>
            <w:tcW w:w="469" w:type="pct"/>
            <w:tcBorders>
              <w:top w:val="nil"/>
              <w:bottom w:val="nil"/>
            </w:tcBorders>
            <w:shd w:val="clear" w:color="auto" w:fill="auto"/>
            <w:noWrap/>
            <w:hideMark/>
          </w:tcPr>
          <w:p w14:paraId="11FB1043" w14:textId="77777777" w:rsidR="00E47AB8" w:rsidRPr="008B2F8A" w:rsidRDefault="00E47AB8" w:rsidP="00422306">
            <w:pPr>
              <w:pStyle w:val="Tabletext"/>
              <w:spacing w:before="40" w:after="80" w:line="276" w:lineRule="auto"/>
              <w:jc w:val="right"/>
            </w:pPr>
            <w:r w:rsidRPr="008B2F8A">
              <w:t>$57,774</w:t>
            </w:r>
          </w:p>
        </w:tc>
        <w:tc>
          <w:tcPr>
            <w:tcW w:w="626" w:type="pct"/>
            <w:tcBorders>
              <w:top w:val="nil"/>
              <w:bottom w:val="nil"/>
            </w:tcBorders>
            <w:shd w:val="clear" w:color="auto" w:fill="auto"/>
            <w:noWrap/>
            <w:hideMark/>
          </w:tcPr>
          <w:p w14:paraId="67AB9754" w14:textId="77777777" w:rsidR="00E47AB8" w:rsidRPr="008B2F8A" w:rsidRDefault="00E47AB8" w:rsidP="00422306">
            <w:pPr>
              <w:pStyle w:val="Tabletext"/>
              <w:spacing w:before="40" w:after="80" w:line="276" w:lineRule="auto"/>
              <w:jc w:val="right"/>
            </w:pPr>
            <w:r w:rsidRPr="008B2F8A">
              <w:t>$33,489</w:t>
            </w:r>
          </w:p>
        </w:tc>
        <w:tc>
          <w:tcPr>
            <w:tcW w:w="548" w:type="pct"/>
            <w:tcBorders>
              <w:top w:val="nil"/>
              <w:bottom w:val="nil"/>
            </w:tcBorders>
            <w:shd w:val="clear" w:color="auto" w:fill="auto"/>
            <w:noWrap/>
            <w:hideMark/>
          </w:tcPr>
          <w:p w14:paraId="3CD96C2C" w14:textId="77777777" w:rsidR="00E47AB8" w:rsidRPr="008B2F8A" w:rsidRDefault="00E47AB8" w:rsidP="00422306">
            <w:pPr>
              <w:pStyle w:val="Tabletext"/>
              <w:spacing w:before="40" w:after="80" w:line="276" w:lineRule="auto"/>
              <w:jc w:val="right"/>
            </w:pPr>
            <w:r w:rsidRPr="008B2F8A">
              <w:t>$47,646</w:t>
            </w:r>
          </w:p>
        </w:tc>
        <w:tc>
          <w:tcPr>
            <w:tcW w:w="525" w:type="pct"/>
            <w:tcBorders>
              <w:top w:val="nil"/>
              <w:bottom w:val="nil"/>
            </w:tcBorders>
            <w:shd w:val="clear" w:color="auto" w:fill="auto"/>
            <w:noWrap/>
            <w:hideMark/>
          </w:tcPr>
          <w:p w14:paraId="7C17BB15" w14:textId="77777777" w:rsidR="00E47AB8" w:rsidRPr="008B2F8A" w:rsidRDefault="00E47AB8" w:rsidP="00422306">
            <w:pPr>
              <w:pStyle w:val="Tabletext"/>
              <w:spacing w:before="40" w:after="80" w:line="276" w:lineRule="auto"/>
              <w:jc w:val="right"/>
            </w:pPr>
            <w:r w:rsidRPr="008B2F8A">
              <w:t>$47,599</w:t>
            </w:r>
          </w:p>
        </w:tc>
      </w:tr>
      <w:tr w:rsidR="00E47AB8" w:rsidRPr="008B2F8A" w14:paraId="2A82F3AB" w14:textId="77777777" w:rsidTr="00F820E5">
        <w:tc>
          <w:tcPr>
            <w:tcW w:w="1971" w:type="pct"/>
            <w:tcBorders>
              <w:top w:val="nil"/>
              <w:bottom w:val="nil"/>
            </w:tcBorders>
            <w:shd w:val="clear" w:color="auto" w:fill="auto"/>
            <w:noWrap/>
            <w:hideMark/>
          </w:tcPr>
          <w:p w14:paraId="4DDD0543" w14:textId="77777777" w:rsidR="00E47AB8" w:rsidRPr="00F820E5" w:rsidRDefault="00E47AB8" w:rsidP="00422306">
            <w:pPr>
              <w:pStyle w:val="Tabletext"/>
              <w:spacing w:before="40" w:after="80" w:line="276" w:lineRule="auto"/>
              <w:rPr>
                <w:color w:val="FFFFFF" w:themeColor="background1"/>
              </w:rPr>
            </w:pPr>
            <w:r w:rsidRPr="00F820E5">
              <w:rPr>
                <w:color w:val="FFFFFF" w:themeColor="background1"/>
              </w:rPr>
              <w:t>-</w:t>
            </w:r>
          </w:p>
        </w:tc>
        <w:tc>
          <w:tcPr>
            <w:tcW w:w="391" w:type="pct"/>
            <w:tcBorders>
              <w:top w:val="nil"/>
              <w:bottom w:val="nil"/>
            </w:tcBorders>
            <w:shd w:val="clear" w:color="auto" w:fill="auto"/>
            <w:noWrap/>
            <w:hideMark/>
          </w:tcPr>
          <w:p w14:paraId="331FCC7C" w14:textId="77777777" w:rsidR="00E47AB8" w:rsidRPr="008B2F8A" w:rsidRDefault="00E47AB8" w:rsidP="00422306">
            <w:pPr>
              <w:pStyle w:val="Tabletext"/>
              <w:spacing w:before="40" w:after="80" w:line="276" w:lineRule="auto"/>
              <w:jc w:val="right"/>
            </w:pPr>
            <w:r w:rsidRPr="008B2F8A">
              <w:t>15%</w:t>
            </w:r>
          </w:p>
        </w:tc>
        <w:tc>
          <w:tcPr>
            <w:tcW w:w="470" w:type="pct"/>
            <w:tcBorders>
              <w:top w:val="nil"/>
              <w:bottom w:val="nil"/>
            </w:tcBorders>
            <w:shd w:val="clear" w:color="auto" w:fill="auto"/>
            <w:noWrap/>
            <w:hideMark/>
          </w:tcPr>
          <w:p w14:paraId="65F46F29" w14:textId="77777777" w:rsidR="00E47AB8" w:rsidRPr="008B2F8A" w:rsidRDefault="00E47AB8" w:rsidP="00422306">
            <w:pPr>
              <w:pStyle w:val="Tabletext"/>
              <w:spacing w:before="40" w:after="80" w:line="276" w:lineRule="auto"/>
              <w:jc w:val="right"/>
            </w:pPr>
            <w:r w:rsidRPr="008B2F8A">
              <w:t>$32,974</w:t>
            </w:r>
          </w:p>
        </w:tc>
        <w:tc>
          <w:tcPr>
            <w:tcW w:w="469" w:type="pct"/>
            <w:tcBorders>
              <w:top w:val="nil"/>
              <w:bottom w:val="nil"/>
            </w:tcBorders>
            <w:shd w:val="clear" w:color="auto" w:fill="auto"/>
            <w:noWrap/>
            <w:hideMark/>
          </w:tcPr>
          <w:p w14:paraId="6D5967FC" w14:textId="77777777" w:rsidR="00E47AB8" w:rsidRPr="008B2F8A" w:rsidRDefault="00E47AB8" w:rsidP="00422306">
            <w:pPr>
              <w:pStyle w:val="Tabletext"/>
              <w:spacing w:before="40" w:after="80" w:line="276" w:lineRule="auto"/>
              <w:jc w:val="right"/>
            </w:pPr>
            <w:r w:rsidRPr="008B2F8A">
              <w:t>$39,527</w:t>
            </w:r>
          </w:p>
        </w:tc>
        <w:tc>
          <w:tcPr>
            <w:tcW w:w="626" w:type="pct"/>
            <w:tcBorders>
              <w:top w:val="nil"/>
              <w:bottom w:val="nil"/>
            </w:tcBorders>
            <w:shd w:val="clear" w:color="auto" w:fill="auto"/>
            <w:noWrap/>
            <w:hideMark/>
          </w:tcPr>
          <w:p w14:paraId="19F72490" w14:textId="77777777" w:rsidR="00E47AB8" w:rsidRPr="008B2F8A" w:rsidRDefault="00E47AB8" w:rsidP="00422306">
            <w:pPr>
              <w:pStyle w:val="Tabletext"/>
              <w:spacing w:before="40" w:after="80" w:line="276" w:lineRule="auto"/>
              <w:jc w:val="right"/>
            </w:pPr>
            <w:r w:rsidRPr="008B2F8A">
              <w:t>$22,512</w:t>
            </w:r>
          </w:p>
        </w:tc>
        <w:tc>
          <w:tcPr>
            <w:tcW w:w="548" w:type="pct"/>
            <w:tcBorders>
              <w:top w:val="nil"/>
              <w:bottom w:val="nil"/>
            </w:tcBorders>
            <w:shd w:val="clear" w:color="auto" w:fill="auto"/>
            <w:noWrap/>
            <w:hideMark/>
          </w:tcPr>
          <w:p w14:paraId="39425F16" w14:textId="77777777" w:rsidR="00E47AB8" w:rsidRPr="008B2F8A" w:rsidRDefault="00E47AB8" w:rsidP="00422306">
            <w:pPr>
              <w:pStyle w:val="Tabletext"/>
              <w:spacing w:before="40" w:after="80" w:line="276" w:lineRule="auto"/>
              <w:jc w:val="right"/>
            </w:pPr>
            <w:r w:rsidRPr="008B2F8A">
              <w:t>$32,056</w:t>
            </w:r>
          </w:p>
        </w:tc>
        <w:tc>
          <w:tcPr>
            <w:tcW w:w="525" w:type="pct"/>
            <w:tcBorders>
              <w:top w:val="nil"/>
              <w:bottom w:val="nil"/>
            </w:tcBorders>
            <w:shd w:val="clear" w:color="auto" w:fill="auto"/>
            <w:noWrap/>
            <w:hideMark/>
          </w:tcPr>
          <w:p w14:paraId="4246A05D" w14:textId="77777777" w:rsidR="00E47AB8" w:rsidRPr="008B2F8A" w:rsidRDefault="00E47AB8" w:rsidP="00422306">
            <w:pPr>
              <w:pStyle w:val="Tabletext"/>
              <w:spacing w:before="40" w:after="80" w:line="276" w:lineRule="auto"/>
              <w:jc w:val="right"/>
            </w:pPr>
            <w:r w:rsidRPr="008B2F8A">
              <w:t>$32,088</w:t>
            </w:r>
          </w:p>
        </w:tc>
      </w:tr>
      <w:tr w:rsidR="00E47AB8" w:rsidRPr="008B2F8A" w14:paraId="2F6BA7C2" w14:textId="77777777" w:rsidTr="00F820E5">
        <w:tc>
          <w:tcPr>
            <w:tcW w:w="1971" w:type="pct"/>
            <w:tcBorders>
              <w:top w:val="nil"/>
              <w:bottom w:val="single" w:sz="4" w:space="0" w:color="auto"/>
            </w:tcBorders>
            <w:shd w:val="clear" w:color="auto" w:fill="auto"/>
            <w:noWrap/>
            <w:hideMark/>
          </w:tcPr>
          <w:p w14:paraId="7CCA9F77" w14:textId="77777777" w:rsidR="00E47AB8" w:rsidRPr="00F820E5" w:rsidRDefault="00E47AB8" w:rsidP="00422306">
            <w:pPr>
              <w:pStyle w:val="Tabletext"/>
              <w:spacing w:before="40" w:after="80" w:line="276" w:lineRule="auto"/>
              <w:rPr>
                <w:color w:val="FFFFFF" w:themeColor="background1"/>
              </w:rPr>
            </w:pPr>
            <w:r w:rsidRPr="00F820E5">
              <w:rPr>
                <w:color w:val="FFFFFF" w:themeColor="background1"/>
              </w:rPr>
              <w:t>-</w:t>
            </w:r>
          </w:p>
        </w:tc>
        <w:tc>
          <w:tcPr>
            <w:tcW w:w="391" w:type="pct"/>
            <w:tcBorders>
              <w:top w:val="nil"/>
              <w:bottom w:val="single" w:sz="4" w:space="0" w:color="auto"/>
            </w:tcBorders>
            <w:shd w:val="clear" w:color="auto" w:fill="auto"/>
            <w:noWrap/>
            <w:hideMark/>
          </w:tcPr>
          <w:p w14:paraId="045488DA" w14:textId="77777777" w:rsidR="00E47AB8" w:rsidRPr="008B2F8A" w:rsidRDefault="00E47AB8" w:rsidP="00422306">
            <w:pPr>
              <w:pStyle w:val="Tabletext"/>
              <w:spacing w:before="40" w:after="80" w:line="276" w:lineRule="auto"/>
              <w:jc w:val="right"/>
            </w:pPr>
            <w:r w:rsidRPr="008B2F8A">
              <w:t>20%</w:t>
            </w:r>
          </w:p>
        </w:tc>
        <w:tc>
          <w:tcPr>
            <w:tcW w:w="470" w:type="pct"/>
            <w:tcBorders>
              <w:top w:val="nil"/>
              <w:bottom w:val="single" w:sz="4" w:space="0" w:color="auto"/>
            </w:tcBorders>
            <w:shd w:val="clear" w:color="auto" w:fill="auto"/>
            <w:noWrap/>
            <w:hideMark/>
          </w:tcPr>
          <w:p w14:paraId="3A12C6F9" w14:textId="77777777" w:rsidR="00E47AB8" w:rsidRPr="008B2F8A" w:rsidRDefault="00E47AB8" w:rsidP="00422306">
            <w:pPr>
              <w:pStyle w:val="Tabletext"/>
              <w:spacing w:before="40" w:after="80" w:line="276" w:lineRule="auto"/>
              <w:jc w:val="right"/>
            </w:pPr>
            <w:r w:rsidRPr="008B2F8A">
              <w:t>$26,066</w:t>
            </w:r>
          </w:p>
        </w:tc>
        <w:tc>
          <w:tcPr>
            <w:tcW w:w="469" w:type="pct"/>
            <w:tcBorders>
              <w:top w:val="nil"/>
              <w:bottom w:val="single" w:sz="4" w:space="0" w:color="auto"/>
            </w:tcBorders>
            <w:shd w:val="clear" w:color="auto" w:fill="auto"/>
            <w:noWrap/>
            <w:hideMark/>
          </w:tcPr>
          <w:p w14:paraId="7D6805A3" w14:textId="77777777" w:rsidR="00E47AB8" w:rsidRPr="008B2F8A" w:rsidRDefault="00E47AB8" w:rsidP="00422306">
            <w:pPr>
              <w:pStyle w:val="Tabletext"/>
              <w:spacing w:before="40" w:after="80" w:line="276" w:lineRule="auto"/>
              <w:jc w:val="right"/>
            </w:pPr>
            <w:r w:rsidRPr="008B2F8A">
              <w:t>$30,464</w:t>
            </w:r>
          </w:p>
        </w:tc>
        <w:tc>
          <w:tcPr>
            <w:tcW w:w="626" w:type="pct"/>
            <w:tcBorders>
              <w:top w:val="nil"/>
              <w:bottom w:val="single" w:sz="4" w:space="0" w:color="auto"/>
            </w:tcBorders>
            <w:shd w:val="clear" w:color="auto" w:fill="auto"/>
            <w:noWrap/>
            <w:hideMark/>
          </w:tcPr>
          <w:p w14:paraId="1AAD2D7C" w14:textId="77777777" w:rsidR="00E47AB8" w:rsidRPr="008B2F8A" w:rsidRDefault="00E47AB8" w:rsidP="00422306">
            <w:pPr>
              <w:pStyle w:val="Tabletext"/>
              <w:spacing w:before="40" w:after="80" w:line="276" w:lineRule="auto"/>
              <w:jc w:val="right"/>
            </w:pPr>
            <w:r w:rsidRPr="008B2F8A">
              <w:t>$16,980</w:t>
            </w:r>
          </w:p>
        </w:tc>
        <w:tc>
          <w:tcPr>
            <w:tcW w:w="548" w:type="pct"/>
            <w:tcBorders>
              <w:top w:val="nil"/>
              <w:bottom w:val="single" w:sz="4" w:space="0" w:color="auto"/>
            </w:tcBorders>
            <w:shd w:val="clear" w:color="auto" w:fill="auto"/>
            <w:noWrap/>
            <w:hideMark/>
          </w:tcPr>
          <w:p w14:paraId="00B6BDDA" w14:textId="77777777" w:rsidR="00E47AB8" w:rsidRPr="008B2F8A" w:rsidRDefault="00E47AB8" w:rsidP="00422306">
            <w:pPr>
              <w:pStyle w:val="Tabletext"/>
              <w:spacing w:before="40" w:after="80" w:line="276" w:lineRule="auto"/>
              <w:jc w:val="right"/>
            </w:pPr>
            <w:r w:rsidRPr="008B2F8A">
              <w:t>$24,201</w:t>
            </w:r>
          </w:p>
        </w:tc>
        <w:tc>
          <w:tcPr>
            <w:tcW w:w="525" w:type="pct"/>
            <w:tcBorders>
              <w:top w:val="nil"/>
              <w:bottom w:val="single" w:sz="4" w:space="0" w:color="auto"/>
            </w:tcBorders>
            <w:shd w:val="clear" w:color="auto" w:fill="auto"/>
            <w:noWrap/>
            <w:hideMark/>
          </w:tcPr>
          <w:p w14:paraId="7D9DF277" w14:textId="77777777" w:rsidR="00E47AB8" w:rsidRPr="008B2F8A" w:rsidRDefault="00E47AB8" w:rsidP="00422306">
            <w:pPr>
              <w:pStyle w:val="Tabletext"/>
              <w:spacing w:before="40" w:after="80" w:line="276" w:lineRule="auto"/>
              <w:jc w:val="right"/>
            </w:pPr>
            <w:r w:rsidRPr="008B2F8A">
              <w:t>$24,415</w:t>
            </w:r>
          </w:p>
        </w:tc>
      </w:tr>
      <w:tr w:rsidR="00E47AB8" w:rsidRPr="008B2F8A" w14:paraId="0F5DB393" w14:textId="77777777" w:rsidTr="00F820E5">
        <w:tc>
          <w:tcPr>
            <w:tcW w:w="1971" w:type="pct"/>
            <w:tcBorders>
              <w:bottom w:val="nil"/>
            </w:tcBorders>
            <w:shd w:val="clear" w:color="auto" w:fill="auto"/>
            <w:noWrap/>
            <w:hideMark/>
          </w:tcPr>
          <w:p w14:paraId="500F8B7A" w14:textId="33B7A799" w:rsidR="00E47AB8" w:rsidRPr="008B2F8A" w:rsidRDefault="00E47AB8" w:rsidP="00422306">
            <w:pPr>
              <w:pStyle w:val="Tabletext"/>
              <w:spacing w:before="40" w:after="80" w:line="276" w:lineRule="auto"/>
            </w:pPr>
            <w:r w:rsidRPr="008B2F8A">
              <w:t xml:space="preserve">Decrement in 5-year </w:t>
            </w:r>
            <w:bookmarkStart w:id="167" w:name="OLE_LINK280"/>
            <w:bookmarkStart w:id="168" w:name="OLE_LINK281"/>
            <w:r w:rsidRPr="008B2F8A">
              <w:t>overall survival</w:t>
            </w:r>
            <w:bookmarkEnd w:id="167"/>
            <w:bookmarkEnd w:id="168"/>
            <w:r w:rsidRPr="008B2F8A">
              <w:t xml:space="preserve"> due to delayed detection</w:t>
            </w:r>
          </w:p>
        </w:tc>
        <w:tc>
          <w:tcPr>
            <w:tcW w:w="391" w:type="pct"/>
            <w:tcBorders>
              <w:bottom w:val="nil"/>
            </w:tcBorders>
            <w:shd w:val="clear" w:color="auto" w:fill="auto"/>
            <w:noWrap/>
            <w:hideMark/>
          </w:tcPr>
          <w:p w14:paraId="7F66A487" w14:textId="77777777" w:rsidR="00E47AB8" w:rsidRPr="008B2F8A" w:rsidRDefault="00E47AB8" w:rsidP="00422306">
            <w:pPr>
              <w:pStyle w:val="Tabletext"/>
              <w:spacing w:before="40" w:after="80" w:line="276" w:lineRule="auto"/>
              <w:jc w:val="right"/>
            </w:pPr>
            <w:r w:rsidRPr="008B2F8A">
              <w:t>5%</w:t>
            </w:r>
          </w:p>
        </w:tc>
        <w:tc>
          <w:tcPr>
            <w:tcW w:w="470" w:type="pct"/>
            <w:tcBorders>
              <w:bottom w:val="nil"/>
            </w:tcBorders>
            <w:shd w:val="clear" w:color="auto" w:fill="auto"/>
            <w:noWrap/>
            <w:hideMark/>
          </w:tcPr>
          <w:p w14:paraId="1FC2CDC0" w14:textId="77777777" w:rsidR="00E47AB8" w:rsidRPr="008B2F8A" w:rsidRDefault="00E47AB8" w:rsidP="00422306">
            <w:pPr>
              <w:pStyle w:val="Tabletext"/>
              <w:spacing w:before="40" w:after="80" w:line="276" w:lineRule="auto"/>
              <w:jc w:val="right"/>
            </w:pPr>
            <w:r w:rsidRPr="008B2F8A">
              <w:t>$110,157</w:t>
            </w:r>
          </w:p>
        </w:tc>
        <w:tc>
          <w:tcPr>
            <w:tcW w:w="469" w:type="pct"/>
            <w:tcBorders>
              <w:bottom w:val="nil"/>
            </w:tcBorders>
            <w:shd w:val="clear" w:color="auto" w:fill="auto"/>
            <w:noWrap/>
            <w:hideMark/>
          </w:tcPr>
          <w:p w14:paraId="0F5BF839" w14:textId="77777777" w:rsidR="00E47AB8" w:rsidRPr="008B2F8A" w:rsidRDefault="00E47AB8" w:rsidP="00422306">
            <w:pPr>
              <w:pStyle w:val="Tabletext"/>
              <w:spacing w:before="40" w:after="80" w:line="276" w:lineRule="auto"/>
              <w:jc w:val="right"/>
            </w:pPr>
            <w:r w:rsidRPr="008B2F8A">
              <w:t>$357,678</w:t>
            </w:r>
          </w:p>
        </w:tc>
        <w:tc>
          <w:tcPr>
            <w:tcW w:w="626" w:type="pct"/>
            <w:tcBorders>
              <w:bottom w:val="nil"/>
            </w:tcBorders>
            <w:shd w:val="clear" w:color="auto" w:fill="auto"/>
            <w:noWrap/>
            <w:hideMark/>
          </w:tcPr>
          <w:p w14:paraId="564E6265" w14:textId="77777777" w:rsidR="00E47AB8" w:rsidRPr="008B2F8A" w:rsidRDefault="00E47AB8" w:rsidP="00422306">
            <w:pPr>
              <w:pStyle w:val="Tabletext"/>
              <w:spacing w:before="40" w:after="80" w:line="276" w:lineRule="auto"/>
              <w:jc w:val="right"/>
            </w:pPr>
            <w:r w:rsidRPr="008B2F8A">
              <w:t>$225,657</w:t>
            </w:r>
          </w:p>
        </w:tc>
        <w:tc>
          <w:tcPr>
            <w:tcW w:w="548" w:type="pct"/>
            <w:tcBorders>
              <w:bottom w:val="nil"/>
            </w:tcBorders>
            <w:shd w:val="clear" w:color="auto" w:fill="auto"/>
            <w:noWrap/>
            <w:hideMark/>
          </w:tcPr>
          <w:p w14:paraId="1821A5AB" w14:textId="77777777" w:rsidR="00E47AB8" w:rsidRPr="008B2F8A" w:rsidRDefault="00E47AB8" w:rsidP="00422306">
            <w:pPr>
              <w:pStyle w:val="Tabletext"/>
              <w:spacing w:before="40" w:after="80" w:line="276" w:lineRule="auto"/>
              <w:jc w:val="right"/>
            </w:pPr>
            <w:r w:rsidRPr="008B2F8A">
              <w:t>$324,638</w:t>
            </w:r>
          </w:p>
        </w:tc>
        <w:tc>
          <w:tcPr>
            <w:tcW w:w="525" w:type="pct"/>
            <w:tcBorders>
              <w:bottom w:val="nil"/>
            </w:tcBorders>
            <w:shd w:val="clear" w:color="auto" w:fill="auto"/>
            <w:noWrap/>
            <w:hideMark/>
          </w:tcPr>
          <w:p w14:paraId="5DDD56F4" w14:textId="77777777" w:rsidR="00E47AB8" w:rsidRPr="008B2F8A" w:rsidRDefault="00E47AB8" w:rsidP="00422306">
            <w:pPr>
              <w:pStyle w:val="Tabletext"/>
              <w:spacing w:before="40" w:after="80" w:line="276" w:lineRule="auto"/>
              <w:jc w:val="right"/>
            </w:pPr>
            <w:r w:rsidRPr="008B2F8A">
              <w:t>$687,130</w:t>
            </w:r>
          </w:p>
        </w:tc>
      </w:tr>
      <w:tr w:rsidR="00E47AB8" w:rsidRPr="008B2F8A" w14:paraId="2B943BCE" w14:textId="77777777" w:rsidTr="00F820E5">
        <w:tc>
          <w:tcPr>
            <w:tcW w:w="1971" w:type="pct"/>
            <w:tcBorders>
              <w:top w:val="nil"/>
              <w:bottom w:val="nil"/>
            </w:tcBorders>
            <w:shd w:val="clear" w:color="auto" w:fill="auto"/>
            <w:noWrap/>
            <w:hideMark/>
          </w:tcPr>
          <w:p w14:paraId="18BEB538" w14:textId="77777777" w:rsidR="00E47AB8" w:rsidRPr="00F820E5" w:rsidRDefault="00E47AB8" w:rsidP="00422306">
            <w:pPr>
              <w:pStyle w:val="Tabletext"/>
              <w:spacing w:before="40" w:after="80" w:line="276" w:lineRule="auto"/>
              <w:rPr>
                <w:color w:val="FFFFFF" w:themeColor="background1"/>
              </w:rPr>
            </w:pPr>
            <w:r w:rsidRPr="00F820E5">
              <w:rPr>
                <w:color w:val="FFFFFF" w:themeColor="background1"/>
              </w:rPr>
              <w:t>-</w:t>
            </w:r>
          </w:p>
        </w:tc>
        <w:tc>
          <w:tcPr>
            <w:tcW w:w="391" w:type="pct"/>
            <w:tcBorders>
              <w:top w:val="nil"/>
              <w:bottom w:val="nil"/>
            </w:tcBorders>
            <w:shd w:val="clear" w:color="auto" w:fill="auto"/>
            <w:noWrap/>
            <w:hideMark/>
          </w:tcPr>
          <w:p w14:paraId="673ADC44" w14:textId="77777777" w:rsidR="00E47AB8" w:rsidRPr="008B2F8A" w:rsidRDefault="00E47AB8" w:rsidP="00422306">
            <w:pPr>
              <w:pStyle w:val="Tabletext"/>
              <w:spacing w:before="40" w:after="80" w:line="276" w:lineRule="auto"/>
              <w:jc w:val="right"/>
            </w:pPr>
            <w:r w:rsidRPr="008B2F8A">
              <w:t>10%</w:t>
            </w:r>
          </w:p>
        </w:tc>
        <w:tc>
          <w:tcPr>
            <w:tcW w:w="470" w:type="pct"/>
            <w:tcBorders>
              <w:top w:val="nil"/>
              <w:bottom w:val="nil"/>
            </w:tcBorders>
            <w:shd w:val="clear" w:color="auto" w:fill="auto"/>
            <w:noWrap/>
            <w:hideMark/>
          </w:tcPr>
          <w:p w14:paraId="5820FC03" w14:textId="77777777" w:rsidR="00E47AB8" w:rsidRPr="008B2F8A" w:rsidRDefault="00E47AB8" w:rsidP="00422306">
            <w:pPr>
              <w:pStyle w:val="Tabletext"/>
              <w:spacing w:before="40" w:after="80" w:line="276" w:lineRule="auto"/>
              <w:jc w:val="right"/>
            </w:pPr>
            <w:r w:rsidRPr="008B2F8A">
              <w:t>$53,658</w:t>
            </w:r>
          </w:p>
        </w:tc>
        <w:tc>
          <w:tcPr>
            <w:tcW w:w="469" w:type="pct"/>
            <w:tcBorders>
              <w:top w:val="nil"/>
              <w:bottom w:val="nil"/>
            </w:tcBorders>
            <w:shd w:val="clear" w:color="auto" w:fill="auto"/>
            <w:noWrap/>
            <w:hideMark/>
          </w:tcPr>
          <w:p w14:paraId="0470DABB" w14:textId="77777777" w:rsidR="00E47AB8" w:rsidRPr="008B2F8A" w:rsidRDefault="00E47AB8" w:rsidP="00422306">
            <w:pPr>
              <w:pStyle w:val="Tabletext"/>
              <w:spacing w:before="40" w:after="80" w:line="276" w:lineRule="auto"/>
              <w:jc w:val="right"/>
            </w:pPr>
            <w:r w:rsidRPr="008B2F8A">
              <w:t>$174,247</w:t>
            </w:r>
          </w:p>
        </w:tc>
        <w:tc>
          <w:tcPr>
            <w:tcW w:w="626" w:type="pct"/>
            <w:tcBorders>
              <w:top w:val="nil"/>
              <w:bottom w:val="nil"/>
            </w:tcBorders>
            <w:shd w:val="clear" w:color="auto" w:fill="auto"/>
            <w:noWrap/>
            <w:hideMark/>
          </w:tcPr>
          <w:p w14:paraId="7883F107" w14:textId="77777777" w:rsidR="00E47AB8" w:rsidRPr="008B2F8A" w:rsidRDefault="00E47AB8" w:rsidP="00422306">
            <w:pPr>
              <w:pStyle w:val="Tabletext"/>
              <w:spacing w:before="40" w:after="80" w:line="276" w:lineRule="auto"/>
              <w:jc w:val="right"/>
            </w:pPr>
            <w:r w:rsidRPr="008B2F8A">
              <w:t>$110,894</w:t>
            </w:r>
          </w:p>
        </w:tc>
        <w:tc>
          <w:tcPr>
            <w:tcW w:w="548" w:type="pct"/>
            <w:tcBorders>
              <w:top w:val="nil"/>
              <w:bottom w:val="nil"/>
            </w:tcBorders>
            <w:shd w:val="clear" w:color="auto" w:fill="auto"/>
            <w:noWrap/>
            <w:hideMark/>
          </w:tcPr>
          <w:p w14:paraId="78C2831D" w14:textId="77777777" w:rsidR="00E47AB8" w:rsidRPr="008B2F8A" w:rsidRDefault="00E47AB8" w:rsidP="00422306">
            <w:pPr>
              <w:pStyle w:val="Tabletext"/>
              <w:spacing w:before="40" w:after="80" w:line="276" w:lineRule="auto"/>
              <w:jc w:val="right"/>
            </w:pPr>
            <w:r w:rsidRPr="008B2F8A">
              <w:t>$158,210</w:t>
            </w:r>
          </w:p>
        </w:tc>
        <w:tc>
          <w:tcPr>
            <w:tcW w:w="525" w:type="pct"/>
            <w:tcBorders>
              <w:top w:val="nil"/>
              <w:bottom w:val="nil"/>
            </w:tcBorders>
            <w:shd w:val="clear" w:color="auto" w:fill="auto"/>
            <w:noWrap/>
            <w:hideMark/>
          </w:tcPr>
          <w:p w14:paraId="592CED30" w14:textId="77777777" w:rsidR="00E47AB8" w:rsidRPr="008B2F8A" w:rsidRDefault="00E47AB8" w:rsidP="00422306">
            <w:pPr>
              <w:pStyle w:val="Tabletext"/>
              <w:spacing w:before="40" w:after="80" w:line="276" w:lineRule="auto"/>
              <w:jc w:val="right"/>
            </w:pPr>
            <w:r w:rsidRPr="008B2F8A">
              <w:t>$337,273</w:t>
            </w:r>
          </w:p>
        </w:tc>
      </w:tr>
      <w:tr w:rsidR="00E47AB8" w:rsidRPr="008B2F8A" w14:paraId="34D89C81" w14:textId="77777777" w:rsidTr="00F820E5">
        <w:tc>
          <w:tcPr>
            <w:tcW w:w="1971" w:type="pct"/>
            <w:tcBorders>
              <w:top w:val="nil"/>
              <w:bottom w:val="nil"/>
            </w:tcBorders>
            <w:shd w:val="clear" w:color="auto" w:fill="auto"/>
            <w:noWrap/>
            <w:hideMark/>
          </w:tcPr>
          <w:p w14:paraId="70C720DB" w14:textId="77777777" w:rsidR="00E47AB8" w:rsidRPr="00F820E5" w:rsidRDefault="00E47AB8" w:rsidP="00422306">
            <w:pPr>
              <w:pStyle w:val="Tabletext"/>
              <w:spacing w:before="40" w:after="80" w:line="276" w:lineRule="auto"/>
              <w:rPr>
                <w:color w:val="FFFFFF" w:themeColor="background1"/>
              </w:rPr>
            </w:pPr>
            <w:r w:rsidRPr="00F820E5">
              <w:rPr>
                <w:color w:val="FFFFFF" w:themeColor="background1"/>
              </w:rPr>
              <w:t>-</w:t>
            </w:r>
          </w:p>
        </w:tc>
        <w:tc>
          <w:tcPr>
            <w:tcW w:w="391" w:type="pct"/>
            <w:tcBorders>
              <w:top w:val="nil"/>
              <w:bottom w:val="nil"/>
            </w:tcBorders>
            <w:shd w:val="clear" w:color="auto" w:fill="auto"/>
            <w:noWrap/>
            <w:hideMark/>
          </w:tcPr>
          <w:p w14:paraId="2244554A" w14:textId="77777777" w:rsidR="00E47AB8" w:rsidRPr="008B2F8A" w:rsidRDefault="00E47AB8" w:rsidP="00422306">
            <w:pPr>
              <w:pStyle w:val="Tabletext"/>
              <w:spacing w:before="40" w:after="80" w:line="276" w:lineRule="auto"/>
              <w:jc w:val="right"/>
            </w:pPr>
            <w:r w:rsidRPr="008B2F8A">
              <w:t>15%</w:t>
            </w:r>
          </w:p>
        </w:tc>
        <w:tc>
          <w:tcPr>
            <w:tcW w:w="470" w:type="pct"/>
            <w:tcBorders>
              <w:top w:val="nil"/>
              <w:bottom w:val="nil"/>
            </w:tcBorders>
            <w:shd w:val="clear" w:color="auto" w:fill="auto"/>
            <w:noWrap/>
            <w:hideMark/>
          </w:tcPr>
          <w:p w14:paraId="3288C8BB" w14:textId="77777777" w:rsidR="00E47AB8" w:rsidRPr="008B2F8A" w:rsidRDefault="00E47AB8" w:rsidP="00422306">
            <w:pPr>
              <w:pStyle w:val="Tabletext"/>
              <w:spacing w:before="40" w:after="80" w:line="276" w:lineRule="auto"/>
              <w:jc w:val="right"/>
            </w:pPr>
            <w:r w:rsidRPr="008B2F8A">
              <w:t>$35,460</w:t>
            </w:r>
          </w:p>
        </w:tc>
        <w:tc>
          <w:tcPr>
            <w:tcW w:w="469" w:type="pct"/>
            <w:tcBorders>
              <w:top w:val="nil"/>
              <w:bottom w:val="nil"/>
            </w:tcBorders>
            <w:shd w:val="clear" w:color="auto" w:fill="auto"/>
            <w:noWrap/>
            <w:hideMark/>
          </w:tcPr>
          <w:p w14:paraId="44898766" w14:textId="77777777" w:rsidR="00E47AB8" w:rsidRPr="008B2F8A" w:rsidRDefault="00E47AB8" w:rsidP="00422306">
            <w:pPr>
              <w:pStyle w:val="Tabletext"/>
              <w:spacing w:before="40" w:after="80" w:line="276" w:lineRule="auto"/>
              <w:jc w:val="right"/>
            </w:pPr>
            <w:r w:rsidRPr="008B2F8A">
              <w:t>$115,124</w:t>
            </w:r>
          </w:p>
        </w:tc>
        <w:tc>
          <w:tcPr>
            <w:tcW w:w="626" w:type="pct"/>
            <w:tcBorders>
              <w:top w:val="nil"/>
              <w:bottom w:val="nil"/>
            </w:tcBorders>
            <w:shd w:val="clear" w:color="auto" w:fill="auto"/>
            <w:noWrap/>
            <w:hideMark/>
          </w:tcPr>
          <w:p w14:paraId="6B1C293F" w14:textId="77777777" w:rsidR="00E47AB8" w:rsidRPr="008B2F8A" w:rsidRDefault="00E47AB8" w:rsidP="00422306">
            <w:pPr>
              <w:pStyle w:val="Tabletext"/>
              <w:spacing w:before="40" w:after="80" w:line="276" w:lineRule="auto"/>
              <w:jc w:val="right"/>
            </w:pPr>
            <w:r w:rsidRPr="008B2F8A">
              <w:t>$73,334</w:t>
            </w:r>
          </w:p>
        </w:tc>
        <w:tc>
          <w:tcPr>
            <w:tcW w:w="548" w:type="pct"/>
            <w:tcBorders>
              <w:top w:val="nil"/>
              <w:bottom w:val="nil"/>
            </w:tcBorders>
            <w:shd w:val="clear" w:color="auto" w:fill="auto"/>
            <w:noWrap/>
            <w:hideMark/>
          </w:tcPr>
          <w:p w14:paraId="326743E2" w14:textId="77777777" w:rsidR="00E47AB8" w:rsidRPr="008B2F8A" w:rsidRDefault="00E47AB8" w:rsidP="00422306">
            <w:pPr>
              <w:pStyle w:val="Tabletext"/>
              <w:spacing w:before="40" w:after="80" w:line="276" w:lineRule="auto"/>
              <w:jc w:val="right"/>
            </w:pPr>
            <w:r w:rsidRPr="008B2F8A">
              <w:t>$104,352</w:t>
            </w:r>
          </w:p>
        </w:tc>
        <w:tc>
          <w:tcPr>
            <w:tcW w:w="525" w:type="pct"/>
            <w:tcBorders>
              <w:top w:val="nil"/>
              <w:bottom w:val="nil"/>
            </w:tcBorders>
            <w:shd w:val="clear" w:color="auto" w:fill="auto"/>
            <w:noWrap/>
            <w:hideMark/>
          </w:tcPr>
          <w:p w14:paraId="3EA40174" w14:textId="77777777" w:rsidR="00E47AB8" w:rsidRPr="008B2F8A" w:rsidRDefault="00E47AB8" w:rsidP="00422306">
            <w:pPr>
              <w:pStyle w:val="Tabletext"/>
              <w:spacing w:before="40" w:after="80" w:line="276" w:lineRule="auto"/>
              <w:jc w:val="right"/>
            </w:pPr>
            <w:r w:rsidRPr="008B2F8A">
              <w:t>$222,630</w:t>
            </w:r>
          </w:p>
        </w:tc>
      </w:tr>
      <w:tr w:rsidR="00E47AB8" w:rsidRPr="008B2F8A" w14:paraId="78A7F2C6" w14:textId="77777777" w:rsidTr="00F820E5">
        <w:tc>
          <w:tcPr>
            <w:tcW w:w="1971" w:type="pct"/>
            <w:tcBorders>
              <w:top w:val="nil"/>
              <w:bottom w:val="nil"/>
            </w:tcBorders>
            <w:shd w:val="clear" w:color="auto" w:fill="auto"/>
            <w:noWrap/>
            <w:hideMark/>
          </w:tcPr>
          <w:p w14:paraId="74F8C0C6" w14:textId="77777777" w:rsidR="00E47AB8" w:rsidRPr="00F820E5" w:rsidRDefault="00E47AB8" w:rsidP="00422306">
            <w:pPr>
              <w:pStyle w:val="Tabletext"/>
              <w:spacing w:before="40" w:after="80" w:line="276" w:lineRule="auto"/>
              <w:rPr>
                <w:color w:val="FFFFFF" w:themeColor="background1"/>
              </w:rPr>
            </w:pPr>
            <w:r w:rsidRPr="00F820E5">
              <w:rPr>
                <w:color w:val="FFFFFF" w:themeColor="background1"/>
              </w:rPr>
              <w:t>-</w:t>
            </w:r>
          </w:p>
        </w:tc>
        <w:tc>
          <w:tcPr>
            <w:tcW w:w="391" w:type="pct"/>
            <w:tcBorders>
              <w:top w:val="nil"/>
              <w:bottom w:val="nil"/>
            </w:tcBorders>
            <w:shd w:val="clear" w:color="auto" w:fill="auto"/>
            <w:noWrap/>
            <w:hideMark/>
          </w:tcPr>
          <w:p w14:paraId="060869D0" w14:textId="77777777" w:rsidR="00E47AB8" w:rsidRPr="008B2F8A" w:rsidRDefault="00E47AB8" w:rsidP="00422306">
            <w:pPr>
              <w:pStyle w:val="Tabletext"/>
              <w:spacing w:before="40" w:after="80" w:line="276" w:lineRule="auto"/>
              <w:jc w:val="right"/>
            </w:pPr>
            <w:r w:rsidRPr="008B2F8A">
              <w:t>20%</w:t>
            </w:r>
          </w:p>
        </w:tc>
        <w:tc>
          <w:tcPr>
            <w:tcW w:w="470" w:type="pct"/>
            <w:tcBorders>
              <w:top w:val="nil"/>
              <w:bottom w:val="nil"/>
            </w:tcBorders>
            <w:shd w:val="clear" w:color="auto" w:fill="auto"/>
            <w:noWrap/>
            <w:hideMark/>
          </w:tcPr>
          <w:p w14:paraId="0BD00A09" w14:textId="77777777" w:rsidR="00E47AB8" w:rsidRPr="008B2F8A" w:rsidRDefault="00E47AB8" w:rsidP="00422306">
            <w:pPr>
              <w:pStyle w:val="Tabletext"/>
              <w:spacing w:before="40" w:after="80" w:line="276" w:lineRule="auto"/>
              <w:jc w:val="right"/>
            </w:pPr>
            <w:r w:rsidRPr="008B2F8A">
              <w:t>$26,414</w:t>
            </w:r>
          </w:p>
        </w:tc>
        <w:tc>
          <w:tcPr>
            <w:tcW w:w="469" w:type="pct"/>
            <w:tcBorders>
              <w:top w:val="nil"/>
              <w:bottom w:val="nil"/>
            </w:tcBorders>
            <w:shd w:val="clear" w:color="auto" w:fill="auto"/>
            <w:noWrap/>
            <w:hideMark/>
          </w:tcPr>
          <w:p w14:paraId="471DBAF5" w14:textId="77777777" w:rsidR="00E47AB8" w:rsidRPr="008B2F8A" w:rsidRDefault="00E47AB8" w:rsidP="00422306">
            <w:pPr>
              <w:pStyle w:val="Tabletext"/>
              <w:spacing w:before="40" w:after="80" w:line="276" w:lineRule="auto"/>
              <w:jc w:val="right"/>
            </w:pPr>
            <w:r w:rsidRPr="008B2F8A">
              <w:t>$85,911</w:t>
            </w:r>
          </w:p>
        </w:tc>
        <w:tc>
          <w:tcPr>
            <w:tcW w:w="626" w:type="pct"/>
            <w:tcBorders>
              <w:top w:val="nil"/>
              <w:bottom w:val="nil"/>
            </w:tcBorders>
            <w:shd w:val="clear" w:color="auto" w:fill="auto"/>
            <w:noWrap/>
            <w:hideMark/>
          </w:tcPr>
          <w:p w14:paraId="5A9A31FA" w14:textId="77777777" w:rsidR="00E47AB8" w:rsidRPr="008B2F8A" w:rsidRDefault="00E47AB8" w:rsidP="00422306">
            <w:pPr>
              <w:pStyle w:val="Tabletext"/>
              <w:spacing w:before="40" w:after="80" w:line="276" w:lineRule="auto"/>
              <w:jc w:val="right"/>
            </w:pPr>
            <w:r w:rsidRPr="008B2F8A">
              <w:t>$54,672</w:t>
            </w:r>
          </w:p>
        </w:tc>
        <w:tc>
          <w:tcPr>
            <w:tcW w:w="548" w:type="pct"/>
            <w:tcBorders>
              <w:top w:val="nil"/>
              <w:bottom w:val="nil"/>
            </w:tcBorders>
            <w:shd w:val="clear" w:color="auto" w:fill="auto"/>
            <w:noWrap/>
            <w:hideMark/>
          </w:tcPr>
          <w:p w14:paraId="687C3004" w14:textId="77777777" w:rsidR="00E47AB8" w:rsidRPr="008B2F8A" w:rsidRDefault="00E47AB8" w:rsidP="00422306">
            <w:pPr>
              <w:pStyle w:val="Tabletext"/>
              <w:spacing w:before="40" w:after="80" w:line="276" w:lineRule="auto"/>
              <w:jc w:val="right"/>
            </w:pPr>
            <w:r w:rsidRPr="008B2F8A">
              <w:t>$77,704</w:t>
            </w:r>
          </w:p>
        </w:tc>
        <w:tc>
          <w:tcPr>
            <w:tcW w:w="525" w:type="pct"/>
            <w:tcBorders>
              <w:top w:val="nil"/>
              <w:bottom w:val="nil"/>
            </w:tcBorders>
            <w:shd w:val="clear" w:color="auto" w:fill="auto"/>
            <w:noWrap/>
            <w:hideMark/>
          </w:tcPr>
          <w:p w14:paraId="7F4AEE61" w14:textId="77777777" w:rsidR="00E47AB8" w:rsidRPr="008B2F8A" w:rsidRDefault="00E47AB8" w:rsidP="00422306">
            <w:pPr>
              <w:pStyle w:val="Tabletext"/>
              <w:spacing w:before="40" w:after="80" w:line="276" w:lineRule="auto"/>
              <w:jc w:val="right"/>
            </w:pPr>
            <w:r w:rsidRPr="008B2F8A">
              <w:t>$165,637</w:t>
            </w:r>
          </w:p>
        </w:tc>
      </w:tr>
      <w:tr w:rsidR="00E47AB8" w:rsidRPr="008B2F8A" w14:paraId="0BAF78DD" w14:textId="77777777" w:rsidTr="00F820E5">
        <w:tc>
          <w:tcPr>
            <w:tcW w:w="1971" w:type="pct"/>
            <w:tcBorders>
              <w:top w:val="nil"/>
              <w:bottom w:val="nil"/>
            </w:tcBorders>
            <w:shd w:val="clear" w:color="auto" w:fill="auto"/>
            <w:noWrap/>
            <w:hideMark/>
          </w:tcPr>
          <w:p w14:paraId="5E1999BA" w14:textId="77777777" w:rsidR="00E47AB8" w:rsidRPr="00F820E5" w:rsidRDefault="00E47AB8" w:rsidP="00422306">
            <w:pPr>
              <w:pStyle w:val="Tabletext"/>
              <w:spacing w:before="40" w:after="80" w:line="276" w:lineRule="auto"/>
              <w:rPr>
                <w:color w:val="FFFFFF" w:themeColor="background1"/>
              </w:rPr>
            </w:pPr>
            <w:r w:rsidRPr="00F820E5">
              <w:rPr>
                <w:color w:val="FFFFFF" w:themeColor="background1"/>
              </w:rPr>
              <w:t>-</w:t>
            </w:r>
          </w:p>
        </w:tc>
        <w:tc>
          <w:tcPr>
            <w:tcW w:w="391" w:type="pct"/>
            <w:tcBorders>
              <w:top w:val="nil"/>
              <w:bottom w:val="nil"/>
            </w:tcBorders>
            <w:shd w:val="clear" w:color="auto" w:fill="auto"/>
            <w:noWrap/>
            <w:hideMark/>
          </w:tcPr>
          <w:p w14:paraId="172B61E5" w14:textId="77777777" w:rsidR="00E47AB8" w:rsidRPr="008B2F8A" w:rsidRDefault="00E47AB8" w:rsidP="00422306">
            <w:pPr>
              <w:pStyle w:val="Tabletext"/>
              <w:spacing w:before="40" w:after="80" w:line="276" w:lineRule="auto"/>
              <w:jc w:val="right"/>
            </w:pPr>
            <w:r w:rsidRPr="008B2F8A">
              <w:t>25%</w:t>
            </w:r>
          </w:p>
        </w:tc>
        <w:tc>
          <w:tcPr>
            <w:tcW w:w="470" w:type="pct"/>
            <w:tcBorders>
              <w:top w:val="nil"/>
              <w:bottom w:val="nil"/>
            </w:tcBorders>
            <w:shd w:val="clear" w:color="auto" w:fill="auto"/>
            <w:noWrap/>
            <w:hideMark/>
          </w:tcPr>
          <w:p w14:paraId="76574230" w14:textId="77777777" w:rsidR="00E47AB8" w:rsidRPr="008B2F8A" w:rsidRDefault="00E47AB8" w:rsidP="00422306">
            <w:pPr>
              <w:pStyle w:val="Tabletext"/>
              <w:spacing w:before="40" w:after="80" w:line="276" w:lineRule="auto"/>
              <w:jc w:val="right"/>
            </w:pPr>
            <w:r w:rsidRPr="008B2F8A">
              <w:t>$20,939</w:t>
            </w:r>
          </w:p>
        </w:tc>
        <w:tc>
          <w:tcPr>
            <w:tcW w:w="469" w:type="pct"/>
            <w:tcBorders>
              <w:top w:val="nil"/>
              <w:bottom w:val="nil"/>
            </w:tcBorders>
            <w:shd w:val="clear" w:color="auto" w:fill="auto"/>
            <w:noWrap/>
            <w:hideMark/>
          </w:tcPr>
          <w:p w14:paraId="0C932DE4" w14:textId="77777777" w:rsidR="00E47AB8" w:rsidRPr="008B2F8A" w:rsidRDefault="00E47AB8" w:rsidP="00422306">
            <w:pPr>
              <w:pStyle w:val="Tabletext"/>
              <w:spacing w:before="40" w:after="80" w:line="276" w:lineRule="auto"/>
              <w:jc w:val="right"/>
            </w:pPr>
            <w:r w:rsidRPr="008B2F8A">
              <w:t>$68,482</w:t>
            </w:r>
          </w:p>
        </w:tc>
        <w:tc>
          <w:tcPr>
            <w:tcW w:w="626" w:type="pct"/>
            <w:tcBorders>
              <w:top w:val="nil"/>
              <w:bottom w:val="nil"/>
            </w:tcBorders>
            <w:shd w:val="clear" w:color="auto" w:fill="auto"/>
            <w:noWrap/>
            <w:hideMark/>
          </w:tcPr>
          <w:p w14:paraId="05544073" w14:textId="77777777" w:rsidR="00E47AB8" w:rsidRPr="008B2F8A" w:rsidRDefault="00E47AB8" w:rsidP="00422306">
            <w:pPr>
              <w:pStyle w:val="Tabletext"/>
              <w:spacing w:before="40" w:after="80" w:line="276" w:lineRule="auto"/>
              <w:jc w:val="right"/>
            </w:pPr>
            <w:r w:rsidRPr="008B2F8A">
              <w:t>$43,505</w:t>
            </w:r>
          </w:p>
        </w:tc>
        <w:tc>
          <w:tcPr>
            <w:tcW w:w="548" w:type="pct"/>
            <w:tcBorders>
              <w:top w:val="nil"/>
              <w:bottom w:val="nil"/>
            </w:tcBorders>
            <w:shd w:val="clear" w:color="auto" w:fill="auto"/>
            <w:noWrap/>
            <w:hideMark/>
          </w:tcPr>
          <w:p w14:paraId="0C392D3C" w14:textId="77777777" w:rsidR="00E47AB8" w:rsidRPr="008B2F8A" w:rsidRDefault="00E47AB8" w:rsidP="00422306">
            <w:pPr>
              <w:pStyle w:val="Tabletext"/>
              <w:spacing w:before="40" w:after="80" w:line="276" w:lineRule="auto"/>
              <w:jc w:val="right"/>
            </w:pPr>
            <w:r w:rsidRPr="008B2F8A">
              <w:t>$61,794</w:t>
            </w:r>
          </w:p>
        </w:tc>
        <w:tc>
          <w:tcPr>
            <w:tcW w:w="525" w:type="pct"/>
            <w:tcBorders>
              <w:top w:val="nil"/>
              <w:bottom w:val="nil"/>
            </w:tcBorders>
            <w:shd w:val="clear" w:color="auto" w:fill="auto"/>
            <w:noWrap/>
            <w:hideMark/>
          </w:tcPr>
          <w:p w14:paraId="088905C8" w14:textId="77777777" w:rsidR="00E47AB8" w:rsidRPr="008B2F8A" w:rsidRDefault="00E47AB8" w:rsidP="00422306">
            <w:pPr>
              <w:pStyle w:val="Tabletext"/>
              <w:spacing w:before="40" w:after="80" w:line="276" w:lineRule="auto"/>
              <w:jc w:val="right"/>
            </w:pPr>
            <w:r w:rsidRPr="008B2F8A">
              <w:t>$131,521</w:t>
            </w:r>
          </w:p>
        </w:tc>
      </w:tr>
      <w:tr w:rsidR="00E47AB8" w:rsidRPr="008B2F8A" w14:paraId="0B1FFC56" w14:textId="77777777" w:rsidTr="00F820E5">
        <w:tc>
          <w:tcPr>
            <w:tcW w:w="1971" w:type="pct"/>
            <w:tcBorders>
              <w:top w:val="nil"/>
              <w:bottom w:val="single" w:sz="4" w:space="0" w:color="auto"/>
            </w:tcBorders>
            <w:shd w:val="clear" w:color="auto" w:fill="auto"/>
            <w:noWrap/>
            <w:hideMark/>
          </w:tcPr>
          <w:p w14:paraId="65BC7A65" w14:textId="77777777" w:rsidR="00E47AB8" w:rsidRPr="00F820E5" w:rsidRDefault="00E47AB8" w:rsidP="00422306">
            <w:pPr>
              <w:pStyle w:val="Tabletext"/>
              <w:spacing w:before="40" w:after="80" w:line="276" w:lineRule="auto"/>
              <w:rPr>
                <w:color w:val="FFFFFF" w:themeColor="background1"/>
              </w:rPr>
            </w:pPr>
            <w:r w:rsidRPr="00F820E5">
              <w:rPr>
                <w:color w:val="FFFFFF" w:themeColor="background1"/>
              </w:rPr>
              <w:t>-</w:t>
            </w:r>
          </w:p>
        </w:tc>
        <w:tc>
          <w:tcPr>
            <w:tcW w:w="391" w:type="pct"/>
            <w:tcBorders>
              <w:top w:val="nil"/>
              <w:bottom w:val="single" w:sz="4" w:space="0" w:color="auto"/>
            </w:tcBorders>
            <w:shd w:val="clear" w:color="auto" w:fill="auto"/>
            <w:noWrap/>
            <w:hideMark/>
          </w:tcPr>
          <w:p w14:paraId="0AB052CE" w14:textId="77777777" w:rsidR="00E47AB8" w:rsidRPr="008B2F8A" w:rsidRDefault="00E47AB8" w:rsidP="00422306">
            <w:pPr>
              <w:pStyle w:val="Tabletext"/>
              <w:spacing w:before="40" w:after="80" w:line="276" w:lineRule="auto"/>
              <w:jc w:val="right"/>
            </w:pPr>
            <w:r w:rsidRPr="008B2F8A">
              <w:t>30%</w:t>
            </w:r>
          </w:p>
        </w:tc>
        <w:tc>
          <w:tcPr>
            <w:tcW w:w="470" w:type="pct"/>
            <w:tcBorders>
              <w:top w:val="nil"/>
              <w:bottom w:val="single" w:sz="4" w:space="0" w:color="auto"/>
            </w:tcBorders>
            <w:shd w:val="clear" w:color="auto" w:fill="auto"/>
            <w:noWrap/>
            <w:hideMark/>
          </w:tcPr>
          <w:p w14:paraId="296561B5" w14:textId="77777777" w:rsidR="00E47AB8" w:rsidRPr="008B2F8A" w:rsidRDefault="00E47AB8" w:rsidP="00422306">
            <w:pPr>
              <w:pStyle w:val="Tabletext"/>
              <w:spacing w:before="40" w:after="80" w:line="276" w:lineRule="auto"/>
              <w:jc w:val="right"/>
            </w:pPr>
            <w:r w:rsidRPr="008B2F8A">
              <w:t>$17,185</w:t>
            </w:r>
          </w:p>
        </w:tc>
        <w:tc>
          <w:tcPr>
            <w:tcW w:w="469" w:type="pct"/>
            <w:tcBorders>
              <w:top w:val="nil"/>
              <w:bottom w:val="single" w:sz="4" w:space="0" w:color="auto"/>
            </w:tcBorders>
            <w:shd w:val="clear" w:color="auto" w:fill="auto"/>
            <w:noWrap/>
            <w:hideMark/>
          </w:tcPr>
          <w:p w14:paraId="3162316D" w14:textId="77777777" w:rsidR="00E47AB8" w:rsidRPr="008B2F8A" w:rsidRDefault="00E47AB8" w:rsidP="00422306">
            <w:pPr>
              <w:pStyle w:val="Tabletext"/>
              <w:spacing w:before="40" w:after="80" w:line="276" w:lineRule="auto"/>
              <w:jc w:val="right"/>
            </w:pPr>
            <w:r w:rsidRPr="008B2F8A">
              <w:t>$56,895</w:t>
            </w:r>
          </w:p>
        </w:tc>
        <w:tc>
          <w:tcPr>
            <w:tcW w:w="626" w:type="pct"/>
            <w:tcBorders>
              <w:top w:val="nil"/>
              <w:bottom w:val="single" w:sz="4" w:space="0" w:color="auto"/>
            </w:tcBorders>
            <w:shd w:val="clear" w:color="auto" w:fill="auto"/>
            <w:noWrap/>
            <w:hideMark/>
          </w:tcPr>
          <w:p w14:paraId="1F0EDFD1" w14:textId="77777777" w:rsidR="00E47AB8" w:rsidRPr="008B2F8A" w:rsidRDefault="00E47AB8" w:rsidP="00422306">
            <w:pPr>
              <w:pStyle w:val="Tabletext"/>
              <w:spacing w:before="40" w:after="80" w:line="276" w:lineRule="auto"/>
              <w:jc w:val="right"/>
            </w:pPr>
            <w:r w:rsidRPr="008B2F8A">
              <w:t>$36,067</w:t>
            </w:r>
          </w:p>
        </w:tc>
        <w:tc>
          <w:tcPr>
            <w:tcW w:w="548" w:type="pct"/>
            <w:tcBorders>
              <w:top w:val="nil"/>
              <w:bottom w:val="single" w:sz="4" w:space="0" w:color="auto"/>
            </w:tcBorders>
            <w:shd w:val="clear" w:color="auto" w:fill="auto"/>
            <w:noWrap/>
            <w:hideMark/>
          </w:tcPr>
          <w:p w14:paraId="18AD17C4" w14:textId="77777777" w:rsidR="00E47AB8" w:rsidRPr="008B2F8A" w:rsidRDefault="00E47AB8" w:rsidP="00422306">
            <w:pPr>
              <w:pStyle w:val="Tabletext"/>
              <w:spacing w:before="40" w:after="80" w:line="276" w:lineRule="auto"/>
              <w:jc w:val="right"/>
            </w:pPr>
            <w:r w:rsidRPr="008B2F8A">
              <w:t>$51,213</w:t>
            </w:r>
          </w:p>
        </w:tc>
        <w:tc>
          <w:tcPr>
            <w:tcW w:w="525" w:type="pct"/>
            <w:tcBorders>
              <w:top w:val="nil"/>
              <w:bottom w:val="single" w:sz="4" w:space="0" w:color="auto"/>
            </w:tcBorders>
            <w:shd w:val="clear" w:color="auto" w:fill="auto"/>
            <w:noWrap/>
            <w:hideMark/>
          </w:tcPr>
          <w:p w14:paraId="43756E94" w14:textId="77777777" w:rsidR="00E47AB8" w:rsidRPr="008B2F8A" w:rsidRDefault="00E47AB8" w:rsidP="00422306">
            <w:pPr>
              <w:pStyle w:val="Tabletext"/>
              <w:spacing w:before="40" w:after="80" w:line="276" w:lineRule="auto"/>
              <w:jc w:val="right"/>
            </w:pPr>
            <w:r w:rsidRPr="008B2F8A">
              <w:t>$108,789</w:t>
            </w:r>
          </w:p>
        </w:tc>
      </w:tr>
    </w:tbl>
    <w:p w14:paraId="6520172D" w14:textId="77777777" w:rsidR="00E47AB8" w:rsidRPr="008B2F8A" w:rsidRDefault="00E47AB8" w:rsidP="00F820E5">
      <w:pPr>
        <w:pStyle w:val="TableNotesLast"/>
      </w:pPr>
      <w:r w:rsidRPr="008B2F8A">
        <w:t>DCIS = ductal carcinoma in situ; LCIS = lobular carcinoma in situ.</w:t>
      </w:r>
    </w:p>
    <w:p w14:paraId="1B26126F" w14:textId="77777777" w:rsidR="00E47AB8" w:rsidRPr="008B2F8A" w:rsidRDefault="00E47AB8" w:rsidP="00F820E5">
      <w:pPr>
        <w:pStyle w:val="Heading3"/>
      </w:pPr>
      <w:bookmarkStart w:id="169" w:name="_Toc383424416"/>
      <w:r w:rsidRPr="008B2F8A">
        <w:t>Key uncertainties in the economic evaluation</w:t>
      </w:r>
      <w:bookmarkEnd w:id="169"/>
    </w:p>
    <w:p w14:paraId="1E9DF42F" w14:textId="0CF61B05" w:rsidR="00E47AB8" w:rsidRPr="008B2F8A" w:rsidRDefault="00E47AB8" w:rsidP="00422306">
      <w:r w:rsidRPr="008B2F8A">
        <w:t>Five key uncertainties may affect the results of the economic model:</w:t>
      </w:r>
    </w:p>
    <w:p w14:paraId="2CAD69F8" w14:textId="71EC4C47" w:rsidR="00E47AB8" w:rsidRPr="008B2F8A" w:rsidRDefault="00E47AB8" w:rsidP="00E47AB8">
      <w:pPr>
        <w:pStyle w:val="ListParagraph"/>
        <w:numPr>
          <w:ilvl w:val="0"/>
          <w:numId w:val="79"/>
        </w:numPr>
      </w:pPr>
      <w:r w:rsidRPr="008B2F8A">
        <w:t xml:space="preserve">The breast cancer risks used in the </w:t>
      </w:r>
      <w:r w:rsidRPr="00F820E5">
        <w:rPr>
          <w:i/>
        </w:rPr>
        <w:t>BRCA1</w:t>
      </w:r>
      <w:r w:rsidRPr="008B2F8A">
        <w:t xml:space="preserve"> and familial high-risk populations imply a lifetime risk of breast cancer at the upper end of (or slightly higher than) rates reported in the literature. This overestimate of breast cancer risk will overestimate the benefit of the additional sensitivity with MRI.</w:t>
      </w:r>
    </w:p>
    <w:p w14:paraId="13C72018" w14:textId="0E5CF9DF" w:rsidR="00E47AB8" w:rsidRPr="008B2F8A" w:rsidRDefault="00E47AB8" w:rsidP="00E47AB8">
      <w:pPr>
        <w:pStyle w:val="ListParagraph"/>
        <w:numPr>
          <w:ilvl w:val="0"/>
          <w:numId w:val="79"/>
        </w:numPr>
      </w:pPr>
      <w:r w:rsidRPr="008B2F8A">
        <w:t>The breast cancer risks used in the prior populations are based on a single study of women with prior DCIS. The risk of subsequent breast cancers (both recurrent and second) in women treated for both invasive and noninvasive breast cancer is variable across these populations and highly uncertain.</w:t>
      </w:r>
    </w:p>
    <w:p w14:paraId="5926F9C1" w14:textId="11249920" w:rsidR="00E47AB8" w:rsidRPr="008B2F8A" w:rsidRDefault="00E47AB8" w:rsidP="00E47AB8">
      <w:pPr>
        <w:pStyle w:val="ListParagraph"/>
        <w:numPr>
          <w:ilvl w:val="0"/>
          <w:numId w:val="79"/>
        </w:numPr>
      </w:pPr>
      <w:r w:rsidRPr="008B2F8A">
        <w:t xml:space="preserve">The model assumes that early detection will improve 5-year overall survival by 18.8%. The assumptions and evidence required to link a change in diagnostic performance with improved survival are discussed in Section </w:t>
      </w:r>
      <w:r w:rsidRPr="008B2F8A">
        <w:fldChar w:fldCharType="begin"/>
      </w:r>
      <w:r w:rsidRPr="008B2F8A">
        <w:instrText xml:space="preserve"> REF _Ref255812455 \r \h </w:instrText>
      </w:r>
      <w:r w:rsidRPr="008B2F8A">
        <w:fldChar w:fldCharType="separate"/>
      </w:r>
      <w:r w:rsidR="00B81273">
        <w:t>D.4.2</w:t>
      </w:r>
      <w:r w:rsidRPr="008B2F8A">
        <w:fldChar w:fldCharType="end"/>
      </w:r>
      <w:r w:rsidRPr="008B2F8A">
        <w:t>. The benefits and harms of breast cancer screening in the general population are controversial, and an accurate estimate in these high-risk populations is not possible. However, it is clear that the cost-effectiveness of MRI relies heavily upon this assumption.</w:t>
      </w:r>
    </w:p>
    <w:p w14:paraId="4748546E" w14:textId="2DC59ACA" w:rsidR="00E47AB8" w:rsidRPr="008B2F8A" w:rsidRDefault="00E47AB8" w:rsidP="00E47AB8">
      <w:pPr>
        <w:pStyle w:val="ListParagraph"/>
        <w:numPr>
          <w:ilvl w:val="0"/>
          <w:numId w:val="79"/>
        </w:numPr>
      </w:pPr>
      <w:r w:rsidRPr="008B2F8A">
        <w:lastRenderedPageBreak/>
        <w:t>The accuracy of mammography used in the model is based largely on evidence using film screen mammography, which may be inferior to the more commonly used digital mammography, thus overestimating the benefit of adding MRI to screening.</w:t>
      </w:r>
    </w:p>
    <w:p w14:paraId="3CDBC858" w14:textId="77777777" w:rsidR="00E47AB8" w:rsidRPr="008B2F8A" w:rsidRDefault="00E47AB8" w:rsidP="00E47AB8">
      <w:pPr>
        <w:pStyle w:val="ListParagraph"/>
        <w:numPr>
          <w:ilvl w:val="0"/>
          <w:numId w:val="79"/>
        </w:numPr>
      </w:pPr>
      <w:r w:rsidRPr="008B2F8A">
        <w:t>The model does not incorporate the use of ultrasound, the inclusion of which is expected to reduce the incremental sensitivity of adding MRI to screening.</w:t>
      </w:r>
    </w:p>
    <w:p w14:paraId="56A19D47" w14:textId="77777777" w:rsidR="00E47AB8" w:rsidRPr="008B2F8A" w:rsidRDefault="00E47AB8" w:rsidP="00F820E5">
      <w:pPr>
        <w:pStyle w:val="Heading2"/>
        <w:numPr>
          <w:ilvl w:val="0"/>
          <w:numId w:val="0"/>
        </w:numPr>
      </w:pPr>
      <w:bookmarkStart w:id="170" w:name="_Toc383424417"/>
      <w:r w:rsidRPr="008B2F8A">
        <w:t>Financial/budgetary impacts</w:t>
      </w:r>
      <w:bookmarkEnd w:id="170"/>
    </w:p>
    <w:p w14:paraId="111B874F" w14:textId="77777777" w:rsidR="00E47AB8" w:rsidRPr="008B2F8A" w:rsidRDefault="00E47AB8" w:rsidP="00F820E5">
      <w:pPr>
        <w:pStyle w:val="Heading3"/>
      </w:pPr>
      <w:bookmarkStart w:id="171" w:name="_Toc383424418"/>
      <w:r w:rsidRPr="008B2F8A">
        <w:t>Method and approach</w:t>
      </w:r>
      <w:bookmarkEnd w:id="171"/>
    </w:p>
    <w:p w14:paraId="142E9517" w14:textId="112AC4DC" w:rsidR="00E47AB8" w:rsidRPr="008B2F8A" w:rsidRDefault="00E47AB8" w:rsidP="00F820E5">
      <w:r w:rsidRPr="008B2F8A">
        <w:t>For the currently listed population, future use was estimated on the basis of projection (linear increase) of the actual use of MBS item 63464 since July 2009 (</w:t>
      </w:r>
      <w:r w:rsidRPr="008B2F8A">
        <w:fldChar w:fldCharType="begin"/>
      </w:r>
      <w:r w:rsidRPr="008B2F8A">
        <w:instrText xml:space="preserve"> REF _Ref377641801 \h  \* MERGEFORMAT </w:instrText>
      </w:r>
      <w:r w:rsidRPr="008B2F8A">
        <w:fldChar w:fldCharType="separate"/>
      </w:r>
      <w:r w:rsidR="00B81273" w:rsidRPr="008B2F8A">
        <w:t xml:space="preserve">Table </w:t>
      </w:r>
      <w:r w:rsidR="00B81273">
        <w:rPr>
          <w:noProof/>
        </w:rPr>
        <w:t>E</w:t>
      </w:r>
      <w:r w:rsidR="00B81273" w:rsidRPr="008B2F8A">
        <w:rPr>
          <w:noProof/>
        </w:rPr>
        <w:t>.</w:t>
      </w:r>
      <w:r w:rsidR="00B81273">
        <w:rPr>
          <w:noProof/>
        </w:rPr>
        <w:t>6</w:t>
      </w:r>
      <w:r w:rsidRPr="008B2F8A">
        <w:fldChar w:fldCharType="end"/>
      </w:r>
      <w:r w:rsidRPr="008B2F8A">
        <w:t xml:space="preserve">, </w:t>
      </w:r>
      <w:r w:rsidRPr="008B2F8A">
        <w:fldChar w:fldCharType="begin"/>
      </w:r>
      <w:r w:rsidRPr="008B2F8A">
        <w:instrText xml:space="preserve"> REF _Ref373922192 \h  \* MERGEFORMAT </w:instrText>
      </w:r>
      <w:r w:rsidRPr="008B2F8A">
        <w:fldChar w:fldCharType="separate"/>
      </w:r>
      <w:r w:rsidR="00B81273" w:rsidRPr="008B2F8A">
        <w:t xml:space="preserve">Figure </w:t>
      </w:r>
      <w:r w:rsidR="00B81273">
        <w:rPr>
          <w:noProof/>
        </w:rPr>
        <w:t>E</w:t>
      </w:r>
      <w:r w:rsidR="00B81273" w:rsidRPr="008B2F8A">
        <w:rPr>
          <w:noProof/>
        </w:rPr>
        <w:t>.</w:t>
      </w:r>
      <w:r w:rsidR="00B81273">
        <w:rPr>
          <w:noProof/>
        </w:rPr>
        <w:t>1</w:t>
      </w:r>
      <w:r w:rsidRPr="008B2F8A">
        <w:fldChar w:fldCharType="end"/>
      </w:r>
      <w:r w:rsidRPr="008B2F8A">
        <w:t>).</w:t>
      </w:r>
    </w:p>
    <w:p w14:paraId="5A1A3E96" w14:textId="0DF22965" w:rsidR="00E47AB8" w:rsidRPr="008B2F8A" w:rsidRDefault="00E47AB8" w:rsidP="00422306">
      <w:r w:rsidRPr="008B2F8A">
        <w:t xml:space="preserve">For the proposed new populations, future use was estimated using an epidemiological approach where possible, and assumptions where data were lacking (Section </w:t>
      </w:r>
      <w:r w:rsidRPr="008B2F8A">
        <w:fldChar w:fldCharType="begin"/>
      </w:r>
      <w:r w:rsidRPr="008B2F8A">
        <w:instrText xml:space="preserve"> REF _Ref376855502 \r \h </w:instrText>
      </w:r>
      <w:r w:rsidRPr="008B2F8A">
        <w:fldChar w:fldCharType="separate"/>
      </w:r>
      <w:r w:rsidR="00B81273">
        <w:t>E.2.1</w:t>
      </w:r>
      <w:r w:rsidRPr="008B2F8A">
        <w:fldChar w:fldCharType="end"/>
      </w:r>
      <w:r w:rsidRPr="008B2F8A">
        <w:t>).</w:t>
      </w:r>
    </w:p>
    <w:p w14:paraId="3BDFF947" w14:textId="77777777" w:rsidR="00E47AB8" w:rsidRPr="008B2F8A" w:rsidRDefault="00E47AB8" w:rsidP="00422306">
      <w:r w:rsidRPr="008B2F8A">
        <w:t>The financial impact analyses focus on the additional cost of screening with MRI and the cost of the management of additional false-positive and true-positive findings from screening with MRI in addition to mammography.</w:t>
      </w:r>
    </w:p>
    <w:p w14:paraId="1A6AEB24" w14:textId="77777777" w:rsidR="00E47AB8" w:rsidRPr="008B2F8A" w:rsidRDefault="00E47AB8" w:rsidP="00F820E5">
      <w:pPr>
        <w:pStyle w:val="Heading3"/>
      </w:pPr>
      <w:bookmarkStart w:id="172" w:name="_Toc383424419"/>
      <w:r w:rsidRPr="008B2F8A">
        <w:t>Key assumptions</w:t>
      </w:r>
      <w:bookmarkEnd w:id="172"/>
    </w:p>
    <w:p w14:paraId="12CB8F76" w14:textId="681ED502" w:rsidR="00E47AB8" w:rsidRPr="008B2F8A" w:rsidRDefault="00E47AB8" w:rsidP="00422306">
      <w:r w:rsidRPr="008B2F8A">
        <w:t>The financial impact analyses use five key assumptions:</w:t>
      </w:r>
    </w:p>
    <w:p w14:paraId="264B4B01" w14:textId="77777777" w:rsidR="00E47AB8" w:rsidRPr="008B2F8A" w:rsidRDefault="00E47AB8" w:rsidP="00E47AB8">
      <w:pPr>
        <w:pStyle w:val="ListParagraph"/>
        <w:numPr>
          <w:ilvl w:val="0"/>
          <w:numId w:val="81"/>
        </w:numPr>
      </w:pPr>
      <w:r w:rsidRPr="008B2F8A">
        <w:t>Women who test negative with MRI receive no further follow-up.</w:t>
      </w:r>
    </w:p>
    <w:p w14:paraId="3189347D" w14:textId="77777777" w:rsidR="00E47AB8" w:rsidRPr="008B2F8A" w:rsidRDefault="00E47AB8" w:rsidP="00E47AB8">
      <w:pPr>
        <w:pStyle w:val="ListParagraph"/>
        <w:numPr>
          <w:ilvl w:val="0"/>
          <w:numId w:val="81"/>
        </w:numPr>
      </w:pPr>
      <w:r w:rsidRPr="008B2F8A">
        <w:t>Women who test positive with MRI receive a follow-up biopsy.</w:t>
      </w:r>
    </w:p>
    <w:p w14:paraId="77AF720E" w14:textId="77777777" w:rsidR="00E47AB8" w:rsidRPr="008B2F8A" w:rsidRDefault="00E47AB8" w:rsidP="00E47AB8">
      <w:pPr>
        <w:pStyle w:val="ListParagraph"/>
        <w:numPr>
          <w:ilvl w:val="0"/>
          <w:numId w:val="81"/>
        </w:numPr>
      </w:pPr>
      <w:r w:rsidRPr="008B2F8A">
        <w:t>False-positives are detected at biopsy and are not treated.</w:t>
      </w:r>
    </w:p>
    <w:p w14:paraId="20B76A57" w14:textId="01DE90F0" w:rsidR="00E47AB8" w:rsidRPr="008B2F8A" w:rsidRDefault="00E47AB8" w:rsidP="00E47AB8">
      <w:pPr>
        <w:pStyle w:val="ListParagraph"/>
        <w:numPr>
          <w:ilvl w:val="0"/>
          <w:numId w:val="81"/>
        </w:numPr>
      </w:pPr>
      <w:r w:rsidRPr="008B2F8A">
        <w:t>True-positives are confirmed at biopsy and receive treatment.</w:t>
      </w:r>
    </w:p>
    <w:p w14:paraId="37774AC5" w14:textId="77777777" w:rsidR="00E47AB8" w:rsidRPr="008B2F8A" w:rsidRDefault="00E47AB8" w:rsidP="00E47AB8">
      <w:pPr>
        <w:pStyle w:val="ListParagraph"/>
        <w:numPr>
          <w:ilvl w:val="0"/>
          <w:numId w:val="81"/>
        </w:numPr>
      </w:pPr>
      <w:r w:rsidRPr="008B2F8A">
        <w:t>Only additional true-positives and false-positives detected with MRI are included in the analysis of follow-up and treatment costs; management of all other women is not changed.</w:t>
      </w:r>
    </w:p>
    <w:p w14:paraId="767C461F" w14:textId="28078445" w:rsidR="00E47AB8" w:rsidRPr="008B2F8A" w:rsidRDefault="00E47AB8" w:rsidP="00A26D4B">
      <w:pPr>
        <w:pStyle w:val="Heading3"/>
      </w:pPr>
      <w:bookmarkStart w:id="173" w:name="_Toc383424420"/>
      <w:r w:rsidRPr="00A26D4B">
        <w:t>Results</w:t>
      </w:r>
      <w:bookmarkEnd w:id="173"/>
      <w:r w:rsidR="00A26D4B">
        <w:tab/>
      </w:r>
    </w:p>
    <w:p w14:paraId="189B1C4F" w14:textId="11DB99FC" w:rsidR="00E47AB8" w:rsidRPr="008B2F8A" w:rsidRDefault="00E47AB8" w:rsidP="00422306">
      <w:pPr>
        <w:spacing w:after="240"/>
      </w:pPr>
      <w:r w:rsidRPr="008B2F8A">
        <w:t xml:space="preserve">The total cost of the proposed listing for each of the populations is presented in the table below. The estimated total cost for all populations is $8.4 million in the first year of listing, and will increase to $20.3 million in year 5. Most this cost in each population comes from the cost of providing breast imaging with MRI (Sections </w:t>
      </w:r>
      <w:r w:rsidRPr="008B2F8A">
        <w:fldChar w:fldCharType="begin"/>
      </w:r>
      <w:r w:rsidRPr="008B2F8A">
        <w:instrText xml:space="preserve"> REF _Ref377465732 \r \h  \* MERGEFORMAT </w:instrText>
      </w:r>
      <w:r w:rsidRPr="008B2F8A">
        <w:fldChar w:fldCharType="separate"/>
      </w:r>
      <w:r w:rsidR="00B81273">
        <w:rPr>
          <w:noProof/>
        </w:rPr>
        <w:t>E.2.2</w:t>
      </w:r>
      <w:r w:rsidRPr="008B2F8A">
        <w:fldChar w:fldCharType="end"/>
      </w:r>
      <w:r w:rsidRPr="008B2F8A">
        <w:t xml:space="preserve"> and </w:t>
      </w:r>
      <w:r w:rsidRPr="008B2F8A">
        <w:fldChar w:fldCharType="begin"/>
      </w:r>
      <w:r w:rsidRPr="008B2F8A">
        <w:instrText xml:space="preserve"> REF _Ref377648394 \r \h  \* MERGEFORMAT </w:instrText>
      </w:r>
      <w:r w:rsidRPr="008B2F8A">
        <w:fldChar w:fldCharType="separate"/>
      </w:r>
      <w:r w:rsidR="00B81273">
        <w:rPr>
          <w:noProof/>
        </w:rPr>
        <w:t>E.3.1</w:t>
      </w:r>
      <w:r w:rsidRPr="008B2F8A">
        <w:fldChar w:fldCharType="end"/>
      </w:r>
      <w:r w:rsidRPr="008B2F8A">
        <w:t xml:space="preserve">). The contribution of follow-up and treatment costs is relatively minor (Sections </w:t>
      </w:r>
      <w:r w:rsidRPr="008B2F8A">
        <w:fldChar w:fldCharType="begin"/>
      </w:r>
      <w:r w:rsidRPr="008B2F8A">
        <w:instrText xml:space="preserve"> REF _Ref377648407 \r \h  \* MERGEFORMAT </w:instrText>
      </w:r>
      <w:r w:rsidRPr="008B2F8A">
        <w:fldChar w:fldCharType="separate"/>
      </w:r>
      <w:r w:rsidR="00B81273">
        <w:rPr>
          <w:noProof/>
        </w:rPr>
        <w:t>E.4.1</w:t>
      </w:r>
      <w:r w:rsidRPr="008B2F8A">
        <w:fldChar w:fldCharType="end"/>
      </w:r>
      <w:r w:rsidRPr="008B2F8A">
        <w:t xml:space="preserve"> and </w:t>
      </w:r>
      <w:r w:rsidRPr="008B2F8A">
        <w:fldChar w:fldCharType="begin"/>
      </w:r>
      <w:r w:rsidRPr="008B2F8A">
        <w:instrText xml:space="preserve"> REF _Ref377648413 \r \h  \* MERGEFORMAT </w:instrText>
      </w:r>
      <w:r w:rsidRPr="008B2F8A">
        <w:fldChar w:fldCharType="separate"/>
      </w:r>
      <w:r w:rsidR="00B81273">
        <w:rPr>
          <w:noProof/>
        </w:rPr>
        <w:t>E.4.2</w:t>
      </w:r>
      <w:r w:rsidRPr="008B2F8A">
        <w:fldChar w:fldCharType="end"/>
      </w:r>
      <w:r w:rsidRPr="008B2F8A">
        <w:t>).</w:t>
      </w:r>
    </w:p>
    <w:p w14:paraId="1199BEB8" w14:textId="30AF16F7" w:rsidR="00E47AB8" w:rsidRPr="008B2F8A" w:rsidRDefault="00E47AB8" w:rsidP="00422306">
      <w:pPr>
        <w:pStyle w:val="Caption"/>
      </w:pPr>
      <w:bookmarkStart w:id="174" w:name="OLE_LINK956"/>
      <w:bookmarkStart w:id="175" w:name="OLE_LINK957"/>
      <w:r w:rsidRPr="008B2F8A">
        <w:t>Total cost to the MBS of the requested listing</w:t>
      </w:r>
      <w:bookmarkEnd w:id="174"/>
      <w:bookmarkEnd w:id="175"/>
      <w:r w:rsidRPr="008B2F8A">
        <w:t>.</w:t>
      </w:r>
    </w:p>
    <w:tbl>
      <w:tblPr>
        <w:tblStyle w:val="TableGrid"/>
        <w:tblW w:w="9068" w:type="dxa"/>
        <w:tblCellMar>
          <w:left w:w="28" w:type="dxa"/>
          <w:right w:w="28" w:type="dxa"/>
        </w:tblCellMar>
        <w:tblLook w:val="04A0" w:firstRow="1" w:lastRow="0" w:firstColumn="1" w:lastColumn="0" w:noHBand="0" w:noVBand="1"/>
        <w:tblCaption w:val="Total cost to the MBS of the requested listing"/>
      </w:tblPr>
      <w:tblGrid>
        <w:gridCol w:w="3579"/>
        <w:gridCol w:w="1110"/>
        <w:gridCol w:w="1114"/>
        <w:gridCol w:w="1112"/>
        <w:gridCol w:w="1114"/>
        <w:gridCol w:w="1039"/>
      </w:tblGrid>
      <w:tr w:rsidR="00E47AB8" w:rsidRPr="008B2F8A" w14:paraId="61856D38" w14:textId="77777777" w:rsidTr="00422306">
        <w:trPr>
          <w:tblHeader/>
        </w:trPr>
        <w:tc>
          <w:tcPr>
            <w:tcW w:w="1973" w:type="pct"/>
            <w:noWrap/>
            <w:hideMark/>
          </w:tcPr>
          <w:p w14:paraId="52365F47" w14:textId="77777777" w:rsidR="00E47AB8" w:rsidRPr="008B2F8A" w:rsidRDefault="00E47AB8" w:rsidP="00422306">
            <w:pPr>
              <w:pStyle w:val="Tableheaderrow"/>
              <w:spacing w:before="40" w:after="80" w:line="276" w:lineRule="auto"/>
            </w:pPr>
            <w:r w:rsidRPr="008B2F8A">
              <w:t>Population</w:t>
            </w:r>
          </w:p>
        </w:tc>
        <w:tc>
          <w:tcPr>
            <w:tcW w:w="612" w:type="pct"/>
            <w:noWrap/>
            <w:hideMark/>
          </w:tcPr>
          <w:p w14:paraId="0AF1F6BF" w14:textId="77777777" w:rsidR="00E47AB8" w:rsidRPr="008B2F8A" w:rsidRDefault="00E47AB8" w:rsidP="00422306">
            <w:pPr>
              <w:pStyle w:val="Tableheaderrow"/>
              <w:spacing w:before="40" w:after="80" w:line="276" w:lineRule="auto"/>
              <w:jc w:val="center"/>
            </w:pPr>
            <w:r w:rsidRPr="008B2F8A">
              <w:t>FY 2015</w:t>
            </w:r>
          </w:p>
        </w:tc>
        <w:tc>
          <w:tcPr>
            <w:tcW w:w="614" w:type="pct"/>
            <w:noWrap/>
            <w:hideMark/>
          </w:tcPr>
          <w:p w14:paraId="7F93A997" w14:textId="77777777" w:rsidR="00E47AB8" w:rsidRPr="008B2F8A" w:rsidRDefault="00E47AB8" w:rsidP="00422306">
            <w:pPr>
              <w:pStyle w:val="Tableheaderrow"/>
              <w:spacing w:before="40" w:after="80" w:line="276" w:lineRule="auto"/>
              <w:jc w:val="center"/>
            </w:pPr>
            <w:r w:rsidRPr="008B2F8A">
              <w:t>FY 2016</w:t>
            </w:r>
          </w:p>
        </w:tc>
        <w:tc>
          <w:tcPr>
            <w:tcW w:w="613" w:type="pct"/>
            <w:noWrap/>
            <w:hideMark/>
          </w:tcPr>
          <w:p w14:paraId="5EDE0C80" w14:textId="77777777" w:rsidR="00E47AB8" w:rsidRPr="008B2F8A" w:rsidRDefault="00E47AB8" w:rsidP="00422306">
            <w:pPr>
              <w:pStyle w:val="Tableheaderrow"/>
              <w:spacing w:before="40" w:after="80" w:line="276" w:lineRule="auto"/>
              <w:jc w:val="center"/>
            </w:pPr>
            <w:r w:rsidRPr="008B2F8A">
              <w:t>FY 2017</w:t>
            </w:r>
          </w:p>
        </w:tc>
        <w:tc>
          <w:tcPr>
            <w:tcW w:w="614" w:type="pct"/>
            <w:noWrap/>
            <w:hideMark/>
          </w:tcPr>
          <w:p w14:paraId="07927414" w14:textId="77777777" w:rsidR="00E47AB8" w:rsidRPr="008B2F8A" w:rsidRDefault="00E47AB8" w:rsidP="00422306">
            <w:pPr>
              <w:pStyle w:val="Tableheaderrow"/>
              <w:spacing w:before="40" w:after="80" w:line="276" w:lineRule="auto"/>
              <w:jc w:val="center"/>
            </w:pPr>
            <w:r w:rsidRPr="008B2F8A">
              <w:t>FY 2018</w:t>
            </w:r>
          </w:p>
        </w:tc>
        <w:tc>
          <w:tcPr>
            <w:tcW w:w="573" w:type="pct"/>
            <w:noWrap/>
            <w:hideMark/>
          </w:tcPr>
          <w:p w14:paraId="187BD41F"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2677B6FF" w14:textId="77777777" w:rsidTr="00422306">
        <w:tc>
          <w:tcPr>
            <w:tcW w:w="1973" w:type="pct"/>
            <w:noWrap/>
            <w:vAlign w:val="bottom"/>
            <w:hideMark/>
          </w:tcPr>
          <w:p w14:paraId="56BBF3E1" w14:textId="77777777" w:rsidR="00E47AB8" w:rsidRPr="008B2F8A" w:rsidRDefault="00E47AB8" w:rsidP="00422306">
            <w:pPr>
              <w:pStyle w:val="TableText0"/>
              <w:keepNext w:val="0"/>
              <w:spacing w:before="40" w:after="80" w:line="276" w:lineRule="auto"/>
            </w:pPr>
            <w:r w:rsidRPr="008B2F8A">
              <w:t>Gene mutation or family history</w:t>
            </w:r>
          </w:p>
        </w:tc>
        <w:tc>
          <w:tcPr>
            <w:tcW w:w="612" w:type="pct"/>
            <w:noWrap/>
            <w:hideMark/>
          </w:tcPr>
          <w:p w14:paraId="0387E638" w14:textId="77777777" w:rsidR="00E47AB8" w:rsidRPr="008B2F8A" w:rsidRDefault="00E47AB8" w:rsidP="00422306">
            <w:pPr>
              <w:pStyle w:val="TableText0"/>
              <w:keepNext w:val="0"/>
              <w:spacing w:before="40" w:after="80" w:line="276" w:lineRule="auto"/>
              <w:jc w:val="right"/>
            </w:pPr>
            <w:r w:rsidRPr="008B2F8A">
              <w:t xml:space="preserve"> $3,151,694 </w:t>
            </w:r>
          </w:p>
        </w:tc>
        <w:tc>
          <w:tcPr>
            <w:tcW w:w="614" w:type="pct"/>
            <w:noWrap/>
            <w:hideMark/>
          </w:tcPr>
          <w:p w14:paraId="0F979FE7" w14:textId="77777777" w:rsidR="00E47AB8" w:rsidRPr="008B2F8A" w:rsidRDefault="00E47AB8" w:rsidP="00422306">
            <w:pPr>
              <w:pStyle w:val="TableText0"/>
              <w:keepNext w:val="0"/>
              <w:spacing w:before="40" w:after="80" w:line="276" w:lineRule="auto"/>
              <w:jc w:val="right"/>
            </w:pPr>
            <w:r w:rsidRPr="008B2F8A">
              <w:t xml:space="preserve"> $3,558,010 </w:t>
            </w:r>
          </w:p>
        </w:tc>
        <w:tc>
          <w:tcPr>
            <w:tcW w:w="613" w:type="pct"/>
            <w:noWrap/>
            <w:hideMark/>
          </w:tcPr>
          <w:p w14:paraId="46DE252D" w14:textId="77777777" w:rsidR="00E47AB8" w:rsidRPr="008B2F8A" w:rsidRDefault="00E47AB8" w:rsidP="00422306">
            <w:pPr>
              <w:pStyle w:val="TableText0"/>
              <w:keepNext w:val="0"/>
              <w:spacing w:before="40" w:after="80" w:line="276" w:lineRule="auto"/>
              <w:jc w:val="right"/>
            </w:pPr>
            <w:r w:rsidRPr="008B2F8A">
              <w:t xml:space="preserve"> $3,964,326 </w:t>
            </w:r>
          </w:p>
        </w:tc>
        <w:tc>
          <w:tcPr>
            <w:tcW w:w="614" w:type="pct"/>
            <w:noWrap/>
            <w:hideMark/>
          </w:tcPr>
          <w:p w14:paraId="53451B65" w14:textId="77777777" w:rsidR="00E47AB8" w:rsidRPr="008B2F8A" w:rsidRDefault="00E47AB8" w:rsidP="00422306">
            <w:pPr>
              <w:pStyle w:val="TableText0"/>
              <w:keepNext w:val="0"/>
              <w:spacing w:before="40" w:after="80" w:line="276" w:lineRule="auto"/>
              <w:jc w:val="right"/>
            </w:pPr>
            <w:r w:rsidRPr="008B2F8A">
              <w:t xml:space="preserve"> $4,370,642 </w:t>
            </w:r>
          </w:p>
        </w:tc>
        <w:tc>
          <w:tcPr>
            <w:tcW w:w="573" w:type="pct"/>
            <w:noWrap/>
            <w:hideMark/>
          </w:tcPr>
          <w:p w14:paraId="1D38C8B0" w14:textId="77777777" w:rsidR="00E47AB8" w:rsidRPr="008B2F8A" w:rsidRDefault="00E47AB8" w:rsidP="00422306">
            <w:pPr>
              <w:pStyle w:val="TableText0"/>
              <w:keepNext w:val="0"/>
              <w:spacing w:before="40" w:after="80" w:line="276" w:lineRule="auto"/>
              <w:jc w:val="right"/>
            </w:pPr>
            <w:r w:rsidRPr="008B2F8A">
              <w:t xml:space="preserve"> $4,776,958 </w:t>
            </w:r>
          </w:p>
        </w:tc>
      </w:tr>
      <w:tr w:rsidR="00E47AB8" w:rsidRPr="008B2F8A" w14:paraId="5A47B8D7" w14:textId="77777777" w:rsidTr="00422306">
        <w:tc>
          <w:tcPr>
            <w:tcW w:w="1973" w:type="pct"/>
            <w:noWrap/>
            <w:vAlign w:val="bottom"/>
          </w:tcPr>
          <w:p w14:paraId="59B40ACF" w14:textId="77777777" w:rsidR="00E47AB8" w:rsidRPr="008B2F8A" w:rsidRDefault="00E47AB8" w:rsidP="00422306">
            <w:pPr>
              <w:pStyle w:val="TableText0"/>
              <w:keepNext w:val="0"/>
              <w:spacing w:before="40" w:after="80" w:line="276" w:lineRule="auto"/>
            </w:pPr>
            <w:r w:rsidRPr="008B2F8A">
              <w:t>Prior history of invasive breast cancer</w:t>
            </w:r>
          </w:p>
        </w:tc>
        <w:tc>
          <w:tcPr>
            <w:tcW w:w="612" w:type="pct"/>
            <w:noWrap/>
          </w:tcPr>
          <w:p w14:paraId="6B0F8D8D" w14:textId="77777777" w:rsidR="00E47AB8" w:rsidRPr="008B2F8A" w:rsidRDefault="00E47AB8" w:rsidP="00422306">
            <w:pPr>
              <w:pStyle w:val="TableText0"/>
              <w:keepNext w:val="0"/>
              <w:spacing w:before="40" w:after="80" w:line="276" w:lineRule="auto"/>
              <w:jc w:val="right"/>
            </w:pPr>
            <w:r w:rsidRPr="008B2F8A">
              <w:t xml:space="preserve"> $4,665,645 </w:t>
            </w:r>
          </w:p>
        </w:tc>
        <w:tc>
          <w:tcPr>
            <w:tcW w:w="614" w:type="pct"/>
            <w:noWrap/>
          </w:tcPr>
          <w:p w14:paraId="4EB638B5" w14:textId="77777777" w:rsidR="00E47AB8" w:rsidRPr="008B2F8A" w:rsidRDefault="00E47AB8" w:rsidP="00422306">
            <w:pPr>
              <w:pStyle w:val="TableText0"/>
              <w:keepNext w:val="0"/>
              <w:spacing w:before="40" w:after="80" w:line="276" w:lineRule="auto"/>
              <w:jc w:val="right"/>
            </w:pPr>
            <w:r w:rsidRPr="008B2F8A">
              <w:t xml:space="preserve"> $7,120,865 </w:t>
            </w:r>
          </w:p>
        </w:tc>
        <w:tc>
          <w:tcPr>
            <w:tcW w:w="613" w:type="pct"/>
            <w:noWrap/>
          </w:tcPr>
          <w:p w14:paraId="3FAA538B" w14:textId="77777777" w:rsidR="00E47AB8" w:rsidRPr="008B2F8A" w:rsidRDefault="00E47AB8" w:rsidP="00422306">
            <w:pPr>
              <w:pStyle w:val="TableText0"/>
              <w:keepNext w:val="0"/>
              <w:spacing w:before="40" w:after="80" w:line="276" w:lineRule="auto"/>
              <w:jc w:val="right"/>
            </w:pPr>
            <w:r w:rsidRPr="008B2F8A">
              <w:t xml:space="preserve"> $9,658,572 </w:t>
            </w:r>
          </w:p>
        </w:tc>
        <w:tc>
          <w:tcPr>
            <w:tcW w:w="614" w:type="pct"/>
            <w:noWrap/>
          </w:tcPr>
          <w:p w14:paraId="0453C288" w14:textId="77777777" w:rsidR="00E47AB8" w:rsidRPr="008B2F8A" w:rsidRDefault="00E47AB8" w:rsidP="00422306">
            <w:pPr>
              <w:pStyle w:val="TableText0"/>
              <w:keepNext w:val="0"/>
              <w:spacing w:before="40" w:after="80" w:line="276" w:lineRule="auto"/>
              <w:jc w:val="right"/>
            </w:pPr>
            <w:r w:rsidRPr="008B2F8A">
              <w:t xml:space="preserve"> $12,277,816 </w:t>
            </w:r>
          </w:p>
        </w:tc>
        <w:tc>
          <w:tcPr>
            <w:tcW w:w="573" w:type="pct"/>
            <w:noWrap/>
          </w:tcPr>
          <w:p w14:paraId="1C5A9661" w14:textId="77777777" w:rsidR="00E47AB8" w:rsidRPr="008B2F8A" w:rsidRDefault="00E47AB8" w:rsidP="00422306">
            <w:pPr>
              <w:pStyle w:val="TableText0"/>
              <w:keepNext w:val="0"/>
              <w:spacing w:before="40" w:after="80" w:line="276" w:lineRule="auto"/>
              <w:jc w:val="right"/>
            </w:pPr>
            <w:r w:rsidRPr="008B2F8A">
              <w:t xml:space="preserve"> $13,630,036 </w:t>
            </w:r>
          </w:p>
        </w:tc>
      </w:tr>
      <w:tr w:rsidR="00E47AB8" w:rsidRPr="008B2F8A" w14:paraId="3A691457" w14:textId="77777777" w:rsidTr="00422306">
        <w:tc>
          <w:tcPr>
            <w:tcW w:w="1973" w:type="pct"/>
            <w:noWrap/>
            <w:vAlign w:val="bottom"/>
          </w:tcPr>
          <w:p w14:paraId="0C8AF364" w14:textId="4810C0F8"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612" w:type="pct"/>
            <w:noWrap/>
          </w:tcPr>
          <w:p w14:paraId="49A7EA4A" w14:textId="77777777" w:rsidR="00E47AB8" w:rsidRPr="008B2F8A" w:rsidRDefault="00E47AB8" w:rsidP="00422306">
            <w:pPr>
              <w:pStyle w:val="TableText0"/>
              <w:keepNext w:val="0"/>
              <w:spacing w:before="40" w:after="80" w:line="276" w:lineRule="auto"/>
              <w:jc w:val="right"/>
            </w:pPr>
            <w:r w:rsidRPr="008B2F8A">
              <w:t xml:space="preserve"> $551,969 </w:t>
            </w:r>
          </w:p>
        </w:tc>
        <w:tc>
          <w:tcPr>
            <w:tcW w:w="614" w:type="pct"/>
            <w:noWrap/>
          </w:tcPr>
          <w:p w14:paraId="49D4041B" w14:textId="77777777" w:rsidR="00E47AB8" w:rsidRPr="008B2F8A" w:rsidRDefault="00E47AB8" w:rsidP="00422306">
            <w:pPr>
              <w:pStyle w:val="TableText0"/>
              <w:keepNext w:val="0"/>
              <w:spacing w:before="40" w:after="80" w:line="276" w:lineRule="auto"/>
              <w:jc w:val="right"/>
            </w:pPr>
            <w:r w:rsidRPr="008B2F8A">
              <w:t xml:space="preserve"> $842,029 </w:t>
            </w:r>
          </w:p>
        </w:tc>
        <w:tc>
          <w:tcPr>
            <w:tcW w:w="613" w:type="pct"/>
            <w:noWrap/>
          </w:tcPr>
          <w:p w14:paraId="65AE56E0" w14:textId="77777777" w:rsidR="00E47AB8" w:rsidRPr="008B2F8A" w:rsidRDefault="00E47AB8" w:rsidP="00422306">
            <w:pPr>
              <w:pStyle w:val="TableText0"/>
              <w:keepNext w:val="0"/>
              <w:spacing w:before="40" w:after="80" w:line="276" w:lineRule="auto"/>
              <w:jc w:val="right"/>
            </w:pPr>
            <w:r w:rsidRPr="008B2F8A">
              <w:t xml:space="preserve"> $1,141,791 </w:t>
            </w:r>
          </w:p>
        </w:tc>
        <w:tc>
          <w:tcPr>
            <w:tcW w:w="614" w:type="pct"/>
            <w:noWrap/>
          </w:tcPr>
          <w:p w14:paraId="6C47ABC2" w14:textId="77777777" w:rsidR="00E47AB8" w:rsidRPr="008B2F8A" w:rsidRDefault="00E47AB8" w:rsidP="00422306">
            <w:pPr>
              <w:pStyle w:val="TableText0"/>
              <w:keepNext w:val="0"/>
              <w:spacing w:before="40" w:after="80" w:line="276" w:lineRule="auto"/>
              <w:jc w:val="right"/>
            </w:pPr>
            <w:r w:rsidRPr="008B2F8A">
              <w:t xml:space="preserve"> $1,451,502 </w:t>
            </w:r>
          </w:p>
        </w:tc>
        <w:tc>
          <w:tcPr>
            <w:tcW w:w="573" w:type="pct"/>
            <w:noWrap/>
          </w:tcPr>
          <w:p w14:paraId="14953042" w14:textId="77777777" w:rsidR="00E47AB8" w:rsidRPr="008B2F8A" w:rsidRDefault="00E47AB8" w:rsidP="00422306">
            <w:pPr>
              <w:pStyle w:val="TableText0"/>
              <w:keepNext w:val="0"/>
              <w:spacing w:before="40" w:after="80" w:line="276" w:lineRule="auto"/>
              <w:jc w:val="right"/>
            </w:pPr>
            <w:r w:rsidRPr="008B2F8A">
              <w:t xml:space="preserve"> $1,611,986 </w:t>
            </w:r>
          </w:p>
        </w:tc>
      </w:tr>
      <w:tr w:rsidR="00E47AB8" w:rsidRPr="008B2F8A" w14:paraId="51039C10" w14:textId="77777777" w:rsidTr="00422306">
        <w:tc>
          <w:tcPr>
            <w:tcW w:w="1973" w:type="pct"/>
            <w:noWrap/>
            <w:vAlign w:val="bottom"/>
          </w:tcPr>
          <w:p w14:paraId="6C3E2891"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612" w:type="pct"/>
            <w:noWrap/>
          </w:tcPr>
          <w:p w14:paraId="27A73026" w14:textId="77777777" w:rsidR="00E47AB8" w:rsidRPr="008B2F8A" w:rsidRDefault="00E47AB8" w:rsidP="00422306">
            <w:pPr>
              <w:pStyle w:val="TableText0"/>
              <w:keepNext w:val="0"/>
              <w:spacing w:before="40" w:after="80" w:line="276" w:lineRule="auto"/>
              <w:jc w:val="right"/>
            </w:pPr>
            <w:r w:rsidRPr="008B2F8A">
              <w:t xml:space="preserve"> $52,469 </w:t>
            </w:r>
          </w:p>
        </w:tc>
        <w:tc>
          <w:tcPr>
            <w:tcW w:w="614" w:type="pct"/>
            <w:noWrap/>
          </w:tcPr>
          <w:p w14:paraId="53EEE3D1" w14:textId="77777777" w:rsidR="00E47AB8" w:rsidRPr="008B2F8A" w:rsidRDefault="00E47AB8" w:rsidP="00422306">
            <w:pPr>
              <w:pStyle w:val="TableText0"/>
              <w:keepNext w:val="0"/>
              <w:spacing w:before="40" w:after="80" w:line="276" w:lineRule="auto"/>
              <w:jc w:val="right"/>
            </w:pPr>
            <w:r w:rsidRPr="008B2F8A">
              <w:t xml:space="preserve"> $106,721 </w:t>
            </w:r>
          </w:p>
        </w:tc>
        <w:tc>
          <w:tcPr>
            <w:tcW w:w="613" w:type="pct"/>
            <w:noWrap/>
          </w:tcPr>
          <w:p w14:paraId="0EA6A3BE" w14:textId="77777777" w:rsidR="00E47AB8" w:rsidRPr="008B2F8A" w:rsidRDefault="00E47AB8" w:rsidP="00422306">
            <w:pPr>
              <w:pStyle w:val="TableText0"/>
              <w:keepNext w:val="0"/>
              <w:spacing w:before="40" w:after="80" w:line="276" w:lineRule="auto"/>
              <w:jc w:val="right"/>
            </w:pPr>
            <w:r w:rsidRPr="008B2F8A">
              <w:t xml:space="preserve"> $162,802 </w:t>
            </w:r>
          </w:p>
        </w:tc>
        <w:tc>
          <w:tcPr>
            <w:tcW w:w="614" w:type="pct"/>
            <w:noWrap/>
          </w:tcPr>
          <w:p w14:paraId="29E46932" w14:textId="77777777" w:rsidR="00E47AB8" w:rsidRPr="008B2F8A" w:rsidRDefault="00E47AB8" w:rsidP="00422306">
            <w:pPr>
              <w:pStyle w:val="TableText0"/>
              <w:keepNext w:val="0"/>
              <w:spacing w:before="40" w:after="80" w:line="276" w:lineRule="auto"/>
              <w:jc w:val="right"/>
            </w:pPr>
            <w:r w:rsidRPr="008B2F8A">
              <w:t xml:space="preserve"> $220,759 </w:t>
            </w:r>
          </w:p>
        </w:tc>
        <w:tc>
          <w:tcPr>
            <w:tcW w:w="573" w:type="pct"/>
            <w:noWrap/>
          </w:tcPr>
          <w:p w14:paraId="3AA46D58" w14:textId="77777777" w:rsidR="00E47AB8" w:rsidRPr="008B2F8A" w:rsidRDefault="00E47AB8" w:rsidP="00422306">
            <w:pPr>
              <w:pStyle w:val="TableText0"/>
              <w:keepNext w:val="0"/>
              <w:spacing w:before="40" w:after="80" w:line="276" w:lineRule="auto"/>
              <w:jc w:val="right"/>
            </w:pPr>
            <w:r w:rsidRPr="008B2F8A">
              <w:t xml:space="preserve"> $255,783 </w:t>
            </w:r>
          </w:p>
        </w:tc>
      </w:tr>
      <w:tr w:rsidR="00E47AB8" w:rsidRPr="008B2F8A" w14:paraId="37BE0833" w14:textId="77777777" w:rsidTr="00422306">
        <w:tc>
          <w:tcPr>
            <w:tcW w:w="1973" w:type="pct"/>
            <w:noWrap/>
            <w:vAlign w:val="bottom"/>
          </w:tcPr>
          <w:p w14:paraId="1286FC83" w14:textId="77777777" w:rsidR="00E47AB8" w:rsidRPr="008B2F8A" w:rsidRDefault="00E47AB8" w:rsidP="00422306">
            <w:pPr>
              <w:pStyle w:val="TableText0"/>
              <w:keepNext w:val="0"/>
              <w:spacing w:before="40" w:after="80" w:line="276" w:lineRule="auto"/>
            </w:pPr>
            <w:r w:rsidRPr="008B2F8A">
              <w:t>All populations</w:t>
            </w:r>
          </w:p>
        </w:tc>
        <w:tc>
          <w:tcPr>
            <w:tcW w:w="612" w:type="pct"/>
            <w:noWrap/>
          </w:tcPr>
          <w:p w14:paraId="5F91FA3D" w14:textId="77777777" w:rsidR="00E47AB8" w:rsidRPr="008B2F8A" w:rsidRDefault="00E47AB8" w:rsidP="00422306">
            <w:pPr>
              <w:pStyle w:val="TableText0"/>
              <w:keepNext w:val="0"/>
              <w:spacing w:before="40" w:after="80" w:line="276" w:lineRule="auto"/>
              <w:jc w:val="right"/>
            </w:pPr>
            <w:r w:rsidRPr="008B2F8A">
              <w:t xml:space="preserve"> $8,421,778 </w:t>
            </w:r>
          </w:p>
        </w:tc>
        <w:tc>
          <w:tcPr>
            <w:tcW w:w="614" w:type="pct"/>
            <w:noWrap/>
          </w:tcPr>
          <w:p w14:paraId="7E39EF64" w14:textId="77777777" w:rsidR="00E47AB8" w:rsidRPr="008B2F8A" w:rsidRDefault="00E47AB8" w:rsidP="00422306">
            <w:pPr>
              <w:pStyle w:val="TableText0"/>
              <w:keepNext w:val="0"/>
              <w:spacing w:before="40" w:after="80" w:line="276" w:lineRule="auto"/>
              <w:jc w:val="right"/>
            </w:pPr>
            <w:r w:rsidRPr="008B2F8A">
              <w:t xml:space="preserve"> $11,627,624 </w:t>
            </w:r>
          </w:p>
        </w:tc>
        <w:tc>
          <w:tcPr>
            <w:tcW w:w="613" w:type="pct"/>
            <w:noWrap/>
          </w:tcPr>
          <w:p w14:paraId="0FA1CB7D" w14:textId="77777777" w:rsidR="00E47AB8" w:rsidRPr="008B2F8A" w:rsidRDefault="00E47AB8" w:rsidP="00422306">
            <w:pPr>
              <w:pStyle w:val="TableText0"/>
              <w:keepNext w:val="0"/>
              <w:spacing w:before="40" w:after="80" w:line="276" w:lineRule="auto"/>
              <w:jc w:val="right"/>
            </w:pPr>
            <w:r w:rsidRPr="008B2F8A">
              <w:t xml:space="preserve"> $14,927,491 </w:t>
            </w:r>
          </w:p>
        </w:tc>
        <w:tc>
          <w:tcPr>
            <w:tcW w:w="614" w:type="pct"/>
            <w:noWrap/>
          </w:tcPr>
          <w:p w14:paraId="4D082D23" w14:textId="77777777" w:rsidR="00E47AB8" w:rsidRPr="008B2F8A" w:rsidRDefault="00E47AB8" w:rsidP="00422306">
            <w:pPr>
              <w:pStyle w:val="TableText0"/>
              <w:keepNext w:val="0"/>
              <w:spacing w:before="40" w:after="80" w:line="276" w:lineRule="auto"/>
              <w:jc w:val="right"/>
            </w:pPr>
            <w:r w:rsidRPr="008B2F8A">
              <w:t xml:space="preserve"> $18,320,718 </w:t>
            </w:r>
          </w:p>
        </w:tc>
        <w:tc>
          <w:tcPr>
            <w:tcW w:w="573" w:type="pct"/>
            <w:noWrap/>
          </w:tcPr>
          <w:p w14:paraId="4DB8706E" w14:textId="77777777" w:rsidR="00E47AB8" w:rsidRPr="008B2F8A" w:rsidRDefault="00E47AB8" w:rsidP="00422306">
            <w:pPr>
              <w:pStyle w:val="TableText0"/>
              <w:keepNext w:val="0"/>
              <w:spacing w:before="40" w:after="80" w:line="276" w:lineRule="auto"/>
              <w:jc w:val="right"/>
            </w:pPr>
            <w:r w:rsidRPr="008B2F8A">
              <w:t xml:space="preserve"> $20,274,762 </w:t>
            </w:r>
          </w:p>
        </w:tc>
      </w:tr>
    </w:tbl>
    <w:p w14:paraId="104D5702" w14:textId="1D74E553" w:rsidR="00E47AB8" w:rsidRPr="008B2F8A" w:rsidRDefault="00E47AB8" w:rsidP="00F820E5">
      <w:pPr>
        <w:pStyle w:val="TableNotesFirst"/>
      </w:pPr>
      <w:r w:rsidRPr="008B2F8A">
        <w:t xml:space="preserve">DCIS = ductal carcinoma in situ; </w:t>
      </w:r>
      <w:bookmarkStart w:id="176" w:name="OLE_LINK246"/>
      <w:bookmarkStart w:id="177" w:name="OLE_LINK247"/>
      <w:r w:rsidRPr="008B2F8A">
        <w:t xml:space="preserve">FY </w:t>
      </w:r>
      <w:bookmarkEnd w:id="176"/>
      <w:bookmarkEnd w:id="177"/>
      <w:r w:rsidRPr="008B2F8A">
        <w:t>= financial year; LCIS = lobular carcinoma in situ.</w:t>
      </w:r>
    </w:p>
    <w:p w14:paraId="020FB056" w14:textId="77777777" w:rsidR="00E47AB8" w:rsidRPr="008B2F8A" w:rsidRDefault="00E47AB8" w:rsidP="00F820E5">
      <w:pPr>
        <w:pStyle w:val="TableNotesLast"/>
      </w:pPr>
      <w:r w:rsidRPr="008B2F8A">
        <w:t>Note: Rounding has been applied.</w:t>
      </w:r>
    </w:p>
    <w:p w14:paraId="2EEC8718" w14:textId="77777777" w:rsidR="00E47AB8" w:rsidRPr="008B2F8A" w:rsidRDefault="00E47AB8" w:rsidP="00422306">
      <w:pPr>
        <w:spacing w:after="240"/>
      </w:pPr>
      <w:r w:rsidRPr="008B2F8A">
        <w:lastRenderedPageBreak/>
        <w:t xml:space="preserve">The total cost of the proposed listing to government health budgets, including the MBS, </w:t>
      </w:r>
      <w:bookmarkStart w:id="178" w:name="OLE_LINK473"/>
      <w:bookmarkStart w:id="179" w:name="OLE_LINK474"/>
      <w:bookmarkStart w:id="180" w:name="OLE_LINK282"/>
      <w:bookmarkStart w:id="181" w:name="OLE_LINK283"/>
      <w:r w:rsidRPr="008B2F8A">
        <w:t>Pharmaceutical Benefits Scheme</w:t>
      </w:r>
      <w:bookmarkEnd w:id="178"/>
      <w:bookmarkEnd w:id="179"/>
      <w:r w:rsidRPr="008B2F8A">
        <w:t xml:space="preserve"> (PBS</w:t>
      </w:r>
      <w:bookmarkEnd w:id="180"/>
      <w:bookmarkEnd w:id="181"/>
      <w:r w:rsidRPr="008B2F8A">
        <w:t xml:space="preserve">), and state and territory governments, is presented in the table below. The estimated total cost to government of the proposed listings is $9.7 million in 2015, rising to $23.3 million in 2019. See Sections </w:t>
      </w:r>
      <w:r w:rsidRPr="008B2F8A">
        <w:fldChar w:fldCharType="begin"/>
      </w:r>
      <w:r w:rsidRPr="008B2F8A">
        <w:instrText xml:space="preserve"> REF _Ref377648465 \r \h  \* MERGEFORMAT </w:instrText>
      </w:r>
      <w:r w:rsidRPr="008B2F8A">
        <w:fldChar w:fldCharType="separate"/>
      </w:r>
      <w:r w:rsidR="00B81273">
        <w:rPr>
          <w:noProof/>
        </w:rPr>
        <w:t>E.5.1</w:t>
      </w:r>
      <w:r w:rsidRPr="008B2F8A">
        <w:fldChar w:fldCharType="end"/>
      </w:r>
      <w:r w:rsidRPr="008B2F8A">
        <w:t xml:space="preserve"> and </w:t>
      </w:r>
      <w:r w:rsidRPr="008B2F8A">
        <w:fldChar w:fldCharType="begin"/>
      </w:r>
      <w:r w:rsidRPr="008B2F8A">
        <w:instrText xml:space="preserve"> REF _Ref377648467 \r \h  \* MERGEFORMAT </w:instrText>
      </w:r>
      <w:r w:rsidRPr="008B2F8A">
        <w:fldChar w:fldCharType="separate"/>
      </w:r>
      <w:r w:rsidR="00B81273">
        <w:rPr>
          <w:noProof/>
        </w:rPr>
        <w:t>E.5.2</w:t>
      </w:r>
      <w:r w:rsidRPr="008B2F8A">
        <w:fldChar w:fldCharType="end"/>
      </w:r>
      <w:r w:rsidRPr="008B2F8A">
        <w:t xml:space="preserve"> for details of the financial impact to the PBS and to the state and territory governments, respectively.</w:t>
      </w:r>
    </w:p>
    <w:p w14:paraId="430771DF" w14:textId="288E5D79" w:rsidR="00E47AB8" w:rsidRPr="008B2F8A" w:rsidRDefault="00E47AB8" w:rsidP="00422306">
      <w:pPr>
        <w:pStyle w:val="Caption"/>
        <w:ind w:left="1440" w:hanging="1440"/>
      </w:pPr>
      <w:bookmarkStart w:id="182" w:name="OLE_LINK958"/>
      <w:bookmarkStart w:id="183" w:name="OLE_LINK959"/>
      <w:r w:rsidRPr="008B2F8A">
        <w:t>Total cost to government health budgets</w:t>
      </w:r>
      <w:bookmarkEnd w:id="182"/>
      <w:bookmarkEnd w:id="183"/>
      <w:r w:rsidRPr="008B2F8A">
        <w:t>.</w:t>
      </w:r>
    </w:p>
    <w:tbl>
      <w:tblPr>
        <w:tblStyle w:val="TableGrid"/>
        <w:tblW w:w="9126" w:type="dxa"/>
        <w:tblCellMar>
          <w:left w:w="28" w:type="dxa"/>
          <w:right w:w="28" w:type="dxa"/>
        </w:tblCellMar>
        <w:tblLook w:val="04A0" w:firstRow="1" w:lastRow="0" w:firstColumn="1" w:lastColumn="0" w:noHBand="0" w:noVBand="1"/>
        <w:tblCaption w:val="Total cost to government health budgets"/>
      </w:tblPr>
      <w:tblGrid>
        <w:gridCol w:w="3578"/>
        <w:gridCol w:w="1220"/>
        <w:gridCol w:w="1098"/>
        <w:gridCol w:w="1098"/>
        <w:gridCol w:w="1097"/>
        <w:gridCol w:w="1035"/>
      </w:tblGrid>
      <w:tr w:rsidR="00E47AB8" w:rsidRPr="008B2F8A" w14:paraId="10AE7E56" w14:textId="77777777" w:rsidTr="00422306">
        <w:trPr>
          <w:tblHeader/>
        </w:trPr>
        <w:tc>
          <w:tcPr>
            <w:tcW w:w="3578" w:type="dxa"/>
            <w:noWrap/>
            <w:hideMark/>
          </w:tcPr>
          <w:p w14:paraId="0FA853CD" w14:textId="77777777" w:rsidR="00E47AB8" w:rsidRPr="008B2F8A" w:rsidRDefault="00E47AB8" w:rsidP="00422306">
            <w:pPr>
              <w:pStyle w:val="Tableheaderrow"/>
              <w:spacing w:before="40" w:after="80" w:line="276" w:lineRule="auto"/>
            </w:pPr>
            <w:r w:rsidRPr="008B2F8A">
              <w:t>Population</w:t>
            </w:r>
          </w:p>
        </w:tc>
        <w:tc>
          <w:tcPr>
            <w:tcW w:w="1220" w:type="dxa"/>
            <w:noWrap/>
            <w:hideMark/>
          </w:tcPr>
          <w:p w14:paraId="47A3A681" w14:textId="77777777" w:rsidR="00E47AB8" w:rsidRPr="008B2F8A" w:rsidRDefault="00E47AB8" w:rsidP="00422306">
            <w:pPr>
              <w:pStyle w:val="Tableheaderrow"/>
              <w:spacing w:before="40" w:after="80" w:line="276" w:lineRule="auto"/>
              <w:jc w:val="center"/>
            </w:pPr>
            <w:r w:rsidRPr="008B2F8A">
              <w:t>FY 2015</w:t>
            </w:r>
          </w:p>
        </w:tc>
        <w:tc>
          <w:tcPr>
            <w:tcW w:w="1098" w:type="dxa"/>
            <w:noWrap/>
            <w:hideMark/>
          </w:tcPr>
          <w:p w14:paraId="6C378431" w14:textId="77777777" w:rsidR="00E47AB8" w:rsidRPr="008B2F8A" w:rsidRDefault="00E47AB8" w:rsidP="00422306">
            <w:pPr>
              <w:pStyle w:val="Tableheaderrow"/>
              <w:spacing w:before="40" w:after="80" w:line="276" w:lineRule="auto"/>
              <w:jc w:val="center"/>
            </w:pPr>
            <w:r w:rsidRPr="008B2F8A">
              <w:t>FY 2016</w:t>
            </w:r>
          </w:p>
        </w:tc>
        <w:tc>
          <w:tcPr>
            <w:tcW w:w="1098" w:type="dxa"/>
            <w:noWrap/>
            <w:hideMark/>
          </w:tcPr>
          <w:p w14:paraId="28D74A22" w14:textId="77777777" w:rsidR="00E47AB8" w:rsidRPr="008B2F8A" w:rsidRDefault="00E47AB8" w:rsidP="00422306">
            <w:pPr>
              <w:pStyle w:val="Tableheaderrow"/>
              <w:spacing w:before="40" w:after="80" w:line="276" w:lineRule="auto"/>
              <w:jc w:val="center"/>
            </w:pPr>
            <w:r w:rsidRPr="008B2F8A">
              <w:t>FY 2017</w:t>
            </w:r>
          </w:p>
        </w:tc>
        <w:tc>
          <w:tcPr>
            <w:tcW w:w="1097" w:type="dxa"/>
            <w:noWrap/>
            <w:hideMark/>
          </w:tcPr>
          <w:p w14:paraId="6643B76B" w14:textId="77777777" w:rsidR="00E47AB8" w:rsidRPr="008B2F8A" w:rsidRDefault="00E47AB8" w:rsidP="00422306">
            <w:pPr>
              <w:pStyle w:val="Tableheaderrow"/>
              <w:spacing w:before="40" w:after="80" w:line="276" w:lineRule="auto"/>
              <w:jc w:val="center"/>
            </w:pPr>
            <w:r w:rsidRPr="008B2F8A">
              <w:t>FY 2018</w:t>
            </w:r>
          </w:p>
        </w:tc>
        <w:tc>
          <w:tcPr>
            <w:tcW w:w="1035" w:type="dxa"/>
            <w:noWrap/>
            <w:hideMark/>
          </w:tcPr>
          <w:p w14:paraId="4EE05F22"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33AB9BCE" w14:textId="77777777" w:rsidTr="00422306">
        <w:tc>
          <w:tcPr>
            <w:tcW w:w="3578" w:type="dxa"/>
            <w:noWrap/>
            <w:vAlign w:val="bottom"/>
            <w:hideMark/>
          </w:tcPr>
          <w:p w14:paraId="11315AB3" w14:textId="77777777" w:rsidR="00E47AB8" w:rsidRPr="008B2F8A" w:rsidRDefault="00E47AB8" w:rsidP="00422306">
            <w:pPr>
              <w:pStyle w:val="TableText0"/>
              <w:keepNext w:val="0"/>
              <w:spacing w:before="40" w:after="80" w:line="276" w:lineRule="auto"/>
            </w:pPr>
            <w:r w:rsidRPr="008B2F8A">
              <w:t>Gene mutation or family history</w:t>
            </w:r>
          </w:p>
        </w:tc>
        <w:tc>
          <w:tcPr>
            <w:tcW w:w="1220" w:type="dxa"/>
            <w:noWrap/>
            <w:hideMark/>
          </w:tcPr>
          <w:p w14:paraId="2D713402" w14:textId="77777777" w:rsidR="00E47AB8" w:rsidRPr="008B2F8A" w:rsidRDefault="00E47AB8" w:rsidP="00422306">
            <w:pPr>
              <w:pStyle w:val="TableText0"/>
              <w:keepNext w:val="0"/>
              <w:spacing w:before="40" w:after="80" w:line="276" w:lineRule="auto"/>
              <w:jc w:val="right"/>
            </w:pPr>
            <w:r w:rsidRPr="008B2F8A">
              <w:t xml:space="preserve"> $3,692,534 </w:t>
            </w:r>
          </w:p>
        </w:tc>
        <w:tc>
          <w:tcPr>
            <w:tcW w:w="1098" w:type="dxa"/>
            <w:noWrap/>
            <w:hideMark/>
          </w:tcPr>
          <w:p w14:paraId="6AE5064B" w14:textId="77777777" w:rsidR="00E47AB8" w:rsidRPr="008B2F8A" w:rsidRDefault="00E47AB8" w:rsidP="00422306">
            <w:pPr>
              <w:pStyle w:val="TableText0"/>
              <w:keepNext w:val="0"/>
              <w:spacing w:before="40" w:after="80" w:line="276" w:lineRule="auto"/>
              <w:jc w:val="right"/>
            </w:pPr>
            <w:r w:rsidRPr="008B2F8A">
              <w:t xml:space="preserve"> $4,168,575 </w:t>
            </w:r>
          </w:p>
        </w:tc>
        <w:tc>
          <w:tcPr>
            <w:tcW w:w="1098" w:type="dxa"/>
            <w:noWrap/>
            <w:hideMark/>
          </w:tcPr>
          <w:p w14:paraId="6F2F55B7" w14:textId="77777777" w:rsidR="00E47AB8" w:rsidRPr="008B2F8A" w:rsidRDefault="00E47AB8" w:rsidP="00422306">
            <w:pPr>
              <w:pStyle w:val="TableText0"/>
              <w:keepNext w:val="0"/>
              <w:spacing w:before="40" w:after="80" w:line="276" w:lineRule="auto"/>
              <w:jc w:val="right"/>
            </w:pPr>
            <w:r w:rsidRPr="008B2F8A">
              <w:t xml:space="preserve"> $4,644,616 </w:t>
            </w:r>
          </w:p>
        </w:tc>
        <w:tc>
          <w:tcPr>
            <w:tcW w:w="1097" w:type="dxa"/>
            <w:noWrap/>
            <w:hideMark/>
          </w:tcPr>
          <w:p w14:paraId="05F85208" w14:textId="77777777" w:rsidR="00E47AB8" w:rsidRPr="008B2F8A" w:rsidRDefault="00E47AB8" w:rsidP="00422306">
            <w:pPr>
              <w:pStyle w:val="TableText0"/>
              <w:keepNext w:val="0"/>
              <w:spacing w:before="40" w:after="80" w:line="276" w:lineRule="auto"/>
              <w:jc w:val="right"/>
            </w:pPr>
            <w:r w:rsidRPr="008B2F8A">
              <w:t xml:space="preserve"> $5,120,657 </w:t>
            </w:r>
          </w:p>
        </w:tc>
        <w:tc>
          <w:tcPr>
            <w:tcW w:w="1035" w:type="dxa"/>
            <w:noWrap/>
            <w:hideMark/>
          </w:tcPr>
          <w:p w14:paraId="226FBCD2" w14:textId="77777777" w:rsidR="00E47AB8" w:rsidRPr="008B2F8A" w:rsidRDefault="00E47AB8" w:rsidP="00422306">
            <w:pPr>
              <w:pStyle w:val="TableText0"/>
              <w:keepNext w:val="0"/>
              <w:spacing w:before="40" w:after="80" w:line="276" w:lineRule="auto"/>
              <w:jc w:val="right"/>
            </w:pPr>
            <w:r w:rsidRPr="008B2F8A">
              <w:t xml:space="preserve"> $5,596,698 </w:t>
            </w:r>
          </w:p>
        </w:tc>
      </w:tr>
      <w:tr w:rsidR="00E47AB8" w:rsidRPr="008B2F8A" w14:paraId="4F6D445E" w14:textId="77777777" w:rsidTr="00422306">
        <w:tc>
          <w:tcPr>
            <w:tcW w:w="3578" w:type="dxa"/>
            <w:noWrap/>
            <w:vAlign w:val="bottom"/>
          </w:tcPr>
          <w:p w14:paraId="59850DAB" w14:textId="77777777" w:rsidR="00E47AB8" w:rsidRPr="008B2F8A" w:rsidRDefault="00E47AB8" w:rsidP="00422306">
            <w:pPr>
              <w:pStyle w:val="TableText0"/>
              <w:keepNext w:val="0"/>
              <w:spacing w:before="40" w:after="80" w:line="276" w:lineRule="auto"/>
            </w:pPr>
            <w:r w:rsidRPr="008B2F8A">
              <w:t>Prior history of invasive breast cancer</w:t>
            </w:r>
          </w:p>
        </w:tc>
        <w:tc>
          <w:tcPr>
            <w:tcW w:w="1220" w:type="dxa"/>
            <w:noWrap/>
          </w:tcPr>
          <w:p w14:paraId="606A3F2C" w14:textId="77777777" w:rsidR="00E47AB8" w:rsidRPr="008B2F8A" w:rsidRDefault="00E47AB8" w:rsidP="00422306">
            <w:pPr>
              <w:pStyle w:val="TableText0"/>
              <w:keepNext w:val="0"/>
              <w:spacing w:before="40" w:after="80" w:line="276" w:lineRule="auto"/>
              <w:jc w:val="right"/>
            </w:pPr>
            <w:r w:rsidRPr="008B2F8A">
              <w:t xml:space="preserve"> $5,379,612 </w:t>
            </w:r>
          </w:p>
        </w:tc>
        <w:tc>
          <w:tcPr>
            <w:tcW w:w="1098" w:type="dxa"/>
            <w:noWrap/>
          </w:tcPr>
          <w:p w14:paraId="670663F5" w14:textId="77777777" w:rsidR="00E47AB8" w:rsidRPr="008B2F8A" w:rsidRDefault="00E47AB8" w:rsidP="00422306">
            <w:pPr>
              <w:pStyle w:val="TableText0"/>
              <w:keepNext w:val="0"/>
              <w:spacing w:before="40" w:after="80" w:line="276" w:lineRule="auto"/>
              <w:jc w:val="right"/>
            </w:pPr>
            <w:r w:rsidRPr="008B2F8A">
              <w:t xml:space="preserve"> $8,210,544 </w:t>
            </w:r>
          </w:p>
        </w:tc>
        <w:tc>
          <w:tcPr>
            <w:tcW w:w="1098" w:type="dxa"/>
            <w:noWrap/>
          </w:tcPr>
          <w:p w14:paraId="7B359A32" w14:textId="77777777" w:rsidR="00E47AB8" w:rsidRPr="008B2F8A" w:rsidRDefault="00E47AB8" w:rsidP="00422306">
            <w:pPr>
              <w:pStyle w:val="TableText0"/>
              <w:keepNext w:val="0"/>
              <w:spacing w:before="40" w:after="80" w:line="276" w:lineRule="auto"/>
              <w:jc w:val="right"/>
            </w:pPr>
            <w:r w:rsidRPr="008B2F8A">
              <w:t xml:space="preserve"> $11,136,588 </w:t>
            </w:r>
          </w:p>
        </w:tc>
        <w:tc>
          <w:tcPr>
            <w:tcW w:w="1097" w:type="dxa"/>
            <w:noWrap/>
          </w:tcPr>
          <w:p w14:paraId="52697B74" w14:textId="77777777" w:rsidR="00E47AB8" w:rsidRPr="008B2F8A" w:rsidRDefault="00E47AB8" w:rsidP="00422306">
            <w:pPr>
              <w:pStyle w:val="TableText0"/>
              <w:keepNext w:val="0"/>
              <w:spacing w:before="40" w:after="80" w:line="276" w:lineRule="auto"/>
              <w:jc w:val="right"/>
            </w:pPr>
            <w:r w:rsidRPr="008B2F8A">
              <w:t xml:space="preserve"> $14,156,645 </w:t>
            </w:r>
          </w:p>
        </w:tc>
        <w:tc>
          <w:tcPr>
            <w:tcW w:w="1035" w:type="dxa"/>
            <w:noWrap/>
          </w:tcPr>
          <w:p w14:paraId="33B204C2" w14:textId="77777777" w:rsidR="00E47AB8" w:rsidRPr="008B2F8A" w:rsidRDefault="00E47AB8" w:rsidP="00422306">
            <w:pPr>
              <w:pStyle w:val="TableText0"/>
              <w:keepNext w:val="0"/>
              <w:spacing w:before="40" w:after="80" w:line="276" w:lineRule="auto"/>
              <w:jc w:val="right"/>
            </w:pPr>
            <w:r w:rsidRPr="008B2F8A">
              <w:t xml:space="preserve"> $15,715,791 </w:t>
            </w:r>
          </w:p>
        </w:tc>
      </w:tr>
      <w:tr w:rsidR="00E47AB8" w:rsidRPr="008B2F8A" w14:paraId="624B1EBB" w14:textId="77777777" w:rsidTr="00422306">
        <w:tc>
          <w:tcPr>
            <w:tcW w:w="3578" w:type="dxa"/>
            <w:noWrap/>
            <w:vAlign w:val="bottom"/>
          </w:tcPr>
          <w:p w14:paraId="2DE4A556" w14:textId="78A4A6E6"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1220" w:type="dxa"/>
            <w:noWrap/>
          </w:tcPr>
          <w:p w14:paraId="37A7B041" w14:textId="77777777" w:rsidR="00E47AB8" w:rsidRPr="008B2F8A" w:rsidRDefault="00E47AB8" w:rsidP="00422306">
            <w:pPr>
              <w:pStyle w:val="TableText0"/>
              <w:keepNext w:val="0"/>
              <w:spacing w:before="40" w:after="80" w:line="276" w:lineRule="auto"/>
              <w:jc w:val="right"/>
            </w:pPr>
            <w:r w:rsidRPr="008B2F8A">
              <w:t xml:space="preserve"> $611,543 </w:t>
            </w:r>
          </w:p>
        </w:tc>
        <w:tc>
          <w:tcPr>
            <w:tcW w:w="1098" w:type="dxa"/>
            <w:noWrap/>
          </w:tcPr>
          <w:p w14:paraId="3721898D" w14:textId="77777777" w:rsidR="00E47AB8" w:rsidRPr="008B2F8A" w:rsidRDefault="00E47AB8" w:rsidP="00422306">
            <w:pPr>
              <w:pStyle w:val="TableText0"/>
              <w:keepNext w:val="0"/>
              <w:spacing w:before="40" w:after="80" w:line="276" w:lineRule="auto"/>
              <w:jc w:val="right"/>
            </w:pPr>
            <w:r w:rsidRPr="008B2F8A">
              <w:t xml:space="preserve"> $932,909 </w:t>
            </w:r>
          </w:p>
        </w:tc>
        <w:tc>
          <w:tcPr>
            <w:tcW w:w="1098" w:type="dxa"/>
            <w:noWrap/>
          </w:tcPr>
          <w:p w14:paraId="1CA6BB32" w14:textId="77777777" w:rsidR="00E47AB8" w:rsidRPr="008B2F8A" w:rsidRDefault="00E47AB8" w:rsidP="00422306">
            <w:pPr>
              <w:pStyle w:val="TableText0"/>
              <w:keepNext w:val="0"/>
              <w:spacing w:before="40" w:after="80" w:line="276" w:lineRule="auto"/>
              <w:jc w:val="right"/>
            </w:pPr>
            <w:r w:rsidRPr="008B2F8A">
              <w:t xml:space="preserve"> $1,265,024 </w:t>
            </w:r>
          </w:p>
        </w:tc>
        <w:tc>
          <w:tcPr>
            <w:tcW w:w="1097" w:type="dxa"/>
            <w:noWrap/>
          </w:tcPr>
          <w:p w14:paraId="43681FE4" w14:textId="77777777" w:rsidR="00E47AB8" w:rsidRPr="008B2F8A" w:rsidRDefault="00E47AB8" w:rsidP="00422306">
            <w:pPr>
              <w:pStyle w:val="TableText0"/>
              <w:keepNext w:val="0"/>
              <w:spacing w:before="40" w:after="80" w:line="276" w:lineRule="auto"/>
              <w:jc w:val="right"/>
            </w:pPr>
            <w:r w:rsidRPr="008B2F8A">
              <w:t xml:space="preserve"> $1,608,162 </w:t>
            </w:r>
          </w:p>
        </w:tc>
        <w:tc>
          <w:tcPr>
            <w:tcW w:w="1035" w:type="dxa"/>
            <w:noWrap/>
          </w:tcPr>
          <w:p w14:paraId="0C9C468C" w14:textId="77777777" w:rsidR="00E47AB8" w:rsidRPr="008B2F8A" w:rsidRDefault="00E47AB8" w:rsidP="00422306">
            <w:pPr>
              <w:pStyle w:val="TableText0"/>
              <w:keepNext w:val="0"/>
              <w:spacing w:before="40" w:after="80" w:line="276" w:lineRule="auto"/>
              <w:jc w:val="right"/>
            </w:pPr>
            <w:r w:rsidRPr="008B2F8A">
              <w:t xml:space="preserve"> $1,785,967 </w:t>
            </w:r>
          </w:p>
        </w:tc>
      </w:tr>
      <w:tr w:rsidR="00E47AB8" w:rsidRPr="008B2F8A" w14:paraId="716E7F5E" w14:textId="77777777" w:rsidTr="00422306">
        <w:tc>
          <w:tcPr>
            <w:tcW w:w="3578" w:type="dxa"/>
            <w:noWrap/>
            <w:vAlign w:val="bottom"/>
          </w:tcPr>
          <w:p w14:paraId="76E6DCC6"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1220" w:type="dxa"/>
            <w:noWrap/>
          </w:tcPr>
          <w:p w14:paraId="11B086E7" w14:textId="77777777" w:rsidR="00E47AB8" w:rsidRPr="008B2F8A" w:rsidRDefault="00E47AB8" w:rsidP="00422306">
            <w:pPr>
              <w:pStyle w:val="TableText0"/>
              <w:keepNext w:val="0"/>
              <w:spacing w:before="40" w:after="80" w:line="276" w:lineRule="auto"/>
              <w:jc w:val="right"/>
            </w:pPr>
            <w:r w:rsidRPr="008B2F8A">
              <w:t xml:space="preserve"> $52,500 </w:t>
            </w:r>
          </w:p>
        </w:tc>
        <w:tc>
          <w:tcPr>
            <w:tcW w:w="1098" w:type="dxa"/>
            <w:noWrap/>
          </w:tcPr>
          <w:p w14:paraId="3C33FFD8" w14:textId="77777777" w:rsidR="00E47AB8" w:rsidRPr="008B2F8A" w:rsidRDefault="00E47AB8" w:rsidP="00422306">
            <w:pPr>
              <w:pStyle w:val="TableText0"/>
              <w:keepNext w:val="0"/>
              <w:spacing w:before="40" w:after="80" w:line="276" w:lineRule="auto"/>
              <w:jc w:val="right"/>
            </w:pPr>
            <w:r w:rsidRPr="008B2F8A">
              <w:t xml:space="preserve"> $106,751 </w:t>
            </w:r>
          </w:p>
        </w:tc>
        <w:tc>
          <w:tcPr>
            <w:tcW w:w="1098" w:type="dxa"/>
            <w:noWrap/>
          </w:tcPr>
          <w:p w14:paraId="31EAD697" w14:textId="77777777" w:rsidR="00E47AB8" w:rsidRPr="008B2F8A" w:rsidRDefault="00E47AB8" w:rsidP="00422306">
            <w:pPr>
              <w:pStyle w:val="TableText0"/>
              <w:keepNext w:val="0"/>
              <w:spacing w:before="40" w:after="80" w:line="276" w:lineRule="auto"/>
              <w:jc w:val="right"/>
            </w:pPr>
            <w:r w:rsidRPr="008B2F8A">
              <w:t xml:space="preserve"> $162,832 </w:t>
            </w:r>
          </w:p>
        </w:tc>
        <w:tc>
          <w:tcPr>
            <w:tcW w:w="1097" w:type="dxa"/>
            <w:noWrap/>
          </w:tcPr>
          <w:p w14:paraId="19371F85" w14:textId="77777777" w:rsidR="00E47AB8" w:rsidRPr="008B2F8A" w:rsidRDefault="00E47AB8" w:rsidP="00422306">
            <w:pPr>
              <w:pStyle w:val="TableText0"/>
              <w:keepNext w:val="0"/>
              <w:spacing w:before="40" w:after="80" w:line="276" w:lineRule="auto"/>
              <w:jc w:val="right"/>
            </w:pPr>
            <w:r w:rsidRPr="008B2F8A">
              <w:t xml:space="preserve"> $220,789 </w:t>
            </w:r>
          </w:p>
        </w:tc>
        <w:tc>
          <w:tcPr>
            <w:tcW w:w="1035" w:type="dxa"/>
            <w:noWrap/>
          </w:tcPr>
          <w:p w14:paraId="72C101C9" w14:textId="77777777" w:rsidR="00E47AB8" w:rsidRPr="008B2F8A" w:rsidRDefault="00E47AB8" w:rsidP="00422306">
            <w:pPr>
              <w:pStyle w:val="TableText0"/>
              <w:keepNext w:val="0"/>
              <w:spacing w:before="40" w:after="80" w:line="276" w:lineRule="auto"/>
              <w:jc w:val="right"/>
            </w:pPr>
            <w:r w:rsidRPr="008B2F8A">
              <w:t xml:space="preserve"> $255,813 </w:t>
            </w:r>
          </w:p>
        </w:tc>
      </w:tr>
      <w:tr w:rsidR="00E47AB8" w:rsidRPr="008B2F8A" w14:paraId="11E356EA" w14:textId="77777777" w:rsidTr="00422306">
        <w:tc>
          <w:tcPr>
            <w:tcW w:w="3578" w:type="dxa"/>
            <w:noWrap/>
            <w:vAlign w:val="bottom"/>
          </w:tcPr>
          <w:p w14:paraId="37192306" w14:textId="77777777" w:rsidR="00E47AB8" w:rsidRPr="008B2F8A" w:rsidRDefault="00E47AB8" w:rsidP="00422306">
            <w:pPr>
              <w:pStyle w:val="TableText0"/>
              <w:keepNext w:val="0"/>
              <w:spacing w:before="40" w:after="80" w:line="276" w:lineRule="auto"/>
            </w:pPr>
            <w:r w:rsidRPr="008B2F8A">
              <w:t>All populations</w:t>
            </w:r>
          </w:p>
        </w:tc>
        <w:tc>
          <w:tcPr>
            <w:tcW w:w="1220" w:type="dxa"/>
            <w:noWrap/>
          </w:tcPr>
          <w:p w14:paraId="5A6169FB" w14:textId="77777777" w:rsidR="00E47AB8" w:rsidRPr="008B2F8A" w:rsidRDefault="00E47AB8" w:rsidP="00422306">
            <w:pPr>
              <w:pStyle w:val="TableText0"/>
              <w:keepNext w:val="0"/>
              <w:spacing w:before="40" w:after="80" w:line="276" w:lineRule="auto"/>
              <w:jc w:val="right"/>
            </w:pPr>
            <w:r w:rsidRPr="008B2F8A">
              <w:t xml:space="preserve"> $9,736,188 </w:t>
            </w:r>
          </w:p>
        </w:tc>
        <w:tc>
          <w:tcPr>
            <w:tcW w:w="1098" w:type="dxa"/>
            <w:noWrap/>
          </w:tcPr>
          <w:p w14:paraId="662BA2FD" w14:textId="77777777" w:rsidR="00E47AB8" w:rsidRPr="008B2F8A" w:rsidRDefault="00E47AB8" w:rsidP="00422306">
            <w:pPr>
              <w:pStyle w:val="TableText0"/>
              <w:keepNext w:val="0"/>
              <w:spacing w:before="40" w:after="80" w:line="276" w:lineRule="auto"/>
              <w:jc w:val="right"/>
            </w:pPr>
            <w:r w:rsidRPr="008B2F8A">
              <w:t xml:space="preserve"> $13,418,779 </w:t>
            </w:r>
          </w:p>
        </w:tc>
        <w:tc>
          <w:tcPr>
            <w:tcW w:w="1098" w:type="dxa"/>
            <w:noWrap/>
          </w:tcPr>
          <w:p w14:paraId="3318B7D3" w14:textId="77777777" w:rsidR="00E47AB8" w:rsidRPr="008B2F8A" w:rsidRDefault="00E47AB8" w:rsidP="00422306">
            <w:pPr>
              <w:pStyle w:val="TableText0"/>
              <w:keepNext w:val="0"/>
              <w:spacing w:before="40" w:after="80" w:line="276" w:lineRule="auto"/>
              <w:jc w:val="right"/>
            </w:pPr>
            <w:r w:rsidRPr="008B2F8A">
              <w:t xml:space="preserve"> $17,209,060 </w:t>
            </w:r>
          </w:p>
        </w:tc>
        <w:tc>
          <w:tcPr>
            <w:tcW w:w="1097" w:type="dxa"/>
            <w:noWrap/>
          </w:tcPr>
          <w:p w14:paraId="5650F36A" w14:textId="77777777" w:rsidR="00E47AB8" w:rsidRPr="008B2F8A" w:rsidRDefault="00E47AB8" w:rsidP="00422306">
            <w:pPr>
              <w:pStyle w:val="TableText0"/>
              <w:keepNext w:val="0"/>
              <w:spacing w:before="40" w:after="80" w:line="276" w:lineRule="auto"/>
              <w:jc w:val="right"/>
            </w:pPr>
            <w:r w:rsidRPr="008B2F8A">
              <w:t xml:space="preserve"> $21,106,253 </w:t>
            </w:r>
          </w:p>
        </w:tc>
        <w:tc>
          <w:tcPr>
            <w:tcW w:w="1035" w:type="dxa"/>
            <w:noWrap/>
          </w:tcPr>
          <w:p w14:paraId="7A971A92" w14:textId="77777777" w:rsidR="00E47AB8" w:rsidRPr="008B2F8A" w:rsidRDefault="00E47AB8" w:rsidP="00422306">
            <w:pPr>
              <w:pStyle w:val="TableText0"/>
              <w:keepNext w:val="0"/>
              <w:spacing w:before="40" w:after="80" w:line="276" w:lineRule="auto"/>
              <w:jc w:val="right"/>
            </w:pPr>
            <w:r w:rsidRPr="008B2F8A">
              <w:t xml:space="preserve"> $23,354,268 </w:t>
            </w:r>
          </w:p>
        </w:tc>
      </w:tr>
    </w:tbl>
    <w:p w14:paraId="598A1CDB" w14:textId="24F2A2BF" w:rsidR="00E47AB8" w:rsidRPr="008B2F8A" w:rsidRDefault="00E47AB8" w:rsidP="00F820E5">
      <w:pPr>
        <w:pStyle w:val="TableNotesFirst"/>
      </w:pPr>
      <w:r w:rsidRPr="008B2F8A">
        <w:t>DCIS = ductal carcinoma in situ; FY = financial year; LCIS = lobular carcinoma in situ.</w:t>
      </w:r>
    </w:p>
    <w:p w14:paraId="2281F333" w14:textId="77777777" w:rsidR="00E47AB8" w:rsidRPr="008B2F8A" w:rsidRDefault="00E47AB8" w:rsidP="00F820E5">
      <w:pPr>
        <w:pStyle w:val="TableNotesLast"/>
      </w:pPr>
      <w:r w:rsidRPr="008B2F8A">
        <w:t>Note: Rounding has been applied.</w:t>
      </w:r>
    </w:p>
    <w:p w14:paraId="6E5BA5BE" w14:textId="77777777" w:rsidR="00E47AB8" w:rsidRPr="008B2F8A" w:rsidRDefault="00E47AB8" w:rsidP="00422306">
      <w:pPr>
        <w:rPr>
          <w:bCs/>
        </w:rPr>
      </w:pPr>
      <w:r w:rsidRPr="008B2F8A">
        <w:t xml:space="preserve">Sensitivity analyses were conducted to explore the effect of patient numbers, risk of breast cancer, estimates of diagnostic accuracy and MBS benefits for MRI (see Section </w:t>
      </w:r>
      <w:r w:rsidRPr="008B2F8A">
        <w:fldChar w:fldCharType="begin"/>
      </w:r>
      <w:r w:rsidRPr="008B2F8A">
        <w:instrText xml:space="preserve"> REF _Ref377648511 \r \h  \* MERGEFORMAT </w:instrText>
      </w:r>
      <w:r w:rsidRPr="008B2F8A">
        <w:fldChar w:fldCharType="separate"/>
      </w:r>
      <w:r w:rsidR="00B81273">
        <w:rPr>
          <w:noProof/>
        </w:rPr>
        <w:t>E.6</w:t>
      </w:r>
      <w:r w:rsidRPr="008B2F8A">
        <w:fldChar w:fldCharType="end"/>
      </w:r>
      <w:r w:rsidRPr="008B2F8A">
        <w:t xml:space="preserve">). The financial impact calculations for the proposed listing are most sensitive to changes in the numbers of women screened with breast MRI (see Section </w:t>
      </w:r>
      <w:r w:rsidRPr="008B2F8A">
        <w:fldChar w:fldCharType="begin"/>
      </w:r>
      <w:r w:rsidRPr="008B2F8A">
        <w:instrText xml:space="preserve"> REF _Ref377648523 \r \h  \* MERGEFORMAT </w:instrText>
      </w:r>
      <w:r w:rsidRPr="008B2F8A">
        <w:fldChar w:fldCharType="separate"/>
      </w:r>
      <w:r w:rsidR="00B81273">
        <w:rPr>
          <w:noProof/>
        </w:rPr>
        <w:t>E.6.1</w:t>
      </w:r>
      <w:r w:rsidRPr="008B2F8A">
        <w:fldChar w:fldCharType="end"/>
      </w:r>
      <w:r w:rsidRPr="008B2F8A">
        <w:t>). This is because the major contributor to the cost of the requested listing is the cost of performing the breast MRI service, including imaging and specialist attendance costs. Changes to variables that alter the number of women who receive biopsy and treatment have a low to moderate impact, as these costs account for a small proportion of the total cost of the proposed listing.</w:t>
      </w:r>
    </w:p>
    <w:p w14:paraId="4CF26F65" w14:textId="77777777" w:rsidR="00E47AB8" w:rsidRPr="008B2F8A" w:rsidRDefault="00E47AB8" w:rsidP="00F820E5">
      <w:pPr>
        <w:pStyle w:val="Heading3"/>
      </w:pPr>
      <w:bookmarkStart w:id="184" w:name="_Toc383424421"/>
      <w:r w:rsidRPr="008B2F8A">
        <w:t>Key uncertainties in the financial implications</w:t>
      </w:r>
      <w:bookmarkEnd w:id="184"/>
    </w:p>
    <w:p w14:paraId="0BA85BD2" w14:textId="231DCAE8" w:rsidR="00E47AB8" w:rsidRPr="008B2F8A" w:rsidRDefault="00E47AB8" w:rsidP="00422306">
      <w:r w:rsidRPr="008B2F8A">
        <w:t>Three key uncertainties may affect the results of the financial impact analysis:</w:t>
      </w:r>
    </w:p>
    <w:p w14:paraId="54D750DE" w14:textId="77777777" w:rsidR="00E47AB8" w:rsidRPr="008B2F8A" w:rsidRDefault="00E47AB8" w:rsidP="00E47AB8">
      <w:pPr>
        <w:pStyle w:val="ListParagraph"/>
        <w:numPr>
          <w:ilvl w:val="0"/>
          <w:numId w:val="82"/>
        </w:numPr>
      </w:pPr>
      <w:r w:rsidRPr="008B2F8A">
        <w:t>Patient numbers estimated for the new populations are uncertain, particularly the population of patients with a prior history of invasive breast cancer.</w:t>
      </w:r>
    </w:p>
    <w:p w14:paraId="63463CB9" w14:textId="77777777" w:rsidR="00E47AB8" w:rsidRPr="008B2F8A" w:rsidRDefault="00E47AB8" w:rsidP="00E47AB8">
      <w:pPr>
        <w:pStyle w:val="ListParagraph"/>
        <w:numPr>
          <w:ilvl w:val="0"/>
          <w:numId w:val="82"/>
        </w:numPr>
      </w:pPr>
      <w:r w:rsidRPr="008B2F8A">
        <w:t>The screening uptake rates used may be an underestimate, as high-risk patients may be more likely to comply with screening recommendations.</w:t>
      </w:r>
    </w:p>
    <w:p w14:paraId="18946A83" w14:textId="77777777" w:rsidR="00E47AB8" w:rsidRPr="008B2F8A" w:rsidRDefault="00E47AB8" w:rsidP="00E47AB8">
      <w:pPr>
        <w:pStyle w:val="ListParagraph"/>
        <w:numPr>
          <w:ilvl w:val="0"/>
          <w:numId w:val="82"/>
        </w:numPr>
      </w:pPr>
      <w:r w:rsidRPr="008B2F8A">
        <w:t>The costs of treatment for women with prior breast cancer are uncertain as these patients may require a range of different treatment strategies, depending on their prior treatment history.</w:t>
      </w:r>
    </w:p>
    <w:p w14:paraId="10C6ED3F" w14:textId="77777777" w:rsidR="00E47AB8" w:rsidRPr="008B2F8A" w:rsidRDefault="00E47AB8" w:rsidP="00422306">
      <w:pPr>
        <w:rPr>
          <w:color w:val="000000"/>
          <w:sz w:val="24"/>
          <w:szCs w:val="24"/>
        </w:rPr>
        <w:sectPr w:rsidR="00E47AB8" w:rsidRPr="008B2F8A" w:rsidSect="00422306">
          <w:type w:val="continuous"/>
          <w:pgSz w:w="11906" w:h="16838"/>
          <w:pgMar w:top="1418" w:right="1418" w:bottom="1418" w:left="1418" w:header="708" w:footer="708" w:gutter="0"/>
          <w:pgNumType w:fmt="lowerRoman"/>
          <w:cols w:space="708"/>
          <w:docGrid w:linePitch="360"/>
        </w:sectPr>
      </w:pPr>
    </w:p>
    <w:p w14:paraId="3A885291" w14:textId="77777777" w:rsidR="00E47AB8" w:rsidRPr="008B2F8A" w:rsidRDefault="00E47AB8" w:rsidP="00E47AB8">
      <w:pPr>
        <w:pStyle w:val="Heading1"/>
        <w:numPr>
          <w:ilvl w:val="0"/>
          <w:numId w:val="43"/>
        </w:numPr>
        <w:spacing w:after="0"/>
      </w:pPr>
      <w:bookmarkStart w:id="185" w:name="_Toc383424422"/>
      <w:r w:rsidRPr="008B2F8A">
        <w:lastRenderedPageBreak/>
        <w:t>Details of the proposed medical service and its intended use</w:t>
      </w:r>
      <w:bookmarkEnd w:id="185"/>
    </w:p>
    <w:p w14:paraId="1AD465DC" w14:textId="77777777" w:rsidR="00E47AB8" w:rsidRPr="008B2F8A" w:rsidRDefault="00E47AB8" w:rsidP="00E47AB8">
      <w:pPr>
        <w:pStyle w:val="Heading2"/>
        <w:numPr>
          <w:ilvl w:val="1"/>
          <w:numId w:val="10"/>
        </w:numPr>
      </w:pPr>
      <w:bookmarkStart w:id="186" w:name="_Toc383424423"/>
      <w:r w:rsidRPr="008B2F8A">
        <w:t>Background</w:t>
      </w:r>
      <w:bookmarkEnd w:id="186"/>
    </w:p>
    <w:p w14:paraId="615472F3" w14:textId="77777777" w:rsidR="00E47AB8" w:rsidRPr="008B2F8A" w:rsidRDefault="00E47AB8" w:rsidP="00E47AB8">
      <w:pPr>
        <w:pStyle w:val="Heading3"/>
        <w:numPr>
          <w:ilvl w:val="2"/>
          <w:numId w:val="10"/>
        </w:numPr>
      </w:pPr>
      <w:bookmarkStart w:id="187" w:name="_Toc383424424"/>
      <w:r w:rsidRPr="008B2F8A">
        <w:t>Breast cancer in Australia</w:t>
      </w:r>
      <w:bookmarkEnd w:id="187"/>
    </w:p>
    <w:p w14:paraId="7FCABFCC" w14:textId="752704BA" w:rsidR="00E47AB8" w:rsidRPr="008B2F8A" w:rsidRDefault="00E47AB8" w:rsidP="00422306">
      <w:r w:rsidRPr="008B2F8A">
        <w:t xml:space="preserve">Breast cancer is a heterogeneous disease and can be divided into two main groups: </w:t>
      </w:r>
      <w:r w:rsidRPr="008B2F8A">
        <w:rPr>
          <w:i/>
        </w:rPr>
        <w:t>invasive</w:t>
      </w:r>
      <w:r w:rsidRPr="008B2F8A">
        <w:t xml:space="preserve"> cancers, characterised by cancer cells that invade the breast stroma, and </w:t>
      </w:r>
      <w:r w:rsidRPr="008B2F8A">
        <w:rPr>
          <w:i/>
        </w:rPr>
        <w:t xml:space="preserve">noninvasive (in situ) </w:t>
      </w:r>
      <w:r w:rsidRPr="008B2F8A">
        <w:t>cancers, where cancer cells remain confined to the ducts or lobules. Generally, there are two types of noninvasive lesions: ductal carcinoma in situ (DCIS) and lobular carcinoma in situ (LCIS), both of which differ in clinical features and morphology.</w:t>
      </w:r>
    </w:p>
    <w:p w14:paraId="202CE80D" w14:textId="77777777" w:rsidR="00E47AB8" w:rsidRPr="008B2F8A" w:rsidRDefault="00E47AB8" w:rsidP="00E47AB8">
      <w:pPr>
        <w:pStyle w:val="Heading4"/>
        <w:numPr>
          <w:ilvl w:val="3"/>
          <w:numId w:val="10"/>
        </w:numPr>
      </w:pPr>
      <w:r w:rsidRPr="008B2F8A">
        <w:t>Overall incidence of breast cancer</w:t>
      </w:r>
    </w:p>
    <w:p w14:paraId="75CF06C6" w14:textId="4B3E8224" w:rsidR="00E47AB8" w:rsidRPr="008B2F8A" w:rsidRDefault="00E47AB8" w:rsidP="00422306">
      <w:r w:rsidRPr="008B2F8A">
        <w:t xml:space="preserve">In Australia, data collection on the incidence of these different types of breast cancer is variable. Unlike the incidence of invasive breast cancer, collecting data on the incidence of DCIS and LCIS or recurrent secondary breast cancers is not the primary goal of data collection for cancer registries. Some data are derived by state and territory cancer registries in Australia </w:t>
      </w:r>
      <w:r w:rsidRPr="008B2F8A">
        <w:rPr>
          <w:noProof/>
        </w:rPr>
        <w:t>(</w:t>
      </w:r>
      <w:bookmarkStart w:id="188" w:name="OLE_LINK588"/>
      <w:bookmarkStart w:id="189" w:name="OLE_LINK589"/>
      <w:r w:rsidRPr="008B2F8A">
        <w:rPr>
          <w:noProof/>
        </w:rPr>
        <w:t xml:space="preserve">AIHW </w:t>
      </w:r>
      <w:r>
        <w:rPr>
          <w:noProof/>
        </w:rPr>
        <w:t>&amp;</w:t>
      </w:r>
      <w:r w:rsidRPr="008B2F8A">
        <w:rPr>
          <w:noProof/>
        </w:rPr>
        <w:t xml:space="preserve"> NBOCC, 2010</w:t>
      </w:r>
      <w:bookmarkEnd w:id="188"/>
      <w:bookmarkEnd w:id="189"/>
      <w:r w:rsidRPr="008B2F8A">
        <w:rPr>
          <w:noProof/>
        </w:rPr>
        <w:t>)</w:t>
      </w:r>
      <w:r w:rsidRPr="008B2F8A">
        <w:t>.</w:t>
      </w:r>
    </w:p>
    <w:p w14:paraId="2243C1C8" w14:textId="77777777" w:rsidR="00E47AB8" w:rsidRPr="008B2F8A" w:rsidRDefault="00E47AB8" w:rsidP="00E47AB8">
      <w:pPr>
        <w:pStyle w:val="Heading4"/>
        <w:numPr>
          <w:ilvl w:val="3"/>
          <w:numId w:val="10"/>
        </w:numPr>
      </w:pPr>
      <w:r w:rsidRPr="008B2F8A">
        <w:t>Invasive breast cancer</w:t>
      </w:r>
    </w:p>
    <w:p w14:paraId="1C6DE635" w14:textId="2ACF22CA" w:rsidR="00E47AB8" w:rsidRPr="008B2F8A" w:rsidRDefault="00E47AB8" w:rsidP="00422306">
      <w:r w:rsidRPr="008B2F8A">
        <w:t xml:space="preserve">In Australia, invasive breast cancer is the most frequently diagnosed cancer in women; 14,560 new cases were estimated in 2012 (based on 2000–2009 incidence data) </w:t>
      </w:r>
      <w:r w:rsidRPr="008B2F8A">
        <w:rPr>
          <w:noProof/>
        </w:rPr>
        <w:t>(</w:t>
      </w:r>
      <w:bookmarkStart w:id="190" w:name="OLE_LINK937"/>
      <w:bookmarkStart w:id="191" w:name="OLE_LINK938"/>
      <w:r w:rsidRPr="008B2F8A">
        <w:rPr>
          <w:noProof/>
        </w:rPr>
        <w:t>AIHW, 2012b</w:t>
      </w:r>
      <w:bookmarkEnd w:id="190"/>
      <w:bookmarkEnd w:id="191"/>
      <w:r w:rsidRPr="008B2F8A">
        <w:rPr>
          <w:noProof/>
        </w:rPr>
        <w:t>)</w:t>
      </w:r>
      <w:r w:rsidRPr="008B2F8A">
        <w:t xml:space="preserve">. The age-standardised incidence rate in women was 114 per 100,000 in 2009, and the rates between 2010 and 2012 have been estimated to remain stable </w:t>
      </w:r>
      <w:r w:rsidRPr="008B2F8A">
        <w:rPr>
          <w:noProof/>
        </w:rPr>
        <w:t>(AIHW, 2012b)</w:t>
      </w:r>
      <w:r w:rsidRPr="008B2F8A">
        <w:t xml:space="preserve">. Incidence varies by age: over half of invasive breast cancers diagnosed occur in women aged 50 to 69 years, and fewer than one in four (24%) in women who are &lt;50 years of age </w:t>
      </w:r>
      <w:r w:rsidRPr="008B2F8A">
        <w:rPr>
          <w:noProof/>
        </w:rPr>
        <w:t>(</w:t>
      </w:r>
      <w:bookmarkStart w:id="192" w:name="OLE_LINK939"/>
      <w:bookmarkStart w:id="193" w:name="OLE_LINK940"/>
      <w:r w:rsidRPr="008B2F8A">
        <w:rPr>
          <w:noProof/>
        </w:rPr>
        <w:t>AIHW, 2012a</w:t>
      </w:r>
      <w:bookmarkEnd w:id="192"/>
      <w:bookmarkEnd w:id="193"/>
      <w:r w:rsidRPr="008B2F8A">
        <w:rPr>
          <w:noProof/>
        </w:rPr>
        <w:t>)</w:t>
      </w:r>
      <w:r w:rsidRPr="008B2F8A">
        <w:t>.</w:t>
      </w:r>
    </w:p>
    <w:p w14:paraId="3F253CD8" w14:textId="71E6A9BF" w:rsidR="00E47AB8" w:rsidRPr="00F820E5" w:rsidRDefault="00E47AB8" w:rsidP="00E47AB8">
      <w:pPr>
        <w:pStyle w:val="Heading4"/>
        <w:numPr>
          <w:ilvl w:val="3"/>
          <w:numId w:val="10"/>
        </w:numPr>
      </w:pPr>
      <w:r w:rsidRPr="00F820E5">
        <w:t>DCIS and LCIS</w:t>
      </w:r>
    </w:p>
    <w:p w14:paraId="129C1026" w14:textId="16C4D64F" w:rsidR="00E47AB8" w:rsidRPr="008B2F8A" w:rsidRDefault="00E47AB8" w:rsidP="00422306">
      <w:r w:rsidRPr="008B2F8A">
        <w:t xml:space="preserve">In 2005, there were 1,558 new DCIS cases reported in Australia. The lowest incidence rates occurred in women under 40 years of age (1.1 cases per 100,000 women) and 40 to 49 years of age (17.1 cases per 100,000 women), and the highest occurred in women 60 to 69 years of age (50.8 cases per 100,000 women; </w:t>
      </w:r>
      <w:bookmarkStart w:id="194" w:name="OLE_LINK248"/>
      <w:bookmarkStart w:id="195" w:name="OLE_LINK249"/>
      <w:r w:rsidRPr="008B2F8A">
        <w:rPr>
          <w:noProof/>
        </w:rPr>
        <w:t xml:space="preserve">AIHW </w:t>
      </w:r>
      <w:bookmarkEnd w:id="194"/>
      <w:bookmarkEnd w:id="195"/>
      <w:r w:rsidRPr="008B2F8A">
        <w:rPr>
          <w:noProof/>
        </w:rPr>
        <w:t>&amp; NBOCC, 2010</w:t>
      </w:r>
      <w:r w:rsidRPr="008B2F8A">
        <w:t>).</w:t>
      </w:r>
    </w:p>
    <w:p w14:paraId="082447F1" w14:textId="40CEF57C" w:rsidR="00E47AB8" w:rsidRPr="008B2F8A" w:rsidRDefault="00E47AB8" w:rsidP="00422306">
      <w:r w:rsidRPr="008B2F8A">
        <w:t xml:space="preserve">Data on the rates of LCIS are currently lacking in Australia. LCIS is rarely visible in mammography and is usually identified as an incidental finding at biopsy performed for other reasons </w:t>
      </w:r>
      <w:r w:rsidRPr="008B2F8A">
        <w:rPr>
          <w:noProof/>
        </w:rPr>
        <w:t>(</w:t>
      </w:r>
      <w:bookmarkStart w:id="196" w:name="OLE_LINK941"/>
      <w:bookmarkStart w:id="197" w:name="OLE_LINK942"/>
      <w:r w:rsidRPr="008B2F8A">
        <w:rPr>
          <w:noProof/>
        </w:rPr>
        <w:t>Sung et al, 2011b</w:t>
      </w:r>
      <w:bookmarkEnd w:id="196"/>
      <w:bookmarkEnd w:id="197"/>
      <w:r w:rsidRPr="008B2F8A">
        <w:rPr>
          <w:noProof/>
        </w:rPr>
        <w:t>)</w:t>
      </w:r>
      <w:r w:rsidRPr="008B2F8A">
        <w:t xml:space="preserve">. In 1998 to 2001 in the United States, the rates of LCIS increased 2.5- to 3.8-fold in women aged &lt;50 years </w:t>
      </w:r>
      <w:r w:rsidRPr="008B2F8A">
        <w:rPr>
          <w:noProof/>
        </w:rPr>
        <w:t>(</w:t>
      </w:r>
      <w:bookmarkStart w:id="198" w:name="OLE_LINK590"/>
      <w:bookmarkStart w:id="199" w:name="OLE_LINK591"/>
      <w:r w:rsidRPr="008B2F8A">
        <w:rPr>
          <w:noProof/>
        </w:rPr>
        <w:t>Li et al, 2005</w:t>
      </w:r>
      <w:bookmarkEnd w:id="198"/>
      <w:bookmarkEnd w:id="199"/>
      <w:r w:rsidRPr="008B2F8A">
        <w:rPr>
          <w:noProof/>
        </w:rPr>
        <w:t>)</w:t>
      </w:r>
      <w:r w:rsidRPr="008B2F8A">
        <w:t xml:space="preserve">. These rates need to be considered with caution given the likelihood of differing interpretations of diagnostic criteria used by pathologists for LCIS in multiple institutions </w:t>
      </w:r>
      <w:r w:rsidRPr="008B2F8A">
        <w:rPr>
          <w:noProof/>
        </w:rPr>
        <w:t>(Li et al, 2005)</w:t>
      </w:r>
      <w:r w:rsidRPr="008B2F8A">
        <w:t>.</w:t>
      </w:r>
    </w:p>
    <w:p w14:paraId="72E89CA0" w14:textId="77777777" w:rsidR="00E47AB8" w:rsidRPr="008B2F8A" w:rsidRDefault="00E47AB8" w:rsidP="00E47AB8">
      <w:pPr>
        <w:pStyle w:val="Heading4"/>
        <w:numPr>
          <w:ilvl w:val="3"/>
          <w:numId w:val="10"/>
        </w:numPr>
      </w:pPr>
      <w:r w:rsidRPr="008B2F8A">
        <w:t>Mortality</w:t>
      </w:r>
    </w:p>
    <w:p w14:paraId="60CD892E" w14:textId="4285381B" w:rsidR="00E47AB8" w:rsidRPr="008B2F8A" w:rsidRDefault="00E47AB8" w:rsidP="00422306">
      <w:r w:rsidRPr="008B2F8A">
        <w:t xml:space="preserve">In 2010, breast cancer was the second most common cause of cancer death in women (2,840 deaths per 100,000), following lung cancer (3,165 deaths per 100,000) in Australia </w:t>
      </w:r>
      <w:r w:rsidRPr="008B2F8A">
        <w:rPr>
          <w:noProof/>
        </w:rPr>
        <w:t>(AIHW, 2012b)</w:t>
      </w:r>
      <w:r w:rsidRPr="008B2F8A">
        <w:t xml:space="preserve">. There has been a fall of 30% in the mortality rate of breast cancer in women over time, from 31 per 100,000 in </w:t>
      </w:r>
      <w:r w:rsidRPr="008B2F8A">
        <w:lastRenderedPageBreak/>
        <w:t xml:space="preserve">1994 to 22 per 100,000 in 2010 </w:t>
      </w:r>
      <w:r w:rsidRPr="008B2F8A">
        <w:rPr>
          <w:noProof/>
        </w:rPr>
        <w:t>(AIHW, 2012b)</w:t>
      </w:r>
      <w:r w:rsidRPr="008B2F8A">
        <w:t>. Better survival has been attributed to improvements in treatment and, to some degree, screening programs (</w:t>
      </w:r>
      <w:r w:rsidRPr="008B2F8A">
        <w:rPr>
          <w:noProof/>
        </w:rPr>
        <w:t>Jatoi &amp; Miller, 2003</w:t>
      </w:r>
      <w:r w:rsidRPr="008B2F8A">
        <w:t xml:space="preserve">; </w:t>
      </w:r>
      <w:r w:rsidRPr="008B2F8A">
        <w:rPr>
          <w:noProof/>
        </w:rPr>
        <w:t>Burton et al, 2012</w:t>
      </w:r>
      <w:r w:rsidRPr="008B2F8A">
        <w:t>).</w:t>
      </w:r>
    </w:p>
    <w:p w14:paraId="481488A5" w14:textId="77777777" w:rsidR="00E47AB8" w:rsidRPr="008B2F8A" w:rsidRDefault="00E47AB8" w:rsidP="00E47AB8">
      <w:pPr>
        <w:pStyle w:val="Heading4"/>
        <w:numPr>
          <w:ilvl w:val="3"/>
          <w:numId w:val="10"/>
        </w:numPr>
      </w:pPr>
      <w:r w:rsidRPr="008B2F8A">
        <w:t>Burden of disease</w:t>
      </w:r>
    </w:p>
    <w:p w14:paraId="56CB0119" w14:textId="636C9826" w:rsidR="00E47AB8" w:rsidRPr="008B2F8A" w:rsidRDefault="00E47AB8" w:rsidP="00422306">
      <w:r w:rsidRPr="008B2F8A">
        <w:t>Breast cancer is the leading cause of burden due to cancer in women, with the burden greatest in women 40 to 69 years of age (</w:t>
      </w:r>
      <w:r w:rsidRPr="008B2F8A">
        <w:rPr>
          <w:noProof/>
        </w:rPr>
        <w:t>AIHW, 2012a, 2012b</w:t>
      </w:r>
      <w:r w:rsidRPr="008B2F8A">
        <w:t xml:space="preserve">). The AIHW has estimated the burden of disease by using </w:t>
      </w:r>
      <w:bookmarkStart w:id="200" w:name="OLE_LINK33"/>
      <w:bookmarkStart w:id="201" w:name="OLE_LINK34"/>
      <w:r w:rsidRPr="008B2F8A">
        <w:t xml:space="preserve">DALYs </w:t>
      </w:r>
      <w:bookmarkEnd w:id="200"/>
      <w:bookmarkEnd w:id="201"/>
      <w:r w:rsidRPr="008B2F8A">
        <w:t>(</w:t>
      </w:r>
      <w:bookmarkStart w:id="202" w:name="OLE_LINK401"/>
      <w:bookmarkStart w:id="203" w:name="OLE_LINK402"/>
      <w:r w:rsidRPr="008B2F8A">
        <w:t>disability-adjusted life years</w:t>
      </w:r>
      <w:bookmarkEnd w:id="202"/>
      <w:bookmarkEnd w:id="203"/>
      <w:r w:rsidRPr="008B2F8A">
        <w:t xml:space="preserve">), where ‘one </w:t>
      </w:r>
      <w:bookmarkStart w:id="204" w:name="OLE_LINK284"/>
      <w:bookmarkStart w:id="205" w:name="OLE_LINK285"/>
      <w:r w:rsidRPr="008B2F8A">
        <w:t xml:space="preserve">DALY </w:t>
      </w:r>
      <w:bookmarkEnd w:id="204"/>
      <w:bookmarkEnd w:id="205"/>
      <w:r w:rsidRPr="008B2F8A">
        <w:t xml:space="preserve">is one year of “healthy life” lost due to premature death, prolonged illness or disability’ </w:t>
      </w:r>
      <w:r w:rsidRPr="008B2F8A">
        <w:rPr>
          <w:noProof/>
        </w:rPr>
        <w:t>(AIHW, 2012b, p. 68)</w:t>
      </w:r>
      <w:r w:rsidRPr="008B2F8A">
        <w:t xml:space="preserve">. On the basis of 2012 estimates, breast cancer is expected to result in 61,300 DALYs. This represents more years of healthy life lost than are lost on account of disability, and is roughly equivalent to the burden of disease caused by stroke </w:t>
      </w:r>
      <w:r w:rsidRPr="008B2F8A">
        <w:rPr>
          <w:noProof/>
        </w:rPr>
        <w:t>(AIHW, 2012b)</w:t>
      </w:r>
      <w:r w:rsidRPr="008B2F8A">
        <w:t xml:space="preserve">. From an international perspective, this places Australia and New Zealand (combined) as the third highest-ranked region for burden of disease from breast cancer, just after Northern Europe and Western Europe </w:t>
      </w:r>
      <w:r w:rsidRPr="008B2F8A">
        <w:rPr>
          <w:noProof/>
        </w:rPr>
        <w:t>(</w:t>
      </w:r>
      <w:bookmarkStart w:id="206" w:name="OLE_LINK592"/>
      <w:bookmarkStart w:id="207" w:name="OLE_LINK593"/>
      <w:r w:rsidRPr="008B2F8A">
        <w:rPr>
          <w:noProof/>
        </w:rPr>
        <w:t>Soerjomataram et al, 2012</w:t>
      </w:r>
      <w:bookmarkEnd w:id="206"/>
      <w:bookmarkEnd w:id="207"/>
      <w:r w:rsidRPr="008B2F8A">
        <w:rPr>
          <w:noProof/>
        </w:rPr>
        <w:t>)</w:t>
      </w:r>
      <w:r w:rsidRPr="008B2F8A">
        <w:t>.</w:t>
      </w:r>
    </w:p>
    <w:p w14:paraId="44F61025" w14:textId="77777777" w:rsidR="00E47AB8" w:rsidRPr="008B2F8A" w:rsidRDefault="00E47AB8" w:rsidP="00E47AB8">
      <w:pPr>
        <w:pStyle w:val="Heading3"/>
        <w:numPr>
          <w:ilvl w:val="2"/>
          <w:numId w:val="10"/>
        </w:numPr>
      </w:pPr>
      <w:bookmarkStart w:id="208" w:name="_Ref377651270"/>
      <w:bookmarkStart w:id="209" w:name="_Ref377651275"/>
      <w:bookmarkStart w:id="210" w:name="_Ref377651280"/>
      <w:bookmarkStart w:id="211" w:name="_Ref377651284"/>
      <w:bookmarkStart w:id="212" w:name="_Toc383424425"/>
      <w:r w:rsidRPr="008B2F8A">
        <w:t>Risk of breast cancer in high-risk groups</w:t>
      </w:r>
      <w:bookmarkEnd w:id="208"/>
      <w:bookmarkEnd w:id="209"/>
      <w:bookmarkEnd w:id="210"/>
      <w:bookmarkEnd w:id="211"/>
      <w:bookmarkEnd w:id="212"/>
    </w:p>
    <w:p w14:paraId="2ED64325" w14:textId="697BC291" w:rsidR="00E47AB8" w:rsidRPr="008B2F8A" w:rsidRDefault="00E47AB8" w:rsidP="00422306">
      <w:r w:rsidRPr="008B2F8A">
        <w:t>Sex and increasing age are the two main identifiable risk factors for breast cancer. However, additional factors are associated with an elevated risk of developing breast cancer.</w:t>
      </w:r>
    </w:p>
    <w:p w14:paraId="6CDAA4E7" w14:textId="47C4F901" w:rsidR="00E47AB8" w:rsidRPr="008B2F8A" w:rsidRDefault="00E47AB8" w:rsidP="00422306">
      <w:r w:rsidRPr="008B2F8A">
        <w:t>The United Kingdom’s NICE guidelines define three levels of risk classification for breast cancer</w:t>
      </w:r>
      <w:r>
        <w:t xml:space="preserve"> (</w:t>
      </w:r>
      <w:r>
        <w:fldChar w:fldCharType="begin"/>
      </w:r>
      <w:r>
        <w:instrText xml:space="preserve"> REF _Ref256408805 \h </w:instrText>
      </w:r>
      <w:r>
        <w:fldChar w:fldCharType="separate"/>
      </w:r>
      <w:r w:rsidR="00B81273" w:rsidRPr="008B2F8A">
        <w:t xml:space="preserve">Table </w:t>
      </w:r>
      <w:r w:rsidR="00B81273">
        <w:rPr>
          <w:noProof/>
        </w:rPr>
        <w:t>A</w:t>
      </w:r>
      <w:r w:rsidR="00B81273" w:rsidRPr="008B2F8A">
        <w:t>.</w:t>
      </w:r>
      <w:r w:rsidR="00B81273">
        <w:rPr>
          <w:noProof/>
        </w:rPr>
        <w:t>1</w:t>
      </w:r>
      <w:r>
        <w:fldChar w:fldCharType="end"/>
      </w:r>
      <w:r>
        <w:t>)</w:t>
      </w:r>
      <w:r w:rsidRPr="008B2F8A">
        <w:t xml:space="preserve">: near population risk, moderate risk and high risk </w:t>
      </w:r>
      <w:r w:rsidRPr="008B2F8A">
        <w:rPr>
          <w:noProof/>
        </w:rPr>
        <w:t>(</w:t>
      </w:r>
      <w:bookmarkStart w:id="213" w:name="OLE_LINK594"/>
      <w:bookmarkStart w:id="214" w:name="OLE_LINK595"/>
      <w:r w:rsidRPr="008B2F8A">
        <w:rPr>
          <w:noProof/>
        </w:rPr>
        <w:t>NICE, 2013</w:t>
      </w:r>
      <w:bookmarkEnd w:id="213"/>
      <w:bookmarkEnd w:id="214"/>
      <w:r w:rsidRPr="008B2F8A">
        <w:rPr>
          <w:noProof/>
        </w:rPr>
        <w:t>)</w:t>
      </w:r>
      <w:r w:rsidRPr="008B2F8A">
        <w:t>. The use of such categories may assist in determining the surveillance needs of specific women. The estimated risks of developing breast cancer for the populations under consideration in this assessment are discussed in the following sections.</w:t>
      </w:r>
    </w:p>
    <w:p w14:paraId="1AF5102E" w14:textId="77777777" w:rsidR="00E47AB8" w:rsidRPr="008B2F8A" w:rsidRDefault="00E47AB8" w:rsidP="00422306">
      <w:pPr>
        <w:pStyle w:val="Caption"/>
        <w:ind w:left="1440" w:hanging="1440"/>
      </w:pPr>
      <w:bookmarkStart w:id="215" w:name="_Ref256408805"/>
      <w:bookmarkStart w:id="216" w:name="_Toc383424557"/>
      <w:r w:rsidRPr="008B2F8A">
        <w:t xml:space="preserve">Table </w:t>
      </w:r>
      <w:fldSimple w:instr=" STYLEREF 1 \s ">
        <w:r w:rsidR="00B81273">
          <w:rPr>
            <w:noProof/>
          </w:rPr>
          <w:t>A</w:t>
        </w:r>
      </w:fldSimple>
      <w:r w:rsidRPr="008B2F8A">
        <w:t>.</w:t>
      </w:r>
      <w:fldSimple w:instr=" SEQ Table \* ARABIC \s 1 ">
        <w:r w:rsidR="00B81273">
          <w:rPr>
            <w:noProof/>
          </w:rPr>
          <w:t>1</w:t>
        </w:r>
      </w:fldSimple>
      <w:bookmarkEnd w:id="215"/>
      <w:r w:rsidRPr="008B2F8A">
        <w:tab/>
      </w:r>
      <w:bookmarkStart w:id="217" w:name="OLE_LINK960"/>
      <w:bookmarkStart w:id="218" w:name="OLE_LINK961"/>
      <w:r w:rsidRPr="008B2F8A">
        <w:t xml:space="preserve">Summary of breast cancer risk categories used in UK guidelines </w:t>
      </w:r>
      <w:bookmarkEnd w:id="217"/>
      <w:bookmarkEnd w:id="218"/>
      <w:r w:rsidRPr="008B2F8A">
        <w:rPr>
          <w:noProof/>
        </w:rPr>
        <w:t>(NICE, 2013).</w:t>
      </w:r>
      <w:bookmarkEnd w:id="216"/>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Summary of breast cancer risk categories used in UK guidelines"/>
      </w:tblPr>
      <w:tblGrid>
        <w:gridCol w:w="1735"/>
        <w:gridCol w:w="2269"/>
        <w:gridCol w:w="2272"/>
        <w:gridCol w:w="2791"/>
      </w:tblGrid>
      <w:tr w:rsidR="00E47AB8" w:rsidRPr="008B2F8A" w14:paraId="438969D3" w14:textId="77777777" w:rsidTr="00155B54">
        <w:trPr>
          <w:tblHeader/>
        </w:trPr>
        <w:tc>
          <w:tcPr>
            <w:tcW w:w="957" w:type="pct"/>
          </w:tcPr>
          <w:p w14:paraId="467A7BAB" w14:textId="77777777" w:rsidR="00E47AB8" w:rsidRPr="008B2F8A" w:rsidRDefault="00E47AB8" w:rsidP="00422306">
            <w:pPr>
              <w:spacing w:before="40" w:after="80"/>
              <w:rPr>
                <w:rFonts w:ascii="Arial Narrow" w:hAnsi="Arial Narrow"/>
                <w:sz w:val="20"/>
                <w:szCs w:val="20"/>
              </w:rPr>
            </w:pPr>
            <w:r w:rsidRPr="008B2F8A">
              <w:rPr>
                <w:rFonts w:ascii="Arial Narrow" w:hAnsi="Arial Narrow"/>
                <w:b/>
                <w:bCs/>
                <w:sz w:val="20"/>
                <w:szCs w:val="20"/>
              </w:rPr>
              <w:t xml:space="preserve">Breast cancer risk category </w:t>
            </w:r>
          </w:p>
        </w:tc>
        <w:tc>
          <w:tcPr>
            <w:tcW w:w="1251" w:type="pct"/>
          </w:tcPr>
          <w:p w14:paraId="63E7297C" w14:textId="6A916ED5" w:rsidR="00E47AB8" w:rsidRPr="008B2F8A" w:rsidRDefault="00E47AB8" w:rsidP="00422306">
            <w:pPr>
              <w:spacing w:before="40" w:after="80"/>
              <w:rPr>
                <w:rFonts w:ascii="Arial Narrow" w:hAnsi="Arial Narrow"/>
                <w:sz w:val="20"/>
                <w:szCs w:val="20"/>
              </w:rPr>
            </w:pPr>
            <w:r w:rsidRPr="008B2F8A">
              <w:rPr>
                <w:rFonts w:ascii="Arial Narrow" w:hAnsi="Arial Narrow"/>
                <w:b/>
                <w:bCs/>
                <w:sz w:val="20"/>
                <w:szCs w:val="20"/>
              </w:rPr>
              <w:t>Breast cancer risk between 40 and 50 years of age</w:t>
            </w:r>
          </w:p>
        </w:tc>
        <w:tc>
          <w:tcPr>
            <w:tcW w:w="1253" w:type="pct"/>
          </w:tcPr>
          <w:p w14:paraId="362F5622" w14:textId="6855C88E" w:rsidR="00E47AB8" w:rsidRPr="008B2F8A" w:rsidRDefault="00E47AB8" w:rsidP="00422306">
            <w:pPr>
              <w:spacing w:before="40" w:after="80"/>
              <w:rPr>
                <w:rFonts w:ascii="Arial Narrow" w:hAnsi="Arial Narrow"/>
                <w:sz w:val="20"/>
                <w:szCs w:val="20"/>
              </w:rPr>
            </w:pPr>
            <w:r w:rsidRPr="008B2F8A">
              <w:rPr>
                <w:rFonts w:ascii="Arial Narrow" w:hAnsi="Arial Narrow"/>
                <w:b/>
                <w:bCs/>
                <w:sz w:val="20"/>
                <w:szCs w:val="20"/>
              </w:rPr>
              <w:t>Lifetime breast cancer risk from 20 years of age</w:t>
            </w:r>
          </w:p>
        </w:tc>
        <w:tc>
          <w:tcPr>
            <w:tcW w:w="1539" w:type="pct"/>
          </w:tcPr>
          <w:p w14:paraId="51083942" w14:textId="77777777" w:rsidR="00E47AB8" w:rsidRPr="008B2F8A" w:rsidRDefault="00E47AB8" w:rsidP="00422306">
            <w:pPr>
              <w:spacing w:before="40" w:after="80"/>
              <w:rPr>
                <w:rFonts w:ascii="Arial Narrow" w:hAnsi="Arial Narrow"/>
                <w:sz w:val="20"/>
                <w:szCs w:val="20"/>
              </w:rPr>
            </w:pPr>
            <w:r w:rsidRPr="008B2F8A">
              <w:rPr>
                <w:rFonts w:ascii="Arial Narrow" w:hAnsi="Arial Narrow"/>
                <w:b/>
                <w:bCs/>
                <w:sz w:val="20"/>
                <w:szCs w:val="20"/>
              </w:rPr>
              <w:t xml:space="preserve">Probability of a </w:t>
            </w:r>
            <w:r w:rsidRPr="008B2F8A">
              <w:rPr>
                <w:rFonts w:ascii="Arial Narrow" w:hAnsi="Arial Narrow"/>
                <w:b/>
                <w:bCs/>
                <w:i/>
                <w:iCs/>
                <w:sz w:val="20"/>
                <w:szCs w:val="20"/>
              </w:rPr>
              <w:t>BRCA1, BRCA2</w:t>
            </w:r>
            <w:r w:rsidRPr="008B2F8A">
              <w:rPr>
                <w:rFonts w:ascii="Arial Narrow" w:hAnsi="Arial Narrow"/>
                <w:b/>
                <w:bCs/>
                <w:sz w:val="20"/>
                <w:szCs w:val="20"/>
              </w:rPr>
              <w:t xml:space="preserve"> or </w:t>
            </w:r>
            <w:r w:rsidRPr="008B2F8A">
              <w:rPr>
                <w:rFonts w:ascii="Arial Narrow" w:hAnsi="Arial Narrow"/>
                <w:b/>
                <w:bCs/>
                <w:i/>
                <w:iCs/>
                <w:sz w:val="20"/>
                <w:szCs w:val="20"/>
              </w:rPr>
              <w:t xml:space="preserve">TP53 </w:t>
            </w:r>
            <w:r w:rsidRPr="008B2F8A">
              <w:rPr>
                <w:rFonts w:ascii="Arial Narrow" w:hAnsi="Arial Narrow"/>
                <w:b/>
                <w:bCs/>
                <w:sz w:val="20"/>
                <w:szCs w:val="20"/>
              </w:rPr>
              <w:t xml:space="preserve">mutation </w:t>
            </w:r>
          </w:p>
        </w:tc>
      </w:tr>
      <w:tr w:rsidR="00E47AB8" w:rsidRPr="008B2F8A" w14:paraId="7F0B5FCB" w14:textId="77777777" w:rsidTr="00155B54">
        <w:tc>
          <w:tcPr>
            <w:tcW w:w="957" w:type="pct"/>
          </w:tcPr>
          <w:p w14:paraId="09AD9D1F" w14:textId="77777777"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 xml:space="preserve">Near population risk </w:t>
            </w:r>
          </w:p>
        </w:tc>
        <w:tc>
          <w:tcPr>
            <w:tcW w:w="1251" w:type="pct"/>
          </w:tcPr>
          <w:p w14:paraId="64715D17" w14:textId="001A8463"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&lt;3%</w:t>
            </w:r>
          </w:p>
        </w:tc>
        <w:tc>
          <w:tcPr>
            <w:tcW w:w="1253" w:type="pct"/>
          </w:tcPr>
          <w:p w14:paraId="6C0D2959" w14:textId="7EFC9B6D"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&lt;17%</w:t>
            </w:r>
          </w:p>
        </w:tc>
        <w:tc>
          <w:tcPr>
            <w:tcW w:w="1539" w:type="pct"/>
          </w:tcPr>
          <w:p w14:paraId="4FF82E0C" w14:textId="77777777"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 xml:space="preserve">Very low </w:t>
            </w:r>
          </w:p>
        </w:tc>
      </w:tr>
      <w:tr w:rsidR="00E47AB8" w:rsidRPr="008B2F8A" w14:paraId="784E39E4" w14:textId="77777777" w:rsidTr="00155B54">
        <w:tc>
          <w:tcPr>
            <w:tcW w:w="957" w:type="pct"/>
          </w:tcPr>
          <w:p w14:paraId="7266DBFD" w14:textId="77777777"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 xml:space="preserve">Moderate risk </w:t>
            </w:r>
          </w:p>
        </w:tc>
        <w:tc>
          <w:tcPr>
            <w:tcW w:w="1251" w:type="pct"/>
          </w:tcPr>
          <w:p w14:paraId="6F1272D1" w14:textId="24F73816"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3%–8%</w:t>
            </w:r>
          </w:p>
        </w:tc>
        <w:tc>
          <w:tcPr>
            <w:tcW w:w="1253" w:type="pct"/>
          </w:tcPr>
          <w:p w14:paraId="31CBAA26" w14:textId="0C039DB7"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17%–30%</w:t>
            </w:r>
          </w:p>
        </w:tc>
        <w:tc>
          <w:tcPr>
            <w:tcW w:w="1539" w:type="pct"/>
          </w:tcPr>
          <w:p w14:paraId="6D4B2EC5" w14:textId="01C623CA"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 xml:space="preserve">&lt;10% </w:t>
            </w:r>
          </w:p>
        </w:tc>
      </w:tr>
      <w:tr w:rsidR="00E47AB8" w:rsidRPr="008B2F8A" w14:paraId="436BD68E" w14:textId="77777777" w:rsidTr="00155B54">
        <w:tc>
          <w:tcPr>
            <w:tcW w:w="957" w:type="pct"/>
          </w:tcPr>
          <w:p w14:paraId="6C0FE99E" w14:textId="77777777"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 xml:space="preserve">High risk </w:t>
            </w:r>
          </w:p>
        </w:tc>
        <w:tc>
          <w:tcPr>
            <w:tcW w:w="1251" w:type="pct"/>
          </w:tcPr>
          <w:p w14:paraId="3982541A" w14:textId="0968E967"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≥8%</w:t>
            </w:r>
          </w:p>
        </w:tc>
        <w:tc>
          <w:tcPr>
            <w:tcW w:w="1253" w:type="pct"/>
          </w:tcPr>
          <w:p w14:paraId="57E12D1B" w14:textId="4E4ABFB6"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≥30%</w:t>
            </w:r>
          </w:p>
        </w:tc>
        <w:tc>
          <w:tcPr>
            <w:tcW w:w="1539" w:type="pct"/>
          </w:tcPr>
          <w:p w14:paraId="748C3F78" w14:textId="24A97BC4" w:rsidR="00E47AB8" w:rsidRPr="008B2F8A" w:rsidRDefault="00E47AB8" w:rsidP="00422306">
            <w:pPr>
              <w:spacing w:before="40" w:after="80"/>
              <w:rPr>
                <w:rFonts w:ascii="Arial Narrow" w:hAnsi="Arial Narrow"/>
                <w:sz w:val="20"/>
                <w:szCs w:val="20"/>
              </w:rPr>
            </w:pPr>
            <w:r w:rsidRPr="008B2F8A">
              <w:rPr>
                <w:rFonts w:ascii="Arial Narrow" w:hAnsi="Arial Narrow"/>
                <w:sz w:val="20"/>
                <w:szCs w:val="20"/>
              </w:rPr>
              <w:t xml:space="preserve">a ≥10% chance of a faulty </w:t>
            </w:r>
            <w:r w:rsidRPr="008B2F8A">
              <w:rPr>
                <w:rFonts w:ascii="Arial Narrow" w:hAnsi="Arial Narrow"/>
                <w:i/>
                <w:iCs/>
                <w:sz w:val="20"/>
                <w:szCs w:val="20"/>
              </w:rPr>
              <w:t>BRCA1</w:t>
            </w:r>
            <w:r w:rsidRPr="008B2F8A">
              <w:rPr>
                <w:rFonts w:ascii="Arial Narrow" w:hAnsi="Arial Narrow"/>
                <w:sz w:val="20"/>
                <w:szCs w:val="20"/>
              </w:rPr>
              <w:t xml:space="preserve">, </w:t>
            </w:r>
            <w:r w:rsidRPr="008B2F8A">
              <w:rPr>
                <w:rFonts w:ascii="Arial Narrow" w:hAnsi="Arial Narrow"/>
                <w:i/>
                <w:iCs/>
                <w:sz w:val="20"/>
                <w:szCs w:val="20"/>
              </w:rPr>
              <w:t xml:space="preserve">BRCA2 </w:t>
            </w:r>
            <w:r w:rsidRPr="008B2F8A">
              <w:rPr>
                <w:rFonts w:ascii="Arial Narrow" w:hAnsi="Arial Narrow"/>
                <w:sz w:val="20"/>
                <w:szCs w:val="20"/>
              </w:rPr>
              <w:t xml:space="preserve">or </w:t>
            </w:r>
            <w:r w:rsidRPr="008B2F8A">
              <w:rPr>
                <w:rFonts w:ascii="Arial Narrow" w:hAnsi="Arial Narrow"/>
                <w:i/>
                <w:iCs/>
                <w:sz w:val="20"/>
                <w:szCs w:val="20"/>
              </w:rPr>
              <w:t xml:space="preserve">TP53 </w:t>
            </w:r>
            <w:r w:rsidRPr="008B2F8A">
              <w:rPr>
                <w:rFonts w:ascii="Arial Narrow" w:hAnsi="Arial Narrow"/>
                <w:sz w:val="20"/>
                <w:szCs w:val="20"/>
              </w:rPr>
              <w:t xml:space="preserve">gene in the family </w:t>
            </w:r>
          </w:p>
        </w:tc>
      </w:tr>
    </w:tbl>
    <w:p w14:paraId="1B12D816" w14:textId="77777777" w:rsidR="00E47AB8" w:rsidRPr="008B2F8A" w:rsidRDefault="00E47AB8" w:rsidP="00422306"/>
    <w:p w14:paraId="3CF876F2" w14:textId="1738084C" w:rsidR="00E47AB8" w:rsidRPr="008B2F8A" w:rsidRDefault="00E47AB8" w:rsidP="00422306">
      <w:pPr>
        <w:rPr>
          <w:b/>
        </w:rPr>
      </w:pPr>
      <w:r w:rsidRPr="008B2F8A">
        <w:t xml:space="preserve">Risk assessment models have been developed to help clinicians estimate the risk of breast cancer for individual patients. These models take into account known family history of breast cancer, yet each model estimates risk using different methods, populations and risk factors, and predicts different outcomes. The three main models are </w:t>
      </w:r>
      <w:bookmarkStart w:id="219" w:name="OLE_LINK35"/>
      <w:bookmarkStart w:id="220" w:name="OLE_LINK36"/>
      <w:r w:rsidRPr="008B2F8A">
        <w:t>BRCAPRO</w:t>
      </w:r>
      <w:bookmarkEnd w:id="219"/>
      <w:bookmarkEnd w:id="220"/>
      <w:r w:rsidRPr="008B2F8A">
        <w:t>, Claus and Tyrer–Cuzick.</w:t>
      </w:r>
    </w:p>
    <w:p w14:paraId="22F7E92C" w14:textId="6F55774A" w:rsidR="00E47AB8" w:rsidRPr="008B2F8A" w:rsidRDefault="00E47AB8" w:rsidP="00422306">
      <w:r w:rsidRPr="008B2F8A">
        <w:t xml:space="preserve">Clinical guidelines suggest that women should receive personalised risk assessments and consider genetic testing if they have a strong family history of breast or ovarian cancer, or they have an </w:t>
      </w:r>
      <w:r w:rsidRPr="008B2F8A">
        <w:rPr>
          <w:i/>
        </w:rPr>
        <w:t>a priori</w:t>
      </w:r>
      <w:r w:rsidRPr="008B2F8A">
        <w:t xml:space="preserve"> 10% to 20% probability of finding a mutation on the basis of risk assessment models such as </w:t>
      </w:r>
      <w:bookmarkStart w:id="221" w:name="OLE_LINK250"/>
      <w:bookmarkStart w:id="222" w:name="OLE_LINK251"/>
      <w:r w:rsidRPr="008B2F8A">
        <w:t xml:space="preserve">BRCAPRO </w:t>
      </w:r>
      <w:bookmarkEnd w:id="221"/>
      <w:bookmarkEnd w:id="222"/>
      <w:r w:rsidRPr="008B2F8A">
        <w:t>(</w:t>
      </w:r>
      <w:r w:rsidRPr="008B2F8A">
        <w:rPr>
          <w:noProof/>
        </w:rPr>
        <w:t>NICE, 2013; USPSTF, 2005)</w:t>
      </w:r>
      <w:r w:rsidRPr="008B2F8A">
        <w:t>.</w:t>
      </w:r>
    </w:p>
    <w:p w14:paraId="1BB90CDC" w14:textId="77777777" w:rsidR="00E47AB8" w:rsidRPr="008B2F8A" w:rsidRDefault="00E47AB8" w:rsidP="00E47AB8">
      <w:pPr>
        <w:pStyle w:val="Heading4"/>
        <w:numPr>
          <w:ilvl w:val="3"/>
          <w:numId w:val="10"/>
        </w:numPr>
      </w:pPr>
      <w:r w:rsidRPr="008B2F8A">
        <w:t>Gene mutations and family history</w:t>
      </w:r>
    </w:p>
    <w:p w14:paraId="252F1F87" w14:textId="3233AAE5" w:rsidR="00E47AB8" w:rsidRPr="008B2F8A" w:rsidRDefault="00E47AB8" w:rsidP="00422306">
      <w:r w:rsidRPr="008B2F8A">
        <w:t xml:space="preserve">Inherited breast cancer risk has been associated with mutations in some highly penetrant genes, including the </w:t>
      </w:r>
      <w:r w:rsidRPr="008B2F8A">
        <w:rPr>
          <w:u w:val="single"/>
        </w:rPr>
        <w:t>br</w:t>
      </w:r>
      <w:r w:rsidRPr="008B2F8A">
        <w:t xml:space="preserve">east </w:t>
      </w:r>
      <w:r w:rsidRPr="008B2F8A">
        <w:rPr>
          <w:u w:val="single"/>
        </w:rPr>
        <w:t>ca</w:t>
      </w:r>
      <w:r w:rsidRPr="008B2F8A">
        <w:t>ncer genes 1 (</w:t>
      </w:r>
      <w:r w:rsidRPr="008B2F8A">
        <w:rPr>
          <w:i/>
        </w:rPr>
        <w:t>BRCA1</w:t>
      </w:r>
      <w:r w:rsidRPr="008B2F8A">
        <w:t>) and 2 (</w:t>
      </w:r>
      <w:r w:rsidRPr="008B2F8A">
        <w:rPr>
          <w:i/>
        </w:rPr>
        <w:t>BRCA2</w:t>
      </w:r>
      <w:r w:rsidRPr="008B2F8A">
        <w:t xml:space="preserve">). In the Australian setting, the average cumulative risk of breast cancer for either </w:t>
      </w:r>
      <w:r w:rsidRPr="008B2F8A">
        <w:rPr>
          <w:i/>
        </w:rPr>
        <w:t>BRCA1</w:t>
      </w:r>
      <w:r w:rsidRPr="008B2F8A">
        <w:t xml:space="preserve"> or </w:t>
      </w:r>
      <w:r w:rsidRPr="008B2F8A">
        <w:rPr>
          <w:i/>
        </w:rPr>
        <w:t>BRCA2</w:t>
      </w:r>
      <w:r w:rsidRPr="008B2F8A">
        <w:t xml:space="preserve"> mutations was 27% (95% CI 16%–43%) to </w:t>
      </w:r>
      <w:r w:rsidRPr="008B2F8A">
        <w:lastRenderedPageBreak/>
        <w:t xml:space="preserve">50 years of age and 64% (95% CI 44%–83%) to 70 years </w:t>
      </w:r>
      <w:r w:rsidRPr="008B2F8A">
        <w:rPr>
          <w:noProof/>
        </w:rPr>
        <w:t>(</w:t>
      </w:r>
      <w:bookmarkStart w:id="223" w:name="OLE_LINK596"/>
      <w:bookmarkStart w:id="224" w:name="OLE_LINK597"/>
      <w:r w:rsidRPr="008B2F8A">
        <w:rPr>
          <w:noProof/>
        </w:rPr>
        <w:t>Scott et al, 2003</w:t>
      </w:r>
      <w:bookmarkEnd w:id="223"/>
      <w:bookmarkEnd w:id="224"/>
      <w:r w:rsidRPr="008B2F8A">
        <w:rPr>
          <w:noProof/>
        </w:rPr>
        <w:t>)</w:t>
      </w:r>
      <w:r w:rsidRPr="008B2F8A">
        <w:t xml:space="preserve">. Inherited mutations of the </w:t>
      </w:r>
      <w:r w:rsidRPr="00155B54">
        <w:rPr>
          <w:u w:val="single"/>
        </w:rPr>
        <w:t>t</w:t>
      </w:r>
      <w:r w:rsidRPr="00155B54">
        <w:t xml:space="preserve">umour </w:t>
      </w:r>
      <w:r w:rsidRPr="00155B54">
        <w:rPr>
          <w:u w:val="single"/>
        </w:rPr>
        <w:t>p</w:t>
      </w:r>
      <w:r w:rsidRPr="00155B54">
        <w:t>rotein</w:t>
      </w:r>
      <w:r w:rsidRPr="008B2F8A">
        <w:t xml:space="preserve"> p53 gene (</w:t>
      </w:r>
      <w:r w:rsidRPr="008B2F8A">
        <w:rPr>
          <w:i/>
        </w:rPr>
        <w:t>TP53</w:t>
      </w:r>
      <w:r w:rsidRPr="008B2F8A">
        <w:t xml:space="preserve">) and </w:t>
      </w:r>
      <w:r w:rsidRPr="008B2F8A">
        <w:rPr>
          <w:i/>
        </w:rPr>
        <w:t xml:space="preserve">PTEN </w:t>
      </w:r>
      <w:r w:rsidRPr="008B2F8A">
        <w:t>genes</w:t>
      </w:r>
      <w:r w:rsidRPr="008B2F8A">
        <w:rPr>
          <w:i/>
        </w:rPr>
        <w:t xml:space="preserve"> </w:t>
      </w:r>
      <w:r w:rsidRPr="008B2F8A">
        <w:t xml:space="preserve">have also been associated with a high risk of developing breast cancer, presenting as rare familial syndromes such as Li-Fraumeni and Cowden’s, respectively </w:t>
      </w:r>
      <w:r w:rsidRPr="008B2F8A">
        <w:rPr>
          <w:noProof/>
        </w:rPr>
        <w:t>(</w:t>
      </w:r>
      <w:bookmarkStart w:id="225" w:name="OLE_LINK598"/>
      <w:bookmarkStart w:id="226" w:name="OLE_LINK599"/>
      <w:r w:rsidRPr="008B2F8A">
        <w:rPr>
          <w:noProof/>
        </w:rPr>
        <w:t>McPherson et al, 2000</w:t>
      </w:r>
      <w:bookmarkEnd w:id="225"/>
      <w:bookmarkEnd w:id="226"/>
      <w:r w:rsidRPr="008B2F8A">
        <w:rPr>
          <w:noProof/>
        </w:rPr>
        <w:t>)</w:t>
      </w:r>
      <w:r w:rsidRPr="008B2F8A">
        <w:t>.</w:t>
      </w:r>
    </w:p>
    <w:p w14:paraId="1BD93C16" w14:textId="43A7A968" w:rsidR="00E47AB8" w:rsidRPr="008B2F8A" w:rsidRDefault="00E47AB8" w:rsidP="00422306">
      <w:r w:rsidRPr="008B2F8A">
        <w:t>Generally, people with a first-degree relative affected by cancer are at a higher risk than the general population for cancer of the same site (</w:t>
      </w:r>
      <w:r w:rsidRPr="008B2F8A">
        <w:rPr>
          <w:noProof/>
        </w:rPr>
        <w:t>Peto &amp; Houlston, 2001; Turati et al, 2013)</w:t>
      </w:r>
      <w:r w:rsidRPr="008B2F8A">
        <w:t xml:space="preserve">. Compared with women who had no affected relatives, the risk ratio for breast cancer for women with one, two and three first-degree relatives increased from 1.80 (99% </w:t>
      </w:r>
      <w:bookmarkStart w:id="227" w:name="OLE_LINK252"/>
      <w:bookmarkStart w:id="228" w:name="OLE_LINK253"/>
      <w:r w:rsidRPr="008B2F8A">
        <w:t xml:space="preserve">CI </w:t>
      </w:r>
      <w:bookmarkEnd w:id="227"/>
      <w:bookmarkEnd w:id="228"/>
      <w:r w:rsidRPr="008B2F8A">
        <w:t>1.69–1.01) to 2.93 (2.36–3.64) to 3.90 (2.03–7.49), respectively.</w:t>
      </w:r>
    </w:p>
    <w:p w14:paraId="77E2DAC0" w14:textId="2872FF6C" w:rsidR="00E47AB8" w:rsidRPr="008B2F8A" w:rsidRDefault="00E47AB8" w:rsidP="00422306">
      <w:r w:rsidRPr="008B2F8A">
        <w:t xml:space="preserve">The probability of developing breast cancer in 10-year age bands by risk category is presented in </w:t>
      </w:r>
      <w:r w:rsidRPr="008B2F8A">
        <w:fldChar w:fldCharType="begin"/>
      </w:r>
      <w:r w:rsidRPr="008B2F8A">
        <w:instrText xml:space="preserve"> REF _Ref374001783 \h </w:instrText>
      </w:r>
      <w:r w:rsidRPr="008B2F8A">
        <w:fldChar w:fldCharType="separate"/>
      </w:r>
      <w:r w:rsidR="00B81273" w:rsidRPr="008B2F8A">
        <w:t xml:space="preserve">Table </w:t>
      </w:r>
      <w:r w:rsidR="00B81273">
        <w:rPr>
          <w:noProof/>
        </w:rPr>
        <w:t>A</w:t>
      </w:r>
      <w:r w:rsidR="00B81273" w:rsidRPr="008B2F8A">
        <w:t>.</w:t>
      </w:r>
      <w:r w:rsidR="00B81273">
        <w:rPr>
          <w:noProof/>
        </w:rPr>
        <w:t>2</w:t>
      </w:r>
      <w:r w:rsidRPr="008B2F8A">
        <w:fldChar w:fldCharType="end"/>
      </w:r>
      <w:r w:rsidRPr="008B2F8A">
        <w:t>.</w:t>
      </w:r>
    </w:p>
    <w:p w14:paraId="54EEF1E2" w14:textId="1858D8C8" w:rsidR="00E47AB8" w:rsidRPr="008B2F8A" w:rsidRDefault="00E47AB8" w:rsidP="00422306">
      <w:pPr>
        <w:pStyle w:val="Caption"/>
        <w:ind w:left="1136" w:hanging="1136"/>
      </w:pPr>
      <w:bookmarkStart w:id="229" w:name="_Ref374001783"/>
      <w:bookmarkStart w:id="230" w:name="_Toc383424558"/>
      <w:r w:rsidRPr="008B2F8A">
        <w:t xml:space="preserve">Table </w:t>
      </w:r>
      <w:fldSimple w:instr=" STYLEREF 1 \s ">
        <w:r w:rsidR="00B81273">
          <w:rPr>
            <w:noProof/>
          </w:rPr>
          <w:t>A</w:t>
        </w:r>
      </w:fldSimple>
      <w:r w:rsidRPr="008B2F8A">
        <w:t>.</w:t>
      </w:r>
      <w:fldSimple w:instr=" SEQ Table \* ARABIC \s 1 ">
        <w:r w:rsidR="00B81273">
          <w:rPr>
            <w:noProof/>
          </w:rPr>
          <w:t>2</w:t>
        </w:r>
      </w:fldSimple>
      <w:bookmarkEnd w:id="229"/>
      <w:r w:rsidRPr="008B2F8A">
        <w:tab/>
      </w:r>
      <w:bookmarkStart w:id="231" w:name="OLE_LINK962"/>
      <w:bookmarkStart w:id="232" w:name="OLE_LINK963"/>
      <w:r w:rsidRPr="008B2F8A">
        <w:t>Probability (%) of diagnosis with breast cancer within the next 10 years by familial risk category</w:t>
      </w:r>
      <w:bookmarkEnd w:id="231"/>
      <w:bookmarkEnd w:id="232"/>
      <w:r w:rsidRPr="008B2F8A">
        <w:rPr>
          <w:noProof/>
        </w:rPr>
        <w:t>.</w:t>
      </w:r>
      <w:bookmarkEnd w:id="230"/>
    </w:p>
    <w:tbl>
      <w:tblPr>
        <w:tblStyle w:val="TableGrid"/>
        <w:tblW w:w="9070" w:type="dxa"/>
        <w:tblCellMar>
          <w:left w:w="28" w:type="dxa"/>
          <w:right w:w="28" w:type="dxa"/>
        </w:tblCellMar>
        <w:tblLook w:val="04A0" w:firstRow="1" w:lastRow="0" w:firstColumn="1" w:lastColumn="0" w:noHBand="0" w:noVBand="1"/>
        <w:tblCaption w:val="Probability (%) of diagnosis with breast cancer within the next 10 years by familial risk category"/>
      </w:tblPr>
      <w:tblGrid>
        <w:gridCol w:w="1502"/>
        <w:gridCol w:w="1513"/>
        <w:gridCol w:w="1512"/>
        <w:gridCol w:w="1513"/>
        <w:gridCol w:w="1515"/>
        <w:gridCol w:w="1515"/>
      </w:tblGrid>
      <w:tr w:rsidR="00E47AB8" w:rsidRPr="008B2F8A" w14:paraId="618448B2" w14:textId="77777777" w:rsidTr="00422306">
        <w:trPr>
          <w:tblHeader/>
        </w:trPr>
        <w:tc>
          <w:tcPr>
            <w:tcW w:w="1504" w:type="dxa"/>
            <w:vAlign w:val="bottom"/>
          </w:tcPr>
          <w:p w14:paraId="6DC247EF" w14:textId="77777777" w:rsidR="00E47AB8" w:rsidRPr="008B2F8A" w:rsidRDefault="00E47AB8" w:rsidP="00422306">
            <w:pPr>
              <w:spacing w:before="40" w:after="80"/>
              <w:rPr>
                <w:rFonts w:ascii="Arial Narrow" w:hAnsi="Arial Narrow"/>
                <w:b/>
              </w:rPr>
            </w:pPr>
            <w:r w:rsidRPr="008B2F8A">
              <w:rPr>
                <w:rFonts w:ascii="Arial Narrow" w:hAnsi="Arial Narrow"/>
                <w:b/>
              </w:rPr>
              <w:t>Age</w:t>
            </w:r>
            <w:r>
              <w:rPr>
                <w:rFonts w:ascii="Arial Narrow" w:hAnsi="Arial Narrow"/>
                <w:b/>
              </w:rPr>
              <w:t xml:space="preserve"> (years)</w:t>
            </w:r>
          </w:p>
        </w:tc>
        <w:tc>
          <w:tcPr>
            <w:tcW w:w="1515" w:type="dxa"/>
            <w:vAlign w:val="bottom"/>
          </w:tcPr>
          <w:p w14:paraId="514E9E0D"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No affected relatives</w:t>
            </w:r>
          </w:p>
        </w:tc>
        <w:tc>
          <w:tcPr>
            <w:tcW w:w="1514" w:type="dxa"/>
            <w:vAlign w:val="bottom"/>
          </w:tcPr>
          <w:p w14:paraId="501226DF"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One first-degree affected relative</w:t>
            </w:r>
          </w:p>
        </w:tc>
        <w:tc>
          <w:tcPr>
            <w:tcW w:w="1515" w:type="dxa"/>
            <w:vAlign w:val="bottom"/>
          </w:tcPr>
          <w:p w14:paraId="636A2428"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Two first-degree affected relatives</w:t>
            </w:r>
          </w:p>
        </w:tc>
        <w:tc>
          <w:tcPr>
            <w:tcW w:w="1517" w:type="dxa"/>
            <w:vAlign w:val="bottom"/>
          </w:tcPr>
          <w:p w14:paraId="79FA08FD" w14:textId="77777777" w:rsidR="00E47AB8" w:rsidRPr="008B2F8A" w:rsidRDefault="00E47AB8" w:rsidP="00422306">
            <w:pPr>
              <w:spacing w:before="40" w:after="80"/>
              <w:jc w:val="center"/>
              <w:rPr>
                <w:rFonts w:ascii="Arial Narrow" w:hAnsi="Arial Narrow"/>
                <w:b/>
              </w:rPr>
            </w:pPr>
            <w:r w:rsidRPr="008B2F8A">
              <w:rPr>
                <w:rFonts w:ascii="Arial Narrow" w:hAnsi="Arial Narrow"/>
                <w:b/>
                <w:i/>
              </w:rPr>
              <w:t>BRCA1</w:t>
            </w:r>
            <w:r w:rsidRPr="008B2F8A">
              <w:rPr>
                <w:rFonts w:ascii="Arial Narrow" w:hAnsi="Arial Narrow"/>
                <w:b/>
              </w:rPr>
              <w:t xml:space="preserve"> mutation</w:t>
            </w:r>
          </w:p>
        </w:tc>
        <w:tc>
          <w:tcPr>
            <w:tcW w:w="1517" w:type="dxa"/>
            <w:vAlign w:val="bottom"/>
          </w:tcPr>
          <w:p w14:paraId="0837D8C9" w14:textId="77777777" w:rsidR="00E47AB8" w:rsidRPr="008B2F8A" w:rsidRDefault="00E47AB8" w:rsidP="00422306">
            <w:pPr>
              <w:spacing w:before="40" w:after="80"/>
              <w:jc w:val="center"/>
              <w:rPr>
                <w:rFonts w:ascii="Arial Narrow" w:hAnsi="Arial Narrow"/>
                <w:b/>
              </w:rPr>
            </w:pPr>
            <w:r w:rsidRPr="008B2F8A">
              <w:rPr>
                <w:rFonts w:ascii="Arial Narrow" w:hAnsi="Arial Narrow"/>
                <w:b/>
                <w:i/>
              </w:rPr>
              <w:t xml:space="preserve">BRCA2 </w:t>
            </w:r>
            <w:r w:rsidRPr="008B2F8A">
              <w:rPr>
                <w:rFonts w:ascii="Arial Narrow" w:hAnsi="Arial Narrow"/>
                <w:b/>
              </w:rPr>
              <w:t>mutation</w:t>
            </w:r>
          </w:p>
        </w:tc>
      </w:tr>
      <w:tr w:rsidR="00E47AB8" w:rsidRPr="008B2F8A" w14:paraId="39CF44AC" w14:textId="77777777" w:rsidTr="00422306">
        <w:tc>
          <w:tcPr>
            <w:tcW w:w="1504" w:type="dxa"/>
          </w:tcPr>
          <w:p w14:paraId="2AE5BEEA" w14:textId="77777777" w:rsidR="00E47AB8" w:rsidRPr="008B2F8A" w:rsidRDefault="00E47AB8" w:rsidP="00422306">
            <w:pPr>
              <w:spacing w:before="40" w:after="80"/>
              <w:rPr>
                <w:rFonts w:ascii="Arial Narrow" w:hAnsi="Arial Narrow"/>
              </w:rPr>
            </w:pPr>
            <w:r w:rsidRPr="008B2F8A">
              <w:rPr>
                <w:rFonts w:ascii="Arial Narrow" w:hAnsi="Arial Narrow"/>
              </w:rPr>
              <w:t>20</w:t>
            </w:r>
          </w:p>
        </w:tc>
        <w:tc>
          <w:tcPr>
            <w:tcW w:w="1515" w:type="dxa"/>
          </w:tcPr>
          <w:p w14:paraId="4AD9E036" w14:textId="77777777" w:rsidR="00E47AB8" w:rsidRPr="008B2F8A" w:rsidRDefault="00E47AB8" w:rsidP="00422306">
            <w:pPr>
              <w:spacing w:before="40" w:after="80"/>
              <w:jc w:val="center"/>
              <w:rPr>
                <w:rFonts w:ascii="Arial Narrow" w:hAnsi="Arial Narrow"/>
              </w:rPr>
            </w:pPr>
            <w:r w:rsidRPr="008B2F8A">
              <w:rPr>
                <w:rFonts w:ascii="Arial Narrow" w:hAnsi="Arial Narrow"/>
              </w:rPr>
              <w:t>0.04</w:t>
            </w:r>
          </w:p>
        </w:tc>
        <w:tc>
          <w:tcPr>
            <w:tcW w:w="1514" w:type="dxa"/>
          </w:tcPr>
          <w:p w14:paraId="237B6337" w14:textId="77777777" w:rsidR="00E47AB8" w:rsidRPr="008B2F8A" w:rsidRDefault="00E47AB8" w:rsidP="00422306">
            <w:pPr>
              <w:spacing w:before="40" w:after="80"/>
              <w:jc w:val="center"/>
              <w:rPr>
                <w:rFonts w:ascii="Arial Narrow" w:hAnsi="Arial Narrow"/>
              </w:rPr>
            </w:pPr>
            <w:r w:rsidRPr="008B2F8A">
              <w:rPr>
                <w:rFonts w:ascii="Arial Narrow" w:hAnsi="Arial Narrow"/>
              </w:rPr>
              <w:t>0.1</w:t>
            </w:r>
          </w:p>
        </w:tc>
        <w:tc>
          <w:tcPr>
            <w:tcW w:w="1515" w:type="dxa"/>
          </w:tcPr>
          <w:p w14:paraId="4F9A0886" w14:textId="77777777" w:rsidR="00E47AB8" w:rsidRPr="008B2F8A" w:rsidRDefault="00E47AB8" w:rsidP="00422306">
            <w:pPr>
              <w:spacing w:before="40" w:after="80"/>
              <w:jc w:val="center"/>
              <w:rPr>
                <w:rFonts w:ascii="Arial Narrow" w:hAnsi="Arial Narrow"/>
              </w:rPr>
            </w:pPr>
            <w:r w:rsidRPr="008B2F8A">
              <w:rPr>
                <w:rFonts w:ascii="Arial Narrow" w:hAnsi="Arial Narrow"/>
              </w:rPr>
              <w:t>0.2</w:t>
            </w:r>
          </w:p>
        </w:tc>
        <w:tc>
          <w:tcPr>
            <w:tcW w:w="1517" w:type="dxa"/>
          </w:tcPr>
          <w:p w14:paraId="6345EAD3" w14:textId="77777777" w:rsidR="00E47AB8" w:rsidRPr="008B2F8A" w:rsidRDefault="00E47AB8" w:rsidP="00422306">
            <w:pPr>
              <w:spacing w:before="40" w:after="80"/>
              <w:jc w:val="center"/>
              <w:rPr>
                <w:rFonts w:ascii="Arial Narrow" w:hAnsi="Arial Narrow"/>
              </w:rPr>
            </w:pPr>
            <w:r w:rsidRPr="008B2F8A">
              <w:rPr>
                <w:rFonts w:ascii="Arial Narrow" w:hAnsi="Arial Narrow"/>
              </w:rPr>
              <w:t>1.5</w:t>
            </w:r>
          </w:p>
        </w:tc>
        <w:tc>
          <w:tcPr>
            <w:tcW w:w="1517" w:type="dxa"/>
          </w:tcPr>
          <w:p w14:paraId="0C4E7AF2" w14:textId="77777777" w:rsidR="00E47AB8" w:rsidRPr="008B2F8A" w:rsidRDefault="00E47AB8" w:rsidP="00422306">
            <w:pPr>
              <w:spacing w:before="40" w:after="80"/>
              <w:jc w:val="center"/>
              <w:rPr>
                <w:rFonts w:ascii="Arial Narrow" w:hAnsi="Arial Narrow"/>
              </w:rPr>
            </w:pPr>
            <w:r w:rsidRPr="008B2F8A">
              <w:rPr>
                <w:rFonts w:ascii="Arial Narrow" w:hAnsi="Arial Narrow"/>
              </w:rPr>
              <w:t>1.0</w:t>
            </w:r>
          </w:p>
        </w:tc>
      </w:tr>
      <w:tr w:rsidR="00E47AB8" w:rsidRPr="008B2F8A" w14:paraId="4CBB8074" w14:textId="77777777" w:rsidTr="00422306">
        <w:tc>
          <w:tcPr>
            <w:tcW w:w="1504" w:type="dxa"/>
          </w:tcPr>
          <w:p w14:paraId="5F8A3B25" w14:textId="77777777" w:rsidR="00E47AB8" w:rsidRPr="008B2F8A" w:rsidRDefault="00E47AB8" w:rsidP="00422306">
            <w:pPr>
              <w:spacing w:before="40" w:after="80"/>
              <w:rPr>
                <w:rFonts w:ascii="Arial Narrow" w:hAnsi="Arial Narrow"/>
              </w:rPr>
            </w:pPr>
            <w:r w:rsidRPr="008B2F8A">
              <w:rPr>
                <w:rFonts w:ascii="Arial Narrow" w:hAnsi="Arial Narrow"/>
              </w:rPr>
              <w:t>30</w:t>
            </w:r>
          </w:p>
        </w:tc>
        <w:tc>
          <w:tcPr>
            <w:tcW w:w="1515" w:type="dxa"/>
          </w:tcPr>
          <w:p w14:paraId="550BF147" w14:textId="77777777" w:rsidR="00E47AB8" w:rsidRPr="008B2F8A" w:rsidRDefault="00E47AB8" w:rsidP="00422306">
            <w:pPr>
              <w:spacing w:before="40" w:after="80"/>
              <w:jc w:val="center"/>
              <w:rPr>
                <w:rFonts w:ascii="Arial Narrow" w:hAnsi="Arial Narrow"/>
              </w:rPr>
            </w:pPr>
            <w:r w:rsidRPr="008B2F8A">
              <w:rPr>
                <w:rFonts w:ascii="Arial Narrow" w:hAnsi="Arial Narrow"/>
              </w:rPr>
              <w:t>0.4</w:t>
            </w:r>
          </w:p>
        </w:tc>
        <w:tc>
          <w:tcPr>
            <w:tcW w:w="1514" w:type="dxa"/>
          </w:tcPr>
          <w:p w14:paraId="46340DC7" w14:textId="77777777" w:rsidR="00E47AB8" w:rsidRPr="008B2F8A" w:rsidRDefault="00E47AB8" w:rsidP="00422306">
            <w:pPr>
              <w:spacing w:before="40" w:after="80"/>
              <w:jc w:val="center"/>
              <w:rPr>
                <w:rFonts w:ascii="Arial Narrow" w:hAnsi="Arial Narrow"/>
              </w:rPr>
            </w:pPr>
            <w:r w:rsidRPr="008B2F8A">
              <w:rPr>
                <w:rFonts w:ascii="Arial Narrow" w:hAnsi="Arial Narrow"/>
              </w:rPr>
              <w:t>1.0</w:t>
            </w:r>
          </w:p>
        </w:tc>
        <w:tc>
          <w:tcPr>
            <w:tcW w:w="1515" w:type="dxa"/>
          </w:tcPr>
          <w:p w14:paraId="56017517" w14:textId="77777777" w:rsidR="00E47AB8" w:rsidRPr="008B2F8A" w:rsidRDefault="00E47AB8" w:rsidP="00422306">
            <w:pPr>
              <w:spacing w:before="40" w:after="80"/>
              <w:jc w:val="center"/>
              <w:rPr>
                <w:rFonts w:ascii="Arial Narrow" w:hAnsi="Arial Narrow"/>
              </w:rPr>
            </w:pPr>
            <w:r w:rsidRPr="008B2F8A">
              <w:rPr>
                <w:rFonts w:ascii="Arial Narrow" w:hAnsi="Arial Narrow"/>
              </w:rPr>
              <w:t>2.0</w:t>
            </w:r>
          </w:p>
        </w:tc>
        <w:tc>
          <w:tcPr>
            <w:tcW w:w="1517" w:type="dxa"/>
          </w:tcPr>
          <w:p w14:paraId="10F5DF7B" w14:textId="77777777" w:rsidR="00E47AB8" w:rsidRPr="008B2F8A" w:rsidRDefault="00E47AB8" w:rsidP="00422306">
            <w:pPr>
              <w:spacing w:before="40" w:after="80"/>
              <w:jc w:val="center"/>
              <w:rPr>
                <w:rFonts w:ascii="Arial Narrow" w:hAnsi="Arial Narrow"/>
              </w:rPr>
            </w:pPr>
            <w:r w:rsidRPr="008B2F8A">
              <w:rPr>
                <w:rFonts w:ascii="Arial Narrow" w:hAnsi="Arial Narrow"/>
              </w:rPr>
              <w:t>10</w:t>
            </w:r>
          </w:p>
        </w:tc>
        <w:tc>
          <w:tcPr>
            <w:tcW w:w="1517" w:type="dxa"/>
          </w:tcPr>
          <w:p w14:paraId="438B2948" w14:textId="77777777" w:rsidR="00E47AB8" w:rsidRPr="008B2F8A" w:rsidRDefault="00E47AB8" w:rsidP="00422306">
            <w:pPr>
              <w:spacing w:before="40" w:after="80"/>
              <w:jc w:val="center"/>
              <w:rPr>
                <w:rFonts w:ascii="Arial Narrow" w:hAnsi="Arial Narrow"/>
              </w:rPr>
            </w:pPr>
            <w:r w:rsidRPr="008B2F8A">
              <w:rPr>
                <w:rFonts w:ascii="Arial Narrow" w:hAnsi="Arial Narrow"/>
              </w:rPr>
              <w:t>6.6</w:t>
            </w:r>
          </w:p>
        </w:tc>
      </w:tr>
      <w:tr w:rsidR="00E47AB8" w:rsidRPr="008B2F8A" w14:paraId="6E1E1A16" w14:textId="77777777" w:rsidTr="00422306">
        <w:tc>
          <w:tcPr>
            <w:tcW w:w="1504" w:type="dxa"/>
          </w:tcPr>
          <w:p w14:paraId="503BBF0D" w14:textId="77777777" w:rsidR="00E47AB8" w:rsidRPr="008B2F8A" w:rsidRDefault="00E47AB8" w:rsidP="00422306">
            <w:pPr>
              <w:spacing w:before="40" w:after="80"/>
              <w:rPr>
                <w:rFonts w:ascii="Arial Narrow" w:hAnsi="Arial Narrow"/>
              </w:rPr>
            </w:pPr>
            <w:r w:rsidRPr="008B2F8A">
              <w:rPr>
                <w:rFonts w:ascii="Arial Narrow" w:hAnsi="Arial Narrow"/>
              </w:rPr>
              <w:t>40</w:t>
            </w:r>
          </w:p>
        </w:tc>
        <w:tc>
          <w:tcPr>
            <w:tcW w:w="1515" w:type="dxa"/>
          </w:tcPr>
          <w:p w14:paraId="1F1D388E" w14:textId="77777777" w:rsidR="00E47AB8" w:rsidRPr="008B2F8A" w:rsidRDefault="00E47AB8" w:rsidP="00422306">
            <w:pPr>
              <w:spacing w:before="40" w:after="80"/>
              <w:jc w:val="center"/>
              <w:rPr>
                <w:rFonts w:ascii="Arial Narrow" w:hAnsi="Arial Narrow"/>
              </w:rPr>
            </w:pPr>
            <w:r w:rsidRPr="008B2F8A">
              <w:rPr>
                <w:rFonts w:ascii="Arial Narrow" w:hAnsi="Arial Narrow"/>
              </w:rPr>
              <w:t>1.4</w:t>
            </w:r>
          </w:p>
        </w:tc>
        <w:tc>
          <w:tcPr>
            <w:tcW w:w="1514" w:type="dxa"/>
          </w:tcPr>
          <w:p w14:paraId="3F0F6977" w14:textId="77777777" w:rsidR="00E47AB8" w:rsidRPr="008B2F8A" w:rsidRDefault="00E47AB8" w:rsidP="00422306">
            <w:pPr>
              <w:spacing w:before="40" w:after="80"/>
              <w:jc w:val="center"/>
              <w:rPr>
                <w:rFonts w:ascii="Arial Narrow" w:hAnsi="Arial Narrow"/>
              </w:rPr>
            </w:pPr>
            <w:r w:rsidRPr="008B2F8A">
              <w:rPr>
                <w:rFonts w:ascii="Arial Narrow" w:hAnsi="Arial Narrow"/>
              </w:rPr>
              <w:t>2.5</w:t>
            </w:r>
          </w:p>
        </w:tc>
        <w:tc>
          <w:tcPr>
            <w:tcW w:w="1515" w:type="dxa"/>
          </w:tcPr>
          <w:p w14:paraId="4D4DD7D1" w14:textId="77777777" w:rsidR="00E47AB8" w:rsidRPr="008B2F8A" w:rsidRDefault="00E47AB8" w:rsidP="00422306">
            <w:pPr>
              <w:spacing w:before="40" w:after="80"/>
              <w:jc w:val="center"/>
              <w:rPr>
                <w:rFonts w:ascii="Arial Narrow" w:hAnsi="Arial Narrow"/>
              </w:rPr>
            </w:pPr>
            <w:r w:rsidRPr="008B2F8A">
              <w:rPr>
                <w:rFonts w:ascii="Arial Narrow" w:hAnsi="Arial Narrow"/>
              </w:rPr>
              <w:t>5.2</w:t>
            </w:r>
          </w:p>
        </w:tc>
        <w:tc>
          <w:tcPr>
            <w:tcW w:w="1517" w:type="dxa"/>
          </w:tcPr>
          <w:p w14:paraId="3E5D41BF" w14:textId="77777777" w:rsidR="00E47AB8" w:rsidRPr="008B2F8A" w:rsidRDefault="00E47AB8" w:rsidP="00422306">
            <w:pPr>
              <w:spacing w:before="40" w:after="80"/>
              <w:jc w:val="center"/>
              <w:rPr>
                <w:rFonts w:ascii="Arial Narrow" w:hAnsi="Arial Narrow"/>
              </w:rPr>
            </w:pPr>
            <w:r w:rsidRPr="008B2F8A">
              <w:rPr>
                <w:rFonts w:ascii="Arial Narrow" w:hAnsi="Arial Narrow"/>
              </w:rPr>
              <w:t>20</w:t>
            </w:r>
          </w:p>
        </w:tc>
        <w:tc>
          <w:tcPr>
            <w:tcW w:w="1517" w:type="dxa"/>
          </w:tcPr>
          <w:p w14:paraId="1AB0078B" w14:textId="77777777" w:rsidR="00E47AB8" w:rsidRPr="008B2F8A" w:rsidRDefault="00E47AB8" w:rsidP="00422306">
            <w:pPr>
              <w:spacing w:before="40" w:after="80"/>
              <w:jc w:val="center"/>
              <w:rPr>
                <w:rFonts w:ascii="Arial Narrow" w:hAnsi="Arial Narrow"/>
              </w:rPr>
            </w:pPr>
            <w:r w:rsidRPr="008B2F8A">
              <w:rPr>
                <w:rFonts w:ascii="Arial Narrow" w:hAnsi="Arial Narrow"/>
              </w:rPr>
              <w:t>15</w:t>
            </w:r>
          </w:p>
        </w:tc>
      </w:tr>
      <w:tr w:rsidR="00E47AB8" w:rsidRPr="008B2F8A" w14:paraId="2AFA016F" w14:textId="77777777" w:rsidTr="00422306">
        <w:tc>
          <w:tcPr>
            <w:tcW w:w="1504" w:type="dxa"/>
          </w:tcPr>
          <w:p w14:paraId="13DBBFD9" w14:textId="77777777" w:rsidR="00E47AB8" w:rsidRPr="008B2F8A" w:rsidRDefault="00E47AB8" w:rsidP="00422306">
            <w:pPr>
              <w:spacing w:before="40" w:after="80"/>
              <w:rPr>
                <w:rFonts w:ascii="Arial Narrow" w:hAnsi="Arial Narrow"/>
              </w:rPr>
            </w:pPr>
            <w:r w:rsidRPr="008B2F8A">
              <w:rPr>
                <w:rFonts w:ascii="Arial Narrow" w:hAnsi="Arial Narrow"/>
              </w:rPr>
              <w:t>50</w:t>
            </w:r>
          </w:p>
        </w:tc>
        <w:tc>
          <w:tcPr>
            <w:tcW w:w="1515" w:type="dxa"/>
          </w:tcPr>
          <w:p w14:paraId="705B9310" w14:textId="77777777" w:rsidR="00E47AB8" w:rsidRPr="008B2F8A" w:rsidRDefault="00E47AB8" w:rsidP="00422306">
            <w:pPr>
              <w:spacing w:before="40" w:after="80"/>
              <w:jc w:val="center"/>
              <w:rPr>
                <w:rFonts w:ascii="Arial Narrow" w:hAnsi="Arial Narrow"/>
              </w:rPr>
            </w:pPr>
            <w:r w:rsidRPr="008B2F8A">
              <w:rPr>
                <w:rFonts w:ascii="Arial Narrow" w:hAnsi="Arial Narrow"/>
              </w:rPr>
              <w:t>1.9</w:t>
            </w:r>
          </w:p>
        </w:tc>
        <w:tc>
          <w:tcPr>
            <w:tcW w:w="1514" w:type="dxa"/>
          </w:tcPr>
          <w:p w14:paraId="0425C59A" w14:textId="77777777" w:rsidR="00E47AB8" w:rsidRPr="008B2F8A" w:rsidRDefault="00E47AB8" w:rsidP="00422306">
            <w:pPr>
              <w:spacing w:before="40" w:after="80"/>
              <w:jc w:val="center"/>
              <w:rPr>
                <w:rFonts w:ascii="Arial Narrow" w:hAnsi="Arial Narrow"/>
              </w:rPr>
            </w:pPr>
            <w:r w:rsidRPr="008B2F8A">
              <w:rPr>
                <w:rFonts w:ascii="Arial Narrow" w:hAnsi="Arial Narrow"/>
              </w:rPr>
              <w:t>3.2</w:t>
            </w:r>
          </w:p>
        </w:tc>
        <w:tc>
          <w:tcPr>
            <w:tcW w:w="1515" w:type="dxa"/>
          </w:tcPr>
          <w:p w14:paraId="381A50EE" w14:textId="77777777" w:rsidR="00E47AB8" w:rsidRPr="008B2F8A" w:rsidRDefault="00E47AB8" w:rsidP="00422306">
            <w:pPr>
              <w:spacing w:before="40" w:after="80"/>
              <w:jc w:val="center"/>
              <w:rPr>
                <w:rFonts w:ascii="Arial Narrow" w:hAnsi="Arial Narrow"/>
              </w:rPr>
            </w:pPr>
            <w:r w:rsidRPr="008B2F8A">
              <w:rPr>
                <w:rFonts w:ascii="Arial Narrow" w:hAnsi="Arial Narrow"/>
              </w:rPr>
              <w:t>5.3</w:t>
            </w:r>
          </w:p>
        </w:tc>
        <w:tc>
          <w:tcPr>
            <w:tcW w:w="1517" w:type="dxa"/>
          </w:tcPr>
          <w:p w14:paraId="649F85D6" w14:textId="77777777" w:rsidR="00E47AB8" w:rsidRPr="008B2F8A" w:rsidRDefault="00E47AB8" w:rsidP="00422306">
            <w:pPr>
              <w:spacing w:before="40" w:after="80"/>
              <w:jc w:val="center"/>
              <w:rPr>
                <w:rFonts w:ascii="Arial Narrow" w:hAnsi="Arial Narrow"/>
              </w:rPr>
            </w:pPr>
            <w:r w:rsidRPr="008B2F8A">
              <w:rPr>
                <w:rFonts w:ascii="Arial Narrow" w:hAnsi="Arial Narrow"/>
              </w:rPr>
              <w:t>22</w:t>
            </w:r>
          </w:p>
        </w:tc>
        <w:tc>
          <w:tcPr>
            <w:tcW w:w="1517" w:type="dxa"/>
          </w:tcPr>
          <w:p w14:paraId="56DE589A" w14:textId="77777777" w:rsidR="00E47AB8" w:rsidRPr="008B2F8A" w:rsidRDefault="00E47AB8" w:rsidP="00422306">
            <w:pPr>
              <w:spacing w:before="40" w:after="80"/>
              <w:jc w:val="center"/>
              <w:rPr>
                <w:rFonts w:ascii="Arial Narrow" w:hAnsi="Arial Narrow"/>
              </w:rPr>
            </w:pPr>
            <w:r w:rsidRPr="008B2F8A">
              <w:rPr>
                <w:rFonts w:ascii="Arial Narrow" w:hAnsi="Arial Narrow"/>
              </w:rPr>
              <w:t>18</w:t>
            </w:r>
          </w:p>
        </w:tc>
      </w:tr>
      <w:tr w:rsidR="00E47AB8" w:rsidRPr="008B2F8A" w14:paraId="45714E85" w14:textId="77777777" w:rsidTr="00422306">
        <w:tc>
          <w:tcPr>
            <w:tcW w:w="1504" w:type="dxa"/>
          </w:tcPr>
          <w:p w14:paraId="5415D1F8" w14:textId="77777777" w:rsidR="00E47AB8" w:rsidRPr="008B2F8A" w:rsidRDefault="00E47AB8" w:rsidP="00422306">
            <w:pPr>
              <w:spacing w:before="40" w:after="80"/>
              <w:rPr>
                <w:rFonts w:ascii="Arial Narrow" w:hAnsi="Arial Narrow"/>
              </w:rPr>
            </w:pPr>
            <w:r w:rsidRPr="008B2F8A">
              <w:rPr>
                <w:rFonts w:ascii="Arial Narrow" w:hAnsi="Arial Narrow"/>
              </w:rPr>
              <w:t>60</w:t>
            </w:r>
          </w:p>
        </w:tc>
        <w:tc>
          <w:tcPr>
            <w:tcW w:w="1515" w:type="dxa"/>
          </w:tcPr>
          <w:p w14:paraId="6424FE58" w14:textId="77777777" w:rsidR="00E47AB8" w:rsidRPr="008B2F8A" w:rsidRDefault="00E47AB8" w:rsidP="00422306">
            <w:pPr>
              <w:spacing w:before="40" w:after="80"/>
              <w:jc w:val="center"/>
              <w:rPr>
                <w:rFonts w:ascii="Arial Narrow" w:hAnsi="Arial Narrow"/>
              </w:rPr>
            </w:pPr>
            <w:r w:rsidRPr="008B2F8A">
              <w:rPr>
                <w:rFonts w:ascii="Arial Narrow" w:hAnsi="Arial Narrow"/>
              </w:rPr>
              <w:t>2.3</w:t>
            </w:r>
          </w:p>
        </w:tc>
        <w:tc>
          <w:tcPr>
            <w:tcW w:w="1514" w:type="dxa"/>
          </w:tcPr>
          <w:p w14:paraId="7A3E5B58" w14:textId="77777777" w:rsidR="00E47AB8" w:rsidRPr="008B2F8A" w:rsidRDefault="00E47AB8" w:rsidP="00422306">
            <w:pPr>
              <w:spacing w:before="40" w:after="80"/>
              <w:jc w:val="center"/>
              <w:rPr>
                <w:rFonts w:ascii="Arial Narrow" w:hAnsi="Arial Narrow"/>
              </w:rPr>
            </w:pPr>
            <w:r w:rsidRPr="008B2F8A">
              <w:rPr>
                <w:rFonts w:ascii="Arial Narrow" w:hAnsi="Arial Narrow"/>
              </w:rPr>
              <w:t>3.5</w:t>
            </w:r>
          </w:p>
        </w:tc>
        <w:tc>
          <w:tcPr>
            <w:tcW w:w="1515" w:type="dxa"/>
          </w:tcPr>
          <w:p w14:paraId="454335F4" w14:textId="77777777" w:rsidR="00E47AB8" w:rsidRPr="008B2F8A" w:rsidRDefault="00E47AB8" w:rsidP="00422306">
            <w:pPr>
              <w:spacing w:before="40" w:after="80"/>
              <w:jc w:val="center"/>
              <w:rPr>
                <w:rFonts w:ascii="Arial Narrow" w:hAnsi="Arial Narrow"/>
              </w:rPr>
            </w:pPr>
            <w:r w:rsidRPr="008B2F8A">
              <w:rPr>
                <w:rFonts w:ascii="Arial Narrow" w:hAnsi="Arial Narrow"/>
              </w:rPr>
              <w:t>5.6</w:t>
            </w:r>
          </w:p>
        </w:tc>
        <w:tc>
          <w:tcPr>
            <w:tcW w:w="1517" w:type="dxa"/>
          </w:tcPr>
          <w:p w14:paraId="3E79BC90" w14:textId="77777777" w:rsidR="00E47AB8" w:rsidRPr="008B2F8A" w:rsidRDefault="00E47AB8" w:rsidP="00422306">
            <w:pPr>
              <w:spacing w:before="40" w:after="80"/>
              <w:jc w:val="center"/>
              <w:rPr>
                <w:rFonts w:ascii="Arial Narrow" w:hAnsi="Arial Narrow"/>
              </w:rPr>
            </w:pPr>
            <w:r w:rsidRPr="008B2F8A">
              <w:rPr>
                <w:rFonts w:ascii="Arial Narrow" w:hAnsi="Arial Narrow"/>
              </w:rPr>
              <w:t>19</w:t>
            </w:r>
          </w:p>
        </w:tc>
        <w:tc>
          <w:tcPr>
            <w:tcW w:w="1517" w:type="dxa"/>
          </w:tcPr>
          <w:p w14:paraId="5F43C1DE" w14:textId="77777777" w:rsidR="00E47AB8" w:rsidRPr="008B2F8A" w:rsidRDefault="00E47AB8" w:rsidP="00422306">
            <w:pPr>
              <w:spacing w:before="40" w:after="80"/>
              <w:jc w:val="center"/>
              <w:rPr>
                <w:rFonts w:ascii="Arial Narrow" w:hAnsi="Arial Narrow"/>
              </w:rPr>
            </w:pPr>
            <w:r w:rsidRPr="008B2F8A">
              <w:rPr>
                <w:rFonts w:ascii="Arial Narrow" w:hAnsi="Arial Narrow"/>
              </w:rPr>
              <w:t>17</w:t>
            </w:r>
          </w:p>
        </w:tc>
      </w:tr>
    </w:tbl>
    <w:p w14:paraId="26DE1B3C" w14:textId="77777777" w:rsidR="00E47AB8" w:rsidRPr="008B2F8A" w:rsidRDefault="00E47AB8" w:rsidP="00155B54">
      <w:pPr>
        <w:pStyle w:val="TableNotesLast"/>
      </w:pPr>
      <w:r w:rsidRPr="008B2F8A">
        <w:t xml:space="preserve">Source: </w:t>
      </w:r>
      <w:bookmarkStart w:id="233" w:name="OLE_LINK600"/>
      <w:bookmarkStart w:id="234" w:name="OLE_LINK601"/>
      <w:r>
        <w:t>Berg (</w:t>
      </w:r>
      <w:r w:rsidRPr="008B2F8A">
        <w:rPr>
          <w:noProof/>
        </w:rPr>
        <w:t>2009</w:t>
      </w:r>
      <w:bookmarkEnd w:id="233"/>
      <w:bookmarkEnd w:id="234"/>
      <w:r w:rsidRPr="008B2F8A">
        <w:rPr>
          <w:noProof/>
        </w:rPr>
        <w:t>).</w:t>
      </w:r>
    </w:p>
    <w:p w14:paraId="31C79B3F" w14:textId="7344EB65" w:rsidR="00E47AB8" w:rsidRPr="008B2F8A" w:rsidRDefault="00E47AB8" w:rsidP="00422306">
      <w:r w:rsidRPr="008B2F8A">
        <w:t xml:space="preserve">The NHMRC estimates that women at high risk due to genetic predisposition or family history account for &lt;1% of the Australian female population, although not all these women will go on to develop breast cancer </w:t>
      </w:r>
      <w:r w:rsidRPr="008B2F8A">
        <w:rPr>
          <w:noProof/>
        </w:rPr>
        <w:t>(</w:t>
      </w:r>
      <w:bookmarkStart w:id="235" w:name="OLE_LINK602"/>
      <w:bookmarkStart w:id="236" w:name="OLE_LINK603"/>
      <w:r w:rsidRPr="008B2F8A">
        <w:rPr>
          <w:noProof/>
        </w:rPr>
        <w:t>NBOCC, 2010</w:t>
      </w:r>
      <w:bookmarkEnd w:id="235"/>
      <w:bookmarkEnd w:id="236"/>
      <w:r w:rsidRPr="008B2F8A">
        <w:rPr>
          <w:noProof/>
        </w:rPr>
        <w:t>)</w:t>
      </w:r>
      <w:r w:rsidRPr="008B2F8A">
        <w:t xml:space="preserve">. Women at high risk of breast cancer due to family history or genetic predisposition make up 5% to 10% of women with breast cancer </w:t>
      </w:r>
      <w:r w:rsidRPr="008B2F8A">
        <w:rPr>
          <w:noProof/>
        </w:rPr>
        <w:t>(</w:t>
      </w:r>
      <w:bookmarkStart w:id="237" w:name="OLE_LINK604"/>
      <w:bookmarkStart w:id="238" w:name="OLE_LINK605"/>
      <w:r w:rsidRPr="008B2F8A">
        <w:rPr>
          <w:noProof/>
        </w:rPr>
        <w:t>NBOCC, 2009</w:t>
      </w:r>
      <w:bookmarkEnd w:id="237"/>
      <w:bookmarkEnd w:id="238"/>
      <w:r w:rsidRPr="008B2F8A">
        <w:rPr>
          <w:noProof/>
        </w:rPr>
        <w:t>)</w:t>
      </w:r>
      <w:r w:rsidRPr="008B2F8A">
        <w:t>. These women often develop breast cancer early in life and need more frequent screening and earlier start of screening than asymptomatic women at average risk of breast cancer.</w:t>
      </w:r>
    </w:p>
    <w:p w14:paraId="519BA08B" w14:textId="54C4F157" w:rsidR="00E47AB8" w:rsidRPr="008B2F8A" w:rsidRDefault="00E47AB8" w:rsidP="00422306">
      <w:r w:rsidRPr="008B2F8A">
        <w:t xml:space="preserve">In Australia, the current advice on the categorisation of breast cancer risk derives from the 2010 ‘guide for health professionals’ from the </w:t>
      </w:r>
      <w:r w:rsidRPr="008B2F8A">
        <w:rPr>
          <w:noProof/>
        </w:rPr>
        <w:t>NBOCC (2010)</w:t>
      </w:r>
      <w:r w:rsidRPr="008B2F8A">
        <w:t>. Risk for familial aspects of breast cancer is graded as:</w:t>
      </w:r>
    </w:p>
    <w:p w14:paraId="5A6ADA79" w14:textId="08236EE8" w:rsidR="00E47AB8" w:rsidRPr="008B2F8A" w:rsidRDefault="00E47AB8" w:rsidP="00E47AB8">
      <w:pPr>
        <w:pStyle w:val="ListParagraph"/>
        <w:numPr>
          <w:ilvl w:val="0"/>
          <w:numId w:val="17"/>
        </w:numPr>
      </w:pPr>
      <w:r w:rsidRPr="008B2F8A">
        <w:t>at or slightly above average risk (&gt;95% of the female population)</w:t>
      </w:r>
    </w:p>
    <w:p w14:paraId="504C35F6" w14:textId="32D437B9" w:rsidR="00E47AB8" w:rsidRPr="008B2F8A" w:rsidRDefault="00E47AB8" w:rsidP="00E47AB8">
      <w:pPr>
        <w:pStyle w:val="ListParagraph"/>
        <w:numPr>
          <w:ilvl w:val="0"/>
          <w:numId w:val="17"/>
        </w:numPr>
      </w:pPr>
      <w:r w:rsidRPr="008B2F8A">
        <w:t>moderately increased risk (&lt;4% of the female population)</w:t>
      </w:r>
    </w:p>
    <w:p w14:paraId="16BF0EB0" w14:textId="18E181B0" w:rsidR="00E47AB8" w:rsidRPr="008B2F8A" w:rsidRDefault="00E47AB8" w:rsidP="00E47AB8">
      <w:pPr>
        <w:pStyle w:val="ListParagraph"/>
        <w:numPr>
          <w:ilvl w:val="0"/>
          <w:numId w:val="17"/>
        </w:numPr>
      </w:pPr>
      <w:r w:rsidRPr="008B2F8A">
        <w:t>potentially high risk (&lt;1% of the female population).</w:t>
      </w:r>
    </w:p>
    <w:p w14:paraId="3AA33421" w14:textId="08E4CA43" w:rsidR="00E47AB8" w:rsidRPr="008B2F8A" w:rsidRDefault="00E47AB8" w:rsidP="00422306">
      <w:r w:rsidRPr="008B2F8A">
        <w:t>The description of the potentially high-risk group coincides predominantly with the description outlined under the current MBS item 63464.</w:t>
      </w:r>
    </w:p>
    <w:p w14:paraId="2213A6B0" w14:textId="77777777" w:rsidR="00E47AB8" w:rsidRPr="008B2F8A" w:rsidRDefault="00E47AB8" w:rsidP="00E47AB8">
      <w:pPr>
        <w:pStyle w:val="Heading4"/>
        <w:numPr>
          <w:ilvl w:val="3"/>
          <w:numId w:val="10"/>
        </w:numPr>
      </w:pPr>
      <w:bookmarkStart w:id="239" w:name="_Ref376941690"/>
      <w:r w:rsidRPr="008B2F8A">
        <w:t>Prior history of invasive breast cancer</w:t>
      </w:r>
      <w:bookmarkEnd w:id="239"/>
    </w:p>
    <w:p w14:paraId="66EE7977" w14:textId="2FE61689" w:rsidR="00E47AB8" w:rsidRPr="008B2F8A" w:rsidRDefault="00E47AB8" w:rsidP="00422306">
      <w:r w:rsidRPr="008B2F8A">
        <w:t xml:space="preserve">Survival from breast cancer is increasing, with 5-year survival in Australia rising from 72% to 89% between 1982–87 and 2006–10. For those diagnosed between the ages of 40 and 49, 5-year relative </w:t>
      </w:r>
      <w:r w:rsidRPr="008B2F8A">
        <w:lastRenderedPageBreak/>
        <w:t>survival is &gt;90%. Follow-up management of these women after treatment is therefore a significant question. Surveillance mammography is used to detect both ipsilateral breast tumour recurrence (</w:t>
      </w:r>
      <w:bookmarkStart w:id="240" w:name="OLE_LINK257"/>
      <w:bookmarkStart w:id="241" w:name="OLE_LINK258"/>
      <w:r w:rsidRPr="008B2F8A">
        <w:t>IBTR</w:t>
      </w:r>
      <w:bookmarkEnd w:id="240"/>
      <w:bookmarkEnd w:id="241"/>
      <w:r w:rsidRPr="008B2F8A">
        <w:t>) in the treated breast and new primary cancers in either the ipsilateral or contralateral breast.</w:t>
      </w:r>
    </w:p>
    <w:p w14:paraId="65B6A7AA" w14:textId="51815953" w:rsidR="00E47AB8" w:rsidRPr="008B2F8A" w:rsidRDefault="00E47AB8" w:rsidP="00422306">
      <w:r w:rsidRPr="008B2F8A">
        <w:t xml:space="preserve">Local recurrence tends to be a manifestation of aggressive disease, with risk varying by hormone receptor and </w:t>
      </w:r>
      <w:bookmarkStart w:id="242" w:name="OLE_LINK37"/>
      <w:bookmarkStart w:id="243" w:name="OLE_LINK256"/>
      <w:r w:rsidRPr="008B2F8A">
        <w:rPr>
          <w:i/>
        </w:rPr>
        <w:t>HER2</w:t>
      </w:r>
      <w:r w:rsidRPr="008B2F8A">
        <w:t xml:space="preserve"> </w:t>
      </w:r>
      <w:bookmarkEnd w:id="242"/>
      <w:bookmarkEnd w:id="243"/>
      <w:r w:rsidRPr="008B2F8A">
        <w:t xml:space="preserve">status. Rates of recurrence are also affected by systemic therapies, and as the effectiveness of these improve, as measured by rates of survival, the rates of IBTR also decrease </w:t>
      </w:r>
      <w:r w:rsidRPr="008B2F8A">
        <w:rPr>
          <w:noProof/>
        </w:rPr>
        <w:t>(</w:t>
      </w:r>
      <w:bookmarkStart w:id="244" w:name="OLE_LINK606"/>
      <w:bookmarkStart w:id="245" w:name="OLE_LINK607"/>
      <w:r w:rsidRPr="008B2F8A">
        <w:rPr>
          <w:noProof/>
        </w:rPr>
        <w:t>Houssami &amp; Morrow, 2013</w:t>
      </w:r>
      <w:bookmarkEnd w:id="244"/>
      <w:bookmarkEnd w:id="245"/>
      <w:r w:rsidRPr="008B2F8A">
        <w:rPr>
          <w:noProof/>
        </w:rPr>
        <w:t>)</w:t>
      </w:r>
      <w:r w:rsidRPr="008B2F8A">
        <w:t xml:space="preserve">. Therefore, rates of IBTR vary greatly depending on the tumour type and treatment regime. For example, rates of loco-regional recurrence over 10 years following </w:t>
      </w:r>
      <w:bookmarkStart w:id="246" w:name="OLE_LINK38"/>
      <w:bookmarkStart w:id="247" w:name="OLE_LINK39"/>
      <w:r w:rsidR="00155B54">
        <w:t xml:space="preserve">breast conserving surgery </w:t>
      </w:r>
      <w:bookmarkEnd w:id="246"/>
      <w:bookmarkEnd w:id="247"/>
      <w:r w:rsidRPr="008B2F8A">
        <w:t xml:space="preserve">are reduced from 25.1% without radiotherapy to 7.7% with radiotherapy </w:t>
      </w:r>
      <w:r w:rsidRPr="008B2F8A">
        <w:rPr>
          <w:noProof/>
        </w:rPr>
        <w:t>(</w:t>
      </w:r>
      <w:bookmarkStart w:id="248" w:name="OLE_LINK254"/>
      <w:bookmarkStart w:id="249" w:name="OLE_LINK255"/>
      <w:bookmarkStart w:id="250" w:name="OLE_LINK608"/>
      <w:bookmarkStart w:id="251" w:name="OLE_LINK609"/>
      <w:r w:rsidRPr="008B2F8A">
        <w:rPr>
          <w:noProof/>
        </w:rPr>
        <w:t>EBCTCG</w:t>
      </w:r>
      <w:bookmarkEnd w:id="248"/>
      <w:bookmarkEnd w:id="249"/>
      <w:r>
        <w:rPr>
          <w:noProof/>
        </w:rPr>
        <w:t>,</w:t>
      </w:r>
      <w:r w:rsidRPr="008B2F8A">
        <w:rPr>
          <w:noProof/>
        </w:rPr>
        <w:t xml:space="preserve"> 2005</w:t>
      </w:r>
      <w:bookmarkEnd w:id="250"/>
      <w:bookmarkEnd w:id="251"/>
      <w:r w:rsidRPr="008B2F8A">
        <w:rPr>
          <w:noProof/>
        </w:rPr>
        <w:t>)</w:t>
      </w:r>
      <w:r w:rsidRPr="008B2F8A">
        <w:t xml:space="preserve">. A more recent study of women who underwent </w:t>
      </w:r>
      <w:r w:rsidR="00155B54">
        <w:t>breast conserving surgery</w:t>
      </w:r>
      <w:r w:rsidRPr="008B2F8A">
        <w:t xml:space="preserve">, most of whom also received adjuvant systemic therapy, found a 5-year cumulative incidence of local recurrence of 2.1%. This varied greatly by tumour type, from 0.8% for </w:t>
      </w:r>
      <w:bookmarkStart w:id="252" w:name="OLE_LINK231"/>
      <w:bookmarkStart w:id="253" w:name="OLE_LINK232"/>
      <w:r w:rsidRPr="008B2F8A">
        <w:t>Luminal A</w:t>
      </w:r>
      <w:bookmarkEnd w:id="252"/>
      <w:bookmarkEnd w:id="253"/>
      <w:r w:rsidRPr="008B2F8A">
        <w:t xml:space="preserve"> to 10.8% for </w:t>
      </w:r>
      <w:r w:rsidRPr="00155B54">
        <w:rPr>
          <w:i/>
        </w:rPr>
        <w:t>HER2</w:t>
      </w:r>
      <w:r w:rsidRPr="008B2F8A">
        <w:t xml:space="preserve"> </w:t>
      </w:r>
      <w:r w:rsidRPr="008B2F8A">
        <w:rPr>
          <w:noProof/>
        </w:rPr>
        <w:t>(</w:t>
      </w:r>
      <w:bookmarkStart w:id="254" w:name="OLE_LINK610"/>
      <w:bookmarkStart w:id="255" w:name="OLE_LINK611"/>
      <w:r w:rsidRPr="008B2F8A">
        <w:rPr>
          <w:noProof/>
        </w:rPr>
        <w:t>Arvold et al, 2011</w:t>
      </w:r>
      <w:bookmarkEnd w:id="254"/>
      <w:bookmarkEnd w:id="255"/>
      <w:r w:rsidRPr="008B2F8A">
        <w:rPr>
          <w:noProof/>
        </w:rPr>
        <w:t>)</w:t>
      </w:r>
      <w:r w:rsidRPr="008B2F8A">
        <w:t>.</w:t>
      </w:r>
    </w:p>
    <w:p w14:paraId="2B4B1201" w14:textId="04876CCA" w:rsidR="00E47AB8" w:rsidRPr="008B2F8A" w:rsidRDefault="00E47AB8" w:rsidP="00422306">
      <w:r w:rsidRPr="008B2F8A">
        <w:t xml:space="preserve">Like IBTR, rates of contralateral breast cancer are declining owing changes in treatment. It is estimated that rates in the United States have declined since 1985 at ~3% per year, predominantly in </w:t>
      </w:r>
      <w:r w:rsidR="007E60B7">
        <w:t>o</w:t>
      </w:r>
      <w:r w:rsidR="00155B54">
        <w:t>estrogen receptor</w:t>
      </w:r>
      <w:r w:rsidRPr="008B2F8A">
        <w:t xml:space="preserve">-positive women </w:t>
      </w:r>
      <w:r w:rsidRPr="008B2F8A">
        <w:rPr>
          <w:noProof/>
        </w:rPr>
        <w:t>(</w:t>
      </w:r>
      <w:bookmarkStart w:id="256" w:name="OLE_LINK612"/>
      <w:bookmarkStart w:id="257" w:name="OLE_LINK613"/>
      <w:r w:rsidRPr="008B2F8A">
        <w:rPr>
          <w:noProof/>
        </w:rPr>
        <w:t>Nichols et al, 2011</w:t>
      </w:r>
      <w:bookmarkEnd w:id="256"/>
      <w:bookmarkEnd w:id="257"/>
      <w:r w:rsidRPr="008B2F8A">
        <w:rPr>
          <w:noProof/>
        </w:rPr>
        <w:t>)</w:t>
      </w:r>
      <w:r w:rsidRPr="008B2F8A">
        <w:t xml:space="preserve">. Using the Surveillance, Epidemiology, and End Results database (1973–1996), </w:t>
      </w:r>
      <w:bookmarkStart w:id="258" w:name="OLE_LINK614"/>
      <w:bookmarkStart w:id="259" w:name="OLE_LINK615"/>
      <w:r w:rsidRPr="008B2F8A">
        <w:rPr>
          <w:noProof/>
        </w:rPr>
        <w:t>Gao et al (2003</w:t>
      </w:r>
      <w:bookmarkEnd w:id="258"/>
      <w:bookmarkEnd w:id="259"/>
      <w:r w:rsidRPr="008B2F8A">
        <w:rPr>
          <w:noProof/>
        </w:rPr>
        <w:t>)</w:t>
      </w:r>
      <w:r w:rsidRPr="008B2F8A">
        <w:t xml:space="preserve"> found the risk of contralateral breast cancer to be 6.1% at 10 years and 12.0% at 20 years.</w:t>
      </w:r>
    </w:p>
    <w:p w14:paraId="79FE83C1" w14:textId="743064BC" w:rsidR="00E47AB8" w:rsidRPr="008B2F8A" w:rsidRDefault="00E47AB8" w:rsidP="00422306">
      <w:r w:rsidRPr="008B2F8A">
        <w:t xml:space="preserve">A more recent study based on US data estimated the risk of recurrent breast cancer to be 5.37 per 1000 woman-years and that of second primary breast cancers to be 5.88 per 1000 woman-years </w:t>
      </w:r>
      <w:r w:rsidRPr="008B2F8A">
        <w:rPr>
          <w:noProof/>
        </w:rPr>
        <w:t>(</w:t>
      </w:r>
      <w:bookmarkStart w:id="260" w:name="OLE_LINK616"/>
      <w:bookmarkStart w:id="261" w:name="OLE_LINK617"/>
      <w:r w:rsidRPr="008B2F8A">
        <w:rPr>
          <w:noProof/>
        </w:rPr>
        <w:t>Buist et al, 2010</w:t>
      </w:r>
      <w:bookmarkEnd w:id="260"/>
      <w:bookmarkEnd w:id="261"/>
      <w:r w:rsidRPr="008B2F8A">
        <w:rPr>
          <w:noProof/>
        </w:rPr>
        <w:t>)</w:t>
      </w:r>
      <w:r w:rsidRPr="008B2F8A">
        <w:t>. The study included women with DCIS; rates of second primary cancers were 0.6%/year for invasive cancers and 0.8%/year for DCIS. Overall, the risks for both recurrence and new primary breast cancers are highly dependent on patients’ prognostic factors; nevertheless, it appears likely that most patients would fall into the moderate- rather than high-risk category (</w:t>
      </w:r>
      <w:r w:rsidR="007E60B7">
        <w:fldChar w:fldCharType="begin"/>
      </w:r>
      <w:r w:rsidR="007E60B7">
        <w:instrText xml:space="preserve"> REF _Ref256408805 \h </w:instrText>
      </w:r>
      <w:r w:rsidR="007E60B7">
        <w:fldChar w:fldCharType="separate"/>
      </w:r>
      <w:r w:rsidR="00B81273" w:rsidRPr="008B2F8A">
        <w:t xml:space="preserve">Table </w:t>
      </w:r>
      <w:r w:rsidR="00B81273">
        <w:rPr>
          <w:noProof/>
        </w:rPr>
        <w:t>A</w:t>
      </w:r>
      <w:r w:rsidR="00B81273" w:rsidRPr="008B2F8A">
        <w:t>.</w:t>
      </w:r>
      <w:r w:rsidR="00B81273">
        <w:rPr>
          <w:noProof/>
        </w:rPr>
        <w:t>1</w:t>
      </w:r>
      <w:r w:rsidR="007E60B7">
        <w:fldChar w:fldCharType="end"/>
      </w:r>
      <w:r w:rsidRPr="008B2F8A">
        <w:t>).</w:t>
      </w:r>
    </w:p>
    <w:p w14:paraId="341189AF" w14:textId="7F95630C" w:rsidR="00E47AB8" w:rsidRPr="008B2F8A" w:rsidRDefault="00E47AB8" w:rsidP="00E47AB8">
      <w:pPr>
        <w:pStyle w:val="Heading4"/>
        <w:numPr>
          <w:ilvl w:val="3"/>
          <w:numId w:val="10"/>
        </w:numPr>
      </w:pPr>
      <w:r w:rsidRPr="008B2F8A">
        <w:t xml:space="preserve">Prior history of DCIS </w:t>
      </w:r>
      <w:r>
        <w:t>or</w:t>
      </w:r>
      <w:r w:rsidRPr="008B2F8A">
        <w:t xml:space="preserve"> LCIS</w:t>
      </w:r>
    </w:p>
    <w:p w14:paraId="1FDBE11B" w14:textId="157B8AE6" w:rsidR="00E47AB8" w:rsidRPr="008B2F8A" w:rsidRDefault="00E47AB8" w:rsidP="00422306">
      <w:r w:rsidRPr="008B2F8A">
        <w:t xml:space="preserve">DCIS is considered to be a precursor to invasive breast cancer. A large systematic review notes that estimates of 5- or 10-year recurrence rates are remarkably unstable across studies, ranging from 2.4% to 15% for 5-year recurrence and from 10% to 24% for 10-year recurrence, and that the majority of important prognostic factors for DCIS outcomes are also prognostic factors for invasive breast cancer outcomes </w:t>
      </w:r>
      <w:r w:rsidRPr="008B2F8A">
        <w:rPr>
          <w:noProof/>
        </w:rPr>
        <w:t>(</w:t>
      </w:r>
      <w:bookmarkStart w:id="262" w:name="OLE_LINK618"/>
      <w:bookmarkStart w:id="263" w:name="OLE_LINK619"/>
      <w:r w:rsidRPr="008B2F8A">
        <w:rPr>
          <w:noProof/>
        </w:rPr>
        <w:t>Virnig et al, 2013</w:t>
      </w:r>
      <w:bookmarkEnd w:id="262"/>
      <w:bookmarkEnd w:id="263"/>
      <w:r w:rsidRPr="008B2F8A">
        <w:rPr>
          <w:noProof/>
        </w:rPr>
        <w:t>)</w:t>
      </w:r>
      <w:r w:rsidRPr="008B2F8A">
        <w:t xml:space="preserve">. Australian data from 1995 to 2005 allowed an estimate that following a diagnosis of DCIS, the probability of being diagnosed with a subsequent invasive breast cancer is 5.3% within 5 years and 10.9% within 10 years </w:t>
      </w:r>
      <w:r w:rsidRPr="008B2F8A">
        <w:rPr>
          <w:noProof/>
        </w:rPr>
        <w:t>(</w:t>
      </w:r>
      <w:bookmarkStart w:id="264" w:name="OLE_LINK620"/>
      <w:bookmarkStart w:id="265" w:name="OLE_LINK621"/>
      <w:r w:rsidRPr="008B2F8A">
        <w:rPr>
          <w:noProof/>
        </w:rPr>
        <w:t>AIHW &amp; NBOCC, 2010</w:t>
      </w:r>
      <w:bookmarkEnd w:id="264"/>
      <w:bookmarkEnd w:id="265"/>
      <w:r w:rsidRPr="008B2F8A">
        <w:rPr>
          <w:noProof/>
        </w:rPr>
        <w:t>)</w:t>
      </w:r>
      <w:r w:rsidRPr="008B2F8A">
        <w:t xml:space="preserve">. Women who have the highest probability of invasive breast cancer are aged &lt;40 years at the time of DCIS diagnosis: 8.4% within 5 years and 15.5% within 10 years </w:t>
      </w:r>
      <w:r w:rsidRPr="008B2F8A">
        <w:rPr>
          <w:noProof/>
        </w:rPr>
        <w:t>(AIHW &amp; NBOCC, 2010)</w:t>
      </w:r>
      <w:r w:rsidRPr="008B2F8A">
        <w:t>.</w:t>
      </w:r>
    </w:p>
    <w:p w14:paraId="51579D2D" w14:textId="6B755F47" w:rsidR="00E47AB8" w:rsidRPr="008B2F8A" w:rsidRDefault="00E47AB8" w:rsidP="00422306">
      <w:r w:rsidRPr="008B2F8A">
        <w:t>LCIS may be a precursor of invasive carcinoma and is associated with an increased risk of a subsequent breast cancer, with lifetime risk estimates of 10% to 20% (</w:t>
      </w:r>
      <w:bookmarkStart w:id="266" w:name="OLE_LINK622"/>
      <w:bookmarkStart w:id="267" w:name="OLE_LINK623"/>
      <w:r w:rsidRPr="008B2F8A">
        <w:rPr>
          <w:noProof/>
        </w:rPr>
        <w:t>Arpino et al, 2005</w:t>
      </w:r>
      <w:r w:rsidRPr="008B2F8A">
        <w:t xml:space="preserve">; </w:t>
      </w:r>
      <w:r w:rsidRPr="008B2F8A">
        <w:rPr>
          <w:noProof/>
        </w:rPr>
        <w:t>Fisher et al, 1998</w:t>
      </w:r>
      <w:bookmarkEnd w:id="266"/>
      <w:bookmarkEnd w:id="267"/>
      <w:r w:rsidRPr="008B2F8A">
        <w:t xml:space="preserve">). The average age of women diagnosed at biopsy with LCIS is 44 to 46 years </w:t>
      </w:r>
      <w:r w:rsidRPr="008B2F8A">
        <w:rPr>
          <w:noProof/>
        </w:rPr>
        <w:t>(</w:t>
      </w:r>
      <w:bookmarkStart w:id="268" w:name="OLE_LINK624"/>
      <w:bookmarkStart w:id="269" w:name="OLE_LINK625"/>
      <w:r w:rsidRPr="008B2F8A">
        <w:rPr>
          <w:noProof/>
        </w:rPr>
        <w:t>Page et al, 1991</w:t>
      </w:r>
      <w:bookmarkEnd w:id="268"/>
      <w:bookmarkEnd w:id="269"/>
      <w:r w:rsidRPr="008B2F8A">
        <w:rPr>
          <w:noProof/>
        </w:rPr>
        <w:t>)</w:t>
      </w:r>
      <w:r w:rsidRPr="008B2F8A">
        <w:t>; however, these estimates are based on data derived from 1950 to 1968. Subsequent breast cancers that occur after LCIS may be ipsilateral or contralateral and are normally invasive lobular cancers, more than half being diagnosed &gt;15 years after the index LCIS (</w:t>
      </w:r>
      <w:bookmarkStart w:id="270" w:name="OLE_LINK626"/>
      <w:bookmarkStart w:id="271" w:name="OLE_LINK627"/>
      <w:r w:rsidRPr="008B2F8A">
        <w:rPr>
          <w:noProof/>
        </w:rPr>
        <w:t>Arpino et al, 2005</w:t>
      </w:r>
      <w:r w:rsidRPr="008B2F8A">
        <w:t xml:space="preserve">; </w:t>
      </w:r>
      <w:r w:rsidRPr="008B2F8A">
        <w:rPr>
          <w:noProof/>
        </w:rPr>
        <w:t>Page et al, 1991</w:t>
      </w:r>
      <w:bookmarkEnd w:id="270"/>
      <w:bookmarkEnd w:id="271"/>
      <w:r w:rsidRPr="008B2F8A">
        <w:t>).</w:t>
      </w:r>
    </w:p>
    <w:p w14:paraId="2935B56B" w14:textId="77777777" w:rsidR="00E47AB8" w:rsidRPr="008B2F8A" w:rsidRDefault="00E47AB8" w:rsidP="00E47AB8">
      <w:pPr>
        <w:pStyle w:val="Heading4"/>
        <w:numPr>
          <w:ilvl w:val="3"/>
          <w:numId w:val="10"/>
        </w:numPr>
      </w:pPr>
      <w:r w:rsidRPr="008B2F8A">
        <w:lastRenderedPageBreak/>
        <w:t>Previous history of irradiation to the chest from 10 to 35 years of age</w:t>
      </w:r>
    </w:p>
    <w:p w14:paraId="0C7D9D32" w14:textId="0688AA58" w:rsidR="00E47AB8" w:rsidRPr="008B2F8A" w:rsidRDefault="00E47AB8" w:rsidP="00422306">
      <w:r w:rsidRPr="008B2F8A">
        <w:t>In women treated with radiotherapy for mediastinal Hodgkin’s lymphoma, breast cancer is the most common secondary malignancy (</w:t>
      </w:r>
      <w:r w:rsidRPr="008B2F8A">
        <w:rPr>
          <w:noProof/>
        </w:rPr>
        <w:t>Bhatia et al, 2003</w:t>
      </w:r>
      <w:r w:rsidRPr="008B2F8A">
        <w:t xml:space="preserve">; </w:t>
      </w:r>
      <w:r w:rsidRPr="008B2F8A">
        <w:rPr>
          <w:noProof/>
        </w:rPr>
        <w:t>Taylor et al, 2007</w:t>
      </w:r>
      <w:r w:rsidRPr="008B2F8A">
        <w:t>). Several factors affect the risk of developing breast cancer: the patient’s age at treatment, time since treatment, dose and field of radiotherapy, and whether alkylating chemotherapy has been received (</w:t>
      </w:r>
      <w:r w:rsidRPr="008B2F8A">
        <w:rPr>
          <w:noProof/>
        </w:rPr>
        <w:t>Bhatia et al, 2003</w:t>
      </w:r>
      <w:r w:rsidRPr="008B2F8A">
        <w:t xml:space="preserve">; </w:t>
      </w:r>
      <w:r w:rsidRPr="008B2F8A">
        <w:rPr>
          <w:noProof/>
        </w:rPr>
        <w:t>De Bruin et al, 2009</w:t>
      </w:r>
      <w:r w:rsidRPr="008B2F8A">
        <w:t xml:space="preserve">; </w:t>
      </w:r>
      <w:r w:rsidRPr="008B2F8A">
        <w:rPr>
          <w:noProof/>
        </w:rPr>
        <w:t>Swerdlow et al, 2012</w:t>
      </w:r>
      <w:r w:rsidRPr="008B2F8A">
        <w:t xml:space="preserve">; </w:t>
      </w:r>
      <w:r w:rsidRPr="008B2F8A">
        <w:rPr>
          <w:noProof/>
        </w:rPr>
        <w:t>Travis et al, 2005</w:t>
      </w:r>
      <w:r w:rsidRPr="008B2F8A">
        <w:t xml:space="preserve">). When diagnosed with breast cancer, women with prior Hodgkin’s lymphoma are more likely to be younger than the average breast cancer patient, and to have bilateral disease and invasive ductal and lobular carcinoma </w:t>
      </w:r>
      <w:r w:rsidRPr="008B2F8A">
        <w:rPr>
          <w:noProof/>
        </w:rPr>
        <w:t>(</w:t>
      </w:r>
      <w:bookmarkStart w:id="272" w:name="OLE_LINK628"/>
      <w:bookmarkStart w:id="273" w:name="OLE_LINK629"/>
      <w:r w:rsidRPr="008B2F8A">
        <w:rPr>
          <w:noProof/>
        </w:rPr>
        <w:t>Cutuli et al, 2012</w:t>
      </w:r>
      <w:bookmarkEnd w:id="272"/>
      <w:bookmarkEnd w:id="273"/>
      <w:r w:rsidRPr="008B2F8A">
        <w:rPr>
          <w:noProof/>
        </w:rPr>
        <w:t>)</w:t>
      </w:r>
      <w:r w:rsidRPr="008B2F8A">
        <w:t>.</w:t>
      </w:r>
    </w:p>
    <w:p w14:paraId="4A043A0A" w14:textId="31D3BF2C" w:rsidR="00E47AB8" w:rsidRPr="008B2F8A" w:rsidRDefault="00E47AB8" w:rsidP="00422306">
      <w:r w:rsidRPr="008B2F8A">
        <w:t xml:space="preserve">A systematic review found that the cumulative incidence of breast cancer by age 40 to 45 years ranged from 13% to 20%, and by 25 to 30 years’ follow-up ranged from 12% to 26%. This incidence is similar to that in women with a </w:t>
      </w:r>
      <w:bookmarkStart w:id="274" w:name="OLE_LINK42"/>
      <w:bookmarkStart w:id="275" w:name="OLE_LINK43"/>
      <w:r w:rsidRPr="008B2F8A">
        <w:rPr>
          <w:i/>
        </w:rPr>
        <w:t>BRCA</w:t>
      </w:r>
      <w:r w:rsidRPr="008B2F8A">
        <w:t xml:space="preserve"> </w:t>
      </w:r>
      <w:bookmarkEnd w:id="274"/>
      <w:bookmarkEnd w:id="275"/>
      <w:r w:rsidRPr="008B2F8A">
        <w:t xml:space="preserve">gene mutation, in whom the cumulative incidence by age 40 years ranges from 10% to 19% </w:t>
      </w:r>
      <w:r w:rsidRPr="008B2F8A">
        <w:rPr>
          <w:noProof/>
        </w:rPr>
        <w:t>(</w:t>
      </w:r>
      <w:bookmarkStart w:id="276" w:name="OLE_LINK630"/>
      <w:bookmarkStart w:id="277" w:name="OLE_LINK631"/>
      <w:r w:rsidRPr="008B2F8A">
        <w:rPr>
          <w:noProof/>
        </w:rPr>
        <w:t>Henderson et al, 2010</w:t>
      </w:r>
      <w:bookmarkEnd w:id="276"/>
      <w:bookmarkEnd w:id="277"/>
      <w:r w:rsidRPr="008B2F8A">
        <w:rPr>
          <w:noProof/>
        </w:rPr>
        <w:t>)</w:t>
      </w:r>
      <w:r w:rsidRPr="008B2F8A">
        <w:t>.</w:t>
      </w:r>
    </w:p>
    <w:p w14:paraId="1F337849" w14:textId="77777777" w:rsidR="00E47AB8" w:rsidRPr="008B2F8A" w:rsidRDefault="00E47AB8" w:rsidP="00E47AB8">
      <w:pPr>
        <w:pStyle w:val="Heading3"/>
        <w:numPr>
          <w:ilvl w:val="2"/>
          <w:numId w:val="10"/>
        </w:numPr>
      </w:pPr>
      <w:bookmarkStart w:id="278" w:name="_Toc383424426"/>
      <w:r w:rsidRPr="008B2F8A">
        <w:t>Risk reduction strategies for women at high risk</w:t>
      </w:r>
      <w:bookmarkEnd w:id="278"/>
    </w:p>
    <w:p w14:paraId="149A5C84" w14:textId="47DEF8FB" w:rsidR="00E47AB8" w:rsidRPr="008B2F8A" w:rsidRDefault="00E47AB8" w:rsidP="00422306">
      <w:r w:rsidRPr="008B2F8A">
        <w:t>Risk reduction strategies for women at an increased risk of developing breast cancer include surgery, chemoprevention and screening tests. The information presented below provides a broad overview of the current state of knowledge.</w:t>
      </w:r>
    </w:p>
    <w:p w14:paraId="00DBFF2F" w14:textId="77777777" w:rsidR="00E47AB8" w:rsidRPr="008B2F8A" w:rsidRDefault="00E47AB8" w:rsidP="00E47AB8">
      <w:pPr>
        <w:pStyle w:val="Heading4"/>
        <w:numPr>
          <w:ilvl w:val="3"/>
          <w:numId w:val="10"/>
        </w:numPr>
      </w:pPr>
      <w:r w:rsidRPr="008B2F8A">
        <w:t>Prophylactic surgical options</w:t>
      </w:r>
    </w:p>
    <w:p w14:paraId="12D96FA4" w14:textId="64F39BDB" w:rsidR="00E47AB8" w:rsidRPr="008B2F8A" w:rsidRDefault="00E47AB8" w:rsidP="00422306">
      <w:r w:rsidRPr="008B2F8A">
        <w:t xml:space="preserve">The objective of surgical options is to reduce the risk of cancer and mortality. The surgical options are prophylactic bilateral mastectomy, prophylactic salipingo-oophorectomy (ie, the removal of the fallopian tubes and ovaries), and both mastectomy and salipingo-oophorectomy. Prophylactic bilateral mastectomy has been shown to reduce risk by at least 90% in mutation carriers, and salipingo-oophorectomy is likely to reduce the risk of ovarian cancer by 90% risk and of breast cancer by roughly 50% </w:t>
      </w:r>
      <w:r w:rsidRPr="008B2F8A">
        <w:rPr>
          <w:noProof/>
        </w:rPr>
        <w:t>(</w:t>
      </w:r>
      <w:bookmarkStart w:id="279" w:name="OLE_LINK632"/>
      <w:bookmarkStart w:id="280" w:name="OLE_LINK633"/>
      <w:r w:rsidRPr="008B2F8A">
        <w:rPr>
          <w:noProof/>
        </w:rPr>
        <w:t>Guillem et al, 2006</w:t>
      </w:r>
      <w:bookmarkEnd w:id="279"/>
      <w:bookmarkEnd w:id="280"/>
      <w:r w:rsidRPr="008B2F8A">
        <w:rPr>
          <w:noProof/>
        </w:rPr>
        <w:t>)</w:t>
      </w:r>
      <w:r w:rsidRPr="008B2F8A">
        <w:t>.</w:t>
      </w:r>
    </w:p>
    <w:p w14:paraId="3A9C9795" w14:textId="77777777" w:rsidR="00E47AB8" w:rsidRPr="008B2F8A" w:rsidRDefault="00E47AB8" w:rsidP="00E47AB8">
      <w:pPr>
        <w:pStyle w:val="Heading4"/>
        <w:numPr>
          <w:ilvl w:val="3"/>
          <w:numId w:val="10"/>
        </w:numPr>
      </w:pPr>
      <w:r w:rsidRPr="008B2F8A">
        <w:t>Chemoprevention</w:t>
      </w:r>
    </w:p>
    <w:p w14:paraId="24700C87" w14:textId="3C14CFC4" w:rsidR="00E47AB8" w:rsidRPr="008B2F8A" w:rsidRDefault="00E47AB8" w:rsidP="00422306">
      <w:r w:rsidRPr="008B2F8A">
        <w:t>Selective oestrogen receptor modulators, such as tamoxifen, reduce breast cancer risk by ~40% (</w:t>
      </w:r>
      <w:bookmarkStart w:id="281" w:name="OLE_LINK634"/>
      <w:bookmarkStart w:id="282" w:name="OLE_LINK635"/>
      <w:r w:rsidRPr="008B2F8A">
        <w:rPr>
          <w:noProof/>
        </w:rPr>
        <w:t>Cuzick et al, 2003, 2007</w:t>
      </w:r>
      <w:r w:rsidRPr="008B2F8A">
        <w:t xml:space="preserve">; </w:t>
      </w:r>
      <w:r w:rsidRPr="008B2F8A">
        <w:rPr>
          <w:noProof/>
        </w:rPr>
        <w:t>Fisher et al, 2005</w:t>
      </w:r>
      <w:r w:rsidRPr="008B2F8A">
        <w:t xml:space="preserve">; </w:t>
      </w:r>
      <w:r w:rsidRPr="008B2F8A">
        <w:rPr>
          <w:noProof/>
        </w:rPr>
        <w:t>Veronesi et al, 2007</w:t>
      </w:r>
      <w:r w:rsidRPr="008B2F8A">
        <w:t xml:space="preserve">; </w:t>
      </w:r>
      <w:r w:rsidRPr="008B2F8A">
        <w:rPr>
          <w:noProof/>
        </w:rPr>
        <w:t>Powles et al, 2007</w:t>
      </w:r>
      <w:bookmarkEnd w:id="281"/>
      <w:bookmarkEnd w:id="282"/>
      <w:r w:rsidRPr="008B2F8A">
        <w:t xml:space="preserve">). </w:t>
      </w:r>
      <w:bookmarkStart w:id="283" w:name="OLE_LINK41"/>
      <w:r w:rsidRPr="008B2F8A">
        <w:t xml:space="preserve">Tamoxifen’s </w:t>
      </w:r>
      <w:bookmarkEnd w:id="283"/>
      <w:r w:rsidRPr="008B2F8A">
        <w:t xml:space="preserve">preventive effect is sustained for 10 years (ie, 5 years of tamoxifen administration </w:t>
      </w:r>
      <w:r>
        <w:t>+</w:t>
      </w:r>
      <w:r w:rsidRPr="008B2F8A">
        <w:t xml:space="preserve"> 5 years after) </w:t>
      </w:r>
      <w:r w:rsidRPr="008B2F8A">
        <w:rPr>
          <w:noProof/>
        </w:rPr>
        <w:t>(Cuzick et al, 2007)</w:t>
      </w:r>
      <w:r w:rsidRPr="008B2F8A">
        <w:t xml:space="preserve">. In a recent cohort study, tamoxifen was also found to reduce the risk of contralateral breast cancer in women who have a previous history of breast cancer and are </w:t>
      </w:r>
      <w:r w:rsidRPr="008B2F8A">
        <w:rPr>
          <w:i/>
        </w:rPr>
        <w:t>BRCA1</w:t>
      </w:r>
      <w:r w:rsidRPr="008B2F8A">
        <w:t>/</w:t>
      </w:r>
      <w:r w:rsidRPr="008B2F8A">
        <w:rPr>
          <w:i/>
        </w:rPr>
        <w:t>BRCA2</w:t>
      </w:r>
      <w:r w:rsidRPr="008B2F8A">
        <w:t xml:space="preserve"> mutation carriers </w:t>
      </w:r>
      <w:r w:rsidRPr="008B2F8A">
        <w:rPr>
          <w:noProof/>
        </w:rPr>
        <w:t>(</w:t>
      </w:r>
      <w:bookmarkStart w:id="284" w:name="OLE_LINK636"/>
      <w:r w:rsidRPr="008B2F8A">
        <w:rPr>
          <w:noProof/>
        </w:rPr>
        <w:t>Phillips et al, 2013</w:t>
      </w:r>
      <w:bookmarkEnd w:id="284"/>
      <w:r w:rsidRPr="008B2F8A">
        <w:rPr>
          <w:noProof/>
        </w:rPr>
        <w:t>)</w:t>
      </w:r>
      <w:r w:rsidRPr="008B2F8A">
        <w:t>.</w:t>
      </w:r>
    </w:p>
    <w:p w14:paraId="799D6DA8" w14:textId="77777777" w:rsidR="00E47AB8" w:rsidRPr="008B2F8A" w:rsidRDefault="00E47AB8" w:rsidP="00E47AB8">
      <w:pPr>
        <w:pStyle w:val="Heading4"/>
        <w:numPr>
          <w:ilvl w:val="3"/>
          <w:numId w:val="10"/>
        </w:numPr>
      </w:pPr>
      <w:r w:rsidRPr="008B2F8A">
        <w:t>Screening</w:t>
      </w:r>
    </w:p>
    <w:p w14:paraId="2784C556" w14:textId="77777777" w:rsidR="00E47AB8" w:rsidRPr="008B2F8A" w:rsidRDefault="00E47AB8" w:rsidP="00422306">
      <w:pPr>
        <w:rPr>
          <w:lang w:eastAsia="en-AU"/>
        </w:rPr>
      </w:pPr>
      <w:r w:rsidRPr="008B2F8A">
        <w:rPr>
          <w:lang w:eastAsia="en-AU"/>
        </w:rPr>
        <w:t>Intensified screening is advised for women at high risk of breast cancer who do not choose to undergo prophylactic mastectomy. The strategies are outlined below.</w:t>
      </w:r>
    </w:p>
    <w:p w14:paraId="2B933F19" w14:textId="77777777" w:rsidR="00E47AB8" w:rsidRPr="007E60B7" w:rsidRDefault="00E47AB8" w:rsidP="00422306">
      <w:pPr>
        <w:pStyle w:val="Heading5"/>
        <w:numPr>
          <w:ilvl w:val="0"/>
          <w:numId w:val="0"/>
        </w:numPr>
        <w:rPr>
          <w:rFonts w:asciiTheme="majorHAnsi" w:hAnsiTheme="majorHAnsi"/>
        </w:rPr>
      </w:pPr>
      <w:r w:rsidRPr="007E60B7">
        <w:rPr>
          <w:rFonts w:asciiTheme="majorHAnsi" w:hAnsiTheme="majorHAnsi"/>
        </w:rPr>
        <w:t>Clinical breast examination</w:t>
      </w:r>
    </w:p>
    <w:p w14:paraId="4AE8672A" w14:textId="7A4E253B" w:rsidR="00E47AB8" w:rsidRPr="008B2F8A" w:rsidRDefault="00E47AB8" w:rsidP="00422306">
      <w:r w:rsidRPr="008B2F8A">
        <w:t>Randomised controlled trials have shown that breast self-examination or clinical breast examination (CBE) by a trained health professional has a relatively low sensitivity both in population screening and in high-risk groups (</w:t>
      </w:r>
      <w:bookmarkStart w:id="285" w:name="OLE_LINK637"/>
      <w:bookmarkStart w:id="286" w:name="OLE_LINK638"/>
      <w:r w:rsidRPr="008B2F8A">
        <w:rPr>
          <w:noProof/>
        </w:rPr>
        <w:t>Bobo et al, 2000</w:t>
      </w:r>
      <w:r w:rsidRPr="008B2F8A">
        <w:t xml:space="preserve">; </w:t>
      </w:r>
      <w:r w:rsidRPr="008B2F8A">
        <w:rPr>
          <w:noProof/>
        </w:rPr>
        <w:t>Kolb et al, 2002</w:t>
      </w:r>
      <w:bookmarkEnd w:id="285"/>
      <w:bookmarkEnd w:id="286"/>
      <w:r w:rsidRPr="008B2F8A">
        <w:t xml:space="preserve">). In addition, no mortality benefit has been reported </w:t>
      </w:r>
      <w:r w:rsidRPr="008B2F8A">
        <w:rPr>
          <w:noProof/>
          <w:color w:val="000000"/>
        </w:rPr>
        <w:t>(</w:t>
      </w:r>
      <w:bookmarkStart w:id="287" w:name="OLE_LINK639"/>
      <w:bookmarkStart w:id="288" w:name="OLE_LINK640"/>
      <w:r w:rsidRPr="008B2F8A">
        <w:rPr>
          <w:noProof/>
          <w:color w:val="000000"/>
        </w:rPr>
        <w:t>Kösters &amp; Gøtzsche, 2008</w:t>
      </w:r>
      <w:bookmarkEnd w:id="287"/>
      <w:bookmarkEnd w:id="288"/>
      <w:r w:rsidRPr="008B2F8A">
        <w:rPr>
          <w:noProof/>
          <w:color w:val="000000"/>
        </w:rPr>
        <w:t>)</w:t>
      </w:r>
      <w:r w:rsidRPr="008B2F8A">
        <w:t>.</w:t>
      </w:r>
    </w:p>
    <w:p w14:paraId="50CAA23B" w14:textId="77777777" w:rsidR="00E47AB8" w:rsidRPr="007E60B7" w:rsidRDefault="00E47AB8" w:rsidP="00422306">
      <w:pPr>
        <w:pStyle w:val="Heading5"/>
        <w:numPr>
          <w:ilvl w:val="0"/>
          <w:numId w:val="0"/>
        </w:numPr>
        <w:rPr>
          <w:rFonts w:asciiTheme="majorHAnsi" w:hAnsiTheme="majorHAnsi"/>
        </w:rPr>
      </w:pPr>
      <w:r w:rsidRPr="007E60B7">
        <w:rPr>
          <w:rFonts w:asciiTheme="majorHAnsi" w:hAnsiTheme="majorHAnsi"/>
        </w:rPr>
        <w:lastRenderedPageBreak/>
        <w:t>Mammography</w:t>
      </w:r>
    </w:p>
    <w:p w14:paraId="08BE8176" w14:textId="66EB4BB7" w:rsidR="00E47AB8" w:rsidRPr="008B2F8A" w:rsidRDefault="00E47AB8" w:rsidP="00422306">
      <w:pPr>
        <w:rPr>
          <w:rFonts w:cs="Garamond"/>
          <w:lang w:eastAsia="en-AU"/>
        </w:rPr>
      </w:pPr>
      <w:r w:rsidRPr="008B2F8A">
        <w:rPr>
          <w:lang w:eastAsia="en-AU"/>
        </w:rPr>
        <w:t xml:space="preserve">Participation in the population-based BreastScreen Australia mammography program is recommended for women aged 50 to 69 years, but women aged 40 years or above are also eligible </w:t>
      </w:r>
      <w:r w:rsidRPr="008B2F8A">
        <w:rPr>
          <w:noProof/>
          <w:lang w:eastAsia="en-AU"/>
        </w:rPr>
        <w:t>(AIHW, 2012a)</w:t>
      </w:r>
      <w:r w:rsidRPr="008B2F8A">
        <w:rPr>
          <w:lang w:eastAsia="en-AU"/>
        </w:rPr>
        <w:t xml:space="preserve">. Screening mammography is less effective in women under 50 years, as it may lead to more investigations and missed breast cancers (false-negative results) owing to its lower sensitivity in this age group </w:t>
      </w:r>
      <w:r w:rsidRPr="008B2F8A">
        <w:rPr>
          <w:noProof/>
          <w:lang w:eastAsia="en-AU"/>
        </w:rPr>
        <w:t>(</w:t>
      </w:r>
      <w:bookmarkStart w:id="289" w:name="OLE_LINK641"/>
      <w:bookmarkStart w:id="290" w:name="OLE_LINK642"/>
      <w:r w:rsidRPr="008B2F8A">
        <w:rPr>
          <w:noProof/>
          <w:lang w:eastAsia="en-AU"/>
        </w:rPr>
        <w:t>Irwig et al, 1997</w:t>
      </w:r>
      <w:bookmarkEnd w:id="289"/>
      <w:bookmarkEnd w:id="290"/>
      <w:r w:rsidRPr="008B2F8A">
        <w:rPr>
          <w:noProof/>
          <w:lang w:eastAsia="en-AU"/>
        </w:rPr>
        <w:t>)</w:t>
      </w:r>
      <w:r w:rsidRPr="008B2F8A">
        <w:rPr>
          <w:lang w:eastAsia="en-AU"/>
        </w:rPr>
        <w:t>.</w:t>
      </w:r>
    </w:p>
    <w:p w14:paraId="0F793F0C" w14:textId="02CB1434" w:rsidR="00E47AB8" w:rsidRPr="008B2F8A" w:rsidRDefault="00E47AB8" w:rsidP="00422306">
      <w:pPr>
        <w:rPr>
          <w:lang w:eastAsia="en-AU"/>
        </w:rPr>
      </w:pPr>
      <w:r w:rsidRPr="008B2F8A">
        <w:rPr>
          <w:lang w:eastAsia="en-AU"/>
        </w:rPr>
        <w:t xml:space="preserve">Mammography is the only breast screening test to be evaluated by randomised controlled trials. Systematic reviews of these trials have reported that mammography reduces breast cancer mortality, but the extent of this effect remains controversial </w:t>
      </w:r>
      <w:r w:rsidRPr="008B2F8A">
        <w:rPr>
          <w:noProof/>
          <w:lang w:eastAsia="en-AU"/>
        </w:rPr>
        <w:t>(</w:t>
      </w:r>
      <w:bookmarkStart w:id="291" w:name="OLE_LINK643"/>
      <w:bookmarkStart w:id="292" w:name="OLE_LINK644"/>
      <w:r w:rsidRPr="008B2F8A">
        <w:rPr>
          <w:noProof/>
          <w:lang w:eastAsia="en-AU"/>
        </w:rPr>
        <w:t>Gøtzsche &amp; Jorgensen, 2013</w:t>
      </w:r>
      <w:bookmarkEnd w:id="291"/>
      <w:bookmarkEnd w:id="292"/>
      <w:r w:rsidRPr="008B2F8A">
        <w:rPr>
          <w:noProof/>
          <w:lang w:eastAsia="en-AU"/>
        </w:rPr>
        <w:t>)</w:t>
      </w:r>
      <w:r w:rsidRPr="008B2F8A">
        <w:rPr>
          <w:lang w:eastAsia="en-AU"/>
        </w:rPr>
        <w:t>. Patient, tumour and technical factors have been shown to influence its sensitivity. Technical factors, such as the quality of the mammogram film and reader interpretation, may also influence sensitivity.</w:t>
      </w:r>
    </w:p>
    <w:p w14:paraId="39746529" w14:textId="77777777" w:rsidR="00E47AB8" w:rsidRPr="007E60B7" w:rsidRDefault="00E47AB8" w:rsidP="00422306">
      <w:pPr>
        <w:pStyle w:val="Heading5"/>
        <w:numPr>
          <w:ilvl w:val="0"/>
          <w:numId w:val="0"/>
        </w:numPr>
        <w:rPr>
          <w:rFonts w:asciiTheme="majorHAnsi" w:hAnsiTheme="majorHAnsi"/>
        </w:rPr>
      </w:pPr>
      <w:r w:rsidRPr="007E60B7">
        <w:rPr>
          <w:rFonts w:asciiTheme="majorHAnsi" w:hAnsiTheme="majorHAnsi"/>
        </w:rPr>
        <w:t>Ultrasound</w:t>
      </w:r>
    </w:p>
    <w:p w14:paraId="41599968" w14:textId="7CCC554E" w:rsidR="00E47AB8" w:rsidRPr="008B2F8A" w:rsidRDefault="00E47AB8" w:rsidP="00422306">
      <w:pPr>
        <w:rPr>
          <w:rFonts w:cs="Tahoma"/>
          <w:b/>
          <w:i/>
        </w:rPr>
      </w:pPr>
      <w:r w:rsidRPr="008B2F8A">
        <w:rPr>
          <w:lang w:eastAsia="en-AU"/>
        </w:rPr>
        <w:t xml:space="preserve">Breast ultrasound is commonly used to complement mammography, particularly in the investigation of breast symptoms in women younger than 35 years of age and in women who are pregnant or lactating </w:t>
      </w:r>
      <w:r w:rsidRPr="008B2F8A">
        <w:rPr>
          <w:noProof/>
          <w:lang w:eastAsia="en-AU"/>
        </w:rPr>
        <w:t>(</w:t>
      </w:r>
      <w:bookmarkStart w:id="293" w:name="OLE_LINK294"/>
      <w:bookmarkStart w:id="294" w:name="OLE_LINK295"/>
      <w:bookmarkStart w:id="295" w:name="OLE_LINK645"/>
      <w:bookmarkStart w:id="296" w:name="OLE_LINK646"/>
      <w:r w:rsidRPr="008B2F8A">
        <w:rPr>
          <w:noProof/>
          <w:lang w:eastAsia="en-AU"/>
        </w:rPr>
        <w:t>NBCC</w:t>
      </w:r>
      <w:bookmarkEnd w:id="293"/>
      <w:bookmarkEnd w:id="294"/>
      <w:r w:rsidRPr="008B2F8A">
        <w:rPr>
          <w:noProof/>
          <w:lang w:eastAsia="en-AU"/>
        </w:rPr>
        <w:t>, 2002</w:t>
      </w:r>
      <w:bookmarkEnd w:id="295"/>
      <w:bookmarkEnd w:id="296"/>
      <w:r w:rsidRPr="008B2F8A">
        <w:rPr>
          <w:noProof/>
          <w:lang w:eastAsia="en-AU"/>
        </w:rPr>
        <w:t>)</w:t>
      </w:r>
      <w:r w:rsidRPr="008B2F8A">
        <w:rPr>
          <w:lang w:eastAsia="en-AU"/>
        </w:rPr>
        <w:t xml:space="preserve">. Ultrasound is also used to evaluate palpable lesions not seen on mammography, to detect an associated underlying mass, to evaluate breast implants and to guide the biopsy or surgical excision of breast tumours </w:t>
      </w:r>
      <w:r w:rsidRPr="008B2F8A">
        <w:rPr>
          <w:noProof/>
          <w:lang w:eastAsia="en-AU"/>
        </w:rPr>
        <w:t>(NBCC, 2002)</w:t>
      </w:r>
      <w:r w:rsidRPr="008B2F8A">
        <w:rPr>
          <w:lang w:eastAsia="en-AU"/>
        </w:rPr>
        <w:t xml:space="preserve">. A systematic review of the accuracy of screening tests for breast cancer identified evidence that ultrasound increases the sensitivity of mammography in detecting cancers in women with mammographically dense breasts and those assessed as at high risk of breast cancer, but also results in an increase in the rate of false-positive findings </w:t>
      </w:r>
      <w:r w:rsidRPr="008B2F8A">
        <w:rPr>
          <w:noProof/>
          <w:lang w:eastAsia="en-AU"/>
        </w:rPr>
        <w:t>(</w:t>
      </w:r>
      <w:bookmarkStart w:id="297" w:name="OLE_LINK647"/>
      <w:bookmarkStart w:id="298" w:name="OLE_LINK648"/>
      <w:r w:rsidRPr="008B2F8A">
        <w:rPr>
          <w:noProof/>
          <w:lang w:eastAsia="en-AU"/>
        </w:rPr>
        <w:t>Irwig et al, 2004</w:t>
      </w:r>
      <w:bookmarkEnd w:id="297"/>
      <w:bookmarkEnd w:id="298"/>
      <w:r w:rsidRPr="008B2F8A">
        <w:rPr>
          <w:noProof/>
          <w:lang w:eastAsia="en-AU"/>
        </w:rPr>
        <w:t>)</w:t>
      </w:r>
      <w:r w:rsidRPr="008B2F8A">
        <w:rPr>
          <w:lang w:eastAsia="en-AU"/>
        </w:rPr>
        <w:t>.</w:t>
      </w:r>
    </w:p>
    <w:p w14:paraId="255EF783" w14:textId="23E2276E" w:rsidR="00E47AB8" w:rsidRPr="008B2F8A" w:rsidRDefault="00E47AB8" w:rsidP="00E47AB8">
      <w:pPr>
        <w:pStyle w:val="Heading3"/>
        <w:numPr>
          <w:ilvl w:val="2"/>
          <w:numId w:val="10"/>
        </w:numPr>
      </w:pPr>
      <w:bookmarkStart w:id="299" w:name="_Toc383424427"/>
      <w:r w:rsidRPr="008B2F8A">
        <w:t>Items in the Decision-Analytic Protocol</w:t>
      </w:r>
      <w:bookmarkEnd w:id="299"/>
    </w:p>
    <w:p w14:paraId="474A1011" w14:textId="78A1DFCF" w:rsidR="00E47AB8" w:rsidRPr="008B2F8A" w:rsidRDefault="00E47AB8" w:rsidP="00422306">
      <w:r w:rsidRPr="008B2F8A">
        <w:t>The Final Decision-Analytic Protocol (</w:t>
      </w:r>
      <w:bookmarkStart w:id="300" w:name="OLE_LINK259"/>
      <w:bookmarkStart w:id="301" w:name="OLE_LINK260"/>
      <w:r w:rsidRPr="008B2F8A">
        <w:t>DAP</w:t>
      </w:r>
      <w:bookmarkEnd w:id="300"/>
      <w:bookmarkEnd w:id="301"/>
      <w:r w:rsidRPr="008B2F8A">
        <w:t>) for the current application, available on the MSAC website</w:t>
      </w:r>
      <w:r w:rsidR="00F8078D">
        <w:t xml:space="preserve"> (</w:t>
      </w:r>
      <w:hyperlink r:id="rId18" w:tooltip="Link to Final Decision Analytic Protocol Application 1098.1" w:history="1">
        <w:r w:rsidR="00F8078D" w:rsidRPr="00F8078D">
          <w:rPr>
            <w:rStyle w:val="Hyperlink"/>
            <w:rFonts w:ascii="Calibri" w:hAnsi="Calibri"/>
          </w:rPr>
          <w:t>www.msac.gov.au/internet/msac/publishing.nsf/Content/app1098.1-1</w:t>
        </w:r>
      </w:hyperlink>
      <w:r w:rsidR="00F8078D">
        <w:t>)</w:t>
      </w:r>
      <w:r w:rsidRPr="008B2F8A">
        <w:t xml:space="preserve">, </w:t>
      </w:r>
      <w:r w:rsidRPr="007C6E89">
        <w:t>outlines the</w:t>
      </w:r>
      <w:r w:rsidRPr="008B2F8A">
        <w:t xml:space="preserve"> questions to be answered in this assessment report. </w:t>
      </w:r>
      <w:r w:rsidRPr="008B2F8A">
        <w:fldChar w:fldCharType="begin"/>
      </w:r>
      <w:r w:rsidRPr="008B2F8A">
        <w:instrText xml:space="preserve"> REF _Ref368495066 \h </w:instrText>
      </w:r>
      <w:r w:rsidRPr="008B2F8A">
        <w:fldChar w:fldCharType="separate"/>
      </w:r>
      <w:r w:rsidR="00B81273" w:rsidRPr="008B2F8A">
        <w:t xml:space="preserve">Table </w:t>
      </w:r>
      <w:r w:rsidR="00B81273">
        <w:rPr>
          <w:noProof/>
        </w:rPr>
        <w:t>A</w:t>
      </w:r>
      <w:r w:rsidR="00B81273" w:rsidRPr="008B2F8A">
        <w:t>.</w:t>
      </w:r>
      <w:r w:rsidR="00B81273">
        <w:rPr>
          <w:noProof/>
        </w:rPr>
        <w:t>3</w:t>
      </w:r>
      <w:r w:rsidRPr="008B2F8A">
        <w:fldChar w:fldCharType="end"/>
      </w:r>
      <w:r w:rsidRPr="008B2F8A">
        <w:t xml:space="preserve"> summarizes how this assessment conforms to the Final DAP and any differences or changes that have occurred.</w:t>
      </w:r>
    </w:p>
    <w:p w14:paraId="7F572DD8" w14:textId="5B788BD4" w:rsidR="00E47AB8" w:rsidRPr="008B2F8A" w:rsidRDefault="00E47AB8" w:rsidP="00422306">
      <w:pPr>
        <w:pStyle w:val="Caption"/>
      </w:pPr>
      <w:bookmarkStart w:id="302" w:name="_Ref368495066"/>
      <w:bookmarkStart w:id="303" w:name="_Toc383424559"/>
      <w:r w:rsidRPr="008B2F8A">
        <w:t xml:space="preserve">Table </w:t>
      </w:r>
      <w:fldSimple w:instr=" STYLEREF 1 \s ">
        <w:r w:rsidR="00B81273">
          <w:rPr>
            <w:noProof/>
          </w:rPr>
          <w:t>A</w:t>
        </w:r>
      </w:fldSimple>
      <w:r w:rsidRPr="008B2F8A">
        <w:t>.</w:t>
      </w:r>
      <w:fldSimple w:instr=" SEQ Table \* ARABIC \s 1 ">
        <w:r w:rsidR="00B81273">
          <w:rPr>
            <w:noProof/>
          </w:rPr>
          <w:t>3</w:t>
        </w:r>
      </w:fldSimple>
      <w:bookmarkStart w:id="304" w:name="_Toc355274700"/>
      <w:bookmarkEnd w:id="302"/>
      <w:r w:rsidRPr="008B2F8A">
        <w:tab/>
      </w:r>
      <w:bookmarkStart w:id="305" w:name="OLE_LINK964"/>
      <w:bookmarkStart w:id="306" w:name="OLE_LINK965"/>
      <w:r w:rsidRPr="008B2F8A">
        <w:t>Checklist against the Final Decision-Analytic Protocol (DAP) for Application 1098.1</w:t>
      </w:r>
      <w:bookmarkEnd w:id="304"/>
      <w:bookmarkEnd w:id="305"/>
      <w:bookmarkEnd w:id="306"/>
      <w:r w:rsidRPr="008B2F8A">
        <w:t>.</w:t>
      </w:r>
      <w:bookmarkEnd w:id="303"/>
    </w:p>
    <w:tbl>
      <w:tblPr>
        <w:tblStyle w:val="TableGrid"/>
        <w:tblW w:w="9070" w:type="dxa"/>
        <w:tblCellMar>
          <w:left w:w="28" w:type="dxa"/>
          <w:right w:w="28" w:type="dxa"/>
        </w:tblCellMar>
        <w:tblLook w:val="04A0" w:firstRow="1" w:lastRow="0" w:firstColumn="1" w:lastColumn="0" w:noHBand="0" w:noVBand="1"/>
        <w:tblCaption w:val="Checklist against the Final Decision-Analytic Protocol (DAP) for Application 1098.1"/>
      </w:tblPr>
      <w:tblGrid>
        <w:gridCol w:w="3862"/>
        <w:gridCol w:w="1704"/>
        <w:gridCol w:w="3504"/>
      </w:tblGrid>
      <w:tr w:rsidR="00E47AB8" w:rsidRPr="008B2F8A" w14:paraId="6B8DBAA2" w14:textId="77777777" w:rsidTr="00422306">
        <w:trPr>
          <w:cantSplit/>
          <w:tblHeader/>
        </w:trPr>
        <w:tc>
          <w:tcPr>
            <w:tcW w:w="3862" w:type="dxa"/>
            <w:vAlign w:val="bottom"/>
          </w:tcPr>
          <w:p w14:paraId="4E86B739" w14:textId="3A99275F" w:rsidR="00E47AB8" w:rsidRPr="008B2F8A" w:rsidRDefault="00E47AB8" w:rsidP="00422306">
            <w:pPr>
              <w:pStyle w:val="Tableheaderrow"/>
              <w:spacing w:before="40" w:after="80" w:line="276" w:lineRule="auto"/>
            </w:pPr>
            <w:r w:rsidRPr="008B2F8A">
              <w:t>Items in the PASC-approved Decision-Analytic Protocol</w:t>
            </w:r>
          </w:p>
        </w:tc>
        <w:tc>
          <w:tcPr>
            <w:tcW w:w="1704" w:type="dxa"/>
            <w:vAlign w:val="bottom"/>
          </w:tcPr>
          <w:p w14:paraId="212FD402" w14:textId="77777777" w:rsidR="00E47AB8" w:rsidRPr="008B2F8A" w:rsidRDefault="00E47AB8" w:rsidP="00422306">
            <w:pPr>
              <w:pStyle w:val="Tableheaderrow"/>
              <w:spacing w:before="40" w:after="80" w:line="276" w:lineRule="auto"/>
            </w:pPr>
            <w:r w:rsidRPr="008B2F8A">
              <w:t>Addressed in the assessment report</w:t>
            </w:r>
          </w:p>
        </w:tc>
        <w:tc>
          <w:tcPr>
            <w:tcW w:w="3504" w:type="dxa"/>
            <w:vAlign w:val="bottom"/>
          </w:tcPr>
          <w:p w14:paraId="42E52373" w14:textId="20884746" w:rsidR="00E47AB8" w:rsidRPr="008B2F8A" w:rsidRDefault="00E47AB8" w:rsidP="00422306">
            <w:pPr>
              <w:pStyle w:val="Tableheaderrow"/>
              <w:spacing w:before="40" w:after="80" w:line="276" w:lineRule="auto"/>
            </w:pPr>
            <w:r w:rsidRPr="008B2F8A">
              <w:t>Reason or justification if not addressed</w:t>
            </w:r>
          </w:p>
        </w:tc>
      </w:tr>
      <w:tr w:rsidR="00E47AB8" w:rsidRPr="008B2F8A" w14:paraId="54EED8E9" w14:textId="77777777" w:rsidTr="00422306">
        <w:trPr>
          <w:cantSplit/>
        </w:trPr>
        <w:tc>
          <w:tcPr>
            <w:tcW w:w="3862" w:type="dxa"/>
          </w:tcPr>
          <w:p w14:paraId="373DBA1C" w14:textId="77777777" w:rsidR="00E47AB8" w:rsidRPr="008B2F8A" w:rsidRDefault="00E47AB8" w:rsidP="00422306">
            <w:pPr>
              <w:pStyle w:val="Tabletext"/>
              <w:spacing w:before="40" w:after="80" w:line="276" w:lineRule="auto"/>
            </w:pPr>
            <w:r w:rsidRPr="008B2F8A">
              <w:t>Details of the proposed intervention</w:t>
            </w:r>
          </w:p>
        </w:tc>
        <w:tc>
          <w:tcPr>
            <w:tcW w:w="1704" w:type="dxa"/>
          </w:tcPr>
          <w:p w14:paraId="56199551" w14:textId="77777777" w:rsidR="00E47AB8" w:rsidRPr="008B2F8A" w:rsidRDefault="00E47AB8" w:rsidP="00422306">
            <w:pPr>
              <w:pStyle w:val="Tabletext"/>
              <w:spacing w:before="40" w:after="80" w:line="276" w:lineRule="auto"/>
            </w:pPr>
            <w:r w:rsidRPr="008B2F8A">
              <w:t>Yes</w:t>
            </w:r>
          </w:p>
        </w:tc>
        <w:tc>
          <w:tcPr>
            <w:tcW w:w="3504" w:type="dxa"/>
          </w:tcPr>
          <w:p w14:paraId="2E8239C4" w14:textId="77777777" w:rsidR="00E47AB8" w:rsidRPr="008B2F8A" w:rsidRDefault="00E47AB8" w:rsidP="00422306">
            <w:pPr>
              <w:pStyle w:val="Tabletext"/>
              <w:spacing w:before="40" w:after="80" w:line="276" w:lineRule="auto"/>
            </w:pPr>
            <w:r w:rsidRPr="008B2F8A">
              <w:t>N/A</w:t>
            </w:r>
          </w:p>
        </w:tc>
      </w:tr>
      <w:tr w:rsidR="00E47AB8" w:rsidRPr="008B2F8A" w14:paraId="1ADDD4A0" w14:textId="77777777" w:rsidTr="00422306">
        <w:trPr>
          <w:cantSplit/>
        </w:trPr>
        <w:tc>
          <w:tcPr>
            <w:tcW w:w="3862" w:type="dxa"/>
          </w:tcPr>
          <w:p w14:paraId="6A045223" w14:textId="04EFFBE7" w:rsidR="00E47AB8" w:rsidRPr="008B2F8A" w:rsidRDefault="00E47AB8" w:rsidP="00422306">
            <w:pPr>
              <w:pStyle w:val="Tabletext"/>
              <w:spacing w:before="40" w:after="80" w:line="276" w:lineRule="auto"/>
            </w:pPr>
            <w:r w:rsidRPr="008B2F8A">
              <w:t>Interim-funded MBS items and proposed MBS listing for new high-risk patient populations</w:t>
            </w:r>
          </w:p>
        </w:tc>
        <w:tc>
          <w:tcPr>
            <w:tcW w:w="1704" w:type="dxa"/>
          </w:tcPr>
          <w:p w14:paraId="42CFED58" w14:textId="77777777" w:rsidR="00E47AB8" w:rsidRPr="008B2F8A" w:rsidRDefault="00E47AB8" w:rsidP="00422306">
            <w:pPr>
              <w:pStyle w:val="Tabletext"/>
              <w:spacing w:before="40" w:after="80" w:line="276" w:lineRule="auto"/>
            </w:pPr>
            <w:r w:rsidRPr="008B2F8A">
              <w:t>Yes</w:t>
            </w:r>
          </w:p>
        </w:tc>
        <w:tc>
          <w:tcPr>
            <w:tcW w:w="3504" w:type="dxa"/>
          </w:tcPr>
          <w:p w14:paraId="3DD120A3" w14:textId="77777777" w:rsidR="00E47AB8" w:rsidRPr="008B2F8A" w:rsidRDefault="00E47AB8" w:rsidP="00422306">
            <w:pPr>
              <w:pStyle w:val="Tabletext"/>
              <w:spacing w:before="40" w:after="80" w:line="276" w:lineRule="auto"/>
            </w:pPr>
            <w:r w:rsidRPr="008B2F8A">
              <w:t>N/A</w:t>
            </w:r>
          </w:p>
        </w:tc>
      </w:tr>
      <w:tr w:rsidR="00E47AB8" w:rsidRPr="008B2F8A" w14:paraId="31A59E81" w14:textId="77777777" w:rsidTr="00422306">
        <w:trPr>
          <w:cantSplit/>
        </w:trPr>
        <w:tc>
          <w:tcPr>
            <w:tcW w:w="3862" w:type="dxa"/>
          </w:tcPr>
          <w:p w14:paraId="4B32B592" w14:textId="77777777" w:rsidR="00E47AB8" w:rsidRPr="008B2F8A" w:rsidRDefault="00E47AB8" w:rsidP="00422306">
            <w:pPr>
              <w:pStyle w:val="Tabletext"/>
              <w:spacing w:before="40" w:after="80" w:line="276" w:lineRule="auto"/>
            </w:pPr>
            <w:r w:rsidRPr="008B2F8A">
              <w:t>Current place for proposed intervention and clinical algorithm with the proposed listing</w:t>
            </w:r>
          </w:p>
        </w:tc>
        <w:tc>
          <w:tcPr>
            <w:tcW w:w="1704" w:type="dxa"/>
          </w:tcPr>
          <w:p w14:paraId="736C8BC3" w14:textId="77777777" w:rsidR="00E47AB8" w:rsidRPr="008B2F8A" w:rsidRDefault="00E47AB8" w:rsidP="00422306">
            <w:pPr>
              <w:pStyle w:val="Tabletext"/>
              <w:spacing w:before="40" w:after="80" w:line="276" w:lineRule="auto"/>
            </w:pPr>
            <w:r w:rsidRPr="008B2F8A">
              <w:t>Yes</w:t>
            </w:r>
          </w:p>
        </w:tc>
        <w:tc>
          <w:tcPr>
            <w:tcW w:w="3504" w:type="dxa"/>
          </w:tcPr>
          <w:p w14:paraId="263A9CFF" w14:textId="77777777" w:rsidR="00E47AB8" w:rsidRPr="008B2F8A" w:rsidRDefault="00E47AB8" w:rsidP="00422306">
            <w:pPr>
              <w:pStyle w:val="Tabletext"/>
              <w:spacing w:before="40" w:after="80" w:line="276" w:lineRule="auto"/>
            </w:pPr>
            <w:r w:rsidRPr="008B2F8A">
              <w:t>N/A</w:t>
            </w:r>
          </w:p>
        </w:tc>
      </w:tr>
      <w:tr w:rsidR="00E47AB8" w:rsidRPr="008B2F8A" w14:paraId="3867C0B4" w14:textId="77777777" w:rsidTr="00422306">
        <w:trPr>
          <w:cantSplit/>
        </w:trPr>
        <w:tc>
          <w:tcPr>
            <w:tcW w:w="3862" w:type="dxa"/>
          </w:tcPr>
          <w:p w14:paraId="39BE99B9" w14:textId="77777777" w:rsidR="00E47AB8" w:rsidRPr="008B2F8A" w:rsidRDefault="00E47AB8" w:rsidP="00422306">
            <w:pPr>
              <w:pStyle w:val="Tabletext"/>
              <w:spacing w:before="40" w:after="80" w:line="276" w:lineRule="auto"/>
            </w:pPr>
            <w:r w:rsidRPr="008B2F8A">
              <w:t>Comparator</w:t>
            </w:r>
          </w:p>
        </w:tc>
        <w:tc>
          <w:tcPr>
            <w:tcW w:w="1704" w:type="dxa"/>
          </w:tcPr>
          <w:p w14:paraId="601C2665" w14:textId="77777777" w:rsidR="00E47AB8" w:rsidRPr="008B2F8A" w:rsidRDefault="00E47AB8" w:rsidP="00422306">
            <w:pPr>
              <w:pStyle w:val="Tabletext"/>
              <w:spacing w:before="40" w:after="80" w:line="276" w:lineRule="auto"/>
            </w:pPr>
            <w:r w:rsidRPr="008B2F8A">
              <w:t>Yes</w:t>
            </w:r>
          </w:p>
        </w:tc>
        <w:tc>
          <w:tcPr>
            <w:tcW w:w="3504" w:type="dxa"/>
          </w:tcPr>
          <w:p w14:paraId="32F9E8E1" w14:textId="77777777" w:rsidR="00E47AB8" w:rsidRPr="008B2F8A" w:rsidRDefault="00E47AB8" w:rsidP="00422306">
            <w:pPr>
              <w:pStyle w:val="Tabletext"/>
              <w:spacing w:before="40" w:after="80" w:line="276" w:lineRule="auto"/>
            </w:pPr>
            <w:r w:rsidRPr="008B2F8A">
              <w:t>N/A</w:t>
            </w:r>
          </w:p>
        </w:tc>
      </w:tr>
      <w:tr w:rsidR="00E47AB8" w:rsidRPr="008B2F8A" w14:paraId="39930DE4" w14:textId="77777777" w:rsidTr="00422306">
        <w:trPr>
          <w:cantSplit/>
        </w:trPr>
        <w:tc>
          <w:tcPr>
            <w:tcW w:w="3862" w:type="dxa"/>
          </w:tcPr>
          <w:p w14:paraId="7F587F5F" w14:textId="77777777" w:rsidR="00E47AB8" w:rsidRPr="008B2F8A" w:rsidRDefault="00E47AB8" w:rsidP="00422306">
            <w:pPr>
              <w:pStyle w:val="Tabletext"/>
              <w:spacing w:before="40" w:after="80" w:line="276" w:lineRule="auto"/>
            </w:pPr>
            <w:r w:rsidRPr="008B2F8A">
              <w:t>Comparative clinical effectiveness</w:t>
            </w:r>
          </w:p>
        </w:tc>
        <w:tc>
          <w:tcPr>
            <w:tcW w:w="1704" w:type="dxa"/>
          </w:tcPr>
          <w:p w14:paraId="011B5262" w14:textId="77777777" w:rsidR="00E47AB8" w:rsidRPr="008B2F8A" w:rsidRDefault="00E47AB8" w:rsidP="00422306">
            <w:pPr>
              <w:pStyle w:val="Tabletext"/>
              <w:spacing w:before="40" w:after="80" w:line="276" w:lineRule="auto"/>
            </w:pPr>
            <w:r w:rsidRPr="008B2F8A">
              <w:t>Yes</w:t>
            </w:r>
          </w:p>
        </w:tc>
        <w:tc>
          <w:tcPr>
            <w:tcW w:w="3504" w:type="dxa"/>
          </w:tcPr>
          <w:p w14:paraId="10341840" w14:textId="77777777" w:rsidR="00E47AB8" w:rsidRPr="008B2F8A" w:rsidRDefault="00E47AB8" w:rsidP="00422306">
            <w:pPr>
              <w:pStyle w:val="Tabletext"/>
              <w:spacing w:before="40" w:after="80" w:line="276" w:lineRule="auto"/>
            </w:pPr>
            <w:r w:rsidRPr="008B2F8A">
              <w:t>N/A</w:t>
            </w:r>
          </w:p>
        </w:tc>
      </w:tr>
      <w:tr w:rsidR="00E47AB8" w:rsidRPr="008B2F8A" w14:paraId="38B504AD" w14:textId="77777777" w:rsidTr="00422306">
        <w:trPr>
          <w:cantSplit/>
        </w:trPr>
        <w:tc>
          <w:tcPr>
            <w:tcW w:w="3862" w:type="dxa"/>
          </w:tcPr>
          <w:p w14:paraId="5988C379" w14:textId="77777777" w:rsidR="00E47AB8" w:rsidRPr="008B2F8A" w:rsidRDefault="00E47AB8" w:rsidP="00422306">
            <w:pPr>
              <w:pStyle w:val="Tabletext"/>
              <w:spacing w:before="40" w:after="80" w:line="276" w:lineRule="auto"/>
            </w:pPr>
            <w:r w:rsidRPr="008B2F8A">
              <w:t>Comparative safety</w:t>
            </w:r>
          </w:p>
        </w:tc>
        <w:tc>
          <w:tcPr>
            <w:tcW w:w="1704" w:type="dxa"/>
          </w:tcPr>
          <w:p w14:paraId="6EBFE0CE" w14:textId="77777777" w:rsidR="00E47AB8" w:rsidRPr="008B2F8A" w:rsidRDefault="00E47AB8" w:rsidP="00422306">
            <w:pPr>
              <w:pStyle w:val="Tabletext"/>
              <w:spacing w:before="40" w:after="80" w:line="276" w:lineRule="auto"/>
            </w:pPr>
            <w:r w:rsidRPr="008B2F8A">
              <w:t>Yes</w:t>
            </w:r>
          </w:p>
        </w:tc>
        <w:tc>
          <w:tcPr>
            <w:tcW w:w="3504" w:type="dxa"/>
          </w:tcPr>
          <w:p w14:paraId="52203599" w14:textId="77777777" w:rsidR="00E47AB8" w:rsidRPr="008B2F8A" w:rsidRDefault="00E47AB8" w:rsidP="00422306">
            <w:pPr>
              <w:pStyle w:val="Tabletext"/>
              <w:spacing w:before="40" w:after="80" w:line="276" w:lineRule="auto"/>
            </w:pPr>
            <w:r w:rsidRPr="008B2F8A">
              <w:t>N/A</w:t>
            </w:r>
          </w:p>
        </w:tc>
      </w:tr>
      <w:tr w:rsidR="00E47AB8" w:rsidRPr="008B2F8A" w14:paraId="5A99926B" w14:textId="77777777" w:rsidTr="00422306">
        <w:trPr>
          <w:cantSplit/>
        </w:trPr>
        <w:tc>
          <w:tcPr>
            <w:tcW w:w="3862" w:type="dxa"/>
          </w:tcPr>
          <w:p w14:paraId="13812F60" w14:textId="77777777" w:rsidR="00E47AB8" w:rsidRPr="008B2F8A" w:rsidRDefault="00E47AB8" w:rsidP="00422306">
            <w:pPr>
              <w:pStyle w:val="Tabletext"/>
              <w:spacing w:before="40" w:after="80" w:line="276" w:lineRule="auto"/>
            </w:pPr>
            <w:r w:rsidRPr="008B2F8A">
              <w:t>Comparative cost-effectiveness</w:t>
            </w:r>
          </w:p>
        </w:tc>
        <w:tc>
          <w:tcPr>
            <w:tcW w:w="1704" w:type="dxa"/>
          </w:tcPr>
          <w:p w14:paraId="5E033723" w14:textId="77777777" w:rsidR="00E47AB8" w:rsidRPr="008B2F8A" w:rsidRDefault="00E47AB8" w:rsidP="00422306">
            <w:pPr>
              <w:pStyle w:val="Tabletext"/>
              <w:spacing w:before="40" w:after="80" w:line="276" w:lineRule="auto"/>
            </w:pPr>
            <w:r w:rsidRPr="008B2F8A">
              <w:t>Yes</w:t>
            </w:r>
          </w:p>
        </w:tc>
        <w:tc>
          <w:tcPr>
            <w:tcW w:w="3504" w:type="dxa"/>
          </w:tcPr>
          <w:p w14:paraId="3C671B92" w14:textId="059F9261" w:rsidR="00E47AB8" w:rsidRPr="008B2F8A" w:rsidRDefault="00E47AB8" w:rsidP="00422306">
            <w:pPr>
              <w:pStyle w:val="Tabletext"/>
              <w:spacing w:before="40" w:after="80" w:line="276" w:lineRule="auto"/>
            </w:pPr>
            <w:r w:rsidRPr="008B2F8A">
              <w:t>The economic model does not incorporate the use of ultrasound, the inclusion of which is expected to reduce the incremental sensitivity of adding MRI to screening</w:t>
            </w:r>
          </w:p>
        </w:tc>
      </w:tr>
    </w:tbl>
    <w:p w14:paraId="5092FFAB" w14:textId="521EACB7" w:rsidR="00E47AB8" w:rsidRPr="008B2F8A" w:rsidRDefault="00E47AB8" w:rsidP="007E60B7">
      <w:pPr>
        <w:pStyle w:val="TableNotesLast"/>
      </w:pPr>
      <w:r w:rsidRPr="008B2F8A">
        <w:lastRenderedPageBreak/>
        <w:t>N/A = not applicable; PASC = Protocol Advisory Sub-committee; MBS = Medicare Benefits Schedule; MRI = magnetic resonance imaging.</w:t>
      </w:r>
    </w:p>
    <w:p w14:paraId="32671312" w14:textId="77777777" w:rsidR="00E47AB8" w:rsidRPr="008B2F8A" w:rsidRDefault="00E47AB8" w:rsidP="00E47AB8">
      <w:pPr>
        <w:pStyle w:val="Heading2"/>
        <w:numPr>
          <w:ilvl w:val="1"/>
          <w:numId w:val="10"/>
        </w:numPr>
        <w:rPr>
          <w:rFonts w:eastAsia="Tahoma"/>
        </w:rPr>
      </w:pPr>
      <w:bookmarkStart w:id="307" w:name="_Toc338143998"/>
      <w:bookmarkStart w:id="308" w:name="_Ref256069797"/>
      <w:bookmarkStart w:id="309" w:name="_Ref256069802"/>
      <w:bookmarkStart w:id="310" w:name="_Toc383424428"/>
      <w:r w:rsidRPr="008B2F8A">
        <w:t>Proposed medical service</w:t>
      </w:r>
      <w:bookmarkEnd w:id="307"/>
      <w:r w:rsidRPr="008B2F8A">
        <w:t>—MRI</w:t>
      </w:r>
      <w:bookmarkEnd w:id="308"/>
      <w:bookmarkEnd w:id="309"/>
      <w:bookmarkEnd w:id="310"/>
    </w:p>
    <w:p w14:paraId="37536C1C" w14:textId="77777777" w:rsidR="00E47AB8" w:rsidRPr="008B2F8A" w:rsidRDefault="00E47AB8" w:rsidP="00E47AB8">
      <w:pPr>
        <w:pStyle w:val="Heading3"/>
        <w:numPr>
          <w:ilvl w:val="2"/>
          <w:numId w:val="10"/>
        </w:numPr>
        <w:rPr>
          <w:rFonts w:eastAsia="Tahoma"/>
        </w:rPr>
      </w:pPr>
      <w:bookmarkStart w:id="311" w:name="_Toc383424429"/>
      <w:r w:rsidRPr="008B2F8A">
        <w:rPr>
          <w:rFonts w:eastAsia="Tahoma"/>
        </w:rPr>
        <w:t>Proposed medical service and type</w:t>
      </w:r>
      <w:bookmarkEnd w:id="311"/>
    </w:p>
    <w:p w14:paraId="16674E75" w14:textId="3C5E2493" w:rsidR="00E47AB8" w:rsidRPr="008B2F8A" w:rsidRDefault="00E47AB8" w:rsidP="00422306">
      <w:r w:rsidRPr="008B2F8A">
        <w:t>In May 2011, the Department of Health and Ageing received an application (‘the Application’) from the Royal Australian and New Zealand College of Radiologists requesting the review of the Medicare Benefits Schedule (MBS) listing of breast magnetic resonance imaging (MRI) for screening of young women at high risk of breast cancer. The Application requested a review of:</w:t>
      </w:r>
    </w:p>
    <w:p w14:paraId="1439A1A5" w14:textId="245D1150" w:rsidR="00E47AB8" w:rsidRPr="008B2F8A" w:rsidRDefault="00E47AB8" w:rsidP="00E47AB8">
      <w:pPr>
        <w:pStyle w:val="ListParagraph"/>
        <w:numPr>
          <w:ilvl w:val="0"/>
          <w:numId w:val="18"/>
        </w:numPr>
      </w:pPr>
      <w:r w:rsidRPr="008B2F8A">
        <w:t>the use</w:t>
      </w:r>
      <w:r w:rsidRPr="007E60B7">
        <w:t xml:space="preserve"> </w:t>
      </w:r>
      <w:r w:rsidRPr="008B2F8A">
        <w:t>of</w:t>
      </w:r>
      <w:r w:rsidRPr="007E60B7">
        <w:t xml:space="preserve"> </w:t>
      </w:r>
      <w:r w:rsidRPr="008B2F8A">
        <w:t>breast</w:t>
      </w:r>
      <w:r w:rsidRPr="007E60B7">
        <w:t xml:space="preserve"> </w:t>
      </w:r>
      <w:r w:rsidRPr="008B2F8A">
        <w:t>MRI</w:t>
      </w:r>
      <w:r w:rsidRPr="007E60B7">
        <w:t xml:space="preserve"> f</w:t>
      </w:r>
      <w:r w:rsidRPr="008B2F8A">
        <w:t>or</w:t>
      </w:r>
      <w:r w:rsidRPr="007E60B7">
        <w:t xml:space="preserve"> </w:t>
      </w:r>
      <w:r w:rsidRPr="008B2F8A">
        <w:t>the</w:t>
      </w:r>
      <w:r w:rsidRPr="007E60B7">
        <w:t xml:space="preserve"> </w:t>
      </w:r>
      <w:r w:rsidRPr="008B2F8A">
        <w:t>sc</w:t>
      </w:r>
      <w:r w:rsidRPr="007E60B7">
        <w:t>r</w:t>
      </w:r>
      <w:r w:rsidRPr="008B2F8A">
        <w:t>eening</w:t>
      </w:r>
      <w:r w:rsidRPr="007E60B7">
        <w:t xml:space="preserve"> </w:t>
      </w:r>
      <w:r w:rsidRPr="008B2F8A">
        <w:t>of</w:t>
      </w:r>
      <w:r w:rsidRPr="007E60B7">
        <w:t xml:space="preserve"> </w:t>
      </w:r>
      <w:r w:rsidRPr="008B2F8A">
        <w:t>high-r</w:t>
      </w:r>
      <w:r w:rsidRPr="007E60B7">
        <w:t>i</w:t>
      </w:r>
      <w:r w:rsidRPr="008B2F8A">
        <w:t>sk</w:t>
      </w:r>
      <w:r w:rsidRPr="007E60B7">
        <w:t xml:space="preserve"> </w:t>
      </w:r>
      <w:r w:rsidRPr="008B2F8A">
        <w:t>women</w:t>
      </w:r>
      <w:r w:rsidRPr="007E60B7">
        <w:t xml:space="preserve"> </w:t>
      </w:r>
      <w:r w:rsidRPr="008B2F8A">
        <w:rPr>
          <w:b/>
          <w:bCs/>
        </w:rPr>
        <w:t>in</w:t>
      </w:r>
      <w:r w:rsidRPr="007E60B7">
        <w:rPr>
          <w:b/>
          <w:bCs/>
        </w:rPr>
        <w:t xml:space="preserve"> </w:t>
      </w:r>
      <w:r w:rsidRPr="008B2F8A">
        <w:rPr>
          <w:b/>
          <w:bCs/>
        </w:rPr>
        <w:t xml:space="preserve">addition </w:t>
      </w:r>
      <w:r w:rsidRPr="008B2F8A">
        <w:t>to</w:t>
      </w:r>
      <w:r w:rsidRPr="007E60B7">
        <w:t xml:space="preserve"> </w:t>
      </w:r>
      <w:r w:rsidRPr="008B2F8A">
        <w:t>an</w:t>
      </w:r>
      <w:r w:rsidRPr="007E60B7">
        <w:t xml:space="preserve"> </w:t>
      </w:r>
      <w:r w:rsidRPr="008B2F8A">
        <w:t xml:space="preserve">organised screening program for women &lt;50 years of age, as recommended by the </w:t>
      </w:r>
      <w:r w:rsidRPr="008B2F8A">
        <w:rPr>
          <w:noProof/>
        </w:rPr>
        <w:t xml:space="preserve">Medical Services Advisory Committee </w:t>
      </w:r>
      <w:r w:rsidRPr="008B2F8A">
        <w:t xml:space="preserve">in 2007 </w:t>
      </w:r>
      <w:r w:rsidRPr="008B2F8A">
        <w:rPr>
          <w:noProof/>
        </w:rPr>
        <w:t>(MSAC, 2006);</w:t>
      </w:r>
      <w:r w:rsidRPr="008B2F8A">
        <w:t xml:space="preserve"> as such, no change is being proposed to the use of breast MRI in the clinical pathway from what was recommended in the 2006 review</w:t>
      </w:r>
    </w:p>
    <w:p w14:paraId="01FAE0D5" w14:textId="216DEB54" w:rsidR="00E47AB8" w:rsidRPr="008B2F8A" w:rsidRDefault="00E47AB8" w:rsidP="00E47AB8">
      <w:pPr>
        <w:pStyle w:val="ListParagraph"/>
        <w:numPr>
          <w:ilvl w:val="0"/>
          <w:numId w:val="18"/>
        </w:numPr>
      </w:pPr>
      <w:r w:rsidRPr="008B2F8A">
        <w:t>the inclusion of additional high-risk patient populations, namely women who are &lt;50 years of age and have had either:</w:t>
      </w:r>
    </w:p>
    <w:p w14:paraId="108FED1A" w14:textId="77777777" w:rsidR="00E47AB8" w:rsidRPr="008B2F8A" w:rsidRDefault="00E47AB8" w:rsidP="00E47AB8">
      <w:pPr>
        <w:pStyle w:val="ListParagraph"/>
        <w:numPr>
          <w:ilvl w:val="1"/>
          <w:numId w:val="18"/>
        </w:numPr>
      </w:pPr>
      <w:r w:rsidRPr="008B2F8A">
        <w:t>a prior history of invasive breast cancer</w:t>
      </w:r>
    </w:p>
    <w:p w14:paraId="7C87A7E1" w14:textId="260F7C8D" w:rsidR="00E47AB8" w:rsidRPr="008B2F8A" w:rsidRDefault="00E47AB8" w:rsidP="00E47AB8">
      <w:pPr>
        <w:pStyle w:val="ListParagraph"/>
        <w:numPr>
          <w:ilvl w:val="1"/>
          <w:numId w:val="18"/>
        </w:numPr>
      </w:pPr>
      <w:r w:rsidRPr="008B2F8A">
        <w:t>a prior history of treatment for LCIS or DCIS</w:t>
      </w:r>
    </w:p>
    <w:p w14:paraId="7B4064BC" w14:textId="51953994" w:rsidR="00E47AB8" w:rsidRPr="008B2F8A" w:rsidRDefault="00E47AB8" w:rsidP="00E47AB8">
      <w:pPr>
        <w:pStyle w:val="ListParagraph"/>
        <w:numPr>
          <w:ilvl w:val="1"/>
          <w:numId w:val="18"/>
        </w:numPr>
      </w:pPr>
      <w:r w:rsidRPr="008B2F8A">
        <w:t>a history of radiotherapy to the chest area between 10 and 35 years of age.</w:t>
      </w:r>
    </w:p>
    <w:p w14:paraId="70658631" w14:textId="64CEB303" w:rsidR="00E47AB8" w:rsidRPr="008B2F8A" w:rsidRDefault="00E47AB8" w:rsidP="00422306">
      <w:r w:rsidRPr="008B2F8A">
        <w:t>The change in the proposed patient population will see additional patients screened who would not previously have had access to MBS item 63464.</w:t>
      </w:r>
    </w:p>
    <w:p w14:paraId="01D9F66C" w14:textId="5C7AF07A" w:rsidR="00E47AB8" w:rsidRPr="008B2F8A" w:rsidRDefault="00E47AB8" w:rsidP="00422306">
      <w:r w:rsidRPr="008B2F8A">
        <w:t>This inclusion of the additional high-risk patient populations is consistent with those risk factors that have been identified by NBOCC (2009</w:t>
      </w:r>
      <w:r w:rsidRPr="008B2F8A">
        <w:rPr>
          <w:noProof/>
        </w:rPr>
        <w:t>, p. xi</w:t>
      </w:r>
      <w:r w:rsidRPr="008B2F8A">
        <w:t>) as being associated with a strong, increased risk (relative risk &gt; 4) of breast cancer.</w:t>
      </w:r>
    </w:p>
    <w:p w14:paraId="21CF4103" w14:textId="77777777" w:rsidR="00E47AB8" w:rsidRPr="008B2F8A" w:rsidRDefault="00E47AB8" w:rsidP="00E47AB8">
      <w:pPr>
        <w:pStyle w:val="Heading3"/>
        <w:numPr>
          <w:ilvl w:val="2"/>
          <w:numId w:val="10"/>
        </w:numPr>
      </w:pPr>
      <w:bookmarkStart w:id="312" w:name="_Toc383424430"/>
      <w:r w:rsidRPr="008B2F8A">
        <w:rPr>
          <w:rFonts w:eastAsia="Tahoma"/>
        </w:rPr>
        <w:t xml:space="preserve">Health issue </w:t>
      </w:r>
      <w:r>
        <w:rPr>
          <w:rFonts w:eastAsia="Tahoma"/>
        </w:rPr>
        <w:t xml:space="preserve">that </w:t>
      </w:r>
      <w:r w:rsidRPr="008B2F8A">
        <w:rPr>
          <w:rFonts w:eastAsia="Tahoma"/>
        </w:rPr>
        <w:t>this assessment addresses</w:t>
      </w:r>
      <w:bookmarkEnd w:id="312"/>
    </w:p>
    <w:p w14:paraId="73387856" w14:textId="45E593ED" w:rsidR="00E47AB8" w:rsidRPr="008B2F8A" w:rsidRDefault="00E47AB8" w:rsidP="00422306">
      <w:r w:rsidRPr="008B2F8A">
        <w:t>This assessment is concerned with the screening of breast cancer in asymptomatic women at high risk</w:t>
      </w:r>
      <w:r>
        <w:t xml:space="preserve"> of breast cancer</w:t>
      </w:r>
      <w:r w:rsidRPr="008B2F8A">
        <w:t>.</w:t>
      </w:r>
      <w:r>
        <w:t xml:space="preserve"> </w:t>
      </w:r>
      <w:r w:rsidRPr="008B2F8A">
        <w:t>Women at high risk due to family history o</w:t>
      </w:r>
      <w:r>
        <w:t>r</w:t>
      </w:r>
      <w:r w:rsidRPr="008B2F8A">
        <w:t xml:space="preserve"> genetic predisposition make up 5%–10% of </w:t>
      </w:r>
      <w:r>
        <w:t xml:space="preserve">women with </w:t>
      </w:r>
      <w:r w:rsidRPr="008B2F8A">
        <w:t xml:space="preserve">breast cancer </w:t>
      </w:r>
      <w:r w:rsidRPr="008B2F8A">
        <w:rPr>
          <w:noProof/>
        </w:rPr>
        <w:t>(</w:t>
      </w:r>
      <w:bookmarkStart w:id="313" w:name="OLE_LINK649"/>
      <w:bookmarkStart w:id="314" w:name="OLE_LINK650"/>
      <w:r w:rsidRPr="008B2F8A">
        <w:rPr>
          <w:noProof/>
        </w:rPr>
        <w:t>NBOCC, 2009</w:t>
      </w:r>
      <w:bookmarkEnd w:id="313"/>
      <w:bookmarkEnd w:id="314"/>
      <w:r w:rsidRPr="008B2F8A">
        <w:rPr>
          <w:noProof/>
        </w:rPr>
        <w:t>)</w:t>
      </w:r>
      <w:r w:rsidRPr="008B2F8A">
        <w:t xml:space="preserve">. These women often develop breast cancer early in life, </w:t>
      </w:r>
      <w:r>
        <w:t xml:space="preserve">and </w:t>
      </w:r>
      <w:r w:rsidRPr="008B2F8A">
        <w:t xml:space="preserve">need more frequent screening and earlier </w:t>
      </w:r>
      <w:r>
        <w:t>start</w:t>
      </w:r>
      <w:r w:rsidRPr="008B2F8A">
        <w:t xml:space="preserve"> of screening than asymptomatic women at average risk of breast cancer. </w:t>
      </w:r>
      <w:r w:rsidR="007E60B7">
        <w:t>Breast MRI</w:t>
      </w:r>
      <w:r w:rsidRPr="008B2F8A">
        <w:t xml:space="preserve"> occurs outside of the BreastScreen Australia program and can include MRI or mammography, with or without the use of ultrasound. Currently women &lt;50 years of age and assessed </w:t>
      </w:r>
      <w:r>
        <w:t xml:space="preserve">as being </w:t>
      </w:r>
      <w:r w:rsidRPr="008B2F8A">
        <w:t>at high risk are offered annual screening</w:t>
      </w:r>
      <w:r>
        <w:t>,</w:t>
      </w:r>
      <w:r w:rsidRPr="008B2F8A">
        <w:t xml:space="preserve"> most </w:t>
      </w:r>
      <w:r>
        <w:t>starting</w:t>
      </w:r>
      <w:r w:rsidRPr="008B2F8A">
        <w:t xml:space="preserve"> no earlier than 25 years of age. However, this can depend on the age </w:t>
      </w:r>
      <w:r>
        <w:t xml:space="preserve">at onset </w:t>
      </w:r>
      <w:r w:rsidRPr="008B2F8A">
        <w:t xml:space="preserve">of cancers in the family and </w:t>
      </w:r>
      <w:r>
        <w:t xml:space="preserve">the </w:t>
      </w:r>
      <w:r w:rsidRPr="008B2F8A">
        <w:t xml:space="preserve">potential nature of </w:t>
      </w:r>
      <w:r>
        <w:t xml:space="preserve">the </w:t>
      </w:r>
      <w:r w:rsidRPr="008B2F8A">
        <w:t>gene mutation.</w:t>
      </w:r>
    </w:p>
    <w:p w14:paraId="586D6843" w14:textId="77777777" w:rsidR="00E47AB8" w:rsidRPr="008B2F8A" w:rsidRDefault="00E47AB8" w:rsidP="00E47AB8">
      <w:pPr>
        <w:pStyle w:val="Heading3"/>
        <w:numPr>
          <w:ilvl w:val="2"/>
          <w:numId w:val="10"/>
        </w:numPr>
        <w:rPr>
          <w:rFonts w:eastAsia="Tahoma"/>
        </w:rPr>
      </w:pPr>
      <w:bookmarkStart w:id="315" w:name="_Toc383424431"/>
      <w:r w:rsidRPr="008B2F8A">
        <w:rPr>
          <w:rFonts w:eastAsia="Tahoma"/>
        </w:rPr>
        <w:t>Mode of delivery and assessment</w:t>
      </w:r>
      <w:bookmarkEnd w:id="315"/>
    </w:p>
    <w:p w14:paraId="7845B744" w14:textId="77777777" w:rsidR="00E47AB8" w:rsidRDefault="00E47AB8" w:rsidP="00422306">
      <w:r w:rsidRPr="008B2F8A">
        <w:t>MRI can be used in both screening and diagnosis of breast cancer</w:t>
      </w:r>
      <w:r>
        <w:t>,</w:t>
      </w:r>
      <w:r w:rsidRPr="008B2F8A">
        <w:t xml:space="preserve"> includ</w:t>
      </w:r>
      <w:r>
        <w:t>ing</w:t>
      </w:r>
      <w:r w:rsidRPr="008B2F8A">
        <w:t xml:space="preserve"> in women with a high risk due to family history or genetic predisposition. </w:t>
      </w:r>
      <w:r>
        <w:t>It</w:t>
      </w:r>
      <w:r w:rsidRPr="008B2F8A">
        <w:t xml:space="preserve"> is also used in preoperative staging, evaluating response to treatment, screening of women with breast augmentation or reconstruction</w:t>
      </w:r>
      <w:r>
        <w:t>,</w:t>
      </w:r>
      <w:r w:rsidRPr="008B2F8A">
        <w:t xml:space="preserve"> and identification of occult breast cancer in women with metastatic disease.</w:t>
      </w:r>
    </w:p>
    <w:p w14:paraId="25949F3F" w14:textId="140304E9" w:rsidR="00E47AB8" w:rsidRPr="008B2F8A" w:rsidRDefault="00E47AB8" w:rsidP="00422306">
      <w:r w:rsidRPr="008B2F8A">
        <w:t xml:space="preserve">MRI uses a strong external magnetic field to produce images of biological tissues. This magnetic field </w:t>
      </w:r>
      <w:r>
        <w:t>stimulates</w:t>
      </w:r>
      <w:r w:rsidRPr="008B2F8A">
        <w:t xml:space="preserve"> hydrogen </w:t>
      </w:r>
      <w:r>
        <w:t>ions</w:t>
      </w:r>
      <w:r w:rsidRPr="008B2F8A">
        <w:t xml:space="preserve"> in body tissues to produce signals that vary according to the </w:t>
      </w:r>
      <w:r>
        <w:t xml:space="preserve">ions’ </w:t>
      </w:r>
      <w:r w:rsidRPr="008B2F8A">
        <w:t xml:space="preserve">chemical, structural and magnetic environment. MRI is particularly well suited to distinguishing between blood </w:t>
      </w:r>
      <w:r w:rsidRPr="008B2F8A">
        <w:lastRenderedPageBreak/>
        <w:t>vessels, other fluid</w:t>
      </w:r>
      <w:r>
        <w:t>-</w:t>
      </w:r>
      <w:r w:rsidRPr="008B2F8A">
        <w:t xml:space="preserve">filled structures and surrounding soft tissues, and </w:t>
      </w:r>
      <w:r>
        <w:t>thus</w:t>
      </w:r>
      <w:r w:rsidRPr="008B2F8A">
        <w:t xml:space="preserve"> is especially useful in imaging the brain, muscles and heart</w:t>
      </w:r>
      <w:r>
        <w:t>,</w:t>
      </w:r>
      <w:r w:rsidRPr="008B2F8A">
        <w:t xml:space="preserve"> as well as </w:t>
      </w:r>
      <w:r>
        <w:t xml:space="preserve">in </w:t>
      </w:r>
      <w:r w:rsidRPr="008B2F8A">
        <w:t>detecting abnormal tissues such as tumours.</w:t>
      </w:r>
    </w:p>
    <w:p w14:paraId="51ADEAF5" w14:textId="274DB4A6" w:rsidR="00E47AB8" w:rsidRPr="008B2F8A" w:rsidRDefault="00E47AB8" w:rsidP="00422306">
      <w:r w:rsidRPr="008B2F8A">
        <w:t xml:space="preserve">In the breast, </w:t>
      </w:r>
      <w:r>
        <w:t>MRIs</w:t>
      </w:r>
      <w:r w:rsidRPr="008B2F8A">
        <w:t xml:space="preserve"> show parenchyma and fat, and abnormal tissue if present </w:t>
      </w:r>
      <w:r w:rsidRPr="008B2F8A">
        <w:rPr>
          <w:noProof/>
        </w:rPr>
        <w:t>(</w:t>
      </w:r>
      <w:bookmarkStart w:id="316" w:name="OLE_LINK651"/>
      <w:bookmarkStart w:id="317" w:name="OLE_LINK652"/>
      <w:r w:rsidRPr="008B2F8A">
        <w:rPr>
          <w:noProof/>
        </w:rPr>
        <w:t>Saslow et al, 2007</w:t>
      </w:r>
      <w:bookmarkEnd w:id="316"/>
      <w:bookmarkEnd w:id="317"/>
      <w:r w:rsidRPr="008B2F8A">
        <w:rPr>
          <w:noProof/>
        </w:rPr>
        <w:t>)</w:t>
      </w:r>
      <w:r w:rsidRPr="008B2F8A">
        <w:t xml:space="preserve">. Breast MRI is performed in a dedicated MRI room using an MRI machine with </w:t>
      </w:r>
      <w:r>
        <w:t xml:space="preserve">a </w:t>
      </w:r>
      <w:r w:rsidRPr="008B2F8A">
        <w:t>minimum magnet strength of 1.5 T. A dedicated breast coil, comprising seven or more channels</w:t>
      </w:r>
      <w:r>
        <w:t>,</w:t>
      </w:r>
      <w:r w:rsidRPr="008B2F8A">
        <w:t xml:space="preserve"> is also required, and an intravenous contrast agent is administered. As breast tissue generally has similar signal intensity to tumour tissue on routine MRI, the intravenous administration of a contrast agent containing gadolinium chelate is used to enhance breast lesions. Contrast-enhanced MRI provides detailed information about tumour morphology and vasculature, and </w:t>
      </w:r>
      <w:r>
        <w:t>can</w:t>
      </w:r>
      <w:r w:rsidRPr="008B2F8A">
        <w:t xml:space="preserve"> differentiate between benign and potentially malignant tumours (</w:t>
      </w:r>
      <w:bookmarkStart w:id="318" w:name="OLE_LINK653"/>
      <w:bookmarkStart w:id="319" w:name="OLE_LINK654"/>
      <w:r w:rsidRPr="008B2F8A">
        <w:rPr>
          <w:noProof/>
        </w:rPr>
        <w:t>Bassett et al, 2008</w:t>
      </w:r>
      <w:r w:rsidRPr="008B2F8A">
        <w:t xml:space="preserve">; </w:t>
      </w:r>
      <w:r w:rsidRPr="008B2F8A">
        <w:rPr>
          <w:noProof/>
        </w:rPr>
        <w:t>Shah et al, 2005</w:t>
      </w:r>
      <w:bookmarkEnd w:id="318"/>
      <w:bookmarkEnd w:id="319"/>
      <w:r w:rsidRPr="008B2F8A">
        <w:t>).</w:t>
      </w:r>
    </w:p>
    <w:p w14:paraId="181BA641" w14:textId="7DFC0C6C" w:rsidR="00E47AB8" w:rsidRPr="008B2F8A" w:rsidRDefault="00E47AB8" w:rsidP="00422306">
      <w:r w:rsidRPr="008B2F8A">
        <w:t>During the examination the patient lies prone on a scanning table inside a high-strength magnet, with the breast depend</w:t>
      </w:r>
      <w:r>
        <w:t>e</w:t>
      </w:r>
      <w:r w:rsidRPr="008B2F8A">
        <w:t xml:space="preserve">nt in the dedicated breast coil </w:t>
      </w:r>
      <w:r w:rsidRPr="008B2F8A">
        <w:rPr>
          <w:noProof/>
        </w:rPr>
        <w:t>(</w:t>
      </w:r>
      <w:bookmarkStart w:id="320" w:name="OLE_LINK655"/>
      <w:bookmarkStart w:id="321" w:name="OLE_LINK656"/>
      <w:r w:rsidRPr="008B2F8A">
        <w:rPr>
          <w:noProof/>
        </w:rPr>
        <w:t>Rausch &amp; Hendrick, 2006</w:t>
      </w:r>
      <w:bookmarkEnd w:id="320"/>
      <w:bookmarkEnd w:id="321"/>
      <w:r w:rsidRPr="008B2F8A">
        <w:rPr>
          <w:noProof/>
        </w:rPr>
        <w:t>)</w:t>
      </w:r>
      <w:r w:rsidRPr="008B2F8A">
        <w:t>. A number of imaging sequences are obtained, before the administration of the contrast agent. Following contrast injection, further sequences are obtained</w:t>
      </w:r>
      <w:r>
        <w:t>,</w:t>
      </w:r>
      <w:r w:rsidRPr="008B2F8A">
        <w:t xml:space="preserve"> including evaluation of the uptake and washout of </w:t>
      </w:r>
      <w:r>
        <w:t xml:space="preserve">the </w:t>
      </w:r>
      <w:r w:rsidRPr="008B2F8A">
        <w:t>contrast and any focal lesion</w:t>
      </w:r>
      <w:r>
        <w:t>s,</w:t>
      </w:r>
      <w:r w:rsidRPr="008B2F8A">
        <w:t xml:space="preserve"> over several minutes </w:t>
      </w:r>
      <w:r w:rsidRPr="008B2F8A">
        <w:rPr>
          <w:noProof/>
        </w:rPr>
        <w:t>(</w:t>
      </w:r>
      <w:bookmarkStart w:id="322" w:name="OLE_LINK657"/>
      <w:bookmarkStart w:id="323" w:name="OLE_LINK658"/>
      <w:r w:rsidRPr="008B2F8A">
        <w:rPr>
          <w:noProof/>
        </w:rPr>
        <w:t>Saslow et al, 2007</w:t>
      </w:r>
      <w:bookmarkEnd w:id="322"/>
      <w:bookmarkEnd w:id="323"/>
      <w:r w:rsidRPr="008B2F8A">
        <w:rPr>
          <w:noProof/>
        </w:rPr>
        <w:t>)</w:t>
      </w:r>
      <w:r w:rsidRPr="008B2F8A">
        <w:t>.</w:t>
      </w:r>
    </w:p>
    <w:p w14:paraId="77C5B8A4" w14:textId="37396B09" w:rsidR="00E47AB8" w:rsidRPr="008B2F8A" w:rsidRDefault="00E47AB8" w:rsidP="00422306">
      <w:r w:rsidRPr="008B2F8A">
        <w:t xml:space="preserve">The MRI sequences are interpreted by a radiologist. Malignant lesions usually display an enhancement pattern (ie, a ≥70% increase in signal intensity) with rapid uptake and washout of contrast </w:t>
      </w:r>
      <w:r w:rsidRPr="008B2F8A">
        <w:rPr>
          <w:noProof/>
        </w:rPr>
        <w:t>(</w:t>
      </w:r>
      <w:bookmarkStart w:id="324" w:name="OLE_LINK659"/>
      <w:bookmarkStart w:id="325" w:name="OLE_LINK660"/>
      <w:r w:rsidRPr="008B2F8A">
        <w:rPr>
          <w:noProof/>
        </w:rPr>
        <w:t>Macura et al, 2006</w:t>
      </w:r>
      <w:bookmarkEnd w:id="324"/>
      <w:bookmarkEnd w:id="325"/>
      <w:r w:rsidRPr="008B2F8A">
        <w:rPr>
          <w:noProof/>
        </w:rPr>
        <w:t>)</w:t>
      </w:r>
      <w:r w:rsidRPr="008B2F8A">
        <w:t>. They may also display rim-enhancement</w:t>
      </w:r>
      <w:r>
        <w:t>,</w:t>
      </w:r>
      <w:r w:rsidRPr="008B2F8A">
        <w:t xml:space="preserve"> </w:t>
      </w:r>
      <w:r>
        <w:t>which</w:t>
      </w:r>
      <w:r w:rsidRPr="008B2F8A">
        <w:t xml:space="preserve"> is related to a very high positive predictive value (PPV) for malignancy of 79% to 84% (</w:t>
      </w:r>
      <w:bookmarkStart w:id="326" w:name="OLE_LINK661"/>
      <w:bookmarkStart w:id="327" w:name="OLE_LINK662"/>
      <w:r w:rsidRPr="008B2F8A">
        <w:rPr>
          <w:noProof/>
        </w:rPr>
        <w:t>Monticciolo, 2011</w:t>
      </w:r>
      <w:r w:rsidRPr="008B2F8A">
        <w:t xml:space="preserve">; </w:t>
      </w:r>
      <w:r w:rsidRPr="008B2F8A">
        <w:rPr>
          <w:noProof/>
        </w:rPr>
        <w:t>Nunes et al, 1997</w:t>
      </w:r>
      <w:bookmarkEnd w:id="326"/>
      <w:bookmarkEnd w:id="327"/>
      <w:r w:rsidRPr="008B2F8A">
        <w:t>). In benign masses, such as fibroadenomas, the contrast uptake is usually slower and more prolonged</w:t>
      </w:r>
      <w:r>
        <w:t>,</w:t>
      </w:r>
      <w:r w:rsidRPr="008B2F8A">
        <w:t xml:space="preserve"> yet the signal can still be enhanced. Given the general differences in contrast uptake and washout in benign and malignant masses, it is important to examine images at early time-points (1–3 min) after contrast injection (</w:t>
      </w:r>
      <w:bookmarkStart w:id="328" w:name="OLE_LINK663"/>
      <w:bookmarkStart w:id="329" w:name="OLE_LINK664"/>
      <w:r w:rsidRPr="008B2F8A">
        <w:rPr>
          <w:noProof/>
        </w:rPr>
        <w:t>Johnson, 2012</w:t>
      </w:r>
      <w:r w:rsidRPr="008B2F8A">
        <w:t xml:space="preserve">; </w:t>
      </w:r>
      <w:r w:rsidRPr="008B2F8A">
        <w:rPr>
          <w:noProof/>
        </w:rPr>
        <w:t>Saslow et al, 2007</w:t>
      </w:r>
      <w:bookmarkEnd w:id="328"/>
      <w:bookmarkEnd w:id="329"/>
      <w:r w:rsidRPr="008B2F8A">
        <w:t>). Some lesions may have atypical or indeterminate findings.</w:t>
      </w:r>
    </w:p>
    <w:p w14:paraId="77497225" w14:textId="1E4F49FC" w:rsidR="00E47AB8" w:rsidRPr="008B2F8A" w:rsidRDefault="00E47AB8" w:rsidP="00422306">
      <w:r w:rsidRPr="008B2F8A">
        <w:t xml:space="preserve">Performing MRI requires appropriate techniques and equipment in addition to experienced staff. </w:t>
      </w:r>
      <w:r w:rsidRPr="008B2F8A">
        <w:rPr>
          <w:rFonts w:eastAsia="Tahoma"/>
        </w:rPr>
        <w:t xml:space="preserve">The supervising radiologist should have expertise in breast imaging and MRI interpretation. </w:t>
      </w:r>
      <w:r w:rsidRPr="008B2F8A">
        <w:t>In addition, for an MRI scan to attract a Medicare rebate, the patient must be ≤50 years of age and fulfil the specified risk criteria (</w:t>
      </w:r>
      <w:r w:rsidR="007E60B7">
        <w:fldChar w:fldCharType="begin"/>
      </w:r>
      <w:r w:rsidR="007E60B7">
        <w:instrText xml:space="preserve"> REF _Ref368495104 \h </w:instrText>
      </w:r>
      <w:r w:rsidR="007E60B7">
        <w:fldChar w:fldCharType="separate"/>
      </w:r>
      <w:r w:rsidR="00B81273" w:rsidRPr="008B2F8A">
        <w:t xml:space="preserve">Table </w:t>
      </w:r>
      <w:r w:rsidR="00B81273">
        <w:rPr>
          <w:noProof/>
        </w:rPr>
        <w:t>A</w:t>
      </w:r>
      <w:r w:rsidR="00B81273" w:rsidRPr="008B2F8A">
        <w:t>.</w:t>
      </w:r>
      <w:r w:rsidR="00B81273">
        <w:rPr>
          <w:noProof/>
        </w:rPr>
        <w:t>5</w:t>
      </w:r>
      <w:r w:rsidR="007E60B7">
        <w:fldChar w:fldCharType="end"/>
      </w:r>
      <w:r w:rsidRPr="008B2F8A">
        <w:t>). The scan must be requested by a specialist or consultant physician (not a GP) and be performed on a Medicare-eligible MRI unit by a Medicare-eligible provider, and be an MRI service listed in the MBS.</w:t>
      </w:r>
    </w:p>
    <w:p w14:paraId="57ACFE56" w14:textId="77777777" w:rsidR="00E47AB8" w:rsidRPr="008B2F8A" w:rsidRDefault="00E47AB8" w:rsidP="00E47AB8">
      <w:pPr>
        <w:pStyle w:val="Heading3"/>
        <w:numPr>
          <w:ilvl w:val="2"/>
          <w:numId w:val="10"/>
        </w:numPr>
      </w:pPr>
      <w:bookmarkStart w:id="330" w:name="_Toc383424432"/>
      <w:r w:rsidRPr="008B2F8A">
        <w:t>Regulatory status</w:t>
      </w:r>
      <w:bookmarkEnd w:id="330"/>
    </w:p>
    <w:p w14:paraId="22A5FDB0" w14:textId="474077B2" w:rsidR="00E47AB8" w:rsidRPr="008B2F8A" w:rsidRDefault="00E47AB8" w:rsidP="00422306">
      <w:r w:rsidRPr="008B2F8A">
        <w:t>MRI is currently available in public and private facilities in major centres in each state and territory; 337 units have been licensed throughout Australia to provide services eligible for funding under the MBS.</w:t>
      </w:r>
    </w:p>
    <w:p w14:paraId="5502179C" w14:textId="0F3CBD4F" w:rsidR="00E47AB8" w:rsidRPr="008B2F8A" w:rsidRDefault="00E47AB8" w:rsidP="00422306">
      <w:r w:rsidRPr="008B2F8A">
        <w:t>Breast MRI requires both a breast coil and the use of a gadolinium-containing contrast agent. The Australian Register of Therapeutic Goods lists several coils and contrast agents that have been approved by the Therapeutic Goods Administration for use in diagnostic imaging procedures.</w:t>
      </w:r>
    </w:p>
    <w:p w14:paraId="4C50B13C" w14:textId="77777777" w:rsidR="00E47AB8" w:rsidRPr="008B2F8A" w:rsidRDefault="00E47AB8" w:rsidP="00E47AB8">
      <w:pPr>
        <w:pStyle w:val="Heading2"/>
        <w:numPr>
          <w:ilvl w:val="1"/>
          <w:numId w:val="10"/>
        </w:numPr>
      </w:pPr>
      <w:bookmarkStart w:id="331" w:name="_Toc338143999"/>
      <w:bookmarkStart w:id="332" w:name="_Toc383424433"/>
      <w:r w:rsidRPr="008B2F8A">
        <w:lastRenderedPageBreak/>
        <w:t>Proposed MBS listing sought</w:t>
      </w:r>
      <w:bookmarkEnd w:id="331"/>
      <w:r w:rsidRPr="008B2F8A">
        <w:t xml:space="preserve"> for breast MRI</w:t>
      </w:r>
      <w:bookmarkEnd w:id="332"/>
    </w:p>
    <w:p w14:paraId="4EAC2469" w14:textId="77777777" w:rsidR="00E47AB8" w:rsidRPr="008B2F8A" w:rsidRDefault="00E47AB8" w:rsidP="00E47AB8">
      <w:pPr>
        <w:pStyle w:val="Heading3"/>
        <w:numPr>
          <w:ilvl w:val="2"/>
          <w:numId w:val="10"/>
        </w:numPr>
      </w:pPr>
      <w:bookmarkStart w:id="333" w:name="_Toc383424434"/>
      <w:r w:rsidRPr="008B2F8A">
        <w:t>Proposed MBS listing</w:t>
      </w:r>
      <w:bookmarkEnd w:id="333"/>
    </w:p>
    <w:p w14:paraId="3CFDB346" w14:textId="183A135A" w:rsidR="00E47AB8" w:rsidRPr="008B2F8A" w:rsidRDefault="00E47AB8" w:rsidP="00422306">
      <w:r w:rsidRPr="008B2F8A">
        <w:t xml:space="preserve">Breast MRI for screening of high-risk women is already listed on the MBS (items 63464 and 63467). As mentioned in section </w:t>
      </w:r>
      <w:r>
        <w:fldChar w:fldCharType="begin"/>
      </w:r>
      <w:r>
        <w:instrText xml:space="preserve"> REF _Ref256069802 \r \h </w:instrText>
      </w:r>
      <w:r>
        <w:fldChar w:fldCharType="separate"/>
      </w:r>
      <w:r w:rsidR="00B81273">
        <w:t>A.2</w:t>
      </w:r>
      <w:r>
        <w:fldChar w:fldCharType="end"/>
      </w:r>
      <w:r w:rsidRPr="008B2F8A">
        <w:t>, this assessment addresses:</w:t>
      </w:r>
    </w:p>
    <w:p w14:paraId="6BD36A2E" w14:textId="570C09E0" w:rsidR="00E47AB8" w:rsidRPr="008B2F8A" w:rsidRDefault="00E47AB8" w:rsidP="00E47AB8">
      <w:pPr>
        <w:pStyle w:val="ListParagraph"/>
        <w:numPr>
          <w:ilvl w:val="0"/>
          <w:numId w:val="19"/>
        </w:numPr>
      </w:pPr>
      <w:r w:rsidRPr="008B2F8A">
        <w:t>a review of interim-funded items 63464 and 63467—breast MRI for screening of high-risk, asymptomatic women (that is, women without breast changes) in terms of effectiveness and cost-effectiveness</w:t>
      </w:r>
    </w:p>
    <w:p w14:paraId="289D5A2D" w14:textId="0AC1843B" w:rsidR="00E47AB8" w:rsidRPr="008B2F8A" w:rsidRDefault="00E47AB8" w:rsidP="00E47AB8">
      <w:pPr>
        <w:pStyle w:val="ListParagraph"/>
        <w:numPr>
          <w:ilvl w:val="0"/>
          <w:numId w:val="19"/>
        </w:numPr>
      </w:pPr>
      <w:r w:rsidRPr="008B2F8A">
        <w:t>the inclusion of new high-risk patient populations in MBS item 63464</w:t>
      </w:r>
      <w:r>
        <w:t>,</w:t>
      </w:r>
      <w:r w:rsidRPr="008B2F8A">
        <w:t xml:space="preserve"> namely women</w:t>
      </w:r>
      <w:r>
        <w:t xml:space="preserve"> with either</w:t>
      </w:r>
      <w:r w:rsidRPr="008B2F8A">
        <w:t>:</w:t>
      </w:r>
    </w:p>
    <w:p w14:paraId="379946BE" w14:textId="3CFA8ECB" w:rsidR="00E47AB8" w:rsidRPr="008B2F8A" w:rsidRDefault="00E47AB8" w:rsidP="00E47AB8">
      <w:pPr>
        <w:pStyle w:val="ListParagraph"/>
        <w:numPr>
          <w:ilvl w:val="0"/>
          <w:numId w:val="20"/>
        </w:numPr>
      </w:pPr>
      <w:r w:rsidRPr="008B2F8A">
        <w:t>a prior history of invasive breast cancer</w:t>
      </w:r>
    </w:p>
    <w:p w14:paraId="0E3BAB10" w14:textId="14CA60C5" w:rsidR="00E47AB8" w:rsidRPr="008B2F8A" w:rsidRDefault="00E47AB8" w:rsidP="00E47AB8">
      <w:pPr>
        <w:pStyle w:val="ListParagraph"/>
        <w:numPr>
          <w:ilvl w:val="0"/>
          <w:numId w:val="20"/>
        </w:numPr>
      </w:pPr>
      <w:r w:rsidRPr="008B2F8A">
        <w:t>a prior history of treatment for LCIS or DCIS</w:t>
      </w:r>
    </w:p>
    <w:p w14:paraId="221E3598" w14:textId="6DFEBD01" w:rsidR="00E47AB8" w:rsidRPr="008B2F8A" w:rsidRDefault="00E47AB8" w:rsidP="00E47AB8">
      <w:pPr>
        <w:pStyle w:val="ListParagraph"/>
        <w:numPr>
          <w:ilvl w:val="0"/>
          <w:numId w:val="20"/>
        </w:numPr>
      </w:pPr>
      <w:r w:rsidRPr="008B2F8A">
        <w:t>a history of radiotherapy to the chest area between the ages of 10 and 35 years</w:t>
      </w:r>
      <w:r>
        <w:t>.</w:t>
      </w:r>
    </w:p>
    <w:p w14:paraId="7BFAC535" w14:textId="60A5B963" w:rsidR="00E47AB8" w:rsidRPr="008B2F8A" w:rsidRDefault="00E47AB8" w:rsidP="00422306">
      <w:r w:rsidRPr="008B2F8A">
        <w:t xml:space="preserve">The proposed MBS item descriptor is presented in </w:t>
      </w:r>
      <w:r w:rsidRPr="008B2F8A">
        <w:fldChar w:fldCharType="begin"/>
      </w:r>
      <w:r w:rsidRPr="008B2F8A">
        <w:instrText xml:space="preserve"> REF _Ref368495087 \h </w:instrText>
      </w:r>
      <w:r w:rsidRPr="008B2F8A">
        <w:fldChar w:fldCharType="separate"/>
      </w:r>
      <w:r w:rsidR="00B81273" w:rsidRPr="008B2F8A">
        <w:t xml:space="preserve">Table </w:t>
      </w:r>
      <w:r w:rsidR="00B81273">
        <w:rPr>
          <w:noProof/>
        </w:rPr>
        <w:t>A</w:t>
      </w:r>
      <w:r w:rsidR="00B81273" w:rsidRPr="008B2F8A">
        <w:t>.</w:t>
      </w:r>
      <w:r w:rsidR="00B81273">
        <w:rPr>
          <w:noProof/>
        </w:rPr>
        <w:t>4</w:t>
      </w:r>
      <w:r w:rsidRPr="008B2F8A">
        <w:fldChar w:fldCharType="end"/>
      </w:r>
      <w:r w:rsidRPr="008B2F8A">
        <w:t>, with proposed additions to the wording shown in bold italic text.</w:t>
      </w:r>
    </w:p>
    <w:p w14:paraId="5E6C7CE9" w14:textId="50C5E5B4" w:rsidR="00E47AB8" w:rsidRPr="008B2F8A" w:rsidRDefault="00E47AB8" w:rsidP="00422306">
      <w:pPr>
        <w:pStyle w:val="Caption"/>
      </w:pPr>
      <w:bookmarkStart w:id="334" w:name="_Ref368495087"/>
      <w:bookmarkStart w:id="335" w:name="_Toc383424560"/>
      <w:r w:rsidRPr="008B2F8A">
        <w:t xml:space="preserve">Table </w:t>
      </w:r>
      <w:fldSimple w:instr=" STYLEREF 1 \s ">
        <w:r w:rsidR="00B81273">
          <w:rPr>
            <w:noProof/>
          </w:rPr>
          <w:t>A</w:t>
        </w:r>
      </w:fldSimple>
      <w:r w:rsidRPr="008B2F8A">
        <w:t>.</w:t>
      </w:r>
      <w:fldSimple w:instr=" SEQ Table \* ARABIC \s 1 ">
        <w:r w:rsidR="00B81273">
          <w:rPr>
            <w:noProof/>
          </w:rPr>
          <w:t>4</w:t>
        </w:r>
      </w:fldSimple>
      <w:bookmarkEnd w:id="334"/>
      <w:r w:rsidRPr="008B2F8A">
        <w:tab/>
      </w:r>
      <w:bookmarkStart w:id="336" w:name="OLE_LINK966"/>
      <w:bookmarkStart w:id="337" w:name="OLE_LINK967"/>
      <w:r w:rsidRPr="008B2F8A">
        <w:t>Proposed MBS item descriptor for breast MRI</w:t>
      </w:r>
      <w:bookmarkEnd w:id="336"/>
      <w:bookmarkEnd w:id="337"/>
      <w:r w:rsidRPr="008B2F8A">
        <w:t>.</w:t>
      </w:r>
      <w:bookmarkEnd w:id="335"/>
    </w:p>
    <w:tbl>
      <w:tblPr>
        <w:tblW w:w="9070"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Caption w:val="Proposed MBS item descriptor for breast MRI"/>
      </w:tblPr>
      <w:tblGrid>
        <w:gridCol w:w="9070"/>
      </w:tblGrid>
      <w:tr w:rsidR="00E47AB8" w:rsidRPr="008B2F8A" w14:paraId="534A9FB3" w14:textId="77777777" w:rsidTr="00422306">
        <w:trPr>
          <w:tblHeader/>
        </w:trPr>
        <w:tc>
          <w:tcPr>
            <w:tcW w:w="9082" w:type="dxa"/>
            <w:tcBorders>
              <w:top w:val="single" w:sz="4" w:space="0" w:color="auto"/>
              <w:bottom w:val="single" w:sz="4" w:space="0" w:color="auto"/>
            </w:tcBorders>
          </w:tcPr>
          <w:p w14:paraId="0300DDD3" w14:textId="77777777" w:rsidR="00E47AB8" w:rsidRPr="008B2F8A" w:rsidRDefault="00E47AB8" w:rsidP="00422306">
            <w:pPr>
              <w:tabs>
                <w:tab w:val="left" w:pos="2835"/>
              </w:tabs>
              <w:spacing w:before="40" w:after="80"/>
              <w:jc w:val="right"/>
              <w:rPr>
                <w:rFonts w:ascii="Arial Narrow" w:hAnsi="Arial Narrow"/>
                <w:b/>
                <w:sz w:val="20"/>
                <w:szCs w:val="20"/>
                <w:lang w:eastAsia="ja-JP"/>
              </w:rPr>
            </w:pPr>
            <w:r w:rsidRPr="008B2F8A">
              <w:rPr>
                <w:rFonts w:ascii="Arial Narrow" w:hAnsi="Arial Narrow"/>
                <w:b/>
                <w:sz w:val="20"/>
                <w:szCs w:val="20"/>
                <w:lang w:eastAsia="ja-JP"/>
              </w:rPr>
              <w:t>Category 5—Diagnostic Imaging Services</w:t>
            </w:r>
          </w:p>
        </w:tc>
      </w:tr>
      <w:tr w:rsidR="00E47AB8" w:rsidRPr="008B2F8A" w14:paraId="666F9623" w14:textId="77777777" w:rsidTr="00422306">
        <w:tc>
          <w:tcPr>
            <w:tcW w:w="9082" w:type="dxa"/>
            <w:tcBorders>
              <w:top w:val="single" w:sz="4" w:space="0" w:color="auto"/>
            </w:tcBorders>
          </w:tcPr>
          <w:p w14:paraId="70DD6AC5" w14:textId="530A02F4"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 xml:space="preserve">MBS </w:t>
            </w:r>
            <w:hyperlink r:id="rId19" w:history="1">
              <w:r w:rsidRPr="008B2F8A">
                <w:rPr>
                  <w:rFonts w:ascii="Arial Narrow" w:eastAsia="SimSun" w:hAnsi="Arial Narrow" w:cs="Tahoma"/>
                  <w:sz w:val="20"/>
                  <w:szCs w:val="20"/>
                  <w:lang w:eastAsia="ja-JP"/>
                </w:rPr>
                <w:t>63464</w:t>
              </w:r>
            </w:hyperlink>
          </w:p>
          <w:p w14:paraId="7956091D"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sz w:val="20"/>
                <w:szCs w:val="20"/>
                <w:lang w:eastAsia="ja-JP"/>
              </w:rPr>
              <w:t>Magnetic resonance imaging</w:t>
            </w:r>
            <w:r w:rsidRPr="008B2F8A">
              <w:rPr>
                <w:rFonts w:ascii="Arial Narrow" w:eastAsia="SimSun" w:hAnsi="Arial Narrow" w:cs="Tahoma"/>
                <w:sz w:val="20"/>
                <w:szCs w:val="20"/>
                <w:lang w:eastAsia="ja-JP"/>
              </w:rPr>
              <w:t xml:space="preserve"> performed under the professional supervision of an eligible provider at an eligible location where the patient is referred by a specialist or by a consultant physician and where:</w:t>
            </w:r>
          </w:p>
          <w:p w14:paraId="74A89FFC"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a dedicated breast coil is used; and</w:t>
            </w:r>
          </w:p>
          <w:p w14:paraId="040E6988" w14:textId="1A40F30B"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the request for scan identifies that the woman is asymptomatic and is &lt;50 years of age; and</w:t>
            </w:r>
          </w:p>
          <w:p w14:paraId="53FA891D" w14:textId="77777777" w:rsidR="00A279C5" w:rsidRDefault="00E47AB8" w:rsidP="00A279C5">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(c)</w:t>
            </w:r>
            <w:r>
              <w:rPr>
                <w:rFonts w:ascii="Arial Narrow" w:eastAsia="SimSun" w:hAnsi="Arial Narrow" w:cs="Tahoma"/>
                <w:sz w:val="20"/>
                <w:szCs w:val="20"/>
                <w:lang w:eastAsia="ja-JP"/>
              </w:rPr>
              <w:t xml:space="preserve"> </w:t>
            </w:r>
            <w:r w:rsidRPr="008B2F8A">
              <w:rPr>
                <w:rFonts w:ascii="Arial Narrow" w:eastAsia="SimSun" w:hAnsi="Arial Narrow" w:cs="Tahoma"/>
                <w:sz w:val="20"/>
                <w:szCs w:val="20"/>
                <w:lang w:eastAsia="ja-JP"/>
              </w:rPr>
              <w:t>the request for scan identifies either:</w:t>
            </w:r>
          </w:p>
          <w:p w14:paraId="08B5A824" w14:textId="4D6AF1C1" w:rsidR="00E47AB8" w:rsidRPr="008B2F8A" w:rsidRDefault="0028513C" w:rsidP="00A279C5">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sz w:val="20"/>
                <w:szCs w:val="20"/>
                <w:lang w:eastAsia="ja-JP"/>
              </w:rPr>
            </w:pPr>
            <w:r>
              <w:rPr>
                <w:rFonts w:ascii="Arial Narrow" w:eastAsia="SimSun" w:hAnsi="Arial Narrow" w:cs="Tahoma"/>
                <w:sz w:val="20"/>
                <w:szCs w:val="20"/>
                <w:lang w:eastAsia="ja-JP"/>
              </w:rPr>
              <w:t xml:space="preserve"> </w:t>
            </w:r>
            <w:r w:rsidR="00E47AB8" w:rsidRPr="008B2F8A">
              <w:rPr>
                <w:rFonts w:ascii="Arial Narrow" w:eastAsia="SimSun" w:hAnsi="Arial Narrow" w:cs="Tahoma"/>
                <w:sz w:val="20"/>
                <w:szCs w:val="20"/>
                <w:lang w:eastAsia="ja-JP"/>
              </w:rPr>
              <w:t>(i) that the patient is at high risk of developing breast cancer due to one of the following:</w:t>
            </w:r>
          </w:p>
          <w:p w14:paraId="6AABC7BD" w14:textId="6995CAAF" w:rsidR="00E47AB8" w:rsidRPr="008B2F8A" w:rsidRDefault="00E47AB8" w:rsidP="0028513C">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3 or more first- or second-degree relatives on the same side of the family diagnosed with breast or ovarian cancer;</w:t>
            </w:r>
          </w:p>
          <w:p w14:paraId="2743B7AA" w14:textId="328D9915" w:rsidR="00E47AB8" w:rsidRPr="008B2F8A" w:rsidRDefault="00E47AB8" w:rsidP="0028513C">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2 or more first- or second-degree relatives on the same side of the family diagnosed with breast or ovarian cancer, if any of the following applies to at least 1 of the relatives</w:t>
            </w:r>
            <w:r>
              <w:rPr>
                <w:rFonts w:ascii="Arial Narrow" w:eastAsia="SimSun" w:hAnsi="Arial Narrow" w:cs="Tahoma"/>
                <w:sz w:val="20"/>
                <w:szCs w:val="20"/>
                <w:lang w:eastAsia="ja-JP"/>
              </w:rPr>
              <w:t>:</w:t>
            </w:r>
          </w:p>
          <w:p w14:paraId="6BE9CB4C" w14:textId="7D36779E"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—has been diagnosed with bilateral breast cancer</w:t>
            </w:r>
          </w:p>
          <w:p w14:paraId="03291AF3" w14:textId="2D97E30F"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—had onset of breast cancer before the age of 40 years</w:t>
            </w:r>
          </w:p>
          <w:p w14:paraId="5AFB84F6" w14:textId="36EE7743"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—had onset of ovarian cancer before the age of 50 years</w:t>
            </w:r>
          </w:p>
          <w:p w14:paraId="7E28C368" w14:textId="756223BF"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—has been diagnosed with breast and ovarian cancer, at the same time or at different times</w:t>
            </w:r>
          </w:p>
          <w:p w14:paraId="7CDD6F27" w14:textId="5102517E"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—has Ashkenazi Jewish ancestry</w:t>
            </w:r>
          </w:p>
          <w:p w14:paraId="55FE2D78" w14:textId="60FD3965" w:rsidR="00E47AB8" w:rsidRPr="008B2F8A" w:rsidRDefault="00E47AB8" w:rsidP="00422306">
            <w:pPr>
              <w:pStyle w:val="NormalWeb"/>
              <w:shd w:val="clear" w:color="auto" w:fill="FFFFFF"/>
              <w:tabs>
                <w:tab w:val="left" w:pos="2835"/>
              </w:tabs>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—is a male relative who has been diagnosed with breast cancer</w:t>
            </w:r>
            <w:r>
              <w:rPr>
                <w:rFonts w:ascii="Arial Narrow" w:eastAsia="SimSun" w:hAnsi="Arial Narrow" w:cs="Tahoma"/>
                <w:sz w:val="20"/>
                <w:szCs w:val="20"/>
                <w:lang w:eastAsia="ja-JP"/>
              </w:rPr>
              <w:t>.</w:t>
            </w:r>
          </w:p>
          <w:p w14:paraId="3971A173" w14:textId="77777777" w:rsidR="00A279C5" w:rsidRDefault="00E47AB8" w:rsidP="00A279C5">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(C) 1 first- or second-degree relative diagnosed with breast cancer at age 45 years or younger, plus another first- or second-degree relative on the same side of the family with bone or soft tissue sarcoma at age 45 years or younger; or</w:t>
            </w:r>
          </w:p>
          <w:p w14:paraId="13F27C07" w14:textId="574B9144" w:rsidR="00E47AB8" w:rsidRPr="008B2F8A" w:rsidRDefault="0028513C" w:rsidP="00A279C5">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sz w:val="20"/>
                <w:szCs w:val="20"/>
                <w:lang w:eastAsia="ja-JP"/>
              </w:rPr>
            </w:pPr>
            <w:r>
              <w:rPr>
                <w:rFonts w:ascii="Arial Narrow" w:eastAsia="SimSun" w:hAnsi="Arial Narrow" w:cs="Tahoma"/>
                <w:sz w:val="20"/>
                <w:szCs w:val="20"/>
                <w:lang w:eastAsia="ja-JP"/>
              </w:rPr>
              <w:t xml:space="preserve"> </w:t>
            </w:r>
            <w:r w:rsidR="00E47AB8" w:rsidRPr="008B2F8A">
              <w:rPr>
                <w:rFonts w:ascii="Arial Narrow" w:eastAsia="SimSun" w:hAnsi="Arial Narrow" w:cs="Tahoma"/>
                <w:sz w:val="20"/>
                <w:szCs w:val="20"/>
                <w:lang w:eastAsia="ja-JP"/>
              </w:rPr>
              <w:t>(ii) that genetic testing has identified the presence of a high-risk breast cancer gene mutation</w:t>
            </w:r>
          </w:p>
          <w:p w14:paraId="2CE608B4" w14:textId="77777777" w:rsidR="00E47AB8" w:rsidRPr="008B2F8A" w:rsidRDefault="00E47AB8" w:rsidP="00422306">
            <w:pPr>
              <w:pStyle w:val="NormalWeb"/>
              <w:shd w:val="clear" w:color="auto" w:fill="FFFFFF"/>
              <w:tabs>
                <w:tab w:val="left" w:pos="2835"/>
              </w:tabs>
              <w:spacing w:before="40" w:beforeAutospacing="0" w:after="80" w:afterAutospacing="0" w:line="276" w:lineRule="auto"/>
              <w:ind w:left="284"/>
              <w:textAlignment w:val="top"/>
              <w:rPr>
                <w:rFonts w:ascii="Arial Narrow" w:eastAsia="SimSun" w:hAnsi="Arial Narrow" w:cs="Tahoma"/>
                <w:b/>
                <w:i/>
                <w:sz w:val="20"/>
                <w:szCs w:val="20"/>
                <w:lang w:eastAsia="ja-JP"/>
              </w:rPr>
            </w:pPr>
            <w:r w:rsidRPr="008B2F8A">
              <w:rPr>
                <w:rFonts w:ascii="Arial Narrow" w:eastAsia="SimSun" w:hAnsi="Arial Narrow" w:cs="Tahoma"/>
                <w:b/>
                <w:i/>
                <w:sz w:val="20"/>
                <w:szCs w:val="20"/>
                <w:lang w:eastAsia="ja-JP"/>
              </w:rPr>
              <w:t>(D) prior history of treatment for invasive breast cancer</w:t>
            </w:r>
          </w:p>
          <w:p w14:paraId="6E77B733" w14:textId="77777777" w:rsidR="00E47AB8" w:rsidRPr="008B2F8A" w:rsidRDefault="00E47AB8" w:rsidP="00422306">
            <w:pPr>
              <w:autoSpaceDE w:val="0"/>
              <w:autoSpaceDN w:val="0"/>
              <w:adjustRightInd w:val="0"/>
              <w:spacing w:before="40" w:after="80"/>
              <w:ind w:left="284"/>
              <w:rPr>
                <w:rFonts w:ascii="Arial Narrow" w:hAnsi="Arial Narrow"/>
                <w:b/>
                <w:i/>
                <w:sz w:val="20"/>
                <w:szCs w:val="20"/>
                <w:lang w:eastAsia="ja-JP"/>
              </w:rPr>
            </w:pPr>
            <w:r w:rsidRPr="008B2F8A">
              <w:rPr>
                <w:rFonts w:ascii="Arial Narrow" w:hAnsi="Arial Narrow"/>
                <w:b/>
                <w:i/>
                <w:sz w:val="20"/>
                <w:szCs w:val="20"/>
                <w:lang w:eastAsia="ja-JP"/>
              </w:rPr>
              <w:t>(E) prior history of treatment for ductal carcinoma in situ (DCIS) or lobular carcinoma in situ (LCIS)</w:t>
            </w:r>
          </w:p>
          <w:p w14:paraId="24B62D2D" w14:textId="5104CF49" w:rsidR="00E47AB8" w:rsidRPr="008B2F8A" w:rsidRDefault="00E47AB8" w:rsidP="0028513C">
            <w:pPr>
              <w:pStyle w:val="NoSpacing"/>
              <w:spacing w:before="40" w:after="80" w:line="276" w:lineRule="auto"/>
              <w:ind w:left="284"/>
              <w:rPr>
                <w:rFonts w:ascii="Arial Narrow" w:eastAsia="SimSun" w:hAnsi="Arial Narrow" w:cs="Tahoma"/>
                <w:b/>
                <w:i/>
                <w:sz w:val="20"/>
                <w:szCs w:val="20"/>
                <w:lang w:val="en-AU" w:eastAsia="ja-JP"/>
              </w:rPr>
            </w:pPr>
            <w:r w:rsidRPr="008B2F8A">
              <w:rPr>
                <w:rFonts w:ascii="Arial Narrow" w:eastAsia="SimSun" w:hAnsi="Arial Narrow" w:cs="Tahoma"/>
                <w:b/>
                <w:i/>
                <w:sz w:val="20"/>
                <w:szCs w:val="20"/>
                <w:lang w:val="en-AU" w:eastAsia="ja-JP"/>
              </w:rPr>
              <w:t>(F) with a history of therapeutic radiation treatment to the chest area between the ages of 10 and 35 years</w:t>
            </w:r>
          </w:p>
          <w:p w14:paraId="393689F9"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Scan of both breasts</w:t>
            </w:r>
            <w:r w:rsidRPr="008B2F8A">
              <w:rPr>
                <w:rFonts w:ascii="Arial Narrow" w:eastAsia="SimSun" w:hAnsi="Arial Narrow" w:cs="Tahoma"/>
                <w:sz w:val="20"/>
                <w:szCs w:val="20"/>
                <w:lang w:eastAsia="ja-JP"/>
              </w:rPr>
              <w:t> for:</w:t>
            </w:r>
          </w:p>
          <w:p w14:paraId="7C57FA62"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lastRenderedPageBreak/>
              <w:t>—detection of cancer (R)</w:t>
            </w:r>
          </w:p>
          <w:p w14:paraId="562D7524" w14:textId="40910261"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Style w:val="Strong"/>
                <w:rFonts w:ascii="Arial Narrow" w:hAnsi="Arial Narrow"/>
                <w:sz w:val="20"/>
                <w:szCs w:val="20"/>
              </w:rPr>
              <w:t>Note: Benefits are payable on one occasion only in any 12-month period</w:t>
            </w:r>
            <w:r>
              <w:rPr>
                <w:rStyle w:val="Strong"/>
                <w:rFonts w:ascii="Arial Narrow" w:hAnsi="Arial Narrow"/>
                <w:sz w:val="20"/>
                <w:szCs w:val="20"/>
              </w:rPr>
              <w:t>.</w:t>
            </w:r>
          </w:p>
          <w:p w14:paraId="28F3C384" w14:textId="16151B6F"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Fee: $690.00</w:t>
            </w:r>
            <w:r>
              <w:rPr>
                <w:rFonts w:ascii="Arial Narrow" w:eastAsia="SimSun" w:hAnsi="Arial Narrow" w:cs="Tahoma"/>
                <w:sz w:val="20"/>
                <w:szCs w:val="20"/>
                <w:lang w:eastAsia="ja-JP"/>
              </w:rPr>
              <w:t> </w:t>
            </w:r>
            <w:r w:rsidRPr="008B2F8A">
              <w:rPr>
                <w:rFonts w:ascii="Arial Narrow" w:eastAsia="SimSun" w:hAnsi="Arial Narrow" w:cs="Tahoma"/>
                <w:sz w:val="20"/>
                <w:szCs w:val="20"/>
                <w:lang w:eastAsia="ja-JP"/>
              </w:rPr>
              <w:t>Benefit: 75% = $517.50</w:t>
            </w:r>
            <w:r>
              <w:rPr>
                <w:rFonts w:ascii="Arial Narrow" w:eastAsia="SimSun" w:hAnsi="Arial Narrow" w:cs="Tahoma"/>
                <w:sz w:val="20"/>
                <w:szCs w:val="20"/>
                <w:lang w:eastAsia="ja-JP"/>
              </w:rPr>
              <w:t>,</w:t>
            </w:r>
            <w:r w:rsidRPr="008B2F8A">
              <w:rPr>
                <w:rFonts w:ascii="Arial Narrow" w:eastAsia="SimSun" w:hAnsi="Arial Narrow" w:cs="Tahoma"/>
                <w:sz w:val="20"/>
                <w:szCs w:val="20"/>
                <w:lang w:eastAsia="ja-JP"/>
              </w:rPr>
              <w:t xml:space="preserve"> 85% = $613.80</w:t>
            </w:r>
          </w:p>
          <w:p w14:paraId="2AA065D6" w14:textId="77777777" w:rsidR="00E47AB8" w:rsidRPr="008B2F8A" w:rsidRDefault="00E47AB8" w:rsidP="00422306">
            <w:pPr>
              <w:tabs>
                <w:tab w:val="left" w:pos="2835"/>
              </w:tabs>
              <w:spacing w:before="40" w:after="80"/>
              <w:rPr>
                <w:rFonts w:ascii="Arial Narrow" w:hAnsi="Arial Narrow"/>
                <w:sz w:val="20"/>
                <w:szCs w:val="20"/>
                <w:lang w:eastAsia="ja-JP"/>
              </w:rPr>
            </w:pPr>
            <w:r w:rsidRPr="008B2F8A">
              <w:rPr>
                <w:rFonts w:ascii="Arial Narrow" w:hAnsi="Arial Narrow"/>
                <w:sz w:val="20"/>
                <w:szCs w:val="20"/>
                <w:lang w:eastAsia="ja-JP"/>
              </w:rPr>
              <w:t>Relevant explanatory note: Bulk bill incentive</w:t>
            </w:r>
          </w:p>
        </w:tc>
      </w:tr>
      <w:tr w:rsidR="00E47AB8" w:rsidRPr="008B2F8A" w14:paraId="22B222C2" w14:textId="77777777" w:rsidTr="00422306">
        <w:tc>
          <w:tcPr>
            <w:tcW w:w="9082" w:type="dxa"/>
            <w:tcBorders>
              <w:top w:val="single" w:sz="4" w:space="0" w:color="auto"/>
              <w:bottom w:val="single" w:sz="4" w:space="0" w:color="auto"/>
            </w:tcBorders>
          </w:tcPr>
          <w:p w14:paraId="61DF9CEC" w14:textId="77777777" w:rsidR="00E47AB8" w:rsidRPr="008B2F8A" w:rsidRDefault="00E47AB8" w:rsidP="008016EF">
            <w:pPr>
              <w:pStyle w:val="NormalWeb"/>
              <w:keepNext/>
              <w:keepLines/>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lastRenderedPageBreak/>
              <w:t>MBS 63467</w:t>
            </w:r>
          </w:p>
          <w:p w14:paraId="5A93EC44" w14:textId="77777777" w:rsidR="00E47AB8" w:rsidRPr="008B2F8A" w:rsidRDefault="00E47AB8" w:rsidP="008016EF">
            <w:pPr>
              <w:pStyle w:val="NormalWeb"/>
              <w:keepNext/>
              <w:keepLines/>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28513C">
              <w:rPr>
                <w:rFonts w:ascii="Arial Narrow" w:eastAsia="SimSun" w:hAnsi="Arial Narrow" w:cs="Tahoma"/>
                <w:b/>
                <w:sz w:val="20"/>
                <w:szCs w:val="20"/>
                <w:lang w:eastAsia="ja-JP"/>
              </w:rPr>
              <w:t>Magnetic resonance imaging</w:t>
            </w:r>
            <w:r w:rsidRPr="008B2F8A">
              <w:rPr>
                <w:rFonts w:ascii="Arial Narrow" w:eastAsia="SimSun" w:hAnsi="Arial Narrow" w:cs="Tahoma"/>
                <w:sz w:val="20"/>
                <w:szCs w:val="20"/>
                <w:lang w:eastAsia="ja-JP"/>
              </w:rPr>
              <w:t xml:space="preserve"> performed under the professional supervision of an eligible provider at an eligible location where the patient is referred by a specialist or by a consultant physician and where:</w:t>
            </w:r>
          </w:p>
          <w:p w14:paraId="77DBC112"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a dedicated breast coil is used; and</w:t>
            </w:r>
          </w:p>
          <w:p w14:paraId="448ABD9C"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the woman has had an abnormality detected as a result of a service described in item 63464 performed in the previous 12 months</w:t>
            </w:r>
          </w:p>
          <w:p w14:paraId="1998DD12"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Scan of both breasts for:</w:t>
            </w:r>
          </w:p>
          <w:p w14:paraId="1865B563"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—detection of cancer (R)</w:t>
            </w:r>
          </w:p>
          <w:p w14:paraId="10EC5323" w14:textId="42CA1CC8"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Note 1: Benefits are payable on one occasion only in any 12-month period</w:t>
            </w:r>
            <w:r>
              <w:rPr>
                <w:rFonts w:ascii="Arial Narrow" w:eastAsia="SimSun" w:hAnsi="Arial Narrow" w:cs="Tahoma"/>
                <w:b/>
                <w:bCs/>
                <w:sz w:val="20"/>
                <w:szCs w:val="20"/>
                <w:lang w:eastAsia="ja-JP"/>
              </w:rPr>
              <w:t>.</w:t>
            </w:r>
          </w:p>
          <w:p w14:paraId="553E13B8" w14:textId="77777777"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Note 2: This item is intended for follow-up imaging of abnormalities diagnosed on a scan described by item</w:t>
            </w:r>
            <w:r w:rsidRPr="0028513C">
              <w:rPr>
                <w:rFonts w:ascii="Arial Narrow" w:eastAsia="SimSun" w:hAnsi="Arial Narrow" w:cs="Tahoma"/>
                <w:b/>
                <w:sz w:val="20"/>
                <w:szCs w:val="20"/>
                <w:lang w:eastAsia="ja-JP"/>
              </w:rPr>
              <w:t xml:space="preserve"> 63464.</w:t>
            </w:r>
          </w:p>
          <w:p w14:paraId="498767EA" w14:textId="77777777" w:rsidR="00E47AB8" w:rsidRPr="008B2F8A" w:rsidRDefault="005839BC"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hyperlink r:id="rId20" w:history="1">
              <w:r w:rsidR="00E47AB8" w:rsidRPr="008B2F8A">
                <w:rPr>
                  <w:rFonts w:ascii="Arial Narrow" w:eastAsia="SimSun" w:hAnsi="Arial Narrow" w:cs="Tahoma"/>
                  <w:sz w:val="20"/>
                  <w:szCs w:val="20"/>
                  <w:lang w:eastAsia="ja-JP"/>
                </w:rPr>
                <w:t>Bulk bill incentive</w:t>
              </w:r>
            </w:hyperlink>
          </w:p>
          <w:p w14:paraId="6AAA4F53" w14:textId="5EBF0BFB"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sz w:val="20"/>
                <w:szCs w:val="20"/>
              </w:rPr>
            </w:pPr>
            <w:r w:rsidRPr="008B2F8A">
              <w:rPr>
                <w:rFonts w:ascii="Arial Narrow" w:eastAsia="SimSun" w:hAnsi="Arial Narrow" w:cs="Tahoma"/>
                <w:sz w:val="20"/>
                <w:szCs w:val="20"/>
                <w:lang w:eastAsia="ja-JP"/>
              </w:rPr>
              <w:t>Fee: $690.00</w:t>
            </w:r>
            <w:r>
              <w:rPr>
                <w:rFonts w:ascii="Arial Narrow" w:eastAsia="SimSun" w:hAnsi="Arial Narrow" w:cs="Tahoma"/>
                <w:sz w:val="20"/>
                <w:szCs w:val="20"/>
                <w:lang w:eastAsia="ja-JP"/>
              </w:rPr>
              <w:t> </w:t>
            </w:r>
            <w:r w:rsidRPr="008B2F8A">
              <w:rPr>
                <w:rFonts w:ascii="Arial Narrow" w:eastAsia="SimSun" w:hAnsi="Arial Narrow" w:cs="Tahoma"/>
                <w:sz w:val="20"/>
                <w:szCs w:val="20"/>
                <w:lang w:eastAsia="ja-JP"/>
              </w:rPr>
              <w:t>Benefit: 75% = $517.50</w:t>
            </w:r>
            <w:r>
              <w:rPr>
                <w:rFonts w:ascii="Arial Narrow" w:eastAsia="SimSun" w:hAnsi="Arial Narrow" w:cs="Tahoma"/>
                <w:sz w:val="20"/>
                <w:szCs w:val="20"/>
                <w:lang w:eastAsia="ja-JP"/>
              </w:rPr>
              <w:t>,</w:t>
            </w:r>
            <w:r w:rsidRPr="008B2F8A">
              <w:rPr>
                <w:rFonts w:ascii="Arial Narrow" w:eastAsia="SimSun" w:hAnsi="Arial Narrow" w:cs="Tahoma"/>
                <w:sz w:val="20"/>
                <w:szCs w:val="20"/>
                <w:lang w:eastAsia="ja-JP"/>
              </w:rPr>
              <w:t xml:space="preserve"> 85% = $613.80</w:t>
            </w:r>
          </w:p>
        </w:tc>
      </w:tr>
    </w:tbl>
    <w:p w14:paraId="26EC2CC4" w14:textId="623B8887" w:rsidR="00E47AB8" w:rsidRPr="008B2F8A" w:rsidRDefault="00E47AB8" w:rsidP="0028513C">
      <w:pPr>
        <w:pStyle w:val="TableNotesLast"/>
        <w:rPr>
          <w:rFonts w:eastAsia="Arial Narrow"/>
        </w:rPr>
      </w:pPr>
      <w:r w:rsidRPr="008B2F8A">
        <w:rPr>
          <w:rFonts w:eastAsia="Arial Narrow"/>
        </w:rPr>
        <w:t>Source: Final Decision-Analytic Protocol</w:t>
      </w:r>
      <w:r>
        <w:rPr>
          <w:rFonts w:eastAsia="Arial Narrow"/>
        </w:rPr>
        <w:t>,</w:t>
      </w:r>
      <w:r w:rsidRPr="008B2F8A" w:rsidDel="00D3092E">
        <w:rPr>
          <w:rFonts w:eastAsia="Arial Narrow"/>
        </w:rPr>
        <w:t xml:space="preserve"> </w:t>
      </w:r>
      <w:r w:rsidRPr="008B2F8A">
        <w:rPr>
          <w:rFonts w:eastAsia="Arial Narrow"/>
        </w:rPr>
        <w:t>Table 2</w:t>
      </w:r>
      <w:r>
        <w:rPr>
          <w:rFonts w:eastAsia="Arial Narrow"/>
        </w:rPr>
        <w:t>,</w:t>
      </w:r>
      <w:r w:rsidRPr="008B2F8A">
        <w:rPr>
          <w:rFonts w:eastAsia="Arial Narrow"/>
        </w:rPr>
        <w:t xml:space="preserve"> p</w:t>
      </w:r>
      <w:r>
        <w:rPr>
          <w:rFonts w:eastAsia="Arial Narrow"/>
        </w:rPr>
        <w:t xml:space="preserve">. </w:t>
      </w:r>
      <w:r w:rsidRPr="008B2F8A">
        <w:rPr>
          <w:rFonts w:eastAsia="Arial Narrow"/>
        </w:rPr>
        <w:t>9; MBS = Medicare Benefits Schedule.</w:t>
      </w:r>
    </w:p>
    <w:p w14:paraId="4D7E2F32" w14:textId="77777777" w:rsidR="00E47AB8" w:rsidRPr="008B2F8A" w:rsidRDefault="00E47AB8" w:rsidP="00E47AB8">
      <w:pPr>
        <w:pStyle w:val="Heading3"/>
        <w:numPr>
          <w:ilvl w:val="2"/>
          <w:numId w:val="10"/>
        </w:numPr>
        <w:rPr>
          <w:rFonts w:eastAsia="Tahoma"/>
        </w:rPr>
      </w:pPr>
      <w:bookmarkStart w:id="338" w:name="_Toc383424435"/>
      <w:r w:rsidRPr="008B2F8A">
        <w:t>Current arrangements for public reimbursement of breast MRI</w:t>
      </w:r>
      <w:bookmarkEnd w:id="338"/>
    </w:p>
    <w:p w14:paraId="7CE582C1" w14:textId="77777777" w:rsidR="00E47AB8" w:rsidRPr="008B2F8A" w:rsidRDefault="00E47AB8" w:rsidP="00422306">
      <w:pPr>
        <w:rPr>
          <w:rFonts w:eastAsia="Tahoma" w:cs="Tahoma"/>
          <w:sz w:val="24"/>
          <w:szCs w:val="24"/>
        </w:rPr>
      </w:pPr>
      <w:r w:rsidRPr="008B2F8A">
        <w:t xml:space="preserve">In 2007, MSAC recommended </w:t>
      </w:r>
      <w:r w:rsidRPr="008B2F8A">
        <w:rPr>
          <w:b/>
          <w:bCs/>
          <w:w w:val="95"/>
        </w:rPr>
        <w:t xml:space="preserve">interim </w:t>
      </w:r>
      <w:r w:rsidRPr="008B2F8A">
        <w:t>public funding for breast MRI in the surveillance of breast cancer in asymptomatic women with a high risk of developing breast cancer when used as part of an organised screening program.</w:t>
      </w:r>
    </w:p>
    <w:p w14:paraId="0BD60E0B" w14:textId="784BDFCF" w:rsidR="00E47AB8" w:rsidRPr="008B2F8A" w:rsidRDefault="00E47AB8" w:rsidP="00422306">
      <w:pPr>
        <w:rPr>
          <w:rFonts w:eastAsia="Tahoma" w:cs="Tahoma"/>
          <w:sz w:val="24"/>
          <w:szCs w:val="24"/>
        </w:rPr>
      </w:pPr>
      <w:r w:rsidRPr="008B2F8A">
        <w:t>In February 2009, the government acted on MSAC advice and listed breast MRI on the MBS</w:t>
      </w:r>
      <w:r>
        <w:t xml:space="preserve"> as </w:t>
      </w:r>
      <w:r w:rsidRPr="008B2F8A">
        <w:t>item numbers 63464 and 63467 (</w:t>
      </w:r>
      <w:r w:rsidRPr="008B2F8A">
        <w:fldChar w:fldCharType="begin"/>
      </w:r>
      <w:r w:rsidRPr="008B2F8A">
        <w:instrText xml:space="preserve"> REF _Ref368495104 \h </w:instrText>
      </w:r>
      <w:r w:rsidRPr="008B2F8A">
        <w:fldChar w:fldCharType="separate"/>
      </w:r>
      <w:r w:rsidR="00B81273" w:rsidRPr="008B2F8A">
        <w:t xml:space="preserve">Table </w:t>
      </w:r>
      <w:r w:rsidR="00B81273">
        <w:rPr>
          <w:noProof/>
        </w:rPr>
        <w:t>A</w:t>
      </w:r>
      <w:r w:rsidR="00B81273" w:rsidRPr="008B2F8A">
        <w:t>.</w:t>
      </w:r>
      <w:r w:rsidR="00B81273">
        <w:rPr>
          <w:noProof/>
        </w:rPr>
        <w:t>5</w:t>
      </w:r>
      <w:r w:rsidRPr="008B2F8A">
        <w:fldChar w:fldCharType="end"/>
      </w:r>
      <w:r w:rsidRPr="008B2F8A">
        <w:t>).</w:t>
      </w:r>
    </w:p>
    <w:p w14:paraId="2DE56D13" w14:textId="77777777" w:rsidR="00E47AB8" w:rsidRPr="008B2F8A" w:rsidRDefault="00E47AB8" w:rsidP="00422306">
      <w:pPr>
        <w:pStyle w:val="Caption"/>
      </w:pPr>
      <w:bookmarkStart w:id="339" w:name="_Ref368495104"/>
      <w:bookmarkStart w:id="340" w:name="_Toc383424561"/>
      <w:r w:rsidRPr="008B2F8A">
        <w:t xml:space="preserve">Table </w:t>
      </w:r>
      <w:fldSimple w:instr=" STYLEREF 1 \s ">
        <w:r w:rsidR="00B81273">
          <w:rPr>
            <w:noProof/>
          </w:rPr>
          <w:t>A</w:t>
        </w:r>
      </w:fldSimple>
      <w:r w:rsidRPr="008B2F8A">
        <w:t>.</w:t>
      </w:r>
      <w:fldSimple w:instr=" SEQ Table \* ARABIC \s 1 ">
        <w:r w:rsidR="00B81273">
          <w:rPr>
            <w:noProof/>
          </w:rPr>
          <w:t>5</w:t>
        </w:r>
      </w:fldSimple>
      <w:bookmarkEnd w:id="339"/>
      <w:r w:rsidRPr="008B2F8A">
        <w:tab/>
      </w:r>
      <w:bookmarkStart w:id="341" w:name="OLE_LINK968"/>
      <w:bookmarkStart w:id="342" w:name="OLE_LINK969"/>
      <w:r w:rsidRPr="008B2F8A">
        <w:t>Current MBS item descriptor for breast MRI</w:t>
      </w:r>
      <w:bookmarkEnd w:id="341"/>
      <w:bookmarkEnd w:id="342"/>
      <w:r w:rsidRPr="008B2F8A">
        <w:t>.</w:t>
      </w:r>
      <w:bookmarkEnd w:id="340"/>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Caption w:val="Current MBS item descriptor for breast MRI"/>
      </w:tblPr>
      <w:tblGrid>
        <w:gridCol w:w="9070"/>
      </w:tblGrid>
      <w:tr w:rsidR="00E47AB8" w:rsidRPr="008B2F8A" w14:paraId="01BF2B61" w14:textId="77777777" w:rsidTr="00422306">
        <w:trPr>
          <w:tblHeader/>
        </w:trPr>
        <w:tc>
          <w:tcPr>
            <w:tcW w:w="9082" w:type="dxa"/>
          </w:tcPr>
          <w:p w14:paraId="55964AC4" w14:textId="77777777" w:rsidR="00E47AB8" w:rsidRPr="008B2F8A" w:rsidRDefault="00E47AB8" w:rsidP="00422306">
            <w:pPr>
              <w:spacing w:before="40" w:after="80"/>
              <w:jc w:val="right"/>
              <w:rPr>
                <w:rFonts w:ascii="Arial Narrow" w:hAnsi="Arial Narrow"/>
                <w:b/>
                <w:sz w:val="20"/>
                <w:szCs w:val="20"/>
                <w:lang w:eastAsia="ja-JP"/>
              </w:rPr>
            </w:pPr>
            <w:r w:rsidRPr="008B2F8A">
              <w:rPr>
                <w:rFonts w:ascii="Arial Narrow" w:hAnsi="Arial Narrow"/>
                <w:b/>
                <w:sz w:val="20"/>
                <w:szCs w:val="20"/>
                <w:lang w:eastAsia="ja-JP"/>
              </w:rPr>
              <w:t>Category 5—Diagnostic Imaging Services</w:t>
            </w:r>
          </w:p>
        </w:tc>
      </w:tr>
      <w:tr w:rsidR="00E47AB8" w:rsidRPr="008B2F8A" w14:paraId="26319D87" w14:textId="77777777" w:rsidTr="00422306">
        <w:tc>
          <w:tcPr>
            <w:tcW w:w="9082" w:type="dxa"/>
          </w:tcPr>
          <w:p w14:paraId="1DEFEA7A" w14:textId="77777777" w:rsidR="00E47AB8" w:rsidRPr="008B2F8A" w:rsidRDefault="00E47AB8" w:rsidP="00422306">
            <w:pPr>
              <w:spacing w:before="40" w:after="80"/>
              <w:rPr>
                <w:rFonts w:ascii="Arial Narrow" w:hAnsi="Arial Narrow"/>
                <w:sz w:val="20"/>
                <w:szCs w:val="20"/>
                <w:lang w:eastAsia="ja-JP"/>
              </w:rPr>
            </w:pPr>
            <w:r w:rsidRPr="008B2F8A">
              <w:rPr>
                <w:rFonts w:ascii="Arial Narrow" w:hAnsi="Arial Narrow"/>
                <w:sz w:val="20"/>
                <w:szCs w:val="20"/>
                <w:lang w:eastAsia="ja-JP"/>
              </w:rPr>
              <w:t xml:space="preserve">MBS </w:t>
            </w:r>
            <w:hyperlink r:id="rId21" w:history="1">
              <w:r w:rsidRPr="008B2F8A">
                <w:rPr>
                  <w:rFonts w:ascii="Arial Narrow" w:hAnsi="Arial Narrow"/>
                  <w:sz w:val="20"/>
                  <w:szCs w:val="20"/>
                  <w:lang w:eastAsia="ja-JP"/>
                </w:rPr>
                <w:t>63464</w:t>
              </w:r>
            </w:hyperlink>
          </w:p>
          <w:p w14:paraId="180313AE"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sz w:val="20"/>
                <w:szCs w:val="20"/>
                <w:lang w:eastAsia="ja-JP"/>
              </w:rPr>
              <w:t>Magnetic resonance imaging</w:t>
            </w:r>
            <w:r w:rsidRPr="008B2F8A">
              <w:rPr>
                <w:rFonts w:ascii="Arial Narrow" w:eastAsia="SimSun" w:hAnsi="Arial Narrow" w:cs="Tahoma"/>
                <w:sz w:val="20"/>
                <w:szCs w:val="20"/>
                <w:lang w:eastAsia="ja-JP"/>
              </w:rPr>
              <w:t xml:space="preserve"> performed under the professional supervision of an eligible provider at an eligible location where the patient is referred by a specialist or by a consultant physician and where:</w:t>
            </w:r>
          </w:p>
          <w:p w14:paraId="4916BE05"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a dedicated breast coil is used; and</w:t>
            </w:r>
          </w:p>
          <w:p w14:paraId="0884AE6C" w14:textId="11D60E66"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the request for scan identifies that the woman is asymptomatic and is &lt;50 years of age; and</w:t>
            </w:r>
          </w:p>
          <w:p w14:paraId="65240839"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(c)</w:t>
            </w:r>
            <w:r>
              <w:rPr>
                <w:rFonts w:ascii="Arial Narrow" w:eastAsia="SimSun" w:hAnsi="Arial Narrow" w:cs="Tahoma"/>
                <w:sz w:val="20"/>
                <w:szCs w:val="20"/>
                <w:lang w:eastAsia="ja-JP"/>
              </w:rPr>
              <w:t xml:space="preserve"> </w:t>
            </w:r>
            <w:r w:rsidRPr="008B2F8A">
              <w:rPr>
                <w:rFonts w:ascii="Arial Narrow" w:eastAsia="SimSun" w:hAnsi="Arial Narrow" w:cs="Tahoma"/>
                <w:sz w:val="20"/>
                <w:szCs w:val="20"/>
                <w:lang w:eastAsia="ja-JP"/>
              </w:rPr>
              <w:t>the request for scan identifies either:</w:t>
            </w:r>
          </w:p>
          <w:p w14:paraId="325C6C3E" w14:textId="1CF057BA"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(i) that the patient is at high risk of developing breast cancer due to one of the following:</w:t>
            </w:r>
          </w:p>
          <w:p w14:paraId="139CFA8D" w14:textId="4B623982" w:rsidR="00E47AB8" w:rsidRPr="008B2F8A" w:rsidRDefault="00E47AB8" w:rsidP="0028513C">
            <w:pPr>
              <w:pStyle w:val="NormalWeb"/>
              <w:shd w:val="clear" w:color="auto" w:fill="FFFFFF"/>
              <w:spacing w:before="40" w:beforeAutospacing="0" w:after="80" w:afterAutospacing="0" w:line="276" w:lineRule="auto"/>
              <w:ind w:left="284"/>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3 or more first- or second-degree relatives on the same side of the family diagnosed with breast or ovarian cancer;</w:t>
            </w:r>
          </w:p>
          <w:p w14:paraId="4BBEFE14" w14:textId="1245203F" w:rsidR="00E47AB8" w:rsidRPr="008B2F8A" w:rsidRDefault="00E47AB8" w:rsidP="0028513C">
            <w:pPr>
              <w:pStyle w:val="NormalWeb"/>
              <w:shd w:val="clear" w:color="auto" w:fill="FFFFFF"/>
              <w:spacing w:before="40" w:beforeAutospacing="0" w:after="80" w:afterAutospacing="0" w:line="276" w:lineRule="auto"/>
              <w:ind w:left="284"/>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2 or more first- or second-degree relatives on the same side of the family diagnosed with breast or ovarian cancer, if any of the following applies to at least 1 of the relatives</w:t>
            </w:r>
            <w:r>
              <w:rPr>
                <w:rFonts w:ascii="Arial Narrow" w:eastAsia="SimSun" w:hAnsi="Arial Narrow" w:cs="Tahoma"/>
                <w:sz w:val="20"/>
                <w:szCs w:val="20"/>
                <w:lang w:eastAsia="ja-JP"/>
              </w:rPr>
              <w:t>:</w:t>
            </w:r>
          </w:p>
          <w:p w14:paraId="79263009" w14:textId="00F2D992" w:rsidR="00E47AB8" w:rsidRPr="008B2F8A" w:rsidRDefault="00E47AB8" w:rsidP="00422306">
            <w:pPr>
              <w:pStyle w:val="NormalWeb"/>
              <w:shd w:val="clear" w:color="auto" w:fill="FFFFFF"/>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—has been diagnosed with bilateral breast cancer</w:t>
            </w:r>
          </w:p>
          <w:p w14:paraId="490DC341" w14:textId="7F9170DB" w:rsidR="00E47AB8" w:rsidRPr="008B2F8A" w:rsidRDefault="00E47AB8" w:rsidP="00422306">
            <w:pPr>
              <w:pStyle w:val="NormalWeb"/>
              <w:shd w:val="clear" w:color="auto" w:fill="FFFFFF"/>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—had onset of breast cancer before the age of 40 years</w:t>
            </w:r>
          </w:p>
          <w:p w14:paraId="3008635D" w14:textId="09A371F5" w:rsidR="00E47AB8" w:rsidRPr="008B2F8A" w:rsidRDefault="00E47AB8" w:rsidP="00422306">
            <w:pPr>
              <w:pStyle w:val="NormalWeb"/>
              <w:shd w:val="clear" w:color="auto" w:fill="FFFFFF"/>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—had onset of ovarian cancer before the age of 50 years</w:t>
            </w:r>
          </w:p>
          <w:p w14:paraId="4CD8BCF4" w14:textId="5E576E56" w:rsidR="00E47AB8" w:rsidRPr="008B2F8A" w:rsidRDefault="00E47AB8" w:rsidP="00422306">
            <w:pPr>
              <w:pStyle w:val="NormalWeb"/>
              <w:shd w:val="clear" w:color="auto" w:fill="FFFFFF"/>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lastRenderedPageBreak/>
              <w:tab/>
              <w:t>—has been diagnosed with breast and ovarian cancer, at the same time or at different times</w:t>
            </w:r>
          </w:p>
          <w:p w14:paraId="31D5B223" w14:textId="5B30CB22" w:rsidR="00E47AB8" w:rsidRPr="008B2F8A" w:rsidRDefault="00E47AB8" w:rsidP="00422306">
            <w:pPr>
              <w:pStyle w:val="NormalWeb"/>
              <w:shd w:val="clear" w:color="auto" w:fill="FFFFFF"/>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—has Ashkenazi Jewish ancestry</w:t>
            </w:r>
          </w:p>
          <w:p w14:paraId="6E1FA5DB" w14:textId="79EDB4C9" w:rsidR="00E47AB8" w:rsidRPr="008B2F8A" w:rsidRDefault="00E47AB8" w:rsidP="00422306">
            <w:pPr>
              <w:pStyle w:val="NormalWeb"/>
              <w:shd w:val="clear" w:color="auto" w:fill="FFFFFF"/>
              <w:spacing w:before="40" w:beforeAutospacing="0" w:after="80" w:afterAutospacing="0" w:line="276" w:lineRule="auto"/>
              <w:ind w:left="568" w:hanging="568"/>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b/>
              <w:t>—is a male relative who has been diagnosed with breast cancer</w:t>
            </w:r>
            <w:r>
              <w:rPr>
                <w:rFonts w:ascii="Arial Narrow" w:eastAsia="SimSun" w:hAnsi="Arial Narrow" w:cs="Tahoma"/>
                <w:sz w:val="20"/>
                <w:szCs w:val="20"/>
                <w:lang w:eastAsia="ja-JP"/>
              </w:rPr>
              <w:t>.</w:t>
            </w:r>
          </w:p>
          <w:p w14:paraId="3200B851" w14:textId="6308B419" w:rsidR="00E47AB8" w:rsidRPr="008B2F8A" w:rsidRDefault="00E47AB8" w:rsidP="0028513C">
            <w:pPr>
              <w:pStyle w:val="NormalWeb"/>
              <w:shd w:val="clear" w:color="auto" w:fill="FFFFFF"/>
              <w:spacing w:before="40" w:beforeAutospacing="0" w:after="80" w:afterAutospacing="0" w:line="276" w:lineRule="auto"/>
              <w:ind w:left="284"/>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(C) 1 first- or second-degree relative diagnosed with breast cancer at age 45 years or younger, plus another first- or second-degree relative on the same side of the family with bone or soft tissue sarcoma at age 45 years or younger; or</w:t>
            </w:r>
          </w:p>
          <w:p w14:paraId="60ABDA95" w14:textId="5FF2034A"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(ii) that genetic testing has identified the presence of a high-risk breast cancer gene mutation</w:t>
            </w:r>
          </w:p>
          <w:p w14:paraId="20759181"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Scan of both breasts</w:t>
            </w:r>
            <w:r w:rsidRPr="008B2F8A">
              <w:rPr>
                <w:rFonts w:ascii="Arial Narrow" w:eastAsia="SimSun" w:hAnsi="Arial Narrow" w:cs="Tahoma"/>
                <w:sz w:val="20"/>
                <w:szCs w:val="20"/>
                <w:lang w:eastAsia="ja-JP"/>
              </w:rPr>
              <w:t> for:</w:t>
            </w:r>
          </w:p>
          <w:p w14:paraId="595BC453"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—detection of cancer (R)</w:t>
            </w:r>
          </w:p>
          <w:p w14:paraId="3087826A" w14:textId="62751069" w:rsidR="00E47AB8" w:rsidRPr="008B2F8A" w:rsidRDefault="00E47AB8" w:rsidP="00422306">
            <w:pPr>
              <w:pStyle w:val="NormalWeb"/>
              <w:shd w:val="clear" w:color="auto" w:fill="FFFFFF"/>
              <w:tabs>
                <w:tab w:val="left" w:pos="2835"/>
              </w:tabs>
              <w:spacing w:before="40" w:beforeAutospacing="0" w:after="80" w:afterAutospacing="0" w:line="276" w:lineRule="auto"/>
              <w:textAlignment w:val="top"/>
              <w:rPr>
                <w:rFonts w:ascii="Arial Narrow" w:eastAsia="SimSun" w:hAnsi="Arial Narrow" w:cs="Tahoma"/>
                <w:sz w:val="20"/>
                <w:szCs w:val="20"/>
                <w:lang w:eastAsia="ja-JP"/>
              </w:rPr>
            </w:pPr>
            <w:r w:rsidRPr="008B2F8A">
              <w:rPr>
                <w:rStyle w:val="Strong"/>
                <w:rFonts w:ascii="Arial Narrow" w:hAnsi="Arial Narrow"/>
                <w:sz w:val="20"/>
                <w:szCs w:val="20"/>
              </w:rPr>
              <w:t>Note: Benefits are payable on one occasion only in any 12-month period</w:t>
            </w:r>
            <w:r>
              <w:rPr>
                <w:rStyle w:val="Strong"/>
                <w:rFonts w:ascii="Arial Narrow" w:hAnsi="Arial Narrow"/>
                <w:sz w:val="20"/>
                <w:szCs w:val="20"/>
              </w:rPr>
              <w:t>.</w:t>
            </w:r>
          </w:p>
          <w:p w14:paraId="59A2E350" w14:textId="10CF9586" w:rsidR="00E47AB8" w:rsidRPr="008B2F8A" w:rsidRDefault="00E47AB8" w:rsidP="00422306">
            <w:pPr>
              <w:spacing w:before="40" w:after="80"/>
              <w:rPr>
                <w:rFonts w:ascii="Arial Narrow" w:hAnsi="Arial Narrow"/>
                <w:sz w:val="20"/>
                <w:szCs w:val="20"/>
                <w:lang w:eastAsia="ja-JP"/>
              </w:rPr>
            </w:pPr>
            <w:r w:rsidRPr="008B2F8A">
              <w:rPr>
                <w:rFonts w:ascii="Arial Narrow" w:hAnsi="Arial Narrow"/>
                <w:sz w:val="20"/>
                <w:szCs w:val="20"/>
                <w:lang w:eastAsia="ja-JP"/>
              </w:rPr>
              <w:t>(Anaes.) Fee: $690.00</w:t>
            </w:r>
            <w:r>
              <w:rPr>
                <w:rFonts w:ascii="Arial Narrow" w:hAnsi="Arial Narrow"/>
                <w:sz w:val="20"/>
                <w:szCs w:val="20"/>
                <w:lang w:eastAsia="ja-JP"/>
              </w:rPr>
              <w:t> </w:t>
            </w:r>
            <w:r w:rsidRPr="008B2F8A">
              <w:rPr>
                <w:rFonts w:ascii="Arial Narrow" w:hAnsi="Arial Narrow"/>
                <w:sz w:val="20"/>
                <w:szCs w:val="20"/>
                <w:lang w:eastAsia="ja-JP"/>
              </w:rPr>
              <w:t>Benefit: 75% = $517.50</w:t>
            </w:r>
            <w:r>
              <w:rPr>
                <w:rFonts w:ascii="Arial Narrow" w:hAnsi="Arial Narrow"/>
                <w:sz w:val="20"/>
                <w:szCs w:val="20"/>
                <w:lang w:eastAsia="ja-JP"/>
              </w:rPr>
              <w:t>,</w:t>
            </w:r>
            <w:r w:rsidRPr="008B2F8A">
              <w:rPr>
                <w:rFonts w:ascii="Arial Narrow" w:hAnsi="Arial Narrow"/>
                <w:sz w:val="20"/>
                <w:szCs w:val="20"/>
                <w:lang w:eastAsia="ja-JP"/>
              </w:rPr>
              <w:t xml:space="preserve"> 85% = $613.80</w:t>
            </w:r>
          </w:p>
          <w:p w14:paraId="58F766DA" w14:textId="77777777" w:rsidR="00E47AB8" w:rsidRPr="008B2F8A" w:rsidRDefault="00E47AB8" w:rsidP="00422306">
            <w:pPr>
              <w:spacing w:before="40" w:after="80"/>
              <w:rPr>
                <w:rFonts w:ascii="Arial Narrow" w:hAnsi="Arial Narrow"/>
                <w:sz w:val="20"/>
                <w:szCs w:val="20"/>
                <w:lang w:eastAsia="ja-JP"/>
              </w:rPr>
            </w:pPr>
            <w:r w:rsidRPr="008B2F8A">
              <w:rPr>
                <w:rFonts w:ascii="Arial Narrow" w:hAnsi="Arial Narrow"/>
                <w:sz w:val="20"/>
                <w:szCs w:val="20"/>
                <w:lang w:eastAsia="ja-JP"/>
              </w:rPr>
              <w:t>Relevant explanatory note: Bulk bill incentive</w:t>
            </w:r>
          </w:p>
        </w:tc>
      </w:tr>
      <w:tr w:rsidR="00E47AB8" w:rsidRPr="008B2F8A" w14:paraId="1EEC2BCB" w14:textId="77777777" w:rsidTr="00422306">
        <w:tc>
          <w:tcPr>
            <w:tcW w:w="9082" w:type="dxa"/>
          </w:tcPr>
          <w:p w14:paraId="5874FFD6"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lastRenderedPageBreak/>
              <w:t>MBS 63467</w:t>
            </w:r>
          </w:p>
          <w:p w14:paraId="1B878CA3"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sz w:val="20"/>
                <w:szCs w:val="20"/>
                <w:lang w:eastAsia="ja-JP"/>
              </w:rPr>
              <w:t>Magnetic resonance imaging</w:t>
            </w:r>
            <w:r w:rsidRPr="008B2F8A">
              <w:rPr>
                <w:rFonts w:ascii="Arial Narrow" w:eastAsia="SimSun" w:hAnsi="Arial Narrow" w:cs="Tahoma"/>
                <w:sz w:val="20"/>
                <w:szCs w:val="20"/>
                <w:lang w:eastAsia="ja-JP"/>
              </w:rPr>
              <w:t xml:space="preserve"> performed under the professional supervision of an eligible provider at an eligible location where the patient is referred by a specialist or by a consultant physician and where:</w:t>
            </w:r>
          </w:p>
          <w:p w14:paraId="3A2AFF2A"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 a dedicated breast coil is used; and</w:t>
            </w:r>
          </w:p>
          <w:p w14:paraId="7246473C" w14:textId="717AA2C8"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(b) the woman has had an abnormality detected as a result of a service described in item 63464</w:t>
            </w:r>
            <w:r>
              <w:rPr>
                <w:rFonts w:ascii="Arial Narrow" w:eastAsia="SimSun" w:hAnsi="Arial Narrow" w:cs="Tahoma"/>
                <w:sz w:val="20"/>
                <w:szCs w:val="20"/>
                <w:lang w:eastAsia="ja-JP"/>
              </w:rPr>
              <w:t xml:space="preserve"> </w:t>
            </w:r>
            <w:r w:rsidRPr="008B2F8A">
              <w:rPr>
                <w:rFonts w:ascii="Arial Narrow" w:eastAsia="SimSun" w:hAnsi="Arial Narrow" w:cs="Tahoma"/>
                <w:sz w:val="20"/>
                <w:szCs w:val="20"/>
                <w:lang w:eastAsia="ja-JP"/>
              </w:rPr>
              <w:t>performed in the previous 12 months</w:t>
            </w:r>
          </w:p>
          <w:p w14:paraId="0D27C9C0"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Scan of both breasts for:</w:t>
            </w:r>
          </w:p>
          <w:p w14:paraId="4A739574"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—detection of cancer (R)</w:t>
            </w:r>
          </w:p>
          <w:p w14:paraId="4F3960A7" w14:textId="08C3B6C4"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Note 1: Benefits are payable on one occasion only in any 12-month period</w:t>
            </w:r>
            <w:r>
              <w:rPr>
                <w:rFonts w:ascii="Arial Narrow" w:eastAsia="SimSun" w:hAnsi="Arial Narrow" w:cs="Tahoma"/>
                <w:b/>
                <w:bCs/>
                <w:sz w:val="20"/>
                <w:szCs w:val="20"/>
                <w:lang w:eastAsia="ja-JP"/>
              </w:rPr>
              <w:t>.</w:t>
            </w:r>
          </w:p>
          <w:p w14:paraId="673DB484" w14:textId="7777777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b/>
                <w:bCs/>
                <w:sz w:val="20"/>
                <w:szCs w:val="20"/>
                <w:lang w:eastAsia="ja-JP"/>
              </w:rPr>
              <w:t>Note 2: This item is intended for follow-up imaging of abnormalities diagnosed on a scan described by item</w:t>
            </w:r>
            <w:r w:rsidRPr="0028513C">
              <w:rPr>
                <w:rFonts w:ascii="Arial Narrow" w:eastAsia="SimSun" w:hAnsi="Arial Narrow" w:cs="Tahoma"/>
                <w:b/>
                <w:sz w:val="20"/>
                <w:szCs w:val="20"/>
                <w:lang w:eastAsia="ja-JP"/>
              </w:rPr>
              <w:t xml:space="preserve"> 63464</w:t>
            </w:r>
            <w:r>
              <w:rPr>
                <w:rFonts w:ascii="Arial Narrow" w:eastAsia="SimSun" w:hAnsi="Arial Narrow" w:cs="Tahoma"/>
                <w:b/>
                <w:sz w:val="20"/>
                <w:szCs w:val="20"/>
                <w:lang w:eastAsia="ja-JP"/>
              </w:rPr>
              <w:t>.</w:t>
            </w:r>
          </w:p>
          <w:p w14:paraId="45432197" w14:textId="77777777" w:rsidR="00E47AB8" w:rsidRPr="008B2F8A" w:rsidRDefault="005839BC"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hyperlink r:id="rId22" w:history="1">
              <w:r w:rsidR="00E47AB8" w:rsidRPr="008B2F8A">
                <w:rPr>
                  <w:rFonts w:ascii="Arial Narrow" w:eastAsia="SimSun" w:hAnsi="Arial Narrow" w:cs="Tahoma"/>
                  <w:sz w:val="20"/>
                  <w:szCs w:val="20"/>
                  <w:lang w:eastAsia="ja-JP"/>
                </w:rPr>
                <w:t>Bulk bill incentive</w:t>
              </w:r>
            </w:hyperlink>
          </w:p>
          <w:p w14:paraId="3B6C7E70" w14:textId="57472417"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eastAsia="SimSun" w:hAnsi="Arial Narrow" w:cs="Tahoma"/>
                <w:sz w:val="20"/>
                <w:szCs w:val="20"/>
                <w:lang w:eastAsia="ja-JP"/>
              </w:rPr>
            </w:pPr>
            <w:r w:rsidRPr="008B2F8A">
              <w:rPr>
                <w:rFonts w:ascii="Arial Narrow" w:eastAsia="SimSun" w:hAnsi="Arial Narrow" w:cs="Tahoma"/>
                <w:sz w:val="20"/>
                <w:szCs w:val="20"/>
                <w:lang w:eastAsia="ja-JP"/>
              </w:rPr>
              <w:t>(Anaes.)</w:t>
            </w:r>
          </w:p>
          <w:p w14:paraId="4C3B6DB2" w14:textId="5F406A9C" w:rsidR="00E47AB8" w:rsidRPr="008B2F8A" w:rsidRDefault="00E47AB8" w:rsidP="00422306">
            <w:pPr>
              <w:pStyle w:val="NormalWeb"/>
              <w:shd w:val="clear" w:color="auto" w:fill="FFFFFF"/>
              <w:spacing w:before="40" w:beforeAutospacing="0" w:after="80" w:afterAutospacing="0" w:line="276" w:lineRule="auto"/>
              <w:textAlignment w:val="top"/>
              <w:rPr>
                <w:rFonts w:ascii="Arial Narrow" w:hAnsi="Arial Narrow"/>
                <w:sz w:val="20"/>
                <w:szCs w:val="20"/>
                <w:lang w:eastAsia="ja-JP"/>
              </w:rPr>
            </w:pPr>
            <w:r w:rsidRPr="008B2F8A">
              <w:rPr>
                <w:rFonts w:ascii="Arial Narrow" w:eastAsia="SimSun" w:hAnsi="Arial Narrow" w:cs="Tahoma"/>
                <w:sz w:val="20"/>
                <w:szCs w:val="20"/>
                <w:lang w:eastAsia="ja-JP"/>
              </w:rPr>
              <w:t>Fee: $690.00</w:t>
            </w:r>
            <w:r>
              <w:rPr>
                <w:rFonts w:ascii="Arial Narrow" w:eastAsia="SimSun" w:hAnsi="Arial Narrow" w:cs="Tahoma"/>
                <w:sz w:val="20"/>
                <w:szCs w:val="20"/>
                <w:lang w:eastAsia="ja-JP"/>
              </w:rPr>
              <w:t> </w:t>
            </w:r>
            <w:r w:rsidRPr="008B2F8A">
              <w:rPr>
                <w:rFonts w:ascii="Arial Narrow" w:eastAsia="SimSun" w:hAnsi="Arial Narrow" w:cs="Tahoma"/>
                <w:sz w:val="20"/>
                <w:szCs w:val="20"/>
                <w:lang w:eastAsia="ja-JP"/>
              </w:rPr>
              <w:t>Benefit: 75% = $517.50</w:t>
            </w:r>
            <w:r>
              <w:rPr>
                <w:rFonts w:ascii="Arial Narrow" w:eastAsia="SimSun" w:hAnsi="Arial Narrow" w:cs="Tahoma"/>
                <w:sz w:val="20"/>
                <w:szCs w:val="20"/>
                <w:lang w:eastAsia="ja-JP"/>
              </w:rPr>
              <w:t>,</w:t>
            </w:r>
            <w:r w:rsidRPr="008B2F8A">
              <w:rPr>
                <w:rFonts w:ascii="Arial Narrow" w:eastAsia="SimSun" w:hAnsi="Arial Narrow" w:cs="Tahoma"/>
                <w:sz w:val="20"/>
                <w:szCs w:val="20"/>
                <w:lang w:eastAsia="ja-JP"/>
              </w:rPr>
              <w:t xml:space="preserve"> 85% = $613.80</w:t>
            </w:r>
          </w:p>
        </w:tc>
      </w:tr>
    </w:tbl>
    <w:p w14:paraId="6558D453" w14:textId="4546BDDC" w:rsidR="00E47AB8" w:rsidRPr="008B2F8A" w:rsidRDefault="00E47AB8" w:rsidP="0028513C">
      <w:pPr>
        <w:pStyle w:val="TableNotesLast"/>
        <w:rPr>
          <w:rFonts w:eastAsia="Arial Narrow"/>
        </w:rPr>
      </w:pPr>
      <w:r w:rsidRPr="008B2F8A">
        <w:rPr>
          <w:rFonts w:eastAsia="Arial Narrow"/>
        </w:rPr>
        <w:t>Source: Final Decision-Analytic Protocol</w:t>
      </w:r>
      <w:r>
        <w:rPr>
          <w:rFonts w:eastAsia="Arial Narrow"/>
        </w:rPr>
        <w:t>,</w:t>
      </w:r>
      <w:r w:rsidRPr="008B2F8A" w:rsidDel="00D3092E">
        <w:rPr>
          <w:rFonts w:eastAsia="Arial Narrow"/>
        </w:rPr>
        <w:t xml:space="preserve"> </w:t>
      </w:r>
      <w:r w:rsidRPr="008B2F8A">
        <w:rPr>
          <w:rFonts w:eastAsia="Arial Narrow"/>
        </w:rPr>
        <w:t>Table 1</w:t>
      </w:r>
      <w:r>
        <w:rPr>
          <w:rFonts w:eastAsia="Arial Narrow"/>
        </w:rPr>
        <w:t>,</w:t>
      </w:r>
      <w:r w:rsidRPr="008B2F8A">
        <w:rPr>
          <w:rFonts w:eastAsia="Arial Narrow"/>
        </w:rPr>
        <w:t xml:space="preserve"> p</w:t>
      </w:r>
      <w:r>
        <w:rPr>
          <w:rFonts w:eastAsia="Arial Narrow"/>
        </w:rPr>
        <w:t xml:space="preserve">. </w:t>
      </w:r>
      <w:r w:rsidRPr="008B2F8A">
        <w:rPr>
          <w:rFonts w:eastAsia="Arial Narrow"/>
        </w:rPr>
        <w:t>7; MBS = Medicare Benefits Schedule.</w:t>
      </w:r>
    </w:p>
    <w:p w14:paraId="1BD65C3B" w14:textId="40627B6C" w:rsidR="00E47AB8" w:rsidRPr="008B2F8A" w:rsidRDefault="00E47AB8" w:rsidP="00422306">
      <w:r w:rsidRPr="008B2F8A">
        <w:t>To be eligible for the rebate, the patient must be a woman who is &lt;50 years of age, with no current signs or symptoms of breast cancer</w:t>
      </w:r>
      <w:r>
        <w:t>,</w:t>
      </w:r>
      <w:r w:rsidRPr="008B2F8A">
        <w:t xml:space="preserve"> and who has been identified as at high risk of breast </w:t>
      </w:r>
      <w:r w:rsidRPr="008B2F8A">
        <w:rPr>
          <w:position w:val="-1"/>
        </w:rPr>
        <w:t xml:space="preserve">cancer </w:t>
      </w:r>
      <w:r w:rsidR="0028513C">
        <w:rPr>
          <w:position w:val="-1"/>
        </w:rPr>
        <w:t>as defined in the current MBS item descriptor (</w:t>
      </w:r>
      <w:r w:rsidR="0028513C">
        <w:rPr>
          <w:position w:val="-1"/>
        </w:rPr>
        <w:fldChar w:fldCharType="begin"/>
      </w:r>
      <w:r w:rsidR="0028513C">
        <w:rPr>
          <w:position w:val="-1"/>
        </w:rPr>
        <w:instrText xml:space="preserve"> REF _Ref368495104 \h </w:instrText>
      </w:r>
      <w:r w:rsidR="0028513C">
        <w:rPr>
          <w:position w:val="-1"/>
        </w:rPr>
      </w:r>
      <w:r w:rsidR="0028513C">
        <w:rPr>
          <w:position w:val="-1"/>
        </w:rPr>
        <w:fldChar w:fldCharType="separate"/>
      </w:r>
      <w:r w:rsidR="00B81273" w:rsidRPr="008B2F8A">
        <w:t xml:space="preserve">Table </w:t>
      </w:r>
      <w:r w:rsidR="00B81273">
        <w:rPr>
          <w:noProof/>
        </w:rPr>
        <w:t>A</w:t>
      </w:r>
      <w:r w:rsidR="00B81273" w:rsidRPr="008B2F8A">
        <w:t>.</w:t>
      </w:r>
      <w:r w:rsidR="00B81273">
        <w:rPr>
          <w:noProof/>
        </w:rPr>
        <w:t>5</w:t>
      </w:r>
      <w:r w:rsidR="0028513C">
        <w:rPr>
          <w:position w:val="-1"/>
        </w:rPr>
        <w:fldChar w:fldCharType="end"/>
      </w:r>
      <w:r w:rsidR="0028513C">
        <w:rPr>
          <w:position w:val="-1"/>
        </w:rPr>
        <w:t>).</w:t>
      </w:r>
    </w:p>
    <w:p w14:paraId="5E80AD7F" w14:textId="7DD6FB65" w:rsidR="00E47AB8" w:rsidRPr="008B2F8A" w:rsidRDefault="00E47AB8" w:rsidP="00422306">
      <w:r w:rsidRPr="008B2F8A">
        <w:t>In addition, for an MRI scan to attract a Medicare rebate, the scan must be requested by a specialist or consultant physician and be performed on a Medicare-eligible MRI unit by a Medicare-eligible provider, and be an MRI service listed in the MBS. Unlicensed sites that are ineligible for MBS funding may also provide breast MRI however the patient will need to pay for the scan themselves.</w:t>
      </w:r>
    </w:p>
    <w:p w14:paraId="098CC492" w14:textId="77777777" w:rsidR="00E47AB8" w:rsidRPr="008B2F8A" w:rsidRDefault="00E47AB8" w:rsidP="00E47AB8">
      <w:pPr>
        <w:pStyle w:val="Heading3"/>
        <w:numPr>
          <w:ilvl w:val="2"/>
          <w:numId w:val="10"/>
        </w:numPr>
        <w:rPr>
          <w:rFonts w:eastAsia="Tahoma"/>
        </w:rPr>
      </w:pPr>
      <w:bookmarkStart w:id="343" w:name="_Toc383424436"/>
      <w:r w:rsidRPr="008B2F8A">
        <w:t>Medical services likely to be co-administered with breast MRI</w:t>
      </w:r>
      <w:bookmarkEnd w:id="343"/>
    </w:p>
    <w:p w14:paraId="785DC9EF" w14:textId="77777777" w:rsidR="00E47AB8" w:rsidRPr="008B2F8A" w:rsidRDefault="00E47AB8" w:rsidP="00422306">
      <w:r w:rsidRPr="008B2F8A">
        <w:t>Women would first have a medical consultation including a clinical breast examination (</w:t>
      </w:r>
      <w:bookmarkStart w:id="344" w:name="OLE_LINK261"/>
      <w:bookmarkStart w:id="345" w:name="OLE_LINK262"/>
      <w:r w:rsidRPr="008B2F8A">
        <w:t>CBE</w:t>
      </w:r>
      <w:bookmarkEnd w:id="344"/>
      <w:bookmarkEnd w:id="345"/>
      <w:r w:rsidRPr="008B2F8A">
        <w:t>) (MBS items 3, 23, 36 and 44) and then be referred for a mammogram or a specialist appointment.</w:t>
      </w:r>
    </w:p>
    <w:p w14:paraId="4118DF2B" w14:textId="60778C73" w:rsidR="00E47AB8" w:rsidRPr="008B2F8A" w:rsidRDefault="00E47AB8" w:rsidP="00422306">
      <w:r w:rsidRPr="008B2F8A">
        <w:t xml:space="preserve">Breast MRI is currently used in addition to mammography with or without the use of ultrasound (MBS items 59300–59304, 593112–59317, 55070–55079), and as such, MRI and mammography may be given on the same day or within a week or so of one another. Factors such as menstrual cycles, availability of staff and equipment may have an impact on the length of time between tests but </w:t>
      </w:r>
      <w:r w:rsidRPr="008B2F8A">
        <w:lastRenderedPageBreak/>
        <w:t>should not result in only one test being given to eligible women as this may lead to women having a biopsy with less information than would have been supplied by having both tests.</w:t>
      </w:r>
    </w:p>
    <w:p w14:paraId="72364C82" w14:textId="12BF7EA9" w:rsidR="00E47AB8" w:rsidRPr="008B2F8A" w:rsidRDefault="00E47AB8" w:rsidP="00422306">
      <w:pPr>
        <w:rPr>
          <w:sz w:val="16"/>
          <w:szCs w:val="16"/>
        </w:rPr>
      </w:pPr>
      <w:r w:rsidRPr="008B2F8A">
        <w:t xml:space="preserve">To attract a rebate for a breast MRI, women will need to have a referral from a specialist medical practitioner or consultant physician (MBS items 104 and 110). </w:t>
      </w:r>
      <w:r w:rsidRPr="008B2F8A">
        <w:fldChar w:fldCharType="begin"/>
      </w:r>
      <w:r w:rsidRPr="008B2F8A">
        <w:instrText xml:space="preserve"> REF _Ref368495116 \h </w:instrText>
      </w:r>
      <w:r w:rsidRPr="008B2F8A">
        <w:fldChar w:fldCharType="separate"/>
      </w:r>
      <w:r w:rsidR="00B81273" w:rsidRPr="008B2F8A">
        <w:t xml:space="preserve">Table </w:t>
      </w:r>
      <w:r w:rsidR="00B81273">
        <w:rPr>
          <w:noProof/>
        </w:rPr>
        <w:t>A</w:t>
      </w:r>
      <w:r w:rsidR="00B81273" w:rsidRPr="008B2F8A">
        <w:t>.</w:t>
      </w:r>
      <w:r w:rsidR="00B81273">
        <w:rPr>
          <w:noProof/>
        </w:rPr>
        <w:t>6</w:t>
      </w:r>
      <w:r w:rsidRPr="008B2F8A">
        <w:fldChar w:fldCharType="end"/>
      </w:r>
      <w:r w:rsidRPr="008B2F8A">
        <w:t xml:space="preserve"> outlines the MBS items associated with breast MRI.</w:t>
      </w:r>
      <w:r w:rsidR="00336085">
        <w:t xml:space="preserve"> </w:t>
      </w:r>
      <w:r w:rsidR="00336085">
        <w:fldChar w:fldCharType="begin"/>
      </w:r>
      <w:r w:rsidR="00336085">
        <w:instrText xml:space="preserve"> REF _Ref383005041 \h </w:instrText>
      </w:r>
      <w:r w:rsidR="00336085">
        <w:fldChar w:fldCharType="separate"/>
      </w:r>
      <w:r w:rsidR="00B81273" w:rsidRPr="008B2F8A">
        <w:t xml:space="preserve">Table </w:t>
      </w:r>
      <w:r w:rsidR="00B81273">
        <w:rPr>
          <w:noProof/>
        </w:rPr>
        <w:t>A</w:t>
      </w:r>
      <w:r w:rsidR="00B81273" w:rsidRPr="008B2F8A">
        <w:t>.</w:t>
      </w:r>
      <w:r w:rsidR="00B81273">
        <w:rPr>
          <w:noProof/>
        </w:rPr>
        <w:t>7</w:t>
      </w:r>
      <w:r w:rsidR="00336085">
        <w:fldChar w:fldCharType="end"/>
      </w:r>
      <w:r w:rsidR="00336085">
        <w:t xml:space="preserve"> outlines the MBS items associated with breast ultrasound.</w:t>
      </w:r>
      <w:r w:rsidR="00CE1BE8">
        <w:t xml:space="preserve"> </w:t>
      </w:r>
      <w:r w:rsidR="00CE1BE8">
        <w:fldChar w:fldCharType="begin"/>
      </w:r>
      <w:r w:rsidR="00CE1BE8">
        <w:instrText xml:space="preserve"> REF _Ref383006014 \h </w:instrText>
      </w:r>
      <w:r w:rsidR="00CE1BE8">
        <w:fldChar w:fldCharType="separate"/>
      </w:r>
      <w:r w:rsidR="00B81273" w:rsidRPr="008B2F8A">
        <w:t xml:space="preserve">Table </w:t>
      </w:r>
      <w:r w:rsidR="00B81273">
        <w:rPr>
          <w:noProof/>
        </w:rPr>
        <w:t>A</w:t>
      </w:r>
      <w:r w:rsidR="00B81273" w:rsidRPr="008B2F8A">
        <w:t>.</w:t>
      </w:r>
      <w:r w:rsidR="00B81273">
        <w:rPr>
          <w:noProof/>
        </w:rPr>
        <w:t>8</w:t>
      </w:r>
      <w:r w:rsidR="00CE1BE8">
        <w:fldChar w:fldCharType="end"/>
      </w:r>
      <w:r w:rsidR="00CE1BE8">
        <w:t xml:space="preserve"> outlines the consultation MBS items likely to be associated with breast MRI.</w:t>
      </w:r>
    </w:p>
    <w:p w14:paraId="282219E7" w14:textId="77777777" w:rsidR="00E47AB8" w:rsidRPr="008B2F8A" w:rsidRDefault="00E47AB8" w:rsidP="00422306">
      <w:pPr>
        <w:pStyle w:val="Caption"/>
      </w:pPr>
      <w:bookmarkStart w:id="346" w:name="_Ref368495116"/>
      <w:bookmarkStart w:id="347" w:name="_Toc383424562"/>
      <w:r w:rsidRPr="008B2F8A">
        <w:t xml:space="preserve">Table </w:t>
      </w:r>
      <w:fldSimple w:instr=" STYLEREF 1 \s ">
        <w:r w:rsidR="00B81273">
          <w:rPr>
            <w:noProof/>
          </w:rPr>
          <w:t>A</w:t>
        </w:r>
      </w:fldSimple>
      <w:r w:rsidRPr="008B2F8A">
        <w:t>.</w:t>
      </w:r>
      <w:fldSimple w:instr=" SEQ Table \* ARABIC \s 1 ">
        <w:r w:rsidR="00B81273">
          <w:rPr>
            <w:noProof/>
          </w:rPr>
          <w:t>6</w:t>
        </w:r>
      </w:fldSimple>
      <w:bookmarkEnd w:id="346"/>
      <w:r w:rsidRPr="008B2F8A">
        <w:tab/>
      </w:r>
      <w:bookmarkStart w:id="348" w:name="OLE_LINK970"/>
      <w:bookmarkStart w:id="349" w:name="OLE_LINK971"/>
      <w:r w:rsidRPr="008B2F8A">
        <w:t>Mammography MBS items associated with breast MRI</w:t>
      </w:r>
      <w:bookmarkEnd w:id="348"/>
      <w:bookmarkEnd w:id="349"/>
      <w:r w:rsidRPr="008B2F8A">
        <w:t>.</w:t>
      </w:r>
      <w:bookmarkEnd w:id="347"/>
    </w:p>
    <w:tbl>
      <w:tblPr>
        <w:tblW w:w="0" w:type="auto"/>
        <w:tblInd w:w="23" w:type="dxa"/>
        <w:tblCellMar>
          <w:left w:w="28" w:type="dxa"/>
          <w:right w:w="28" w:type="dxa"/>
        </w:tblCellMar>
        <w:tblLook w:val="01E0" w:firstRow="1" w:lastRow="1" w:firstColumn="1" w:lastColumn="1" w:noHBand="0" w:noVBand="0"/>
        <w:tblCaption w:val="Mammography MBS items associated with breast MRI"/>
      </w:tblPr>
      <w:tblGrid>
        <w:gridCol w:w="8807"/>
      </w:tblGrid>
      <w:tr w:rsidR="00E47AB8" w:rsidRPr="008B2F8A" w14:paraId="5C0ACEA2" w14:textId="77777777" w:rsidTr="009F50D2">
        <w:trPr>
          <w:trHeight w:hRule="exact" w:val="359"/>
          <w:tblHeader/>
        </w:trPr>
        <w:tc>
          <w:tcPr>
            <w:tcW w:w="0" w:type="auto"/>
            <w:tcBorders>
              <w:top w:val="single" w:sz="4" w:space="0" w:color="000000"/>
              <w:left w:val="single" w:sz="4" w:space="0" w:color="000000"/>
              <w:bottom w:val="single" w:sz="4" w:space="0" w:color="000000"/>
              <w:right w:val="single" w:sz="4" w:space="0" w:color="000000"/>
            </w:tcBorders>
          </w:tcPr>
          <w:p w14:paraId="3F48845E" w14:textId="77777777" w:rsidR="00E47AB8" w:rsidRPr="008B2F8A" w:rsidRDefault="00E47AB8" w:rsidP="00422306">
            <w:pPr>
              <w:tabs>
                <w:tab w:val="left" w:pos="5140"/>
              </w:tabs>
              <w:spacing w:before="40" w:after="80"/>
              <w:ind w:left="102"/>
              <w:rPr>
                <w:rFonts w:ascii="Arial Narrow" w:eastAsia="Arial Narrow" w:hAnsi="Arial Narrow" w:cs="Arial Narrow"/>
                <w:sz w:val="20"/>
                <w:szCs w:val="20"/>
              </w:rPr>
            </w:pPr>
            <w:r w:rsidRPr="008B2F8A">
              <w:rPr>
                <w:rFonts w:ascii="Arial Narrow" w:eastAsia="Arial Narrow" w:hAnsi="Arial Narrow" w:cs="Arial Narrow"/>
                <w:b/>
                <w:bCs/>
                <w:sz w:val="20"/>
                <w:szCs w:val="20"/>
              </w:rPr>
              <w:t>Mammography</w:t>
            </w:r>
            <w:r w:rsidRPr="008B2F8A">
              <w:rPr>
                <w:rFonts w:ascii="Arial Narrow" w:eastAsia="Arial Narrow" w:hAnsi="Arial Narrow" w:cs="Arial Narrow"/>
                <w:b/>
                <w:bCs/>
                <w:sz w:val="20"/>
                <w:szCs w:val="20"/>
              </w:rPr>
              <w:tab/>
              <w:t>Category 5—Diagnostic Imaging Services</w:t>
            </w:r>
          </w:p>
        </w:tc>
      </w:tr>
      <w:tr w:rsidR="00E47AB8" w:rsidRPr="008B2F8A" w14:paraId="2AF87575" w14:textId="77777777" w:rsidTr="00336085">
        <w:trPr>
          <w:trHeight w:hRule="exact" w:val="2591"/>
        </w:trPr>
        <w:tc>
          <w:tcPr>
            <w:tcW w:w="0" w:type="auto"/>
            <w:tcBorders>
              <w:top w:val="single" w:sz="4" w:space="0" w:color="000000"/>
              <w:left w:val="single" w:sz="4" w:space="0" w:color="000000"/>
              <w:bottom w:val="single" w:sz="4" w:space="0" w:color="000000"/>
              <w:right w:val="single" w:sz="4" w:space="0" w:color="000000"/>
            </w:tcBorders>
          </w:tcPr>
          <w:p w14:paraId="25A5F771" w14:textId="77777777" w:rsidR="00E47AB8" w:rsidRPr="008B2F8A" w:rsidRDefault="005839BC" w:rsidP="00422306">
            <w:pPr>
              <w:spacing w:before="40" w:after="80"/>
              <w:ind w:left="102"/>
              <w:rPr>
                <w:rFonts w:ascii="Arial Narrow" w:eastAsia="Arial Narrow" w:hAnsi="Arial Narrow" w:cs="Arial Narrow"/>
                <w:sz w:val="20"/>
                <w:szCs w:val="20"/>
              </w:rPr>
            </w:pPr>
            <w:hyperlink r:id="rId23">
              <w:r w:rsidR="00E47AB8" w:rsidRPr="008B2F8A">
                <w:rPr>
                  <w:rFonts w:ascii="Arial Narrow" w:eastAsia="Arial Narrow" w:hAnsi="Arial Narrow" w:cs="Arial Narrow"/>
                  <w:sz w:val="20"/>
                  <w:szCs w:val="20"/>
                </w:rPr>
                <w:t>MBS 59300</w:t>
              </w:r>
            </w:hyperlink>
          </w:p>
          <w:p w14:paraId="6B1274AD" w14:textId="77777777" w:rsidR="00E47AB8" w:rsidRDefault="00E47AB8" w:rsidP="00422306">
            <w:pPr>
              <w:spacing w:before="40" w:after="80"/>
              <w:ind w:left="285" w:hanging="182"/>
              <w:rPr>
                <w:rFonts w:ascii="Arial Narrow" w:eastAsia="Arial Narrow" w:hAnsi="Arial Narrow" w:cs="Arial Narrow"/>
                <w:sz w:val="20"/>
                <w:szCs w:val="20"/>
              </w:rPr>
            </w:pPr>
            <w:r w:rsidRPr="008B2F8A">
              <w:rPr>
                <w:rFonts w:ascii="Arial Narrow" w:eastAsia="Arial Narrow" w:hAnsi="Arial Narrow" w:cs="Arial Narrow"/>
                <w:b/>
                <w:sz w:val="20"/>
                <w:szCs w:val="20"/>
              </w:rPr>
              <w:t>Mammography of both breasts</w:t>
            </w:r>
            <w:r w:rsidRPr="008B2F8A">
              <w:rPr>
                <w:rFonts w:ascii="Arial Narrow" w:eastAsia="Arial Narrow" w:hAnsi="Arial Narrow" w:cs="Arial Narrow"/>
                <w:sz w:val="20"/>
                <w:szCs w:val="20"/>
              </w:rPr>
              <w:t>, if there is a reason to suspect the presence of malignancy because of:</w:t>
            </w:r>
          </w:p>
          <w:p w14:paraId="3E130DC1" w14:textId="399D0CA9" w:rsidR="00E47AB8" w:rsidRPr="008B2F8A" w:rsidRDefault="00E47AB8" w:rsidP="0028513C">
            <w:pPr>
              <w:spacing w:before="40" w:after="80"/>
              <w:ind w:left="285" w:hanging="1"/>
              <w:rPr>
                <w:rFonts w:ascii="Arial Narrow" w:eastAsia="Arial Narrow" w:hAnsi="Arial Narrow" w:cs="Arial Narrow"/>
                <w:sz w:val="20"/>
                <w:szCs w:val="20"/>
              </w:rPr>
            </w:pPr>
            <w:r w:rsidRPr="008B2F8A">
              <w:rPr>
                <w:rFonts w:ascii="Arial Narrow" w:eastAsia="Arial Narrow" w:hAnsi="Arial Narrow" w:cs="Arial Narrow"/>
                <w:sz w:val="20"/>
                <w:szCs w:val="20"/>
              </w:rPr>
              <w:t>(i) the past occurrence of breast malignancy in the patient or members of the patient’s family; or</w:t>
            </w:r>
          </w:p>
          <w:p w14:paraId="7C037728" w14:textId="77777777" w:rsidR="00E47AB8" w:rsidRDefault="00E47AB8" w:rsidP="00422306">
            <w:pPr>
              <w:spacing w:before="40" w:after="80"/>
              <w:ind w:left="102" w:firstLine="182"/>
              <w:rPr>
                <w:rFonts w:ascii="Arial Narrow" w:eastAsia="Arial Narrow" w:hAnsi="Arial Narrow" w:cs="Arial Narrow"/>
                <w:sz w:val="20"/>
                <w:szCs w:val="20"/>
              </w:rPr>
            </w:pPr>
            <w:r w:rsidRPr="008B2F8A">
              <w:rPr>
                <w:rFonts w:ascii="Arial Narrow" w:eastAsia="Arial Narrow" w:hAnsi="Arial Narrow" w:cs="Arial Narrow"/>
                <w:sz w:val="20"/>
                <w:szCs w:val="20"/>
              </w:rPr>
              <w:t>(ii) symptoms or indications of malignancy found on an examination of the patient by a medical practitioner.</w:t>
            </w:r>
          </w:p>
          <w:p w14:paraId="2BFF35C4" w14:textId="58FB7F44" w:rsidR="00E47AB8" w:rsidRPr="008B2F8A" w:rsidRDefault="00E47AB8" w:rsidP="0028513C">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Unless otherwise indicated, mammography includes both breasts (R)</w:t>
            </w:r>
            <w:r>
              <w:rPr>
                <w:rFonts w:ascii="Arial Narrow" w:eastAsia="Arial Narrow" w:hAnsi="Arial Narrow" w:cs="Arial Narrow"/>
                <w:sz w:val="20"/>
                <w:szCs w:val="20"/>
              </w:rPr>
              <w:t>.</w:t>
            </w:r>
          </w:p>
          <w:p w14:paraId="78BE59F8" w14:textId="77777777" w:rsidR="00E47AB8" w:rsidRPr="008B2F8A" w:rsidRDefault="005839BC" w:rsidP="00422306">
            <w:pPr>
              <w:spacing w:before="40" w:after="80"/>
              <w:ind w:left="102"/>
              <w:rPr>
                <w:rFonts w:ascii="Arial Narrow" w:eastAsia="Arial Narrow" w:hAnsi="Arial Narrow" w:cs="Arial Narrow"/>
                <w:sz w:val="20"/>
                <w:szCs w:val="20"/>
              </w:rPr>
            </w:pPr>
            <w:hyperlink r:id="rId24">
              <w:r w:rsidR="00E47AB8" w:rsidRPr="008B2F8A">
                <w:rPr>
                  <w:rFonts w:ascii="Arial Narrow" w:eastAsia="Arial Narrow" w:hAnsi="Arial Narrow" w:cs="Arial Narrow"/>
                  <w:sz w:val="20"/>
                  <w:szCs w:val="20"/>
                </w:rPr>
                <w:t>Bulk bill incentive</w:t>
              </w:r>
            </w:hyperlink>
          </w:p>
          <w:p w14:paraId="398E8105" w14:textId="434E45AB"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$89.50</w:t>
            </w:r>
            <w:r>
              <w:rPr>
                <w:rFonts w:ascii="Arial Narrow" w:eastAsia="Arial Narrow" w:hAnsi="Arial Narrow" w:cs="Arial Narrow"/>
                <w:sz w:val="20"/>
                <w:szCs w:val="20"/>
              </w:rPr>
              <w:t> </w:t>
            </w:r>
            <w:r w:rsidRPr="008B2F8A">
              <w:rPr>
                <w:rFonts w:ascii="Arial Narrow" w:eastAsia="Arial Narrow" w:hAnsi="Arial Narrow" w:cs="Arial Narrow"/>
                <w:sz w:val="20"/>
                <w:szCs w:val="20"/>
              </w:rPr>
              <w:t>Benefit: 75% = $67.15</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85% = $76.10</w:t>
            </w:r>
          </w:p>
        </w:tc>
      </w:tr>
      <w:tr w:rsidR="00E47AB8" w:rsidRPr="008B2F8A" w14:paraId="2B04C751" w14:textId="77777777" w:rsidTr="00336085">
        <w:trPr>
          <w:trHeight w:hRule="exact" w:val="2541"/>
        </w:trPr>
        <w:tc>
          <w:tcPr>
            <w:tcW w:w="0" w:type="auto"/>
            <w:tcBorders>
              <w:top w:val="single" w:sz="4" w:space="0" w:color="000000"/>
              <w:left w:val="single" w:sz="4" w:space="0" w:color="000000"/>
              <w:bottom w:val="single" w:sz="4" w:space="0" w:color="000000"/>
              <w:right w:val="single" w:sz="4" w:space="0" w:color="000000"/>
            </w:tcBorders>
          </w:tcPr>
          <w:p w14:paraId="18BEDEC6"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MBS 59301*</w:t>
            </w:r>
          </w:p>
          <w:p w14:paraId="6D752087" w14:textId="77777777" w:rsidR="00E47AB8" w:rsidRDefault="00E47AB8" w:rsidP="00422306">
            <w:pPr>
              <w:spacing w:before="40" w:after="80"/>
              <w:ind w:left="285" w:hanging="182"/>
              <w:rPr>
                <w:rFonts w:ascii="Arial Narrow" w:eastAsia="Arial Narrow" w:hAnsi="Arial Narrow" w:cs="Arial Narrow"/>
                <w:sz w:val="20"/>
                <w:szCs w:val="20"/>
              </w:rPr>
            </w:pPr>
            <w:r w:rsidRPr="008B2F8A">
              <w:rPr>
                <w:rFonts w:ascii="Arial Narrow" w:eastAsia="Arial Narrow" w:hAnsi="Arial Narrow" w:cs="Arial Narrow"/>
                <w:b/>
                <w:sz w:val="20"/>
                <w:szCs w:val="20"/>
              </w:rPr>
              <w:t>Mammography of both breasts</w:t>
            </w:r>
            <w:r w:rsidRPr="008B2F8A">
              <w:rPr>
                <w:rFonts w:ascii="Arial Narrow" w:eastAsia="Arial Narrow" w:hAnsi="Arial Narrow" w:cs="Arial Narrow"/>
                <w:sz w:val="20"/>
                <w:szCs w:val="20"/>
              </w:rPr>
              <w:t>, if there is a reason to suspect the presence of malignancy because of:</w:t>
            </w:r>
          </w:p>
          <w:p w14:paraId="416DC9A3" w14:textId="4C1C1ECE" w:rsidR="00E47AB8" w:rsidRPr="008B2F8A" w:rsidRDefault="00E47AB8" w:rsidP="0028513C">
            <w:pPr>
              <w:spacing w:before="40" w:after="80"/>
              <w:ind w:left="285" w:hanging="1"/>
              <w:rPr>
                <w:rFonts w:ascii="Arial Narrow" w:eastAsia="Arial Narrow" w:hAnsi="Arial Narrow" w:cs="Arial Narrow"/>
                <w:sz w:val="20"/>
                <w:szCs w:val="20"/>
              </w:rPr>
            </w:pPr>
            <w:r w:rsidRPr="008B2F8A">
              <w:rPr>
                <w:rFonts w:ascii="Arial Narrow" w:eastAsia="Arial Narrow" w:hAnsi="Arial Narrow" w:cs="Arial Narrow"/>
                <w:sz w:val="20"/>
                <w:szCs w:val="20"/>
              </w:rPr>
              <w:t>(i) the past occurrence of breast malignancy in the patient or members of the patient’s family; or</w:t>
            </w:r>
          </w:p>
          <w:p w14:paraId="66485AA3" w14:textId="77777777" w:rsidR="0028513C" w:rsidRDefault="00E47AB8" w:rsidP="009F50D2">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 xml:space="preserve">(ii) symptoms or indications of malignancy found on an examination of the patient by a medical practitioner. </w:t>
            </w:r>
          </w:p>
          <w:p w14:paraId="64510008" w14:textId="00C9FC6E" w:rsidR="00E47AB8" w:rsidRPr="008B2F8A" w:rsidRDefault="00E47AB8" w:rsidP="0028513C">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Unless otherwise indicated, mammography includes both breasts (R) (</w:t>
            </w:r>
            <w:bookmarkStart w:id="350" w:name="OLE_LINK296"/>
            <w:bookmarkStart w:id="351" w:name="OLE_LINK297"/>
            <w:r w:rsidRPr="008B2F8A">
              <w:rPr>
                <w:rFonts w:ascii="Arial Narrow" w:eastAsia="Arial Narrow" w:hAnsi="Arial Narrow" w:cs="Arial Narrow"/>
                <w:sz w:val="20"/>
                <w:szCs w:val="20"/>
              </w:rPr>
              <w:t>NK</w:t>
            </w:r>
            <w:bookmarkEnd w:id="350"/>
            <w:bookmarkEnd w:id="351"/>
            <w:r w:rsidRPr="008B2F8A">
              <w:rPr>
                <w:rFonts w:ascii="Arial Narrow" w:eastAsia="Arial Narrow" w:hAnsi="Arial Narrow" w:cs="Arial Narrow"/>
                <w:sz w:val="20"/>
                <w:szCs w:val="20"/>
              </w:rPr>
              <w:t>)</w:t>
            </w:r>
          </w:p>
          <w:p w14:paraId="127B1C2F" w14:textId="77777777" w:rsidR="00E47AB8" w:rsidRPr="008B2F8A" w:rsidRDefault="005839BC" w:rsidP="00422306">
            <w:pPr>
              <w:spacing w:before="40" w:after="80"/>
              <w:ind w:left="102"/>
              <w:rPr>
                <w:rFonts w:ascii="Arial Narrow" w:eastAsia="Arial Narrow" w:hAnsi="Arial Narrow" w:cs="Arial Narrow"/>
                <w:sz w:val="20"/>
                <w:szCs w:val="20"/>
              </w:rPr>
            </w:pPr>
            <w:hyperlink r:id="rId25">
              <w:r w:rsidR="00E47AB8" w:rsidRPr="008B2F8A">
                <w:rPr>
                  <w:rFonts w:ascii="Arial Narrow" w:eastAsia="Arial Narrow" w:hAnsi="Arial Narrow" w:cs="Arial Narrow"/>
                  <w:sz w:val="20"/>
                  <w:szCs w:val="20"/>
                </w:rPr>
                <w:t>Bulk bill incentive</w:t>
              </w:r>
            </w:hyperlink>
          </w:p>
          <w:p w14:paraId="17F4F26C" w14:textId="5FE5B9F0"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$44.75</w:t>
            </w:r>
            <w:r>
              <w:rPr>
                <w:rFonts w:ascii="Arial Narrow" w:eastAsia="Arial Narrow" w:hAnsi="Arial Narrow" w:cs="Arial Narrow"/>
                <w:sz w:val="20"/>
                <w:szCs w:val="20"/>
              </w:rPr>
              <w:t> </w:t>
            </w:r>
            <w:r w:rsidRPr="008B2F8A">
              <w:rPr>
                <w:rFonts w:ascii="Arial Narrow" w:eastAsia="Arial Narrow" w:hAnsi="Arial Narrow" w:cs="Arial Narrow"/>
                <w:sz w:val="20"/>
                <w:szCs w:val="20"/>
              </w:rPr>
              <w:t>Benefit: 75% = $33.60</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85% = $38.05</w:t>
            </w:r>
          </w:p>
        </w:tc>
      </w:tr>
      <w:tr w:rsidR="00E47AB8" w:rsidRPr="008B2F8A" w14:paraId="11039A1E" w14:textId="77777777" w:rsidTr="00336085">
        <w:trPr>
          <w:trHeight w:hRule="exact" w:val="2707"/>
        </w:trPr>
        <w:tc>
          <w:tcPr>
            <w:tcW w:w="0" w:type="auto"/>
            <w:tcBorders>
              <w:top w:val="single" w:sz="4" w:space="0" w:color="000000"/>
              <w:left w:val="single" w:sz="4" w:space="0" w:color="000000"/>
              <w:bottom w:val="single" w:sz="4" w:space="0" w:color="000000"/>
              <w:right w:val="single" w:sz="4" w:space="0" w:color="000000"/>
            </w:tcBorders>
          </w:tcPr>
          <w:p w14:paraId="715F3D19"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MBS 59303</w:t>
            </w:r>
          </w:p>
          <w:p w14:paraId="6DB7DDA4"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b/>
                <w:sz w:val="20"/>
                <w:szCs w:val="20"/>
              </w:rPr>
              <w:t>Mammography of one breast</w:t>
            </w:r>
            <w:r w:rsidRPr="008B2F8A">
              <w:rPr>
                <w:rFonts w:ascii="Arial Narrow" w:eastAsia="Arial Narrow" w:hAnsi="Arial Narrow" w:cs="Arial Narrow"/>
                <w:sz w:val="20"/>
                <w:szCs w:val="20"/>
              </w:rPr>
              <w:t>, if:</w:t>
            </w:r>
          </w:p>
          <w:p w14:paraId="41BEDCA1"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sz w:val="20"/>
                <w:szCs w:val="20"/>
              </w:rPr>
              <w:t>(a) the patient is referred with a specific request for a unilateral mammogram; and</w:t>
            </w:r>
          </w:p>
          <w:p w14:paraId="5222F6A9"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sz w:val="20"/>
                <w:szCs w:val="20"/>
              </w:rPr>
              <w:t>(b) there is reason to suspect the presence of malignancy because of:</w:t>
            </w:r>
          </w:p>
          <w:p w14:paraId="225D99FF" w14:textId="0B1B0BF3" w:rsidR="00E47AB8" w:rsidRPr="008B2F8A" w:rsidRDefault="00E47AB8" w:rsidP="00422306">
            <w:pPr>
              <w:spacing w:before="40" w:after="80"/>
              <w:ind w:left="345"/>
              <w:rPr>
                <w:rFonts w:ascii="Arial Narrow" w:eastAsia="Arial Narrow" w:hAnsi="Arial Narrow" w:cs="Arial Narrow"/>
                <w:sz w:val="20"/>
                <w:szCs w:val="20"/>
              </w:rPr>
            </w:pPr>
            <w:r w:rsidRPr="008B2F8A">
              <w:rPr>
                <w:rFonts w:ascii="Arial Narrow" w:eastAsia="Arial Narrow" w:hAnsi="Arial Narrow" w:cs="Arial Narrow"/>
                <w:sz w:val="20"/>
                <w:szCs w:val="20"/>
              </w:rPr>
              <w:t>(i) the past occurrence of breast malignancy in the patient or members of the patient’s family; or</w:t>
            </w:r>
          </w:p>
          <w:p w14:paraId="7BE994FD" w14:textId="77777777" w:rsidR="00E47AB8" w:rsidRPr="008B2F8A" w:rsidRDefault="00E47AB8" w:rsidP="00422306">
            <w:pPr>
              <w:spacing w:before="40" w:after="80"/>
              <w:ind w:left="345"/>
              <w:rPr>
                <w:rFonts w:ascii="Arial Narrow" w:eastAsia="Arial Narrow" w:hAnsi="Arial Narrow" w:cs="Arial Narrow"/>
                <w:sz w:val="20"/>
                <w:szCs w:val="20"/>
              </w:rPr>
            </w:pPr>
            <w:r w:rsidRPr="008B2F8A">
              <w:rPr>
                <w:rFonts w:ascii="Arial Narrow" w:eastAsia="Arial Narrow" w:hAnsi="Arial Narrow" w:cs="Arial Narrow"/>
                <w:sz w:val="20"/>
                <w:szCs w:val="20"/>
              </w:rPr>
              <w:t>(ii) symptoms or indications of malignancy found on an examination of the patient by a medical practitioner (R)</w:t>
            </w:r>
            <w:r>
              <w:rPr>
                <w:rFonts w:ascii="Arial Narrow" w:eastAsia="Arial Narrow" w:hAnsi="Arial Narrow" w:cs="Arial Narrow"/>
                <w:sz w:val="20"/>
                <w:szCs w:val="20"/>
              </w:rPr>
              <w:t>.</w:t>
            </w:r>
          </w:p>
          <w:p w14:paraId="4B05A772" w14:textId="77777777" w:rsidR="00E47AB8" w:rsidRPr="008B2F8A" w:rsidRDefault="005839BC" w:rsidP="00422306">
            <w:pPr>
              <w:spacing w:before="40" w:after="80"/>
              <w:ind w:left="102"/>
              <w:rPr>
                <w:rFonts w:ascii="Arial Narrow" w:eastAsia="Arial Narrow" w:hAnsi="Arial Narrow" w:cs="Arial Narrow"/>
                <w:sz w:val="20"/>
                <w:szCs w:val="20"/>
              </w:rPr>
            </w:pPr>
            <w:hyperlink r:id="rId26">
              <w:r w:rsidR="00E47AB8" w:rsidRPr="008B2F8A">
                <w:rPr>
                  <w:rFonts w:ascii="Arial Narrow" w:eastAsia="Arial Narrow" w:hAnsi="Arial Narrow" w:cs="Arial Narrow"/>
                  <w:sz w:val="20"/>
                  <w:szCs w:val="20"/>
                </w:rPr>
                <w:t>Bulk bill incentive</w:t>
              </w:r>
            </w:hyperlink>
          </w:p>
          <w:p w14:paraId="32F58BDE" w14:textId="27A62D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$53.95</w:t>
            </w:r>
            <w:r>
              <w:rPr>
                <w:rFonts w:ascii="Arial Narrow" w:eastAsia="Arial Narrow" w:hAnsi="Arial Narrow" w:cs="Arial Narrow"/>
                <w:sz w:val="20"/>
                <w:szCs w:val="20"/>
              </w:rPr>
              <w:t> </w:t>
            </w:r>
            <w:r w:rsidRPr="008B2F8A">
              <w:rPr>
                <w:rFonts w:ascii="Arial Narrow" w:eastAsia="Arial Narrow" w:hAnsi="Arial Narrow" w:cs="Arial Narrow"/>
                <w:sz w:val="20"/>
                <w:szCs w:val="20"/>
              </w:rPr>
              <w:t>Benefit: 75% = $40.50</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85% = $45.90</w:t>
            </w:r>
          </w:p>
        </w:tc>
      </w:tr>
      <w:tr w:rsidR="00E47AB8" w:rsidRPr="008B2F8A" w14:paraId="5AE52472" w14:textId="77777777" w:rsidTr="00336085">
        <w:trPr>
          <w:trHeight w:hRule="exact" w:val="2816"/>
        </w:trPr>
        <w:tc>
          <w:tcPr>
            <w:tcW w:w="0" w:type="auto"/>
            <w:tcBorders>
              <w:top w:val="single" w:sz="4" w:space="0" w:color="000000"/>
              <w:left w:val="single" w:sz="4" w:space="0" w:color="000000"/>
              <w:bottom w:val="single" w:sz="4" w:space="0" w:color="000000"/>
              <w:right w:val="single" w:sz="4" w:space="0" w:color="000000"/>
            </w:tcBorders>
          </w:tcPr>
          <w:p w14:paraId="523C3BE7" w14:textId="77777777" w:rsidR="00E47AB8" w:rsidRPr="008B2F8A" w:rsidRDefault="00E47AB8" w:rsidP="008016EF">
            <w:pPr>
              <w:keepNext/>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lastRenderedPageBreak/>
              <w:t>MBS 59304*</w:t>
            </w:r>
          </w:p>
          <w:p w14:paraId="6BD2DFF0"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b/>
                <w:sz w:val="20"/>
                <w:szCs w:val="20"/>
              </w:rPr>
              <w:t>Mammography of one breast</w:t>
            </w:r>
            <w:r w:rsidRPr="008B2F8A">
              <w:rPr>
                <w:rFonts w:ascii="Arial Narrow" w:eastAsia="Arial Narrow" w:hAnsi="Arial Narrow" w:cs="Arial Narrow"/>
                <w:sz w:val="20"/>
                <w:szCs w:val="20"/>
              </w:rPr>
              <w:t>, if:</w:t>
            </w:r>
          </w:p>
          <w:p w14:paraId="13E5DDEC"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sz w:val="20"/>
                <w:szCs w:val="20"/>
              </w:rPr>
              <w:t>(a) the patient is referred with a specific request for a unilateral mammogram; and</w:t>
            </w:r>
          </w:p>
          <w:p w14:paraId="747F5137"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sz w:val="20"/>
                <w:szCs w:val="20"/>
              </w:rPr>
              <w:t>(b) there is reason to suspect the presence of malignancy because of:</w:t>
            </w:r>
          </w:p>
          <w:p w14:paraId="535BAACF" w14:textId="1CAFD662" w:rsidR="00E47AB8" w:rsidRPr="008B2F8A" w:rsidRDefault="00E47AB8" w:rsidP="00422306">
            <w:pPr>
              <w:spacing w:before="40" w:after="80"/>
              <w:ind w:left="345"/>
              <w:rPr>
                <w:rFonts w:ascii="Arial Narrow" w:eastAsia="Arial Narrow" w:hAnsi="Arial Narrow" w:cs="Arial Narrow"/>
                <w:sz w:val="20"/>
                <w:szCs w:val="20"/>
              </w:rPr>
            </w:pPr>
            <w:r w:rsidRPr="008B2F8A">
              <w:rPr>
                <w:rFonts w:ascii="Arial Narrow" w:eastAsia="Arial Narrow" w:hAnsi="Arial Narrow" w:cs="Arial Narrow"/>
                <w:sz w:val="20"/>
                <w:szCs w:val="20"/>
              </w:rPr>
              <w:t>(i) the past occurrence of breast malignancy in the patient or members of the patient’s family; or</w:t>
            </w:r>
          </w:p>
          <w:p w14:paraId="7EB49C8A" w14:textId="77777777" w:rsidR="00E47AB8" w:rsidRPr="008B2F8A" w:rsidRDefault="00E47AB8" w:rsidP="00422306">
            <w:pPr>
              <w:spacing w:before="40" w:after="80"/>
              <w:ind w:left="345"/>
              <w:rPr>
                <w:rFonts w:ascii="Arial Narrow" w:eastAsia="Arial Narrow" w:hAnsi="Arial Narrow" w:cs="Arial Narrow"/>
                <w:sz w:val="20"/>
                <w:szCs w:val="20"/>
              </w:rPr>
            </w:pPr>
            <w:r w:rsidRPr="008B2F8A">
              <w:rPr>
                <w:rFonts w:ascii="Arial Narrow" w:eastAsia="Arial Narrow" w:hAnsi="Arial Narrow" w:cs="Arial Narrow"/>
                <w:sz w:val="20"/>
                <w:szCs w:val="20"/>
              </w:rPr>
              <w:t>(ii) symptoms or indications of malignancy found on an examination of the patient by a medical practitioner (R) (NK)</w:t>
            </w:r>
            <w:r>
              <w:rPr>
                <w:rFonts w:ascii="Arial Narrow" w:eastAsia="Arial Narrow" w:hAnsi="Arial Narrow" w:cs="Arial Narrow"/>
                <w:sz w:val="20"/>
                <w:szCs w:val="20"/>
              </w:rPr>
              <w:t>.</w:t>
            </w:r>
          </w:p>
          <w:p w14:paraId="71E65610" w14:textId="77777777" w:rsidR="00E47AB8" w:rsidRPr="008B2F8A" w:rsidRDefault="005839BC" w:rsidP="00422306">
            <w:pPr>
              <w:spacing w:before="40" w:after="80"/>
              <w:ind w:left="102"/>
              <w:rPr>
                <w:rFonts w:ascii="Arial Narrow" w:eastAsia="Arial Narrow" w:hAnsi="Arial Narrow" w:cs="Arial Narrow"/>
                <w:sz w:val="20"/>
                <w:szCs w:val="20"/>
              </w:rPr>
            </w:pPr>
            <w:hyperlink r:id="rId27">
              <w:r w:rsidR="00E47AB8" w:rsidRPr="008B2F8A">
                <w:rPr>
                  <w:rFonts w:ascii="Arial Narrow" w:eastAsia="Arial Narrow" w:hAnsi="Arial Narrow" w:cs="Arial Narrow"/>
                  <w:sz w:val="20"/>
                  <w:szCs w:val="20"/>
                </w:rPr>
                <w:t>Bulk bill incentive</w:t>
              </w:r>
            </w:hyperlink>
          </w:p>
          <w:p w14:paraId="2C808E70" w14:textId="20C032EA"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$27.00</w:t>
            </w:r>
            <w:r>
              <w:rPr>
                <w:rFonts w:ascii="Arial Narrow" w:eastAsia="Arial Narrow" w:hAnsi="Arial Narrow" w:cs="Arial Narrow"/>
                <w:sz w:val="20"/>
                <w:szCs w:val="20"/>
              </w:rPr>
              <w:t> </w:t>
            </w:r>
            <w:r w:rsidRPr="008B2F8A">
              <w:rPr>
                <w:rFonts w:ascii="Arial Narrow" w:eastAsia="Arial Narrow" w:hAnsi="Arial Narrow" w:cs="Arial Narrow"/>
                <w:sz w:val="20"/>
                <w:szCs w:val="20"/>
              </w:rPr>
              <w:t>Benefit: 75% = $20.25</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85% = $22.95</w:t>
            </w:r>
          </w:p>
        </w:tc>
      </w:tr>
    </w:tbl>
    <w:p w14:paraId="23B40760" w14:textId="262F7841" w:rsidR="00E47AB8" w:rsidRPr="008B2F8A" w:rsidRDefault="00E47AB8" w:rsidP="009F50D2">
      <w:pPr>
        <w:pStyle w:val="TableNotesLast"/>
        <w:rPr>
          <w:rFonts w:eastAsia="Tahoma"/>
        </w:rPr>
      </w:pPr>
      <w:r w:rsidRPr="008B2F8A">
        <w:rPr>
          <w:rFonts w:eastAsia="Tahoma"/>
        </w:rPr>
        <w:t xml:space="preserve">*From 1 July 2011 all services listed in the Diagnostic Imaging Services Table of the Medicare Benefits Schedule (MBS), excluding positron emission tomography services, preparation items 60918 and 60927 and MRI modifier items in subgroup 22 will have a mirror NK item (50% of the schedule fee) for diagnostic imaging services provided on aged equipment. </w:t>
      </w:r>
    </w:p>
    <w:p w14:paraId="4C8BBF2C" w14:textId="77777777" w:rsidR="00E47AB8" w:rsidRPr="008B2F8A" w:rsidRDefault="00E47AB8" w:rsidP="00422306">
      <w:pPr>
        <w:pStyle w:val="Caption"/>
      </w:pPr>
      <w:bookmarkStart w:id="352" w:name="_Ref383005041"/>
      <w:bookmarkStart w:id="353" w:name="_Toc383424563"/>
      <w:r w:rsidRPr="008B2F8A">
        <w:t xml:space="preserve">Table </w:t>
      </w:r>
      <w:fldSimple w:instr=" STYLEREF 1 \s ">
        <w:r w:rsidR="00B81273">
          <w:rPr>
            <w:noProof/>
          </w:rPr>
          <w:t>A</w:t>
        </w:r>
      </w:fldSimple>
      <w:r w:rsidRPr="008B2F8A">
        <w:t>.</w:t>
      </w:r>
      <w:fldSimple w:instr=" SEQ Table \* ARABIC \s 1 ">
        <w:r w:rsidR="00B81273">
          <w:rPr>
            <w:noProof/>
          </w:rPr>
          <w:t>7</w:t>
        </w:r>
      </w:fldSimple>
      <w:bookmarkEnd w:id="352"/>
      <w:r w:rsidRPr="008B2F8A">
        <w:tab/>
      </w:r>
      <w:bookmarkStart w:id="354" w:name="OLE_LINK972"/>
      <w:bookmarkStart w:id="355" w:name="OLE_LINK973"/>
      <w:r w:rsidRPr="008B2F8A">
        <w:t>Ultrasound MBS items associated with breast MRI</w:t>
      </w:r>
      <w:bookmarkEnd w:id="354"/>
      <w:bookmarkEnd w:id="355"/>
      <w:r w:rsidRPr="008B2F8A">
        <w:t>.</w:t>
      </w:r>
      <w:bookmarkEnd w:id="353"/>
    </w:p>
    <w:tbl>
      <w:tblPr>
        <w:tblW w:w="9070" w:type="dxa"/>
        <w:tblCellMar>
          <w:left w:w="28" w:type="dxa"/>
          <w:right w:w="28" w:type="dxa"/>
        </w:tblCellMar>
        <w:tblLook w:val="01E0" w:firstRow="1" w:lastRow="1" w:firstColumn="1" w:lastColumn="1" w:noHBand="0" w:noVBand="0"/>
        <w:tblCaption w:val="Ultrasound MBS items associated with breast MRI"/>
      </w:tblPr>
      <w:tblGrid>
        <w:gridCol w:w="9070"/>
      </w:tblGrid>
      <w:tr w:rsidR="00E47AB8" w:rsidRPr="008B2F8A" w14:paraId="1B344F06" w14:textId="77777777" w:rsidTr="00336085">
        <w:trPr>
          <w:tblHeader/>
        </w:trPr>
        <w:tc>
          <w:tcPr>
            <w:tcW w:w="9070" w:type="dxa"/>
            <w:tcBorders>
              <w:top w:val="single" w:sz="4" w:space="0" w:color="000000"/>
              <w:left w:val="single" w:sz="4" w:space="0" w:color="000000"/>
              <w:bottom w:val="single" w:sz="4" w:space="0" w:color="000000"/>
              <w:right w:val="single" w:sz="4" w:space="0" w:color="000000"/>
            </w:tcBorders>
          </w:tcPr>
          <w:p w14:paraId="2831D7E6" w14:textId="77777777" w:rsidR="00E47AB8" w:rsidRPr="008B2F8A" w:rsidRDefault="00E47AB8" w:rsidP="00422306">
            <w:pPr>
              <w:tabs>
                <w:tab w:val="left" w:pos="5140"/>
              </w:tabs>
              <w:spacing w:before="40" w:after="80"/>
              <w:ind w:left="102"/>
              <w:rPr>
                <w:rFonts w:ascii="Arial Narrow" w:eastAsia="Arial Narrow" w:hAnsi="Arial Narrow" w:cs="Arial Narrow"/>
                <w:sz w:val="20"/>
                <w:szCs w:val="20"/>
              </w:rPr>
            </w:pPr>
            <w:r w:rsidRPr="008B2F8A">
              <w:rPr>
                <w:rFonts w:ascii="Arial Narrow" w:eastAsia="Arial Narrow" w:hAnsi="Arial Narrow" w:cs="Arial Narrow"/>
                <w:b/>
                <w:bCs/>
                <w:sz w:val="20"/>
                <w:szCs w:val="20"/>
              </w:rPr>
              <w:t>Ultrasound</w:t>
            </w:r>
            <w:r w:rsidRPr="008B2F8A">
              <w:rPr>
                <w:rFonts w:ascii="Arial Narrow" w:eastAsia="Arial Narrow" w:hAnsi="Arial Narrow" w:cs="Arial Narrow"/>
                <w:b/>
                <w:bCs/>
                <w:sz w:val="20"/>
                <w:szCs w:val="20"/>
              </w:rPr>
              <w:tab/>
              <w:t>Category 5—Diagnostic Imaging Services</w:t>
            </w:r>
          </w:p>
        </w:tc>
      </w:tr>
      <w:tr w:rsidR="00E47AB8" w:rsidRPr="008B2F8A" w14:paraId="3DE22671" w14:textId="77777777" w:rsidTr="00336085">
        <w:tc>
          <w:tcPr>
            <w:tcW w:w="9070" w:type="dxa"/>
            <w:tcBorders>
              <w:top w:val="single" w:sz="4" w:space="0" w:color="000000"/>
              <w:left w:val="single" w:sz="4" w:space="0" w:color="000000"/>
              <w:bottom w:val="single" w:sz="4" w:space="0" w:color="000000"/>
              <w:right w:val="single" w:sz="4" w:space="0" w:color="000000"/>
            </w:tcBorders>
          </w:tcPr>
          <w:p w14:paraId="40C8630F"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MBS 55070</w:t>
            </w:r>
          </w:p>
          <w:p w14:paraId="628D1408"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b/>
                <w:sz w:val="20"/>
                <w:szCs w:val="20"/>
              </w:rPr>
              <w:t>Breast</w:t>
            </w:r>
            <w:r w:rsidRPr="008B2F8A">
              <w:rPr>
                <w:rFonts w:ascii="Arial Narrow" w:eastAsia="Arial Narrow" w:hAnsi="Arial Narrow" w:cs="Arial Narrow"/>
                <w:sz w:val="20"/>
                <w:szCs w:val="20"/>
              </w:rPr>
              <w:t>, one, ultrasound scan of, where:</w:t>
            </w:r>
          </w:p>
          <w:p w14:paraId="59467216"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(a) the patient is referred by a medical practitioner; and</w:t>
            </w:r>
          </w:p>
          <w:p w14:paraId="7E93A781"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(b) the service is not associated with a service to which an item in Subgroup 2 or 3 of this group applies; and</w:t>
            </w:r>
          </w:p>
          <w:p w14:paraId="018E0730" w14:textId="77777777" w:rsidR="00E47AB8" w:rsidRPr="008B2F8A" w:rsidRDefault="00E47AB8" w:rsidP="00422306">
            <w:pPr>
              <w:spacing w:before="40" w:after="80"/>
              <w:ind w:left="285" w:hanging="182"/>
              <w:rPr>
                <w:rFonts w:ascii="Arial Narrow" w:eastAsia="Arial Narrow" w:hAnsi="Arial Narrow" w:cs="Arial Narrow"/>
                <w:sz w:val="20"/>
                <w:szCs w:val="20"/>
              </w:rPr>
            </w:pPr>
            <w:r w:rsidRPr="008B2F8A">
              <w:rPr>
                <w:rFonts w:ascii="Arial Narrow" w:eastAsia="Arial Narrow" w:hAnsi="Arial Narrow" w:cs="Arial Narrow"/>
                <w:sz w:val="20"/>
                <w:szCs w:val="20"/>
              </w:rPr>
              <w:t>(c) the referring medical practitioner is not a member of a group of practitioners of which the providing practitioner is a member (R)</w:t>
            </w:r>
            <w:r>
              <w:rPr>
                <w:rFonts w:ascii="Arial Narrow" w:eastAsia="Arial Narrow" w:hAnsi="Arial Narrow" w:cs="Arial Narrow"/>
                <w:sz w:val="20"/>
                <w:szCs w:val="20"/>
              </w:rPr>
              <w:t>.</w:t>
            </w:r>
          </w:p>
          <w:p w14:paraId="40B671B6" w14:textId="77777777" w:rsidR="00E47AB8" w:rsidRPr="008B2F8A" w:rsidRDefault="005839BC" w:rsidP="00422306">
            <w:pPr>
              <w:spacing w:before="40" w:after="80"/>
              <w:ind w:left="102"/>
              <w:rPr>
                <w:rFonts w:ascii="Arial Narrow" w:eastAsia="Arial Narrow" w:hAnsi="Arial Narrow" w:cs="Arial Narrow"/>
                <w:sz w:val="20"/>
                <w:szCs w:val="20"/>
              </w:rPr>
            </w:pPr>
            <w:hyperlink r:id="rId28">
              <w:r w:rsidR="00E47AB8" w:rsidRPr="008B2F8A">
                <w:rPr>
                  <w:rFonts w:ascii="Arial Narrow" w:eastAsia="Arial Narrow" w:hAnsi="Arial Narrow" w:cs="Arial Narrow"/>
                  <w:sz w:val="20"/>
                  <w:szCs w:val="20"/>
                </w:rPr>
                <w:t>Bulk bill incentive</w:t>
              </w:r>
            </w:hyperlink>
          </w:p>
          <w:p w14:paraId="32353294" w14:textId="67B395C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$98.25</w:t>
            </w:r>
            <w:r>
              <w:rPr>
                <w:rFonts w:ascii="Arial Narrow" w:eastAsia="Arial Narrow" w:hAnsi="Arial Narrow" w:cs="Arial Narrow"/>
                <w:sz w:val="20"/>
                <w:szCs w:val="20"/>
              </w:rPr>
              <w:t> </w:t>
            </w:r>
            <w:r w:rsidRPr="008B2F8A">
              <w:rPr>
                <w:rFonts w:ascii="Arial Narrow" w:eastAsia="Arial Narrow" w:hAnsi="Arial Narrow" w:cs="Arial Narrow"/>
                <w:sz w:val="20"/>
                <w:szCs w:val="20"/>
              </w:rPr>
              <w:t>Benefit: 75% = $73.70</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85% = $83.55</w:t>
            </w:r>
          </w:p>
        </w:tc>
      </w:tr>
      <w:tr w:rsidR="00E47AB8" w:rsidRPr="008B2F8A" w14:paraId="07BA425D" w14:textId="77777777" w:rsidTr="00336085">
        <w:tc>
          <w:tcPr>
            <w:tcW w:w="9070" w:type="dxa"/>
            <w:tcBorders>
              <w:top w:val="single" w:sz="4" w:space="0" w:color="000000"/>
              <w:left w:val="single" w:sz="4" w:space="0" w:color="000000"/>
              <w:bottom w:val="single" w:sz="4" w:space="0" w:color="000000"/>
              <w:right w:val="single" w:sz="4" w:space="0" w:color="000000"/>
            </w:tcBorders>
          </w:tcPr>
          <w:p w14:paraId="27E98C40"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MBS 55073</w:t>
            </w:r>
          </w:p>
          <w:p w14:paraId="45B64CDD"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b/>
                <w:sz w:val="20"/>
                <w:szCs w:val="20"/>
              </w:rPr>
              <w:t>Breast</w:t>
            </w:r>
            <w:r w:rsidRPr="008B2F8A">
              <w:rPr>
                <w:rFonts w:ascii="Arial Narrow" w:eastAsia="Arial Narrow" w:hAnsi="Arial Narrow" w:cs="Arial Narrow"/>
                <w:sz w:val="20"/>
                <w:szCs w:val="20"/>
              </w:rPr>
              <w:t>, one, ultrasound scan of, where:</w:t>
            </w:r>
          </w:p>
          <w:p w14:paraId="7DAF9D69"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(a) the patient is not referred by a medical practitioner; and</w:t>
            </w:r>
          </w:p>
          <w:p w14:paraId="5536D142" w14:textId="77777777" w:rsidR="00E47AB8"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(b) the service is not associated with a service to which an item in Subgroup 2 or 3 of this group applies (</w:t>
            </w:r>
            <w:bookmarkStart w:id="356" w:name="OLE_LINK300"/>
            <w:bookmarkStart w:id="357" w:name="OLE_LINK301"/>
            <w:r w:rsidRPr="008B2F8A">
              <w:rPr>
                <w:rFonts w:ascii="Arial Narrow" w:eastAsia="Arial Narrow" w:hAnsi="Arial Narrow" w:cs="Arial Narrow"/>
                <w:sz w:val="20"/>
                <w:szCs w:val="20"/>
              </w:rPr>
              <w:t>NR</w:t>
            </w:r>
            <w:bookmarkEnd w:id="356"/>
            <w:bookmarkEnd w:id="357"/>
            <w:r w:rsidRPr="008B2F8A">
              <w:rPr>
                <w:rFonts w:ascii="Arial Narrow" w:eastAsia="Arial Narrow" w:hAnsi="Arial Narrow" w:cs="Arial Narrow"/>
                <w:sz w:val="20"/>
                <w:szCs w:val="20"/>
              </w:rPr>
              <w:t>)</w:t>
            </w:r>
            <w:r>
              <w:rPr>
                <w:rFonts w:ascii="Arial Narrow" w:eastAsia="Arial Narrow" w:hAnsi="Arial Narrow" w:cs="Arial Narrow"/>
                <w:sz w:val="20"/>
                <w:szCs w:val="20"/>
              </w:rPr>
              <w:t>.</w:t>
            </w:r>
          </w:p>
          <w:p w14:paraId="3306C498" w14:textId="6F85D3F3" w:rsidR="00E47AB8" w:rsidRPr="008B2F8A" w:rsidRDefault="005839BC" w:rsidP="00422306">
            <w:pPr>
              <w:spacing w:before="40" w:after="80"/>
              <w:ind w:left="102"/>
              <w:rPr>
                <w:rFonts w:ascii="Arial Narrow" w:eastAsia="Arial Narrow" w:hAnsi="Arial Narrow" w:cs="Arial Narrow"/>
                <w:sz w:val="20"/>
                <w:szCs w:val="20"/>
              </w:rPr>
            </w:pPr>
            <w:hyperlink r:id="rId29">
              <w:r w:rsidR="00E47AB8" w:rsidRPr="008B2F8A">
                <w:rPr>
                  <w:rFonts w:ascii="Arial Narrow" w:eastAsia="Arial Narrow" w:hAnsi="Arial Narrow" w:cs="Arial Narrow"/>
                  <w:sz w:val="20"/>
                  <w:szCs w:val="20"/>
                </w:rPr>
                <w:t>Bulk bill incentive</w:t>
              </w:r>
            </w:hyperlink>
          </w:p>
          <w:p w14:paraId="25B0B91D" w14:textId="7C20F740"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$34.05</w:t>
            </w:r>
            <w:r>
              <w:rPr>
                <w:rFonts w:ascii="Arial Narrow" w:eastAsia="Arial Narrow" w:hAnsi="Arial Narrow" w:cs="Arial Narrow"/>
                <w:sz w:val="20"/>
                <w:szCs w:val="20"/>
              </w:rPr>
              <w:t> </w:t>
            </w:r>
            <w:r w:rsidRPr="008B2F8A">
              <w:rPr>
                <w:rFonts w:ascii="Arial Narrow" w:eastAsia="Arial Narrow" w:hAnsi="Arial Narrow" w:cs="Arial Narrow"/>
                <w:sz w:val="20"/>
                <w:szCs w:val="20"/>
              </w:rPr>
              <w:t>Benefit: 75% = $25.55</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85% = $28.95</w:t>
            </w:r>
          </w:p>
        </w:tc>
      </w:tr>
      <w:tr w:rsidR="00E47AB8" w:rsidRPr="008B2F8A" w14:paraId="21E7A7E0" w14:textId="77777777" w:rsidTr="00336085">
        <w:tc>
          <w:tcPr>
            <w:tcW w:w="9070" w:type="dxa"/>
            <w:tcBorders>
              <w:top w:val="single" w:sz="4" w:space="0" w:color="000000"/>
              <w:left w:val="single" w:sz="4" w:space="0" w:color="000000"/>
              <w:bottom w:val="single" w:sz="4" w:space="0" w:color="000000"/>
              <w:right w:val="single" w:sz="4" w:space="0" w:color="000000"/>
            </w:tcBorders>
          </w:tcPr>
          <w:p w14:paraId="0F909F70"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MBS 55076</w:t>
            </w:r>
          </w:p>
          <w:p w14:paraId="3A414143"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b/>
                <w:sz w:val="20"/>
                <w:szCs w:val="20"/>
              </w:rPr>
              <w:t>Breasts</w:t>
            </w:r>
            <w:r w:rsidRPr="008B2F8A">
              <w:rPr>
                <w:rFonts w:ascii="Arial Narrow" w:eastAsia="Arial Narrow" w:hAnsi="Arial Narrow" w:cs="Arial Narrow"/>
                <w:sz w:val="20"/>
                <w:szCs w:val="20"/>
              </w:rPr>
              <w:t>, both, ultrasound scan of, where:</w:t>
            </w:r>
          </w:p>
          <w:p w14:paraId="74717C4E"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sz w:val="20"/>
                <w:szCs w:val="20"/>
              </w:rPr>
              <w:t>(a) the patient is referred by a medical practitioner; and</w:t>
            </w:r>
          </w:p>
          <w:p w14:paraId="40BABBCA"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sz w:val="20"/>
                <w:szCs w:val="20"/>
              </w:rPr>
              <w:t>(b) the service is not associated with a service to which an item in Subgroup 2 or 3 of this group applies; and</w:t>
            </w:r>
          </w:p>
          <w:p w14:paraId="56C30D2C" w14:textId="77777777" w:rsidR="00E47AB8" w:rsidRPr="008B2F8A" w:rsidRDefault="00E47AB8" w:rsidP="00422306">
            <w:pPr>
              <w:spacing w:before="40" w:after="80"/>
              <w:ind w:left="345" w:hanging="182"/>
              <w:rPr>
                <w:rFonts w:ascii="Arial Narrow" w:eastAsia="Arial Narrow" w:hAnsi="Arial Narrow" w:cs="Arial Narrow"/>
                <w:sz w:val="20"/>
                <w:szCs w:val="20"/>
              </w:rPr>
            </w:pPr>
            <w:r w:rsidRPr="008B2F8A">
              <w:rPr>
                <w:rFonts w:ascii="Arial Narrow" w:eastAsia="Arial Narrow" w:hAnsi="Arial Narrow" w:cs="Arial Narrow"/>
                <w:sz w:val="20"/>
                <w:szCs w:val="20"/>
              </w:rPr>
              <w:t>(c) the referring medical practitioner is not a member of a group of practitioners of which the providing practitioner is a member (R)</w:t>
            </w:r>
            <w:r>
              <w:rPr>
                <w:rFonts w:ascii="Arial Narrow" w:eastAsia="Arial Narrow" w:hAnsi="Arial Narrow" w:cs="Arial Narrow"/>
                <w:sz w:val="20"/>
                <w:szCs w:val="20"/>
              </w:rPr>
              <w:t>.</w:t>
            </w:r>
          </w:p>
          <w:p w14:paraId="13DD3431"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sz w:val="20"/>
                <w:szCs w:val="20"/>
              </w:rPr>
              <w:t>Bulk bill incentive</w:t>
            </w:r>
          </w:p>
          <w:p w14:paraId="28280229" w14:textId="77777777" w:rsidR="00E47AB8" w:rsidRPr="008B2F8A" w:rsidRDefault="00E47AB8" w:rsidP="00422306">
            <w:pPr>
              <w:spacing w:before="40" w:after="80"/>
              <w:ind w:left="162"/>
              <w:rPr>
                <w:rFonts w:ascii="Arial Narrow" w:eastAsia="Arial Narrow" w:hAnsi="Arial Narrow" w:cs="Arial Narrow"/>
                <w:sz w:val="20"/>
                <w:szCs w:val="20"/>
              </w:rPr>
            </w:pPr>
            <w:r w:rsidRPr="008B2F8A">
              <w:rPr>
                <w:rFonts w:ascii="Arial Narrow" w:eastAsia="Arial Narrow" w:hAnsi="Arial Narrow" w:cs="Arial Narrow"/>
                <w:sz w:val="20"/>
                <w:szCs w:val="20"/>
              </w:rPr>
              <w:t>Fee: $109.10 Benefit: 75% = $81.85 85% = $92.75</w:t>
            </w:r>
          </w:p>
        </w:tc>
      </w:tr>
      <w:tr w:rsidR="00E47AB8" w:rsidRPr="008B2F8A" w14:paraId="252D5D22" w14:textId="77777777" w:rsidTr="00336085">
        <w:tc>
          <w:tcPr>
            <w:tcW w:w="9070" w:type="dxa"/>
            <w:tcBorders>
              <w:top w:val="single" w:sz="4" w:space="0" w:color="000000"/>
              <w:left w:val="single" w:sz="4" w:space="0" w:color="000000"/>
              <w:bottom w:val="single" w:sz="4" w:space="0" w:color="auto"/>
              <w:right w:val="single" w:sz="4" w:space="0" w:color="000000"/>
            </w:tcBorders>
          </w:tcPr>
          <w:p w14:paraId="4F201311" w14:textId="77777777" w:rsidR="00E47AB8" w:rsidRPr="008B2F8A" w:rsidRDefault="00E47AB8" w:rsidP="008016EF">
            <w:pPr>
              <w:keepNext/>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lastRenderedPageBreak/>
              <w:t>MBS 55079</w:t>
            </w:r>
          </w:p>
          <w:p w14:paraId="1C885316" w14:textId="77777777" w:rsidR="00E47AB8" w:rsidRPr="008B2F8A" w:rsidRDefault="00E47AB8" w:rsidP="008016EF">
            <w:pPr>
              <w:keepNext/>
              <w:spacing w:before="40" w:after="80"/>
              <w:ind w:left="102"/>
              <w:rPr>
                <w:rFonts w:ascii="Arial Narrow" w:eastAsia="Arial Narrow" w:hAnsi="Arial Narrow" w:cs="Arial Narrow"/>
                <w:sz w:val="20"/>
                <w:szCs w:val="20"/>
              </w:rPr>
            </w:pPr>
            <w:r w:rsidRPr="008B2F8A">
              <w:rPr>
                <w:rFonts w:ascii="Arial Narrow" w:eastAsia="Arial Narrow" w:hAnsi="Arial Narrow" w:cs="Arial Narrow"/>
                <w:b/>
                <w:sz w:val="20"/>
                <w:szCs w:val="20"/>
              </w:rPr>
              <w:t>Breasts</w:t>
            </w:r>
            <w:r w:rsidRPr="008B2F8A">
              <w:rPr>
                <w:rFonts w:ascii="Arial Narrow" w:eastAsia="Arial Narrow" w:hAnsi="Arial Narrow" w:cs="Arial Narrow"/>
                <w:sz w:val="20"/>
                <w:szCs w:val="20"/>
              </w:rPr>
              <w:t>, both, ultrasound scan of, where:</w:t>
            </w:r>
          </w:p>
          <w:p w14:paraId="34E839A7" w14:textId="77777777" w:rsidR="00E47AB8" w:rsidRPr="008B2F8A" w:rsidRDefault="00E47AB8" w:rsidP="008016EF">
            <w:pPr>
              <w:keepNext/>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(a) the patient is not referred by a medical practitioner; and</w:t>
            </w:r>
          </w:p>
          <w:p w14:paraId="4BF87A28" w14:textId="77777777" w:rsidR="00E47AB8" w:rsidRDefault="00E47AB8" w:rsidP="008016EF">
            <w:pPr>
              <w:keepNext/>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(b) the service is not associated with a service to which an item in Subgroup 2 or 3 of this group applies (NR)</w:t>
            </w:r>
            <w:r>
              <w:rPr>
                <w:rFonts w:ascii="Arial Narrow" w:eastAsia="Arial Narrow" w:hAnsi="Arial Narrow" w:cs="Arial Narrow"/>
                <w:sz w:val="20"/>
                <w:szCs w:val="20"/>
              </w:rPr>
              <w:t>.</w:t>
            </w:r>
          </w:p>
          <w:p w14:paraId="16733D1B" w14:textId="17BA5AB2"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Bulk bill incentive</w:t>
            </w:r>
          </w:p>
          <w:p w14:paraId="5DFBEFDA"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$37.85 Benefit: 75% = $28.40 85% = $32.20</w:t>
            </w:r>
          </w:p>
        </w:tc>
      </w:tr>
    </w:tbl>
    <w:p w14:paraId="585A9A25" w14:textId="4AD11179" w:rsidR="00E47AB8" w:rsidRPr="008B2F8A" w:rsidRDefault="00E47AB8" w:rsidP="00336085">
      <w:pPr>
        <w:pStyle w:val="TableNotesLast"/>
      </w:pPr>
      <w:r w:rsidRPr="00336085">
        <w:rPr>
          <w:rFonts w:eastAsia="Arial Narrow"/>
        </w:rPr>
        <w:t>MBS</w:t>
      </w:r>
      <w:r w:rsidRPr="008B2F8A">
        <w:rPr>
          <w:rFonts w:eastAsia="Arial Narrow"/>
        </w:rPr>
        <w:t xml:space="preserve"> = Medicare Benefits Schedule</w:t>
      </w:r>
    </w:p>
    <w:p w14:paraId="26D87182" w14:textId="77777777" w:rsidR="00E47AB8" w:rsidRPr="008B2F8A" w:rsidRDefault="00E47AB8" w:rsidP="00422306">
      <w:pPr>
        <w:pStyle w:val="Caption"/>
      </w:pPr>
      <w:bookmarkStart w:id="358" w:name="_Ref383006014"/>
      <w:bookmarkStart w:id="359" w:name="_Toc383424564"/>
      <w:r w:rsidRPr="008B2F8A">
        <w:t xml:space="preserve">Table </w:t>
      </w:r>
      <w:fldSimple w:instr=" STYLEREF 1 \s ">
        <w:r w:rsidR="00B81273">
          <w:rPr>
            <w:noProof/>
          </w:rPr>
          <w:t>A</w:t>
        </w:r>
      </w:fldSimple>
      <w:r w:rsidRPr="008B2F8A">
        <w:t>.</w:t>
      </w:r>
      <w:fldSimple w:instr=" SEQ Table \* ARABIC \s 1 ">
        <w:r w:rsidR="00B81273">
          <w:rPr>
            <w:noProof/>
          </w:rPr>
          <w:t>8</w:t>
        </w:r>
      </w:fldSimple>
      <w:bookmarkEnd w:id="358"/>
      <w:r w:rsidRPr="008B2F8A">
        <w:tab/>
        <w:t>Consultation MBS items associated with breast MRI.</w:t>
      </w:r>
      <w:bookmarkEnd w:id="359"/>
    </w:p>
    <w:tbl>
      <w:tblPr>
        <w:tblW w:w="9070" w:type="dxa"/>
        <w:tblCellMar>
          <w:left w:w="28" w:type="dxa"/>
          <w:right w:w="28" w:type="dxa"/>
        </w:tblCellMar>
        <w:tblLook w:val="01E0" w:firstRow="1" w:lastRow="1" w:firstColumn="1" w:lastColumn="1" w:noHBand="0" w:noVBand="0"/>
      </w:tblPr>
      <w:tblGrid>
        <w:gridCol w:w="9070"/>
      </w:tblGrid>
      <w:tr w:rsidR="00E47AB8" w:rsidRPr="008B2F8A" w14:paraId="591E0223" w14:textId="77777777" w:rsidTr="00CE1BE8">
        <w:trPr>
          <w:tblHeader/>
        </w:trPr>
        <w:tc>
          <w:tcPr>
            <w:tcW w:w="9070" w:type="dxa"/>
            <w:tcBorders>
              <w:top w:val="single" w:sz="4" w:space="0" w:color="auto"/>
              <w:left w:val="single" w:sz="4" w:space="0" w:color="000000"/>
              <w:bottom w:val="single" w:sz="4" w:space="0" w:color="000000"/>
              <w:right w:val="single" w:sz="4" w:space="0" w:color="000000"/>
            </w:tcBorders>
          </w:tcPr>
          <w:p w14:paraId="58874990" w14:textId="77777777" w:rsidR="00E47AB8" w:rsidRPr="008B2F8A" w:rsidRDefault="00E47AB8" w:rsidP="00422306">
            <w:pPr>
              <w:tabs>
                <w:tab w:val="left" w:pos="5140"/>
              </w:tabs>
              <w:spacing w:before="40" w:after="80"/>
              <w:ind w:left="102"/>
              <w:rPr>
                <w:rFonts w:ascii="Arial Narrow" w:eastAsia="Arial Narrow" w:hAnsi="Arial Narrow" w:cs="Arial Narrow"/>
                <w:sz w:val="20"/>
                <w:szCs w:val="20"/>
              </w:rPr>
            </w:pPr>
            <w:r w:rsidRPr="008B2F8A">
              <w:rPr>
                <w:rFonts w:ascii="Arial Narrow" w:eastAsia="Tahoma" w:hAnsi="Arial Narrow" w:cs="Tahoma"/>
                <w:b/>
                <w:bCs/>
                <w:position w:val="-1"/>
                <w:sz w:val="20"/>
                <w:szCs w:val="20"/>
              </w:rPr>
              <w:t>Specialist consultation</w:t>
            </w:r>
            <w:r w:rsidRPr="008B2F8A">
              <w:rPr>
                <w:rFonts w:ascii="Arial Narrow" w:eastAsia="Tahoma" w:hAnsi="Arial Narrow" w:cs="Tahoma"/>
                <w:b/>
                <w:bCs/>
                <w:position w:val="-1"/>
                <w:sz w:val="20"/>
                <w:szCs w:val="20"/>
              </w:rPr>
              <w:tab/>
            </w:r>
            <w:r w:rsidRPr="008B2F8A">
              <w:rPr>
                <w:rFonts w:ascii="Arial Narrow" w:eastAsia="Arial Narrow" w:hAnsi="Arial Narrow" w:cs="Arial Narrow"/>
                <w:b/>
                <w:bCs/>
                <w:position w:val="-1"/>
                <w:sz w:val="20"/>
                <w:szCs w:val="20"/>
              </w:rPr>
              <w:t>Category 1—Professional Attendances</w:t>
            </w:r>
          </w:p>
        </w:tc>
      </w:tr>
      <w:tr w:rsidR="00E47AB8" w:rsidRPr="008B2F8A" w14:paraId="64CE1898" w14:textId="77777777" w:rsidTr="00CE1BE8">
        <w:tc>
          <w:tcPr>
            <w:tcW w:w="9070" w:type="dxa"/>
            <w:tcBorders>
              <w:top w:val="single" w:sz="4" w:space="0" w:color="000000"/>
              <w:left w:val="single" w:sz="4" w:space="0" w:color="000000"/>
              <w:bottom w:val="single" w:sz="4" w:space="0" w:color="000000"/>
              <w:right w:val="single" w:sz="4" w:space="0" w:color="000000"/>
            </w:tcBorders>
          </w:tcPr>
          <w:p w14:paraId="6F44D6F9" w14:textId="77777777" w:rsidR="00E47AB8" w:rsidRPr="008B2F8A" w:rsidRDefault="005839BC" w:rsidP="00422306">
            <w:pPr>
              <w:spacing w:before="40" w:after="80"/>
              <w:ind w:left="102"/>
              <w:rPr>
                <w:rFonts w:ascii="Arial Narrow" w:eastAsia="Arial Narrow" w:hAnsi="Arial Narrow" w:cs="Arial Narrow"/>
                <w:sz w:val="20"/>
                <w:szCs w:val="20"/>
              </w:rPr>
            </w:pPr>
            <w:hyperlink r:id="rId30">
              <w:r w:rsidR="00E47AB8" w:rsidRPr="008B2F8A">
                <w:rPr>
                  <w:rFonts w:ascii="Arial Narrow" w:eastAsia="Arial Narrow" w:hAnsi="Arial Narrow" w:cs="Arial Narrow"/>
                  <w:sz w:val="20"/>
                  <w:szCs w:val="20"/>
                </w:rPr>
                <w:t>MBS 104</w:t>
              </w:r>
            </w:hyperlink>
          </w:p>
          <w:p w14:paraId="3EF7FBA1" w14:textId="77777777" w:rsidR="00E47AB8" w:rsidRPr="008B2F8A" w:rsidRDefault="00E47AB8" w:rsidP="00422306">
            <w:pPr>
              <w:spacing w:before="40" w:after="80"/>
              <w:ind w:left="102"/>
              <w:rPr>
                <w:rFonts w:ascii="Arial Narrow" w:eastAsia="Arial Narrow" w:hAnsi="Arial Narrow" w:cs="Arial Narrow"/>
                <w:b/>
                <w:sz w:val="20"/>
                <w:szCs w:val="20"/>
              </w:rPr>
            </w:pPr>
            <w:r w:rsidRPr="008B2F8A">
              <w:rPr>
                <w:rFonts w:ascii="Arial Narrow" w:eastAsia="Arial Narrow" w:hAnsi="Arial Narrow" w:cs="Arial Narrow"/>
                <w:b/>
                <w:sz w:val="20"/>
                <w:szCs w:val="20"/>
              </w:rPr>
              <w:t>Specialist, referred consultation—surgery or hospital</w:t>
            </w:r>
          </w:p>
          <w:p w14:paraId="4A7D1BFD"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(Professional attendance at consulting rooms or hospital by a specialist in the practice of his or her special</w:t>
            </w:r>
            <w:r>
              <w:rPr>
                <w:rFonts w:ascii="Arial Narrow" w:eastAsia="Arial Narrow" w:hAnsi="Arial Narrow" w:cs="Arial Narrow"/>
                <w:sz w:val="20"/>
                <w:szCs w:val="20"/>
              </w:rPr>
              <w:t>i</w:t>
            </w:r>
            <w:r w:rsidRPr="008B2F8A">
              <w:rPr>
                <w:rFonts w:ascii="Arial Narrow" w:eastAsia="Arial Narrow" w:hAnsi="Arial Narrow" w:cs="Arial Narrow"/>
                <w:sz w:val="20"/>
                <w:szCs w:val="20"/>
              </w:rPr>
              <w:t>ty where the patient is referred to him or her)</w:t>
            </w:r>
          </w:p>
          <w:p w14:paraId="3CA7A435" w14:textId="576AD496"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w:t>
            </w:r>
            <w:r w:rsidRPr="00CE1BE8">
              <w:rPr>
                <w:rFonts w:ascii="Arial Narrow" w:eastAsia="Arial Narrow" w:hAnsi="Arial Narrow" w:cs="Arial Narrow"/>
                <w:b/>
                <w:sz w:val="20"/>
                <w:szCs w:val="20"/>
              </w:rPr>
              <w:t>Initial</w:t>
            </w:r>
            <w:r w:rsidRPr="008B2F8A">
              <w:rPr>
                <w:rFonts w:ascii="Arial Narrow" w:eastAsia="Arial Narrow" w:hAnsi="Arial Narrow" w:cs="Arial Narrow"/>
                <w:sz w:val="20"/>
                <w:szCs w:val="20"/>
              </w:rPr>
              <w:t xml:space="preserve"> attendance in a single course of treatment, not being a service to which ophthalmology items 106 </w:t>
            </w:r>
            <w:r>
              <w:rPr>
                <w:rFonts w:ascii="Arial Narrow" w:eastAsia="Arial Narrow" w:hAnsi="Arial Narrow" w:cs="Arial Narrow"/>
                <w:sz w:val="20"/>
                <w:szCs w:val="20"/>
              </w:rPr>
              <w:t xml:space="preserve">or </w:t>
            </w:r>
            <w:r w:rsidRPr="008B2F8A">
              <w:rPr>
                <w:rFonts w:ascii="Arial Narrow" w:eastAsia="Arial Narrow" w:hAnsi="Arial Narrow" w:cs="Arial Narrow"/>
                <w:sz w:val="20"/>
                <w:szCs w:val="20"/>
              </w:rPr>
              <w:t>109 or obstetric item 16401 apply.</w:t>
            </w:r>
          </w:p>
          <w:p w14:paraId="0653634B" w14:textId="386A6B5D"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$85.55</w:t>
            </w:r>
            <w:r>
              <w:rPr>
                <w:rFonts w:ascii="Arial Narrow" w:eastAsia="Arial Narrow" w:hAnsi="Arial Narrow" w:cs="Arial Narrow"/>
                <w:sz w:val="20"/>
                <w:szCs w:val="20"/>
              </w:rPr>
              <w:t> </w:t>
            </w:r>
            <w:r w:rsidRPr="008B2F8A">
              <w:rPr>
                <w:rFonts w:ascii="Arial Narrow" w:eastAsia="Arial Narrow" w:hAnsi="Arial Narrow" w:cs="Arial Narrow"/>
                <w:sz w:val="20"/>
                <w:szCs w:val="20"/>
              </w:rPr>
              <w:t>Benefit: 75% = $64.20</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85% = $72.75</w:t>
            </w:r>
          </w:p>
          <w:p w14:paraId="4814E626"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Extended Medicare Safety Net Cap: $256.65</w:t>
            </w:r>
          </w:p>
        </w:tc>
      </w:tr>
      <w:tr w:rsidR="00E47AB8" w:rsidRPr="008B2F8A" w14:paraId="68ED020E" w14:textId="77777777" w:rsidTr="00CE1BE8">
        <w:tc>
          <w:tcPr>
            <w:tcW w:w="9070" w:type="dxa"/>
            <w:tcBorders>
              <w:top w:val="single" w:sz="4" w:space="0" w:color="000000"/>
              <w:left w:val="single" w:sz="4" w:space="0" w:color="000000"/>
              <w:bottom w:val="single" w:sz="4" w:space="0" w:color="000000"/>
              <w:right w:val="single" w:sz="4" w:space="0" w:color="000000"/>
            </w:tcBorders>
          </w:tcPr>
          <w:p w14:paraId="5192626C" w14:textId="77777777" w:rsidR="00E47AB8" w:rsidRPr="008B2F8A" w:rsidRDefault="00E47AB8" w:rsidP="00422306">
            <w:pPr>
              <w:spacing w:before="40" w:after="80"/>
              <w:ind w:left="102"/>
              <w:rPr>
                <w:rFonts w:ascii="Arial Narrow" w:eastAsia="Arial Narrow" w:hAnsi="Arial Narrow" w:cs="Arial Narrow"/>
                <w:b/>
                <w:sz w:val="20"/>
                <w:szCs w:val="20"/>
              </w:rPr>
            </w:pPr>
            <w:r w:rsidRPr="008B2F8A">
              <w:rPr>
                <w:rFonts w:ascii="Arial Narrow" w:eastAsia="Arial Narrow" w:hAnsi="Arial Narrow" w:cs="Arial Narrow"/>
                <w:b/>
                <w:sz w:val="20"/>
                <w:szCs w:val="20"/>
              </w:rPr>
              <w:t>Consultant physician (other than in psychiatry), referred consultation—surgery or hospital</w:t>
            </w:r>
          </w:p>
          <w:p w14:paraId="030F40FD" w14:textId="1509F0C4"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(Professional attendance at consulting rooms or hospital by a consultant physician in the practice of his or her specialty</w:t>
            </w:r>
            <w:r>
              <w:rPr>
                <w:rFonts w:ascii="Arial Narrow" w:eastAsia="Arial Narrow" w:hAnsi="Arial Narrow" w:cs="Arial Narrow"/>
                <w:sz w:val="20"/>
                <w:szCs w:val="20"/>
              </w:rPr>
              <w:t xml:space="preserve"> [</w:t>
            </w:r>
            <w:r w:rsidRPr="008B2F8A">
              <w:rPr>
                <w:rFonts w:ascii="Arial Narrow" w:eastAsia="Arial Narrow" w:hAnsi="Arial Narrow" w:cs="Arial Narrow"/>
                <w:sz w:val="20"/>
                <w:szCs w:val="20"/>
              </w:rPr>
              <w:t>other than in psychiatry</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where the patient is referred to him or her by a medical practitioner)</w:t>
            </w:r>
          </w:p>
          <w:p w14:paraId="7B3CDA63" w14:textId="77777777"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w:t>
            </w:r>
            <w:r w:rsidRPr="00CE1BE8">
              <w:rPr>
                <w:rFonts w:ascii="Arial Narrow" w:eastAsia="Arial Narrow" w:hAnsi="Arial Narrow" w:cs="Arial Narrow"/>
                <w:b/>
                <w:sz w:val="20"/>
                <w:szCs w:val="20"/>
              </w:rPr>
              <w:t>Initial</w:t>
            </w:r>
            <w:r w:rsidRPr="008B2F8A">
              <w:rPr>
                <w:rFonts w:ascii="Arial Narrow" w:eastAsia="Arial Narrow" w:hAnsi="Arial Narrow" w:cs="Arial Narrow"/>
                <w:sz w:val="20"/>
                <w:szCs w:val="20"/>
              </w:rPr>
              <w:t xml:space="preserve"> attendance in a single course of treatment</w:t>
            </w:r>
          </w:p>
          <w:p w14:paraId="6892F5CF" w14:textId="39664ED1" w:rsidR="00E47AB8" w:rsidRPr="008B2F8A" w:rsidRDefault="00E47AB8" w:rsidP="00422306">
            <w:pPr>
              <w:spacing w:before="40" w:after="80"/>
              <w:ind w:left="102"/>
              <w:rPr>
                <w:rFonts w:ascii="Arial Narrow" w:eastAsia="Arial Narrow" w:hAnsi="Arial Narrow" w:cs="Arial Narrow"/>
                <w:sz w:val="20"/>
                <w:szCs w:val="20"/>
              </w:rPr>
            </w:pPr>
            <w:r w:rsidRPr="008B2F8A">
              <w:rPr>
                <w:rFonts w:ascii="Arial Narrow" w:eastAsia="Arial Narrow" w:hAnsi="Arial Narrow" w:cs="Arial Narrow"/>
                <w:sz w:val="20"/>
                <w:szCs w:val="20"/>
              </w:rPr>
              <w:t>Fee: $150.90</w:t>
            </w:r>
            <w:r>
              <w:rPr>
                <w:rFonts w:ascii="Arial Narrow" w:eastAsia="Arial Narrow" w:hAnsi="Arial Narrow" w:cs="Arial Narrow"/>
                <w:sz w:val="20"/>
                <w:szCs w:val="20"/>
              </w:rPr>
              <w:t> </w:t>
            </w:r>
            <w:r w:rsidRPr="008B2F8A">
              <w:rPr>
                <w:rFonts w:ascii="Arial Narrow" w:eastAsia="Arial Narrow" w:hAnsi="Arial Narrow" w:cs="Arial Narrow"/>
                <w:sz w:val="20"/>
                <w:szCs w:val="20"/>
              </w:rPr>
              <w:t>Benefit: 75% = $113.20</w:t>
            </w:r>
            <w:r>
              <w:rPr>
                <w:rFonts w:ascii="Arial Narrow" w:eastAsia="Arial Narrow" w:hAnsi="Arial Narrow" w:cs="Arial Narrow"/>
                <w:sz w:val="20"/>
                <w:szCs w:val="20"/>
              </w:rPr>
              <w:t>,</w:t>
            </w:r>
            <w:r w:rsidRPr="008B2F8A">
              <w:rPr>
                <w:rFonts w:ascii="Arial Narrow" w:eastAsia="Arial Narrow" w:hAnsi="Arial Narrow" w:cs="Arial Narrow"/>
                <w:sz w:val="20"/>
                <w:szCs w:val="20"/>
              </w:rPr>
              <w:t xml:space="preserve"> 85% = $128.30</w:t>
            </w:r>
            <w:r w:rsidRPr="008B2F8A">
              <w:rPr>
                <w:rFonts w:ascii="Arial Narrow" w:eastAsia="Arial Narrow" w:hAnsi="Arial Narrow" w:cs="Arial Narrow"/>
                <w:sz w:val="20"/>
                <w:szCs w:val="20"/>
              </w:rPr>
              <w:br/>
              <w:t>Extended Medicare safety net cap: $452.70</w:t>
            </w:r>
          </w:p>
        </w:tc>
      </w:tr>
    </w:tbl>
    <w:p w14:paraId="6774B697" w14:textId="77777777" w:rsidR="00E47AB8" w:rsidRPr="008B2F8A" w:rsidRDefault="00E47AB8" w:rsidP="00CE1BE8">
      <w:pPr>
        <w:pStyle w:val="TableNotesLast"/>
        <w:rPr>
          <w:b/>
        </w:rPr>
      </w:pPr>
      <w:r w:rsidRPr="008B2F8A">
        <w:rPr>
          <w:rFonts w:eastAsia="Arial Narrow"/>
        </w:rPr>
        <w:t>MBS = Medicare Benefits Schedule.</w:t>
      </w:r>
    </w:p>
    <w:p w14:paraId="038DA117" w14:textId="24EA89EF" w:rsidR="00E47AB8" w:rsidRPr="008B2F8A" w:rsidRDefault="00E47AB8" w:rsidP="00E47AB8">
      <w:pPr>
        <w:pStyle w:val="Heading3"/>
        <w:numPr>
          <w:ilvl w:val="2"/>
          <w:numId w:val="10"/>
        </w:numPr>
      </w:pPr>
      <w:bookmarkStart w:id="360" w:name="_Toc383424437"/>
      <w:r w:rsidRPr="008B2F8A">
        <w:t>Other relevant applications and reviews</w:t>
      </w:r>
      <w:bookmarkEnd w:id="360"/>
    </w:p>
    <w:p w14:paraId="6B69A7D9" w14:textId="54BA5FC7" w:rsidR="00E47AB8" w:rsidRPr="008B2F8A" w:rsidRDefault="00E47AB8" w:rsidP="00422306">
      <w:r w:rsidRPr="008B2F8A">
        <w:t>Other applications</w:t>
      </w:r>
      <w:r>
        <w:t xml:space="preserve"> and </w:t>
      </w:r>
      <w:r w:rsidRPr="008B2F8A">
        <w:t xml:space="preserve">reviews relevant to the current assessment are summarised in </w:t>
      </w:r>
      <w:r w:rsidRPr="008B2F8A">
        <w:fldChar w:fldCharType="begin"/>
      </w:r>
      <w:r w:rsidRPr="008B2F8A">
        <w:instrText xml:space="preserve"> REF _Ref368495138 \h </w:instrText>
      </w:r>
      <w:r w:rsidRPr="008B2F8A">
        <w:fldChar w:fldCharType="separate"/>
      </w:r>
      <w:r w:rsidR="00B81273" w:rsidRPr="008B2F8A">
        <w:t xml:space="preserve">Table </w:t>
      </w:r>
      <w:r w:rsidR="00B81273">
        <w:rPr>
          <w:noProof/>
        </w:rPr>
        <w:t>A</w:t>
      </w:r>
      <w:r w:rsidR="00B81273" w:rsidRPr="008B2F8A">
        <w:t>.</w:t>
      </w:r>
      <w:r w:rsidR="00B81273">
        <w:rPr>
          <w:noProof/>
        </w:rPr>
        <w:t>9</w:t>
      </w:r>
      <w:r w:rsidRPr="008B2F8A">
        <w:fldChar w:fldCharType="end"/>
      </w:r>
      <w:r w:rsidRPr="008B2F8A">
        <w:t>.</w:t>
      </w:r>
    </w:p>
    <w:p w14:paraId="4F592E63" w14:textId="0CF939DA" w:rsidR="00E47AB8" w:rsidRPr="008B2F8A" w:rsidRDefault="00E47AB8" w:rsidP="00422306">
      <w:pPr>
        <w:pStyle w:val="Caption"/>
      </w:pPr>
      <w:bookmarkStart w:id="361" w:name="_Ref368495138"/>
      <w:bookmarkStart w:id="362" w:name="_Toc383424565"/>
      <w:r w:rsidRPr="008B2F8A">
        <w:t xml:space="preserve">Table </w:t>
      </w:r>
      <w:fldSimple w:instr=" STYLEREF 1 \s ">
        <w:r w:rsidR="00B81273">
          <w:rPr>
            <w:noProof/>
          </w:rPr>
          <w:t>A</w:t>
        </w:r>
      </w:fldSimple>
      <w:r w:rsidRPr="008B2F8A">
        <w:t>.</w:t>
      </w:r>
      <w:fldSimple w:instr=" SEQ Table \* ARABIC \s 1 ">
        <w:r w:rsidR="00B81273">
          <w:rPr>
            <w:noProof/>
          </w:rPr>
          <w:t>9</w:t>
        </w:r>
      </w:fldSimple>
      <w:bookmarkEnd w:id="361"/>
      <w:r w:rsidRPr="008B2F8A">
        <w:tab/>
      </w:r>
      <w:bookmarkStart w:id="363" w:name="OLE_LINK974"/>
      <w:bookmarkStart w:id="364" w:name="OLE_LINK975"/>
      <w:r w:rsidRPr="008B2F8A">
        <w:t>Other applications</w:t>
      </w:r>
      <w:r>
        <w:t xml:space="preserve"> and </w:t>
      </w:r>
      <w:r w:rsidRPr="008B2F8A">
        <w:t>reviews relevant to the current assessment</w:t>
      </w:r>
      <w:bookmarkEnd w:id="363"/>
      <w:bookmarkEnd w:id="364"/>
      <w:r w:rsidRPr="008B2F8A">
        <w:t>.</w:t>
      </w:r>
      <w:bookmarkEnd w:id="362"/>
    </w:p>
    <w:tbl>
      <w:tblPr>
        <w:tblStyle w:val="TableGrid"/>
        <w:tblW w:w="9070" w:type="dxa"/>
        <w:tblCellMar>
          <w:left w:w="28" w:type="dxa"/>
          <w:right w:w="28" w:type="dxa"/>
        </w:tblCellMar>
        <w:tblLook w:val="04A0" w:firstRow="1" w:lastRow="0" w:firstColumn="1" w:lastColumn="0" w:noHBand="0" w:noVBand="1"/>
        <w:tblCaption w:val="Other applications and reviews relevant to the current assessment"/>
      </w:tblPr>
      <w:tblGrid>
        <w:gridCol w:w="730"/>
        <w:gridCol w:w="4552"/>
        <w:gridCol w:w="3788"/>
      </w:tblGrid>
      <w:tr w:rsidR="00E47AB8" w:rsidRPr="008B2F8A" w14:paraId="1991F322" w14:textId="77777777" w:rsidTr="00CE1BE8">
        <w:trPr>
          <w:tblHeader/>
        </w:trPr>
        <w:tc>
          <w:tcPr>
            <w:tcW w:w="730" w:type="dxa"/>
          </w:tcPr>
          <w:p w14:paraId="2B555DDD" w14:textId="77777777" w:rsidR="00E47AB8" w:rsidRPr="008B2F8A" w:rsidRDefault="00E47AB8" w:rsidP="00422306">
            <w:pPr>
              <w:pStyle w:val="Tableheaderrow"/>
              <w:spacing w:before="40" w:after="80" w:line="276" w:lineRule="auto"/>
            </w:pPr>
            <w:r w:rsidRPr="008B2F8A">
              <w:t>No</w:t>
            </w:r>
          </w:p>
        </w:tc>
        <w:tc>
          <w:tcPr>
            <w:tcW w:w="4552" w:type="dxa"/>
          </w:tcPr>
          <w:p w14:paraId="04FEAF38" w14:textId="77777777" w:rsidR="00E47AB8" w:rsidRPr="008B2F8A" w:rsidRDefault="00E47AB8" w:rsidP="00422306">
            <w:pPr>
              <w:pStyle w:val="Tableheaderrow"/>
              <w:spacing w:before="40" w:after="80" w:line="276" w:lineRule="auto"/>
            </w:pPr>
            <w:r w:rsidRPr="008B2F8A">
              <w:t>Application title</w:t>
            </w:r>
          </w:p>
        </w:tc>
        <w:tc>
          <w:tcPr>
            <w:tcW w:w="3788" w:type="dxa"/>
          </w:tcPr>
          <w:p w14:paraId="3994B935" w14:textId="77777777" w:rsidR="00E47AB8" w:rsidRPr="008B2F8A" w:rsidRDefault="00E47AB8" w:rsidP="00422306">
            <w:pPr>
              <w:pStyle w:val="Tableheaderrow"/>
              <w:spacing w:before="40" w:after="80" w:line="276" w:lineRule="auto"/>
            </w:pPr>
            <w:r w:rsidRPr="008B2F8A">
              <w:t xml:space="preserve">Progress </w:t>
            </w:r>
          </w:p>
        </w:tc>
      </w:tr>
      <w:tr w:rsidR="00E47AB8" w:rsidRPr="008B2F8A" w14:paraId="12DE7F75" w14:textId="77777777" w:rsidTr="00CE1BE8">
        <w:tc>
          <w:tcPr>
            <w:tcW w:w="730" w:type="dxa"/>
          </w:tcPr>
          <w:p w14:paraId="0F2920C4" w14:textId="77777777" w:rsidR="00E47AB8" w:rsidRPr="008B2F8A" w:rsidRDefault="005839BC" w:rsidP="00422306">
            <w:pPr>
              <w:spacing w:before="40" w:after="80"/>
              <w:rPr>
                <w:rFonts w:ascii="Arial Narrow" w:hAnsi="Arial Narrow"/>
                <w:color w:val="000000"/>
              </w:rPr>
            </w:pPr>
            <w:hyperlink r:id="rId31" w:history="1">
              <w:r w:rsidR="00E47AB8" w:rsidRPr="008B2F8A">
                <w:rPr>
                  <w:rStyle w:val="Hyperlink"/>
                  <w:rFonts w:ascii="Arial Narrow" w:hAnsi="Arial Narrow"/>
                  <w:sz w:val="20"/>
                </w:rPr>
                <w:t>1333</w:t>
              </w:r>
            </w:hyperlink>
          </w:p>
        </w:tc>
        <w:tc>
          <w:tcPr>
            <w:tcW w:w="4552" w:type="dxa"/>
          </w:tcPr>
          <w:p w14:paraId="37DAC8A2" w14:textId="77777777" w:rsidR="00E47AB8" w:rsidRPr="008B2F8A" w:rsidRDefault="00E47AB8" w:rsidP="00422306">
            <w:pPr>
              <w:pStyle w:val="Tabletext"/>
              <w:spacing w:before="40" w:after="80" w:line="276" w:lineRule="auto"/>
              <w:rPr>
                <w:color w:val="000000"/>
              </w:rPr>
            </w:pPr>
            <w:r w:rsidRPr="008B2F8A">
              <w:t>Breast magnetic resonance imaging (MRI) for staging in women with newly diagnosed breast cancer</w:t>
            </w:r>
          </w:p>
        </w:tc>
        <w:tc>
          <w:tcPr>
            <w:tcW w:w="3788" w:type="dxa"/>
          </w:tcPr>
          <w:p w14:paraId="5F4FC8FD" w14:textId="502D0A87" w:rsidR="00E47AB8" w:rsidRPr="008B2F8A" w:rsidRDefault="00E47AB8" w:rsidP="00422306">
            <w:pPr>
              <w:pStyle w:val="Tabletext"/>
              <w:spacing w:before="40" w:after="80" w:line="276" w:lineRule="auto"/>
              <w:rPr>
                <w:color w:val="000000"/>
              </w:rPr>
            </w:pPr>
            <w:r w:rsidRPr="008B2F8A">
              <w:t>Proposed DAP reviewed at PASC 13 December 2013</w:t>
            </w:r>
            <w:r>
              <w:t>;</w:t>
            </w:r>
            <w:r w:rsidRPr="008B2F8A">
              <w:t xml:space="preserve"> awaiting release for public consultation</w:t>
            </w:r>
          </w:p>
        </w:tc>
      </w:tr>
    </w:tbl>
    <w:p w14:paraId="7CCC7468" w14:textId="52D2C54C" w:rsidR="00E47AB8" w:rsidRPr="008B2F8A" w:rsidRDefault="00E47AB8" w:rsidP="00CE1BE8">
      <w:pPr>
        <w:pStyle w:val="TableNotesFirst"/>
      </w:pPr>
      <w:r w:rsidRPr="008B2F8A">
        <w:t>DAP = Decision-Analytic Protocol; PASC = Protocol Advisory Sub-committee.</w:t>
      </w:r>
    </w:p>
    <w:p w14:paraId="4A9AAFDE" w14:textId="43FA717A" w:rsidR="00E47AB8" w:rsidRPr="008B2F8A" w:rsidRDefault="00E47AB8" w:rsidP="00CE1BE8">
      <w:pPr>
        <w:pStyle w:val="TableNotesLast"/>
      </w:pPr>
      <w:r w:rsidRPr="008B2F8A">
        <w:t>Source:</w:t>
      </w:r>
      <w:r w:rsidRPr="00CE1BE8">
        <w:rPr>
          <w:sz w:val="20"/>
          <w:szCs w:val="20"/>
        </w:rPr>
        <w:t xml:space="preserve"> </w:t>
      </w:r>
      <w:r w:rsidRPr="00CE1BE8">
        <w:rPr>
          <w:rFonts w:eastAsia="Calibri"/>
          <w:sz w:val="20"/>
          <w:szCs w:val="20"/>
        </w:rPr>
        <w:t>MSAC</w:t>
      </w:r>
      <w:r w:rsidRPr="008B2F8A">
        <w:t xml:space="preserve"> website [accessed 8 January 2014].</w:t>
      </w:r>
    </w:p>
    <w:p w14:paraId="2B59BBAE" w14:textId="77777777" w:rsidR="00E47AB8" w:rsidRPr="008B2F8A" w:rsidRDefault="00E47AB8" w:rsidP="00E47AB8">
      <w:pPr>
        <w:pStyle w:val="Heading2"/>
        <w:numPr>
          <w:ilvl w:val="1"/>
          <w:numId w:val="10"/>
        </w:numPr>
      </w:pPr>
      <w:bookmarkStart w:id="365" w:name="_Toc383424438"/>
      <w:r w:rsidRPr="008B2F8A">
        <w:t>Comparator details</w:t>
      </w:r>
      <w:bookmarkEnd w:id="365"/>
    </w:p>
    <w:p w14:paraId="2C81C87F" w14:textId="77777777" w:rsidR="00E47AB8" w:rsidRPr="008B2F8A" w:rsidRDefault="00E47AB8" w:rsidP="00E47AB8">
      <w:pPr>
        <w:pStyle w:val="Heading3"/>
        <w:numPr>
          <w:ilvl w:val="2"/>
          <w:numId w:val="10"/>
        </w:numPr>
      </w:pPr>
      <w:bookmarkStart w:id="366" w:name="_Toc383424439"/>
      <w:bookmarkStart w:id="367" w:name="_Toc338144001"/>
      <w:r w:rsidRPr="008B2F8A">
        <w:t xml:space="preserve">Mammography through the </w:t>
      </w:r>
      <w:r w:rsidRPr="008B2F8A">
        <w:rPr>
          <w:rFonts w:eastAsia="Tahoma"/>
        </w:rPr>
        <w:t>BreastScreen Australia program</w:t>
      </w:r>
      <w:bookmarkEnd w:id="366"/>
    </w:p>
    <w:p w14:paraId="09F57227" w14:textId="581E622D" w:rsidR="00E47AB8" w:rsidRPr="008B2F8A" w:rsidRDefault="00E47AB8" w:rsidP="00422306">
      <w:r w:rsidRPr="008B2F8A">
        <w:t>Mammography is the most common form of breast imaging for asymptomatic and symptomatic women and may be used for screening or diagnosis. BreastScreen Australia</w:t>
      </w:r>
      <w:r>
        <w:t>,</w:t>
      </w:r>
      <w:r w:rsidRPr="008B2F8A">
        <w:t xml:space="preserve"> the national population-based screening program</w:t>
      </w:r>
      <w:r>
        <w:t>,</w:t>
      </w:r>
      <w:r w:rsidRPr="008B2F8A">
        <w:t xml:space="preserve"> is targeted to asymptomatic women at average risk of breast cancer. It </w:t>
      </w:r>
      <w:r w:rsidRPr="008B2F8A">
        <w:lastRenderedPageBreak/>
        <w:t>provides free screening mammograms at 2-yearly intervals for women aged 50</w:t>
      </w:r>
      <w:r>
        <w:t xml:space="preserve"> to </w:t>
      </w:r>
      <w:r w:rsidRPr="008B2F8A">
        <w:t>69</w:t>
      </w:r>
      <w:r>
        <w:t xml:space="preserve"> years</w:t>
      </w:r>
      <w:r w:rsidRPr="008B2F8A">
        <w:t>, although women aged 40</w:t>
      </w:r>
      <w:r>
        <w:t xml:space="preserve"> to </w:t>
      </w:r>
      <w:r w:rsidRPr="008B2F8A">
        <w:t>49 and 70 years and older are also eligible. A screening mammogram consists of two sets of low</w:t>
      </w:r>
      <w:r>
        <w:t>-</w:t>
      </w:r>
      <w:r w:rsidRPr="008B2F8A">
        <w:t xml:space="preserve">dose x-rays </w:t>
      </w:r>
      <w:r>
        <w:t>to</w:t>
      </w:r>
      <w:r w:rsidRPr="008B2F8A">
        <w:t xml:space="preserve"> give view</w:t>
      </w:r>
      <w:r>
        <w:t>s</w:t>
      </w:r>
      <w:r w:rsidRPr="008B2F8A">
        <w:t xml:space="preserve"> from the side (medio-lateral oblique) and top (</w:t>
      </w:r>
      <w:bookmarkStart w:id="368" w:name="OLE_LINK44"/>
      <w:bookmarkStart w:id="369" w:name="OLE_LINK45"/>
      <w:r w:rsidRPr="008B2F8A">
        <w:t>cranio</w:t>
      </w:r>
      <w:bookmarkEnd w:id="368"/>
      <w:bookmarkEnd w:id="369"/>
      <w:r w:rsidRPr="008B2F8A">
        <w:t>-caudal).</w:t>
      </w:r>
    </w:p>
    <w:p w14:paraId="2828F69F" w14:textId="77777777" w:rsidR="00E47AB8" w:rsidRPr="008B2F8A" w:rsidRDefault="00E47AB8" w:rsidP="00E47AB8">
      <w:pPr>
        <w:pStyle w:val="Heading3"/>
        <w:numPr>
          <w:ilvl w:val="2"/>
          <w:numId w:val="10"/>
        </w:numPr>
        <w:rPr>
          <w:rFonts w:eastAsia="Tahoma"/>
        </w:rPr>
      </w:pPr>
      <w:bookmarkStart w:id="370" w:name="_Toc383424440"/>
      <w:r w:rsidRPr="008B2F8A">
        <w:rPr>
          <w:rFonts w:eastAsia="Tahoma"/>
        </w:rPr>
        <w:t>Mammography outside the BreastScreen Australia program</w:t>
      </w:r>
      <w:bookmarkEnd w:id="370"/>
    </w:p>
    <w:p w14:paraId="4689EAEF" w14:textId="77777777" w:rsidR="00E47AB8" w:rsidRPr="008B2F8A" w:rsidRDefault="00E47AB8" w:rsidP="00422306">
      <w:r w:rsidRPr="008B2F8A">
        <w:t xml:space="preserve">Diagnostic mammography is recommended for women who have symptoms which may be due to breast cancer, </w:t>
      </w:r>
      <w:r>
        <w:t xml:space="preserve">who have </w:t>
      </w:r>
      <w:r w:rsidRPr="008B2F8A">
        <w:t>a previous history of breast cancer or who are at familial risk of developing breast cancer. The MBS provides a rebate for diagnostic mammography where there is a reason to suspect the presence of a malignancy, for example in women with breast symptoms and women with a personal or family history of breast cancer (MBS items 59300 and 59301).</w:t>
      </w:r>
    </w:p>
    <w:p w14:paraId="34069D01" w14:textId="466B4774" w:rsidR="00E47AB8" w:rsidRPr="008B2F8A" w:rsidRDefault="00E47AB8" w:rsidP="00422306">
      <w:r w:rsidRPr="008B2F8A">
        <w:t xml:space="preserve">The MBS specifically excludes rebates for mammography for screening purposes except for personal or family history. However, it is apparent that some mammography services accessed through the MBS are non-diagnostic </w:t>
      </w:r>
      <w:r w:rsidRPr="008B2F8A">
        <w:rPr>
          <w:noProof/>
        </w:rPr>
        <w:t>(</w:t>
      </w:r>
      <w:bookmarkStart w:id="371" w:name="OLE_LINK665"/>
      <w:bookmarkStart w:id="372" w:name="OLE_LINK666"/>
      <w:r w:rsidRPr="008B2F8A">
        <w:rPr>
          <w:noProof/>
        </w:rPr>
        <w:t>IMS Health Pty Ltd for the Department of Health and Ageing, 2009</w:t>
      </w:r>
      <w:bookmarkEnd w:id="371"/>
      <w:bookmarkEnd w:id="372"/>
      <w:r w:rsidRPr="008B2F8A">
        <w:rPr>
          <w:noProof/>
        </w:rPr>
        <w:t>)</w:t>
      </w:r>
      <w:r w:rsidRPr="008B2F8A">
        <w:t>.</w:t>
      </w:r>
    </w:p>
    <w:p w14:paraId="7CC20275" w14:textId="77777777" w:rsidR="00E47AB8" w:rsidRPr="008B2F8A" w:rsidRDefault="00E47AB8" w:rsidP="00E47AB8">
      <w:pPr>
        <w:pStyle w:val="Heading3"/>
        <w:numPr>
          <w:ilvl w:val="2"/>
          <w:numId w:val="10"/>
        </w:numPr>
        <w:rPr>
          <w:rFonts w:eastAsia="Tahoma"/>
        </w:rPr>
      </w:pPr>
      <w:bookmarkStart w:id="373" w:name="_Toc383424441"/>
      <w:r w:rsidRPr="008B2F8A">
        <w:rPr>
          <w:rFonts w:eastAsia="Tahoma"/>
        </w:rPr>
        <w:t>Ultrasound</w:t>
      </w:r>
      <w:bookmarkEnd w:id="373"/>
    </w:p>
    <w:p w14:paraId="39E52D34" w14:textId="1CA113B8" w:rsidR="00E47AB8" w:rsidRPr="008B2F8A" w:rsidRDefault="00E47AB8" w:rsidP="00422306">
      <w:r w:rsidRPr="008B2F8A">
        <w:t xml:space="preserve">Breast ultrasound may be used to complement mammography (MBS items 55070, 55073 and 55076). However, the role of breast ultrasound in screening young women at high risk of breast cancer has not been established </w:t>
      </w:r>
      <w:r w:rsidRPr="008B2F8A">
        <w:rPr>
          <w:noProof/>
        </w:rPr>
        <w:t>(</w:t>
      </w:r>
      <w:bookmarkStart w:id="374" w:name="OLE_LINK667"/>
      <w:bookmarkStart w:id="375" w:name="OLE_LINK668"/>
      <w:r w:rsidRPr="008B2F8A">
        <w:rPr>
          <w:noProof/>
        </w:rPr>
        <w:t>NBCC, 2002</w:t>
      </w:r>
      <w:bookmarkEnd w:id="374"/>
      <w:bookmarkEnd w:id="375"/>
      <w:r w:rsidRPr="008B2F8A">
        <w:rPr>
          <w:noProof/>
        </w:rPr>
        <w:t>)</w:t>
      </w:r>
      <w:r w:rsidRPr="008B2F8A">
        <w:t xml:space="preserve"> and its use varies by centre in Australia. Some clinicians use ultrasound routinely to screen all young high-risk women; others use it selectively, for example in young women with increased mammographic density (Advisory Panel, March 2006).</w:t>
      </w:r>
    </w:p>
    <w:p w14:paraId="2803F08B" w14:textId="77777777" w:rsidR="00E47AB8" w:rsidRPr="008B2F8A" w:rsidRDefault="00E47AB8" w:rsidP="00E47AB8">
      <w:pPr>
        <w:pStyle w:val="Heading2"/>
        <w:numPr>
          <w:ilvl w:val="1"/>
          <w:numId w:val="10"/>
        </w:numPr>
      </w:pPr>
      <w:bookmarkStart w:id="376" w:name="_Toc383424442"/>
      <w:r w:rsidRPr="008B2F8A">
        <w:t>Clinical management algorithm</w:t>
      </w:r>
      <w:bookmarkEnd w:id="367"/>
      <w:bookmarkEnd w:id="376"/>
    </w:p>
    <w:p w14:paraId="3A2FD75E" w14:textId="2D674104" w:rsidR="00E47AB8" w:rsidRPr="008B2F8A" w:rsidRDefault="00E47AB8" w:rsidP="00422306">
      <w:r w:rsidRPr="008B2F8A">
        <w:t xml:space="preserve">Breast MRI has been conditionally recommended for use as an </w:t>
      </w:r>
      <w:r w:rsidRPr="008B2F8A">
        <w:rPr>
          <w:b/>
          <w:bCs/>
        </w:rPr>
        <w:t xml:space="preserve">additional </w:t>
      </w:r>
      <w:r w:rsidRPr="008B2F8A">
        <w:t xml:space="preserve">test in the diagnosis of breast cancer in asymptomatic women &lt;50 years of age with a high risk of developing breast cancer when used as part of organised screening, on the basis of the 2006 MSAC assessment. Under this scheme, women eligible for MRI in addition to organised screening programs include women with a genetic mutation (such as </w:t>
      </w:r>
      <w:r w:rsidRPr="008B2F8A">
        <w:rPr>
          <w:i/>
        </w:rPr>
        <w:t>BRCA1</w:t>
      </w:r>
      <w:r w:rsidRPr="008B2F8A">
        <w:t xml:space="preserve">, </w:t>
      </w:r>
      <w:r w:rsidRPr="008B2F8A">
        <w:rPr>
          <w:i/>
        </w:rPr>
        <w:t>BRCA2</w:t>
      </w:r>
      <w:r w:rsidRPr="008B2F8A">
        <w:t xml:space="preserve"> </w:t>
      </w:r>
      <w:r>
        <w:t xml:space="preserve">or </w:t>
      </w:r>
      <w:r w:rsidRPr="008B2F8A">
        <w:rPr>
          <w:i/>
        </w:rPr>
        <w:t>TP53</w:t>
      </w:r>
      <w:r w:rsidRPr="008B2F8A">
        <w:t xml:space="preserve"> defined by genetic testing) and familial history of breast or ovarian cancer or sarcoma (bone or soft tissue). </w:t>
      </w:r>
      <w:r w:rsidR="00CE1BE8">
        <w:t>Breast MRI</w:t>
      </w:r>
      <w:r w:rsidRPr="008B2F8A">
        <w:t xml:space="preserve"> occurs outside of the BreastScreen Australia program.</w:t>
      </w:r>
    </w:p>
    <w:p w14:paraId="74F8A06B" w14:textId="59CD3E6B" w:rsidR="00E47AB8" w:rsidRPr="008B2F8A" w:rsidRDefault="00E47AB8" w:rsidP="00CE1BE8">
      <w:r w:rsidRPr="008B2F8A">
        <w:t xml:space="preserve">In relation to the clinical algorithm, this assessment </w:t>
      </w:r>
      <w:r>
        <w:t xml:space="preserve">proposes </w:t>
      </w:r>
      <w:r w:rsidRPr="008B2F8A">
        <w:t>no change in the use of breast MRI for the aforementioned cohort of high-risk women (ie, presence of genetic mutations or familial history)</w:t>
      </w:r>
      <w:r>
        <w:t>;</w:t>
      </w:r>
      <w:r w:rsidRPr="008B2F8A">
        <w:t xml:space="preserve"> but</w:t>
      </w:r>
      <w:r>
        <w:t xml:space="preserve"> </w:t>
      </w:r>
      <w:r w:rsidRPr="008B2F8A">
        <w:t>inclu</w:t>
      </w:r>
      <w:r>
        <w:t>des</w:t>
      </w:r>
      <w:r w:rsidRPr="008B2F8A">
        <w:t xml:space="preserve"> a new cohort of women at high risk of developing breast cancer. This will see additional women screened with MRI who would not have previously had access to MBS item 63464. The new cohort include</w:t>
      </w:r>
      <w:r>
        <w:t>s</w:t>
      </w:r>
      <w:r w:rsidRPr="008B2F8A">
        <w:t xml:space="preserve"> women who have a previous history of invasive breast cancer, DCIS or LCIS, or chest irradiation from 10 to 35 years of age for Hodgkin’s lymphoma.</w:t>
      </w:r>
    </w:p>
    <w:p w14:paraId="2F1CD798" w14:textId="77777777" w:rsidR="00604D4F" w:rsidRDefault="00E47AB8" w:rsidP="00604D4F">
      <w:pPr>
        <w:spacing w:after="0" w:line="240" w:lineRule="auto"/>
      </w:pPr>
      <w:r w:rsidRPr="008B2F8A">
        <w:t xml:space="preserve">Breast MRI will be considered in addition to mammography screening, </w:t>
      </w:r>
      <w:r>
        <w:t>with</w:t>
      </w:r>
      <w:r w:rsidRPr="008B2F8A">
        <w:t xml:space="preserve"> or </w:t>
      </w:r>
      <w:r>
        <w:t>without</w:t>
      </w:r>
      <w:r w:rsidRPr="008B2F8A">
        <w:t xml:space="preserve"> ultrasound. </w:t>
      </w:r>
      <w:r w:rsidR="00604D4F">
        <w:t> </w:t>
      </w:r>
    </w:p>
    <w:p w14:paraId="012F2F99" w14:textId="69F04884" w:rsidR="00604D4F" w:rsidRDefault="00604D4F" w:rsidP="00604D4F">
      <w:pPr>
        <w:spacing w:after="0" w:line="240" w:lineRule="auto"/>
      </w:pPr>
      <w:r>
        <w:t>Figure A.1 includes the current and additional high-risk populations under consideration.</w:t>
      </w:r>
    </w:p>
    <w:p w14:paraId="421AE4FE" w14:textId="77777777" w:rsidR="00604D4F" w:rsidRDefault="00604D4F">
      <w:pPr>
        <w:spacing w:after="0" w:line="240" w:lineRule="auto"/>
      </w:pPr>
      <w:r>
        <w:br w:type="page"/>
      </w:r>
    </w:p>
    <w:p w14:paraId="0A41A47A" w14:textId="50F7E6AF" w:rsidR="00E47AB8" w:rsidRDefault="00E47AB8" w:rsidP="00604D4F">
      <w:pPr>
        <w:pStyle w:val="Caption"/>
      </w:pPr>
      <w:bookmarkStart w:id="377" w:name="_Ref376941243"/>
      <w:bookmarkStart w:id="378" w:name="_Ref383418438"/>
      <w:bookmarkStart w:id="379" w:name="_Ref377651468"/>
      <w:bookmarkStart w:id="380" w:name="_Toc383424676"/>
      <w:r w:rsidRPr="008B2F8A">
        <w:lastRenderedPageBreak/>
        <w:t xml:space="preserve">Figure </w:t>
      </w:r>
      <w:fldSimple w:instr=" STYLEREF 1 \s ">
        <w:r w:rsidR="00B81273">
          <w:rPr>
            <w:noProof/>
          </w:rPr>
          <w:t>A</w:t>
        </w:r>
      </w:fldSimple>
      <w:r w:rsidRPr="008B2F8A">
        <w:t>.</w:t>
      </w:r>
      <w:fldSimple w:instr=" SEQ Figure \* ARABIC \s 1 ">
        <w:r w:rsidR="00B81273">
          <w:rPr>
            <w:noProof/>
          </w:rPr>
          <w:t>1</w:t>
        </w:r>
      </w:fldSimple>
      <w:bookmarkEnd w:id="377"/>
      <w:bookmarkEnd w:id="378"/>
      <w:r w:rsidRPr="008B2F8A">
        <w:tab/>
      </w:r>
      <w:bookmarkStart w:id="381" w:name="OLE_LINK976"/>
      <w:bookmarkStart w:id="382" w:name="OLE_LINK977"/>
      <w:r w:rsidRPr="008B2F8A">
        <w:t>Clinical algorithm (clinical pathway) for screening asymptomatic high-risk women</w:t>
      </w:r>
      <w:bookmarkEnd w:id="379"/>
      <w:bookmarkEnd w:id="381"/>
      <w:bookmarkEnd w:id="382"/>
      <w:r w:rsidRPr="008B2F8A">
        <w:t>.</w:t>
      </w:r>
      <w:bookmarkEnd w:id="380"/>
    </w:p>
    <w:p w14:paraId="6E5501E4" w14:textId="63012917" w:rsidR="00E47AB8" w:rsidRPr="008B2F8A" w:rsidRDefault="002F59CC" w:rsidP="00422306">
      <w:pPr>
        <w:pStyle w:val="TableNotesLast"/>
      </w:pPr>
      <w:r>
        <w:rPr>
          <w:rFonts w:eastAsia="Tahoma"/>
          <w:noProof/>
        </w:rPr>
        <w:drawing>
          <wp:inline distT="0" distB="0" distL="0" distR="0" wp14:anchorId="3E925024" wp14:editId="07027B97">
            <wp:extent cx="5759450" cy="5427345"/>
            <wp:effectExtent l="0" t="0" r="0" b="1905"/>
            <wp:docPr id="3" name="Picture 3" descr="A clinical algorithm showing the screening of asymptomatic high-risk women both with and without breast MRI." title="Clinical algorithm (clinical pathway) for screening asymptomatic high-risk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algorithm.jpg"/>
                    <pic:cNvPicPr/>
                  </pic:nvPicPr>
                  <pic:blipFill>
                    <a:blip r:embed="rId32">
                      <a:extLst>
                        <a:ext uri="{28A0092B-C50C-407E-A947-70E740481C1C}">
                          <a14:useLocalDpi xmlns:a14="http://schemas.microsoft.com/office/drawing/2010/main" val="0"/>
                        </a:ext>
                      </a:extLst>
                    </a:blip>
                    <a:stretch>
                      <a:fillRect/>
                    </a:stretch>
                  </pic:blipFill>
                  <pic:spPr>
                    <a:xfrm>
                      <a:off x="0" y="0"/>
                      <a:ext cx="5759450" cy="5427345"/>
                    </a:xfrm>
                    <a:prstGeom prst="rect">
                      <a:avLst/>
                    </a:prstGeom>
                  </pic:spPr>
                </pic:pic>
              </a:graphicData>
            </a:graphic>
          </wp:inline>
        </w:drawing>
      </w:r>
      <w:r w:rsidR="00E47AB8" w:rsidRPr="008B2F8A">
        <w:rPr>
          <w:rFonts w:eastAsia="Tahoma"/>
        </w:rPr>
        <w:t>*Proposed new cohort of women at high risk.</w:t>
      </w:r>
    </w:p>
    <w:p w14:paraId="4E3689DE" w14:textId="094D6C94" w:rsidR="00E47AB8" w:rsidRPr="008B2F8A" w:rsidRDefault="00E47AB8" w:rsidP="00422306">
      <w:pPr>
        <w:spacing w:before="240"/>
      </w:pPr>
      <w:r w:rsidRPr="008B2F8A">
        <w:t>In clinical practice</w:t>
      </w:r>
      <w:r>
        <w:t>,</w:t>
      </w:r>
      <w:r w:rsidRPr="008B2F8A">
        <w:t xml:space="preserve"> the two tests may or may not be done simultaneously. While ultrasound is included in the above flow chart, it may not form part of routine screening in all centres.</w:t>
      </w:r>
    </w:p>
    <w:p w14:paraId="1D53D973" w14:textId="77777777" w:rsidR="00E47AB8" w:rsidRPr="008B2F8A" w:rsidRDefault="00E47AB8" w:rsidP="00E47AB8">
      <w:pPr>
        <w:pStyle w:val="Heading2"/>
        <w:numPr>
          <w:ilvl w:val="1"/>
          <w:numId w:val="10"/>
        </w:numPr>
      </w:pPr>
      <w:bookmarkStart w:id="383" w:name="_Toc338144002"/>
      <w:bookmarkStart w:id="384" w:name="_Toc383424443"/>
      <w:r w:rsidRPr="008B2F8A">
        <w:t xml:space="preserve">Differences between breast MRI and </w:t>
      </w:r>
      <w:bookmarkEnd w:id="383"/>
      <w:r w:rsidRPr="008B2F8A">
        <w:t>mammography</w:t>
      </w:r>
      <w:bookmarkEnd w:id="384"/>
    </w:p>
    <w:p w14:paraId="34C9D56A" w14:textId="77777777" w:rsidR="00E47AB8" w:rsidRPr="008B2F8A" w:rsidRDefault="00E47AB8" w:rsidP="00E47AB8">
      <w:pPr>
        <w:pStyle w:val="Heading3"/>
        <w:numPr>
          <w:ilvl w:val="2"/>
          <w:numId w:val="10"/>
        </w:numPr>
      </w:pPr>
      <w:bookmarkStart w:id="385" w:name="_Toc383424444"/>
      <w:r w:rsidRPr="008B2F8A">
        <w:t>Differences in the indication</w:t>
      </w:r>
      <w:bookmarkEnd w:id="385"/>
    </w:p>
    <w:p w14:paraId="3E0D05AC" w14:textId="7A4B2195" w:rsidR="00E47AB8" w:rsidRPr="008B2F8A" w:rsidRDefault="00E47AB8" w:rsidP="00422306">
      <w:r w:rsidRPr="008B2F8A">
        <w:t>There are three main differences in the indications between breast MRI and mammography:</w:t>
      </w:r>
    </w:p>
    <w:p w14:paraId="149F59E0" w14:textId="77777777" w:rsidR="00E47AB8" w:rsidRPr="008B2F8A" w:rsidRDefault="00E47AB8" w:rsidP="00E47AB8">
      <w:pPr>
        <w:pStyle w:val="ListParagraph"/>
        <w:numPr>
          <w:ilvl w:val="0"/>
          <w:numId w:val="24"/>
        </w:numPr>
      </w:pPr>
      <w:r w:rsidRPr="008B2F8A">
        <w:t>MRI is proposed as a more sensitive test than mammography for detecting early breast cancer. This means that breast MRI is capable of detecting a higher number of breast cancers that are not evidenced in mammography and clinical examinations.</w:t>
      </w:r>
    </w:p>
    <w:p w14:paraId="4047974E" w14:textId="529B4636" w:rsidR="00E47AB8" w:rsidRPr="008B2F8A" w:rsidRDefault="00E47AB8" w:rsidP="00E47AB8">
      <w:pPr>
        <w:pStyle w:val="ListParagraph"/>
        <w:numPr>
          <w:ilvl w:val="0"/>
          <w:numId w:val="24"/>
        </w:numPr>
      </w:pPr>
      <w:r w:rsidRPr="008B2F8A">
        <w:t>MRI</w:t>
      </w:r>
      <w:r>
        <w:t>s</w:t>
      </w:r>
      <w:r w:rsidRPr="008B2F8A">
        <w:t xml:space="preserve"> are not affected by increased radiological density. Mammography performs less well in young women, in particular in those with increased mammographic breast density.</w:t>
      </w:r>
    </w:p>
    <w:p w14:paraId="15845644" w14:textId="479BEBB7" w:rsidR="00E47AB8" w:rsidRPr="008B2F8A" w:rsidRDefault="00E47AB8" w:rsidP="00E47AB8">
      <w:pPr>
        <w:pStyle w:val="ListParagraph"/>
        <w:numPr>
          <w:ilvl w:val="0"/>
          <w:numId w:val="24"/>
        </w:numPr>
      </w:pPr>
      <w:r w:rsidRPr="008B2F8A">
        <w:t>MRI is considered to be safer than mammography because it does not use ionising radiation.</w:t>
      </w:r>
    </w:p>
    <w:p w14:paraId="10EE3AC2" w14:textId="19873CFD" w:rsidR="00E47AB8" w:rsidRPr="008B2F8A" w:rsidRDefault="00E47AB8" w:rsidP="00422306">
      <w:r w:rsidRPr="008B2F8A">
        <w:lastRenderedPageBreak/>
        <w:t>The use of more than one imaging tool for breast cancer screening to increase the yield of cancer diagnosis in high-risk women has been reported in systematic reviews and primary studies (</w:t>
      </w:r>
      <w:r w:rsidRPr="008B2F8A">
        <w:rPr>
          <w:noProof/>
        </w:rPr>
        <w:t>Lehman et al, 2005</w:t>
      </w:r>
      <w:r w:rsidRPr="008B2F8A">
        <w:t xml:space="preserve">; </w:t>
      </w:r>
      <w:r w:rsidRPr="008B2F8A">
        <w:rPr>
          <w:noProof/>
        </w:rPr>
        <w:t>Lord et al, 2007</w:t>
      </w:r>
      <w:r w:rsidRPr="008B2F8A">
        <w:t xml:space="preserve">; </w:t>
      </w:r>
      <w:r w:rsidRPr="008B2F8A">
        <w:rPr>
          <w:noProof/>
        </w:rPr>
        <w:t>Ojeda-Fournier &amp; Comstock, 2009</w:t>
      </w:r>
      <w:r w:rsidRPr="008B2F8A">
        <w:t xml:space="preserve">; </w:t>
      </w:r>
      <w:r w:rsidRPr="008B2F8A">
        <w:rPr>
          <w:noProof/>
        </w:rPr>
        <w:t>Odle 2011</w:t>
      </w:r>
      <w:r w:rsidRPr="008B2F8A">
        <w:t>).</w:t>
      </w:r>
    </w:p>
    <w:p w14:paraId="1E50E5F7" w14:textId="77777777" w:rsidR="00E47AB8" w:rsidRPr="008B2F8A" w:rsidRDefault="00E47AB8" w:rsidP="00E47AB8">
      <w:pPr>
        <w:pStyle w:val="Heading3"/>
        <w:numPr>
          <w:ilvl w:val="2"/>
          <w:numId w:val="10"/>
        </w:numPr>
      </w:pPr>
      <w:bookmarkStart w:id="386" w:name="_Toc383424445"/>
      <w:r w:rsidRPr="008B2F8A">
        <w:t>Differences in the contraindications</w:t>
      </w:r>
      <w:bookmarkEnd w:id="386"/>
    </w:p>
    <w:p w14:paraId="20930521" w14:textId="20A05FC0" w:rsidR="00E47AB8" w:rsidRPr="008B2F8A" w:rsidRDefault="00E47AB8" w:rsidP="00422306">
      <w:r w:rsidRPr="008B2F8A">
        <w:t xml:space="preserve">Contrast-enhanced breast MRI </w:t>
      </w:r>
      <w:r>
        <w:t>is unsuitable for various reasons</w:t>
      </w:r>
      <w:r w:rsidRPr="008B2F8A">
        <w:t>:</w:t>
      </w:r>
    </w:p>
    <w:p w14:paraId="43389902" w14:textId="56BD2BCD" w:rsidR="00E47AB8" w:rsidRPr="008B2F8A" w:rsidRDefault="00E47AB8" w:rsidP="00E47AB8">
      <w:pPr>
        <w:pStyle w:val="ListParagraph"/>
        <w:numPr>
          <w:ilvl w:val="0"/>
          <w:numId w:val="25"/>
        </w:numPr>
      </w:pPr>
      <w:r w:rsidRPr="008B2F8A">
        <w:t>Potential reactions to gadolinium-based contrast agents</w:t>
      </w:r>
      <w:r>
        <w:t>,</w:t>
      </w:r>
      <w:r w:rsidRPr="008B2F8A">
        <w:t xml:space="preserve"> especially for patients with kidney disease </w:t>
      </w:r>
      <w:r w:rsidRPr="008B2F8A">
        <w:rPr>
          <w:noProof/>
        </w:rPr>
        <w:t>(</w:t>
      </w:r>
      <w:bookmarkStart w:id="387" w:name="OLE_LINK302"/>
      <w:bookmarkStart w:id="388" w:name="OLE_LINK303"/>
      <w:bookmarkStart w:id="389" w:name="OLE_LINK669"/>
      <w:bookmarkStart w:id="390" w:name="OLE_LINK670"/>
      <w:r w:rsidRPr="008B2F8A">
        <w:rPr>
          <w:noProof/>
        </w:rPr>
        <w:t>RANZCR</w:t>
      </w:r>
      <w:bookmarkEnd w:id="387"/>
      <w:bookmarkEnd w:id="388"/>
      <w:r w:rsidRPr="008B2F8A">
        <w:rPr>
          <w:noProof/>
        </w:rPr>
        <w:t>, 2009</w:t>
      </w:r>
      <w:bookmarkEnd w:id="389"/>
      <w:bookmarkEnd w:id="390"/>
      <w:r w:rsidRPr="008B2F8A">
        <w:rPr>
          <w:noProof/>
        </w:rPr>
        <w:t>).</w:t>
      </w:r>
    </w:p>
    <w:p w14:paraId="6D52A948" w14:textId="44BF5CCA" w:rsidR="00E47AB8" w:rsidRPr="008B2F8A" w:rsidRDefault="00E47AB8" w:rsidP="00E47AB8">
      <w:pPr>
        <w:pStyle w:val="ListParagraph"/>
        <w:numPr>
          <w:ilvl w:val="0"/>
          <w:numId w:val="25"/>
        </w:numPr>
      </w:pPr>
      <w:r w:rsidRPr="008B2F8A">
        <w:t xml:space="preserve">Women who weigh &gt;136 kg or </w:t>
      </w:r>
      <w:r>
        <w:t>are</w:t>
      </w:r>
      <w:r w:rsidRPr="008B2F8A">
        <w:t xml:space="preserve"> unable to lie prone for an extended period.</w:t>
      </w:r>
    </w:p>
    <w:p w14:paraId="17351AE8" w14:textId="77777777" w:rsidR="00E47AB8" w:rsidRPr="008B2F8A" w:rsidRDefault="00E47AB8" w:rsidP="00E47AB8">
      <w:pPr>
        <w:pStyle w:val="ListParagraph"/>
        <w:numPr>
          <w:ilvl w:val="0"/>
          <w:numId w:val="25"/>
        </w:numPr>
      </w:pPr>
      <w:r w:rsidRPr="008B2F8A">
        <w:t>Women who are claustrophobic.</w:t>
      </w:r>
    </w:p>
    <w:p w14:paraId="6B55F18C" w14:textId="51408F2E" w:rsidR="00E47AB8" w:rsidRPr="008B2F8A" w:rsidRDefault="00E47AB8" w:rsidP="00E47AB8">
      <w:pPr>
        <w:pStyle w:val="ListParagraph"/>
        <w:numPr>
          <w:ilvl w:val="0"/>
          <w:numId w:val="25"/>
        </w:numPr>
      </w:pPr>
      <w:r w:rsidRPr="008B2F8A">
        <w:t xml:space="preserve">Women who have cardiac pacemakers, aneurysm clips, insulin pumps or other surgically implanted metal objects </w:t>
      </w:r>
      <w:r w:rsidRPr="008B2F8A">
        <w:rPr>
          <w:noProof/>
        </w:rPr>
        <w:t>(</w:t>
      </w:r>
      <w:bookmarkStart w:id="391" w:name="OLE_LINK671"/>
      <w:bookmarkStart w:id="392" w:name="OLE_LINK672"/>
      <w:r w:rsidRPr="008B2F8A">
        <w:rPr>
          <w:noProof/>
        </w:rPr>
        <w:t>ACR</w:t>
      </w:r>
      <w:r>
        <w:rPr>
          <w:noProof/>
        </w:rPr>
        <w:t>,</w:t>
      </w:r>
      <w:r w:rsidRPr="008B2F8A">
        <w:rPr>
          <w:noProof/>
        </w:rPr>
        <w:t xml:space="preserve"> 2011</w:t>
      </w:r>
      <w:bookmarkEnd w:id="391"/>
      <w:bookmarkEnd w:id="392"/>
      <w:r w:rsidRPr="008B2F8A">
        <w:rPr>
          <w:noProof/>
        </w:rPr>
        <w:t>)</w:t>
      </w:r>
      <w:r w:rsidRPr="008B2F8A">
        <w:t>.</w:t>
      </w:r>
    </w:p>
    <w:p w14:paraId="5B207BB2" w14:textId="77777777" w:rsidR="00E47AB8" w:rsidRPr="008B2F8A" w:rsidRDefault="00E47AB8" w:rsidP="00E47AB8">
      <w:pPr>
        <w:pStyle w:val="Heading3"/>
        <w:numPr>
          <w:ilvl w:val="2"/>
          <w:numId w:val="10"/>
        </w:numPr>
      </w:pPr>
      <w:bookmarkStart w:id="393" w:name="_Toc383424446"/>
      <w:r w:rsidRPr="008B2F8A">
        <w:t>Differences in the likelihood and severity of adverse events</w:t>
      </w:r>
      <w:bookmarkEnd w:id="393"/>
    </w:p>
    <w:p w14:paraId="083654FA" w14:textId="04BCCBCC" w:rsidR="00E47AB8" w:rsidRPr="008B2F8A" w:rsidRDefault="00E47AB8" w:rsidP="00422306">
      <w:r w:rsidRPr="008B2F8A">
        <w:t>Breast MRI for screening has potential disadvantages:</w:t>
      </w:r>
    </w:p>
    <w:p w14:paraId="2766B138" w14:textId="6A72ED99" w:rsidR="00E47AB8" w:rsidRPr="008B2F8A" w:rsidRDefault="00E47AB8" w:rsidP="00E47AB8">
      <w:pPr>
        <w:pStyle w:val="ListParagraph"/>
        <w:numPr>
          <w:ilvl w:val="0"/>
          <w:numId w:val="26"/>
        </w:numPr>
      </w:pPr>
      <w:r w:rsidRPr="008B2F8A">
        <w:t xml:space="preserve">A </w:t>
      </w:r>
      <w:r>
        <w:t xml:space="preserve">possibly </w:t>
      </w:r>
      <w:r w:rsidRPr="008B2F8A">
        <w:t>lower test specificity (</w:t>
      </w:r>
      <w:r>
        <w:t>ie</w:t>
      </w:r>
      <w:r w:rsidRPr="008B2F8A">
        <w:t xml:space="preserve">, the ability to correctly exclude people without breast cancer) than mammography. This means that women receive a higher number of call-backs and biopsies to assess false-positive results than </w:t>
      </w:r>
      <w:r>
        <w:t xml:space="preserve">by </w:t>
      </w:r>
      <w:r w:rsidRPr="008B2F8A">
        <w:t>mammography. This has been attributed to an overlap in enhancement features of benign and malignant breast lesions (</w:t>
      </w:r>
      <w:bookmarkStart w:id="394" w:name="OLE_LINK673"/>
      <w:bookmarkStart w:id="395" w:name="OLE_LINK674"/>
      <w:r w:rsidRPr="008B2F8A">
        <w:rPr>
          <w:noProof/>
        </w:rPr>
        <w:t>Olsen et al, 2012</w:t>
      </w:r>
      <w:r w:rsidRPr="008B2F8A">
        <w:t xml:space="preserve">; </w:t>
      </w:r>
      <w:r w:rsidRPr="008B2F8A">
        <w:rPr>
          <w:noProof/>
        </w:rPr>
        <w:t>Saslow et al, 2007</w:t>
      </w:r>
      <w:bookmarkEnd w:id="394"/>
      <w:bookmarkEnd w:id="395"/>
      <w:r w:rsidRPr="008B2F8A">
        <w:t>).</w:t>
      </w:r>
    </w:p>
    <w:p w14:paraId="29A9863D" w14:textId="77777777" w:rsidR="00E47AB8" w:rsidRPr="008B2F8A" w:rsidRDefault="00E47AB8" w:rsidP="00E47AB8">
      <w:pPr>
        <w:pStyle w:val="ListParagraph"/>
        <w:numPr>
          <w:ilvl w:val="0"/>
          <w:numId w:val="26"/>
        </w:numPr>
      </w:pPr>
      <w:r w:rsidRPr="008B2F8A">
        <w:t>Increased anxiety due to these false-positives.</w:t>
      </w:r>
    </w:p>
    <w:p w14:paraId="678FA448" w14:textId="77777777" w:rsidR="00E47AB8" w:rsidRPr="008B2F8A" w:rsidRDefault="00E47AB8" w:rsidP="00E47AB8">
      <w:pPr>
        <w:pStyle w:val="ListParagraph"/>
        <w:numPr>
          <w:ilvl w:val="0"/>
          <w:numId w:val="26"/>
        </w:numPr>
      </w:pPr>
      <w:r w:rsidRPr="008B2F8A">
        <w:t xml:space="preserve">Psychological distress related to the MRI procedure itself </w:t>
      </w:r>
      <w:r w:rsidRPr="008B2F8A">
        <w:rPr>
          <w:noProof/>
        </w:rPr>
        <w:t>(</w:t>
      </w:r>
      <w:bookmarkStart w:id="396" w:name="OLE_LINK675"/>
      <w:bookmarkStart w:id="397" w:name="OLE_LINK676"/>
      <w:r w:rsidRPr="008B2F8A">
        <w:rPr>
          <w:noProof/>
        </w:rPr>
        <w:t>van Dooren et al, 2005</w:t>
      </w:r>
      <w:bookmarkEnd w:id="396"/>
      <w:bookmarkEnd w:id="397"/>
      <w:r w:rsidRPr="008B2F8A">
        <w:rPr>
          <w:noProof/>
        </w:rPr>
        <w:t>).</w:t>
      </w:r>
    </w:p>
    <w:p w14:paraId="0C9E3AFF" w14:textId="77777777" w:rsidR="00E47AB8" w:rsidRPr="008B2F8A" w:rsidRDefault="00E47AB8" w:rsidP="00E47AB8">
      <w:pPr>
        <w:pStyle w:val="ListParagraph"/>
        <w:numPr>
          <w:ilvl w:val="0"/>
          <w:numId w:val="26"/>
        </w:numPr>
      </w:pPr>
      <w:r w:rsidRPr="008B2F8A">
        <w:t>Lack of information about the effects of repeated imaging in high-risk groups.</w:t>
      </w:r>
    </w:p>
    <w:p w14:paraId="2D49FE23" w14:textId="5C922BC5" w:rsidR="00E47AB8" w:rsidRPr="008B2F8A" w:rsidRDefault="00E47AB8" w:rsidP="00E47AB8">
      <w:pPr>
        <w:pStyle w:val="ListParagraph"/>
        <w:numPr>
          <w:ilvl w:val="0"/>
          <w:numId w:val="26"/>
        </w:numPr>
      </w:pPr>
      <w:r>
        <w:t>Failure to</w:t>
      </w:r>
      <w:r w:rsidRPr="008B2F8A">
        <w:t xml:space="preserve"> identify 5% to 12% of cancers (</w:t>
      </w:r>
      <w:bookmarkStart w:id="398" w:name="OLE_LINK677"/>
      <w:bookmarkStart w:id="399" w:name="OLE_LINK678"/>
      <w:r w:rsidRPr="008B2F8A">
        <w:rPr>
          <w:noProof/>
        </w:rPr>
        <w:t>Friedrich, 1998</w:t>
      </w:r>
      <w:r w:rsidRPr="008B2F8A">
        <w:t xml:space="preserve">; </w:t>
      </w:r>
      <w:r w:rsidRPr="008B2F8A">
        <w:rPr>
          <w:noProof/>
        </w:rPr>
        <w:t>Schnall et al, 2006</w:t>
      </w:r>
      <w:bookmarkEnd w:id="398"/>
      <w:bookmarkEnd w:id="399"/>
      <w:r w:rsidRPr="008B2F8A">
        <w:t xml:space="preserve">). In particular, </w:t>
      </w:r>
      <w:r>
        <w:t>MRI</w:t>
      </w:r>
      <w:r w:rsidRPr="008B2F8A">
        <w:t xml:space="preserve"> does not seem to detect all cases of DCIS or all small carcinomas (&lt;3 mm).</w:t>
      </w:r>
    </w:p>
    <w:p w14:paraId="0AA752B8" w14:textId="77777777" w:rsidR="00E47AB8" w:rsidRPr="008B2F8A" w:rsidRDefault="00E47AB8" w:rsidP="00E47AB8">
      <w:pPr>
        <w:pStyle w:val="ListParagraph"/>
        <w:numPr>
          <w:ilvl w:val="0"/>
          <w:numId w:val="26"/>
        </w:numPr>
      </w:pPr>
      <w:r w:rsidRPr="008B2F8A">
        <w:t>Variability in techniques and interpretation standards applied in institutions and criteria for excluding a diagnosis.</w:t>
      </w:r>
    </w:p>
    <w:p w14:paraId="501D13B1" w14:textId="6EA6049F" w:rsidR="00E47AB8" w:rsidRPr="008B2F8A" w:rsidRDefault="00E47AB8" w:rsidP="00E47AB8">
      <w:pPr>
        <w:pStyle w:val="ListParagraph"/>
        <w:numPr>
          <w:ilvl w:val="0"/>
          <w:numId w:val="26"/>
        </w:numPr>
      </w:pPr>
      <w:r w:rsidRPr="008B2F8A">
        <w:t>The necessary exclusion of some groups of women from having MRI owing to contraindications such as cardiac pacemakers.</w:t>
      </w:r>
    </w:p>
    <w:p w14:paraId="068945A5" w14:textId="77777777" w:rsidR="00E47AB8" w:rsidRPr="008B2F8A" w:rsidRDefault="00E47AB8" w:rsidP="00E47AB8">
      <w:pPr>
        <w:pStyle w:val="Heading2"/>
        <w:numPr>
          <w:ilvl w:val="1"/>
          <w:numId w:val="10"/>
        </w:numPr>
      </w:pPr>
      <w:bookmarkStart w:id="400" w:name="_Toc338144003"/>
      <w:bookmarkStart w:id="401" w:name="_Toc383424447"/>
      <w:r w:rsidRPr="008B2F8A">
        <w:t>Clinical claim</w:t>
      </w:r>
      <w:bookmarkEnd w:id="400"/>
      <w:bookmarkEnd w:id="401"/>
    </w:p>
    <w:p w14:paraId="5B418456" w14:textId="7147469C" w:rsidR="00E47AB8" w:rsidRPr="008B2F8A" w:rsidRDefault="00E47AB8" w:rsidP="00422306">
      <w:r w:rsidRPr="008B2F8A">
        <w:t>The clinical claims outlined in the DAP are related mainly to women at high risk due to genetic mutations or family history. This is because most of the research has focused on this high-risk group</w:t>
      </w:r>
      <w:r>
        <w:t>,</w:t>
      </w:r>
      <w:r w:rsidRPr="008B2F8A">
        <w:t xml:space="preserve"> </w:t>
      </w:r>
      <w:r>
        <w:t>not</w:t>
      </w:r>
      <w:r w:rsidRPr="008B2F8A">
        <w:t xml:space="preserve"> the proposed additional high-risk cohorts. The clinical claims to be addressed in the current assessment relate to the </w:t>
      </w:r>
      <w:r>
        <w:t xml:space="preserve">following </w:t>
      </w:r>
      <w:r w:rsidRPr="008B2F8A">
        <w:t>potential benefits and harms.</w:t>
      </w:r>
    </w:p>
    <w:p w14:paraId="7B7EB653" w14:textId="77777777" w:rsidR="00E47AB8" w:rsidRPr="008B2F8A" w:rsidRDefault="00E47AB8" w:rsidP="009F38CF">
      <w:pPr>
        <w:keepNext/>
      </w:pPr>
      <w:r w:rsidRPr="008B2F8A">
        <w:t>Potential benefits:</w:t>
      </w:r>
    </w:p>
    <w:p w14:paraId="47257B3F" w14:textId="77777777" w:rsidR="00E47AB8" w:rsidRPr="008B2F8A" w:rsidRDefault="00E47AB8" w:rsidP="00E47AB8">
      <w:pPr>
        <w:pStyle w:val="ListParagraph"/>
        <w:numPr>
          <w:ilvl w:val="0"/>
          <w:numId w:val="27"/>
        </w:numPr>
      </w:pPr>
      <w:r w:rsidRPr="008B2F8A">
        <w:t>MRI in addition to mammography appears to increase the number of tumours detected.</w:t>
      </w:r>
    </w:p>
    <w:p w14:paraId="03F60BB6" w14:textId="77777777" w:rsidR="00E47AB8" w:rsidRPr="008B2F8A" w:rsidRDefault="00E47AB8" w:rsidP="00E47AB8">
      <w:pPr>
        <w:pStyle w:val="ListParagraph"/>
        <w:numPr>
          <w:ilvl w:val="0"/>
          <w:numId w:val="27"/>
        </w:numPr>
      </w:pPr>
      <w:r w:rsidRPr="008B2F8A">
        <w:t xml:space="preserve">MRI in addition to mammography might reduce the incidence of advanced-stage breast cancer </w:t>
      </w:r>
      <w:r w:rsidRPr="008B2F8A">
        <w:rPr>
          <w:noProof/>
        </w:rPr>
        <w:t>(</w:t>
      </w:r>
      <w:bookmarkStart w:id="402" w:name="OLE_LINK679"/>
      <w:bookmarkStart w:id="403" w:name="OLE_LINK680"/>
      <w:r w:rsidRPr="008B2F8A">
        <w:rPr>
          <w:noProof/>
        </w:rPr>
        <w:t>Warner et al, 2011</w:t>
      </w:r>
      <w:bookmarkEnd w:id="402"/>
      <w:bookmarkEnd w:id="403"/>
      <w:r w:rsidRPr="008B2F8A">
        <w:rPr>
          <w:noProof/>
        </w:rPr>
        <w:t>).</w:t>
      </w:r>
    </w:p>
    <w:p w14:paraId="112C0735" w14:textId="77777777" w:rsidR="00E47AB8" w:rsidRPr="008B2F8A" w:rsidRDefault="00E47AB8" w:rsidP="00E47AB8">
      <w:pPr>
        <w:pStyle w:val="ListParagraph"/>
        <w:numPr>
          <w:ilvl w:val="0"/>
          <w:numId w:val="27"/>
        </w:numPr>
      </w:pPr>
      <w:r w:rsidRPr="008B2F8A">
        <w:t>Breast MRI is a safe procedure in patients without contraindications to exposure to magnetic fields.</w:t>
      </w:r>
    </w:p>
    <w:p w14:paraId="611D37AC" w14:textId="77777777" w:rsidR="00E47AB8" w:rsidRPr="008B2F8A" w:rsidRDefault="00E47AB8" w:rsidP="00422306">
      <w:r w:rsidRPr="008B2F8A">
        <w:t>Potential harms:</w:t>
      </w:r>
    </w:p>
    <w:p w14:paraId="38ED9CE6" w14:textId="77777777" w:rsidR="00E47AB8" w:rsidRPr="008B2F8A" w:rsidRDefault="00E47AB8" w:rsidP="00E47AB8">
      <w:pPr>
        <w:pStyle w:val="ListParagraph"/>
        <w:numPr>
          <w:ilvl w:val="0"/>
          <w:numId w:val="28"/>
        </w:numPr>
      </w:pPr>
      <w:r w:rsidRPr="008B2F8A">
        <w:lastRenderedPageBreak/>
        <w:t>MRI in addition to mammography leads to an increase in false-positive outcomes.</w:t>
      </w:r>
    </w:p>
    <w:p w14:paraId="01C377C0" w14:textId="282C4ED5" w:rsidR="00E47AB8" w:rsidRPr="008B2F8A" w:rsidRDefault="00E47AB8" w:rsidP="00E47AB8">
      <w:pPr>
        <w:pStyle w:val="Heading2"/>
        <w:numPr>
          <w:ilvl w:val="1"/>
          <w:numId w:val="10"/>
        </w:numPr>
      </w:pPr>
      <w:bookmarkStart w:id="404" w:name="_Ref373401905"/>
      <w:bookmarkStart w:id="405" w:name="_Toc383424448"/>
      <w:r w:rsidRPr="008B2F8A">
        <w:t>Summary of the primary elements of the decision analysis</w:t>
      </w:r>
      <w:bookmarkEnd w:id="404"/>
      <w:bookmarkEnd w:id="405"/>
    </w:p>
    <w:p w14:paraId="42D5B07B" w14:textId="2790C968" w:rsidR="00E47AB8" w:rsidRPr="008B2F8A" w:rsidRDefault="00E47AB8" w:rsidP="00422306">
      <w:r w:rsidRPr="008B2F8A">
        <w:fldChar w:fldCharType="begin"/>
      </w:r>
      <w:r w:rsidRPr="008B2F8A">
        <w:instrText xml:space="preserve"> REF _Ref369268285 \h </w:instrText>
      </w:r>
      <w:r w:rsidRPr="008B2F8A">
        <w:fldChar w:fldCharType="separate"/>
      </w:r>
      <w:r w:rsidR="00B81273" w:rsidRPr="008B2F8A">
        <w:t xml:space="preserve">Table </w:t>
      </w:r>
      <w:r w:rsidR="00B81273">
        <w:rPr>
          <w:noProof/>
        </w:rPr>
        <w:t>A</w:t>
      </w:r>
      <w:r w:rsidR="00B81273" w:rsidRPr="008B2F8A">
        <w:t>.</w:t>
      </w:r>
      <w:r w:rsidR="00B81273">
        <w:rPr>
          <w:noProof/>
        </w:rPr>
        <w:t>10</w:t>
      </w:r>
      <w:r w:rsidRPr="008B2F8A">
        <w:fldChar w:fldCharType="end"/>
      </w:r>
      <w:r w:rsidRPr="008B2F8A">
        <w:t xml:space="preserve"> summar</w:t>
      </w:r>
      <w:r>
        <w:t>ises</w:t>
      </w:r>
      <w:r w:rsidRPr="008B2F8A">
        <w:t xml:space="preserve"> the patient population, intervention, comparator and outcome (</w:t>
      </w:r>
      <w:bookmarkStart w:id="406" w:name="OLE_LINK304"/>
      <w:bookmarkStart w:id="407" w:name="OLE_LINK305"/>
      <w:r w:rsidRPr="008B2F8A">
        <w:t>PICO</w:t>
      </w:r>
      <w:bookmarkEnd w:id="406"/>
      <w:bookmarkEnd w:id="407"/>
      <w:r w:rsidRPr="008B2F8A">
        <w:t>) elements for this assessment report.</w:t>
      </w:r>
    </w:p>
    <w:p w14:paraId="1AE02D37" w14:textId="77777777" w:rsidR="00E47AB8" w:rsidRPr="008B2F8A" w:rsidRDefault="00E47AB8" w:rsidP="00422306">
      <w:pPr>
        <w:pStyle w:val="Caption"/>
        <w:ind w:left="1440" w:hanging="1440"/>
      </w:pPr>
      <w:bookmarkStart w:id="408" w:name="_Ref369268285"/>
      <w:bookmarkStart w:id="409" w:name="_Toc383424566"/>
      <w:r w:rsidRPr="008B2F8A">
        <w:t xml:space="preserve">Table </w:t>
      </w:r>
      <w:fldSimple w:instr=" STYLEREF 1 \s ">
        <w:r w:rsidR="00B81273">
          <w:rPr>
            <w:noProof/>
          </w:rPr>
          <w:t>A</w:t>
        </w:r>
      </w:fldSimple>
      <w:r w:rsidRPr="008B2F8A">
        <w:t>.</w:t>
      </w:r>
      <w:fldSimple w:instr=" SEQ Table \* ARABIC \s 1 ">
        <w:r w:rsidR="00B81273">
          <w:rPr>
            <w:noProof/>
          </w:rPr>
          <w:t>10</w:t>
        </w:r>
      </w:fldSimple>
      <w:bookmarkEnd w:id="408"/>
      <w:r w:rsidRPr="008B2F8A">
        <w:tab/>
      </w:r>
      <w:bookmarkStart w:id="410" w:name="OLE_LINK978"/>
      <w:bookmarkStart w:id="411" w:name="OLE_LINK979"/>
      <w:r w:rsidRPr="008B2F8A">
        <w:t xml:space="preserve">Summary of the patient </w:t>
      </w:r>
      <w:bookmarkStart w:id="412" w:name="OLE_LINK475"/>
      <w:bookmarkStart w:id="413" w:name="OLE_LINK476"/>
      <w:r w:rsidRPr="008B2F8A">
        <w:t xml:space="preserve">population, intervention, comparator and outcome </w:t>
      </w:r>
      <w:bookmarkEnd w:id="412"/>
      <w:bookmarkEnd w:id="413"/>
      <w:r w:rsidRPr="008B2F8A">
        <w:t>(PICO) elements</w:t>
      </w:r>
      <w:bookmarkEnd w:id="410"/>
      <w:bookmarkEnd w:id="411"/>
      <w:r w:rsidRPr="008B2F8A">
        <w:t>.</w:t>
      </w:r>
      <w:bookmarkEnd w:id="409"/>
    </w:p>
    <w:tbl>
      <w:tblPr>
        <w:tblW w:w="9070" w:type="dxa"/>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Caption w:val="Summary of the patient population, intervention, comparator and outcome (PICO) elements"/>
      </w:tblPr>
      <w:tblGrid>
        <w:gridCol w:w="1396"/>
        <w:gridCol w:w="7674"/>
      </w:tblGrid>
      <w:tr w:rsidR="00E47AB8" w:rsidRPr="008B2F8A" w14:paraId="0A56349F" w14:textId="77777777" w:rsidTr="009F38CF">
        <w:tc>
          <w:tcPr>
            <w:tcW w:w="0" w:type="auto"/>
            <w:tcBorders>
              <w:bottom w:val="single" w:sz="4" w:space="0" w:color="auto"/>
            </w:tcBorders>
          </w:tcPr>
          <w:p w14:paraId="253348E2" w14:textId="788B518D"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Population of interest</w:t>
            </w:r>
          </w:p>
        </w:tc>
        <w:tc>
          <w:tcPr>
            <w:tcW w:w="0" w:type="auto"/>
            <w:tcBorders>
              <w:bottom w:val="single" w:sz="4" w:space="0" w:color="auto"/>
            </w:tcBorders>
          </w:tcPr>
          <w:p w14:paraId="3B7FDEE4" w14:textId="13C485F6"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Asymptomatic women at high risk of breast cancer, &lt;50 years of age with:</w:t>
            </w:r>
          </w:p>
          <w:p w14:paraId="3396B409" w14:textId="77777777"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 xml:space="preserve">genetic factors (such as </w:t>
            </w:r>
            <w:r w:rsidRPr="008B2F8A">
              <w:rPr>
                <w:rFonts w:ascii="Arial Narrow" w:hAnsi="Arial Narrow" w:cs="Arial"/>
                <w:i/>
                <w:color w:val="000000"/>
                <w:sz w:val="20"/>
                <w:szCs w:val="20"/>
              </w:rPr>
              <w:t>BRCA1</w:t>
            </w:r>
            <w:r w:rsidRPr="008B2F8A">
              <w:rPr>
                <w:rFonts w:ascii="Arial Narrow" w:hAnsi="Arial Narrow" w:cs="Arial"/>
                <w:color w:val="000000"/>
                <w:sz w:val="20"/>
                <w:szCs w:val="20"/>
              </w:rPr>
              <w:t xml:space="preserve">, </w:t>
            </w:r>
            <w:r w:rsidRPr="008B2F8A">
              <w:rPr>
                <w:rFonts w:ascii="Arial Narrow" w:hAnsi="Arial Narrow" w:cs="Arial"/>
                <w:i/>
                <w:color w:val="000000"/>
                <w:sz w:val="20"/>
                <w:szCs w:val="20"/>
              </w:rPr>
              <w:t>BRCA2</w:t>
            </w:r>
            <w:r w:rsidRPr="008B2F8A">
              <w:rPr>
                <w:rFonts w:ascii="Arial Narrow" w:hAnsi="Arial Narrow" w:cs="Arial"/>
                <w:color w:val="000000"/>
                <w:sz w:val="20"/>
                <w:szCs w:val="20"/>
              </w:rPr>
              <w:t xml:space="preserve"> gene mutations)</w:t>
            </w:r>
          </w:p>
          <w:p w14:paraId="378583A1" w14:textId="77777777"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familial history of breast cancer, ovarian cancer or sarcoma (bone or soft tissue)</w:t>
            </w:r>
          </w:p>
          <w:p w14:paraId="18178079" w14:textId="77777777"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prior treatment for invasive breast cancer</w:t>
            </w:r>
          </w:p>
          <w:p w14:paraId="58A85249" w14:textId="77777777"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prior treatment for DCIS or LCIS</w:t>
            </w:r>
          </w:p>
          <w:p w14:paraId="4C699A6D" w14:textId="7553EBE1"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 xml:space="preserve">prior history of chest irradiation between the ages of 10 and 35 years </w:t>
            </w:r>
          </w:p>
        </w:tc>
      </w:tr>
      <w:tr w:rsidR="00E47AB8" w:rsidRPr="008B2F8A" w14:paraId="3EF10999" w14:textId="77777777" w:rsidTr="009F38CF">
        <w:tc>
          <w:tcPr>
            <w:tcW w:w="0" w:type="auto"/>
            <w:tcBorders>
              <w:bottom w:val="nil"/>
            </w:tcBorders>
          </w:tcPr>
          <w:p w14:paraId="282D7641" w14:textId="2F8D1BD0"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Intervention of interest</w:t>
            </w:r>
          </w:p>
        </w:tc>
        <w:tc>
          <w:tcPr>
            <w:tcW w:w="0" w:type="auto"/>
            <w:tcBorders>
              <w:bottom w:val="nil"/>
            </w:tcBorders>
          </w:tcPr>
          <w:p w14:paraId="731E61D1" w14:textId="283B5FFE"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MRI in addition to mammography (</w:t>
            </w:r>
            <w:r>
              <w:rPr>
                <w:rFonts w:ascii="Arial Narrow" w:hAnsi="Arial Narrow" w:cs="Arial"/>
                <w:color w:val="000000"/>
                <w:sz w:val="20"/>
                <w:szCs w:val="20"/>
              </w:rPr>
              <w:t>with</w:t>
            </w:r>
            <w:r w:rsidRPr="008B2F8A">
              <w:rPr>
                <w:rFonts w:ascii="Arial Narrow" w:hAnsi="Arial Narrow" w:cs="Arial"/>
                <w:color w:val="000000"/>
                <w:sz w:val="20"/>
                <w:szCs w:val="20"/>
              </w:rPr>
              <w:t xml:space="preserve"> or </w:t>
            </w:r>
            <w:r>
              <w:rPr>
                <w:rFonts w:ascii="Arial Narrow" w:hAnsi="Arial Narrow" w:cs="Arial"/>
                <w:color w:val="000000"/>
                <w:sz w:val="20"/>
                <w:szCs w:val="20"/>
              </w:rPr>
              <w:t>without</w:t>
            </w:r>
            <w:r w:rsidRPr="008B2F8A">
              <w:rPr>
                <w:rFonts w:ascii="Arial Narrow" w:hAnsi="Arial Narrow" w:cs="Arial"/>
                <w:color w:val="000000"/>
                <w:sz w:val="20"/>
                <w:szCs w:val="20"/>
              </w:rPr>
              <w:t xml:space="preserve"> ultrasound)</w:t>
            </w:r>
          </w:p>
          <w:p w14:paraId="6F9B96B1" w14:textId="08DE537E"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 xml:space="preserve">If no studies exist with the combined intervention of MRI and mammography in the additional high-risk cohort, MRI vs mammography alone will be considered </w:t>
            </w:r>
          </w:p>
        </w:tc>
      </w:tr>
      <w:tr w:rsidR="00E47AB8" w:rsidRPr="008B2F8A" w14:paraId="6D45D1CC" w14:textId="77777777" w:rsidTr="009F38CF">
        <w:tc>
          <w:tcPr>
            <w:tcW w:w="0" w:type="auto"/>
            <w:tcBorders>
              <w:bottom w:val="nil"/>
            </w:tcBorders>
          </w:tcPr>
          <w:p w14:paraId="400A11D1" w14:textId="5435AF6F"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Comparator</w:t>
            </w:r>
          </w:p>
        </w:tc>
        <w:tc>
          <w:tcPr>
            <w:tcW w:w="0" w:type="auto"/>
            <w:tcBorders>
              <w:bottom w:val="nil"/>
            </w:tcBorders>
          </w:tcPr>
          <w:p w14:paraId="5D5A5398" w14:textId="2AB7DFD2"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 xml:space="preserve">Mammography </w:t>
            </w:r>
            <w:r>
              <w:rPr>
                <w:rFonts w:ascii="Arial Narrow" w:hAnsi="Arial Narrow" w:cs="Arial"/>
                <w:color w:val="000000"/>
                <w:sz w:val="20"/>
                <w:szCs w:val="20"/>
              </w:rPr>
              <w:t>with</w:t>
            </w:r>
            <w:r w:rsidRPr="008B2F8A">
              <w:rPr>
                <w:rFonts w:ascii="Arial Narrow" w:hAnsi="Arial Narrow" w:cs="Arial"/>
                <w:color w:val="000000"/>
                <w:sz w:val="20"/>
                <w:szCs w:val="20"/>
              </w:rPr>
              <w:t xml:space="preserve"> or </w:t>
            </w:r>
            <w:r>
              <w:rPr>
                <w:rFonts w:ascii="Arial Narrow" w:hAnsi="Arial Narrow" w:cs="Arial"/>
                <w:color w:val="000000"/>
                <w:sz w:val="20"/>
                <w:szCs w:val="20"/>
              </w:rPr>
              <w:t>without</w:t>
            </w:r>
            <w:r w:rsidRPr="008B2F8A">
              <w:rPr>
                <w:rFonts w:ascii="Arial Narrow" w:hAnsi="Arial Narrow" w:cs="Arial"/>
                <w:color w:val="000000"/>
                <w:sz w:val="20"/>
                <w:szCs w:val="20"/>
              </w:rPr>
              <w:t xml:space="preserve"> ultrasound </w:t>
            </w:r>
          </w:p>
        </w:tc>
      </w:tr>
      <w:tr w:rsidR="00E47AB8" w:rsidRPr="008B2F8A" w14:paraId="65DC07A3" w14:textId="77777777" w:rsidTr="009F38CF">
        <w:tc>
          <w:tcPr>
            <w:tcW w:w="0" w:type="auto"/>
          </w:tcPr>
          <w:p w14:paraId="2A8E684F" w14:textId="6B12562D"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Outcomes of interest</w:t>
            </w:r>
          </w:p>
        </w:tc>
        <w:tc>
          <w:tcPr>
            <w:tcW w:w="0" w:type="auto"/>
          </w:tcPr>
          <w:p w14:paraId="34447970" w14:textId="77777777" w:rsidR="00E47AB8" w:rsidRPr="008B2F8A" w:rsidRDefault="00E47AB8" w:rsidP="00422306">
            <w:pPr>
              <w:spacing w:before="40" w:after="80"/>
              <w:rPr>
                <w:rFonts w:ascii="Arial Narrow" w:hAnsi="Arial Narrow" w:cs="Arial"/>
                <w:color w:val="000000"/>
                <w:sz w:val="20"/>
                <w:szCs w:val="20"/>
              </w:rPr>
            </w:pPr>
            <w:r w:rsidRPr="008B2F8A">
              <w:rPr>
                <w:rFonts w:ascii="Arial Narrow" w:hAnsi="Arial Narrow" w:cs="Arial"/>
                <w:color w:val="000000"/>
                <w:sz w:val="20"/>
                <w:szCs w:val="20"/>
              </w:rPr>
              <w:t>Report on at least one of the following:</w:t>
            </w:r>
          </w:p>
          <w:p w14:paraId="41F39641" w14:textId="3980E2DA"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Health outcomes: overall survival, breast</w:t>
            </w:r>
            <w:r>
              <w:rPr>
                <w:rFonts w:ascii="Arial Narrow" w:hAnsi="Arial Narrow" w:cs="Arial"/>
                <w:color w:val="000000"/>
                <w:sz w:val="20"/>
                <w:szCs w:val="20"/>
              </w:rPr>
              <w:t>-</w:t>
            </w:r>
            <w:r w:rsidRPr="008B2F8A">
              <w:rPr>
                <w:rFonts w:ascii="Arial Narrow" w:hAnsi="Arial Narrow" w:cs="Arial"/>
                <w:color w:val="000000"/>
                <w:sz w:val="20"/>
                <w:szCs w:val="20"/>
              </w:rPr>
              <w:t>cancer-specific mortality, breast cancer incidence or recurrence</w:t>
            </w:r>
          </w:p>
          <w:p w14:paraId="38D809EA" w14:textId="246A1016"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Diagnostic accuracy: sensitivity and specificity, positive and negative predictive value, true-positive</w:t>
            </w:r>
            <w:r>
              <w:rPr>
                <w:rFonts w:ascii="Arial Narrow" w:hAnsi="Arial Narrow" w:cs="Arial"/>
                <w:color w:val="000000"/>
                <w:sz w:val="20"/>
                <w:szCs w:val="20"/>
              </w:rPr>
              <w:t xml:space="preserve"> to</w:t>
            </w:r>
            <w:r w:rsidRPr="008B2F8A">
              <w:rPr>
                <w:rFonts w:ascii="Arial Narrow" w:hAnsi="Arial Narrow" w:cs="Arial"/>
                <w:color w:val="000000"/>
                <w:sz w:val="20"/>
                <w:szCs w:val="20"/>
              </w:rPr>
              <w:t xml:space="preserve"> false-negative</w:t>
            </w:r>
            <w:r>
              <w:rPr>
                <w:rFonts w:ascii="Arial Narrow" w:hAnsi="Arial Narrow" w:cs="Arial"/>
                <w:color w:val="000000"/>
                <w:sz w:val="20"/>
                <w:szCs w:val="20"/>
              </w:rPr>
              <w:t xml:space="preserve"> ratio</w:t>
            </w:r>
            <w:r w:rsidRPr="008B2F8A">
              <w:rPr>
                <w:rFonts w:ascii="Arial Narrow" w:hAnsi="Arial Narrow" w:cs="Arial"/>
                <w:color w:val="000000"/>
                <w:sz w:val="20"/>
                <w:szCs w:val="20"/>
              </w:rPr>
              <w:t>, incremental rate of true-positive</w:t>
            </w:r>
          </w:p>
          <w:p w14:paraId="530128BA" w14:textId="77777777"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Change in management: definitive treatment instigated, biopsy rate, change of stage</w:t>
            </w:r>
          </w:p>
          <w:p w14:paraId="6E8455CA" w14:textId="77777777" w:rsidR="00E47AB8" w:rsidRPr="008B2F8A" w:rsidRDefault="00E47AB8" w:rsidP="00E47AB8">
            <w:pPr>
              <w:pStyle w:val="ListParagraph"/>
              <w:numPr>
                <w:ilvl w:val="0"/>
                <w:numId w:val="16"/>
              </w:numPr>
              <w:spacing w:before="40" w:after="80"/>
              <w:contextualSpacing w:val="0"/>
              <w:rPr>
                <w:rFonts w:ascii="Arial Narrow" w:hAnsi="Arial Narrow" w:cs="Arial"/>
                <w:color w:val="000000"/>
                <w:sz w:val="20"/>
                <w:szCs w:val="20"/>
              </w:rPr>
            </w:pPr>
            <w:r w:rsidRPr="008B2F8A">
              <w:rPr>
                <w:rFonts w:ascii="Arial Narrow" w:hAnsi="Arial Narrow" w:cs="Arial"/>
                <w:color w:val="000000"/>
                <w:sz w:val="20"/>
                <w:szCs w:val="20"/>
              </w:rPr>
              <w:t xml:space="preserve">Patient-reported outcomes: quality of life, patient preference, satisfaction, anxiety, patient compliance, safety, adverse events </w:t>
            </w:r>
          </w:p>
        </w:tc>
      </w:tr>
    </w:tbl>
    <w:p w14:paraId="451DEFBA" w14:textId="13F7DCCF" w:rsidR="00E47AB8" w:rsidRPr="008B2F8A" w:rsidRDefault="00E47AB8" w:rsidP="009F38CF">
      <w:pPr>
        <w:pStyle w:val="TableNotesLast"/>
        <w:rPr>
          <w:rFonts w:cs="Arial"/>
          <w:color w:val="000000"/>
        </w:rPr>
      </w:pPr>
      <w:r w:rsidRPr="008B2F8A">
        <w:rPr>
          <w:rFonts w:cs="Arial"/>
          <w:i/>
          <w:color w:val="000000"/>
        </w:rPr>
        <w:t>BRCA1</w:t>
      </w:r>
      <w:r w:rsidRPr="008B2F8A">
        <w:rPr>
          <w:rFonts w:cs="Arial"/>
          <w:color w:val="000000"/>
        </w:rPr>
        <w:t>/</w:t>
      </w:r>
      <w:r w:rsidRPr="008B2F8A">
        <w:rPr>
          <w:rFonts w:cs="Arial"/>
          <w:i/>
          <w:color w:val="000000"/>
        </w:rPr>
        <w:t>2</w:t>
      </w:r>
      <w:r w:rsidRPr="008B2F8A">
        <w:rPr>
          <w:rFonts w:cs="Arial"/>
          <w:color w:val="000000"/>
        </w:rPr>
        <w:t xml:space="preserve"> = </w:t>
      </w:r>
      <w:r w:rsidRPr="008B2F8A">
        <w:t xml:space="preserve">breast cancer 1 or 2 gene; DCIS = ductal carcinoma in situ; LCIS = lobular carcinoma in situ; </w:t>
      </w:r>
      <w:r w:rsidRPr="008B2F8A">
        <w:rPr>
          <w:rFonts w:cs="Arial"/>
          <w:color w:val="000000"/>
        </w:rPr>
        <w:t>MRI = magnetic resonance imaging.</w:t>
      </w:r>
    </w:p>
    <w:p w14:paraId="2882818C" w14:textId="470FAAA1" w:rsidR="00E47AB8" w:rsidRPr="008B2F8A" w:rsidRDefault="00E47AB8" w:rsidP="009F38CF">
      <w:pPr>
        <w:pStyle w:val="Heading3"/>
      </w:pPr>
      <w:bookmarkStart w:id="414" w:name="_Toc383424449"/>
      <w:r w:rsidRPr="008B2F8A">
        <w:t>Primary review question:</w:t>
      </w:r>
      <w:bookmarkEnd w:id="414"/>
    </w:p>
    <w:p w14:paraId="31B09C92" w14:textId="3F11CD09" w:rsidR="00E47AB8" w:rsidRPr="008B2F8A" w:rsidRDefault="00E47AB8" w:rsidP="009F38CF">
      <w:r w:rsidRPr="008B2F8A">
        <w:t>What are the safety, effectiveness and cost-effectiveness of breast MRI in addition to mammography with or without ultrasound for screening asymptomatic high-risk women less than 50 years of age?</w:t>
      </w:r>
    </w:p>
    <w:p w14:paraId="5F73562B" w14:textId="77777777" w:rsidR="00E47AB8" w:rsidRPr="008B2F8A" w:rsidRDefault="00E47AB8" w:rsidP="00422306">
      <w:pPr>
        <w:rPr>
          <w:rFonts w:eastAsia="Times New Roman"/>
        </w:rPr>
      </w:pPr>
      <w:r w:rsidRPr="008B2F8A">
        <w:br w:type="page"/>
      </w:r>
    </w:p>
    <w:p w14:paraId="66BD943F" w14:textId="77777777" w:rsidR="00E47AB8" w:rsidRPr="008B2F8A" w:rsidRDefault="00E47AB8" w:rsidP="00E47AB8">
      <w:pPr>
        <w:pStyle w:val="Heading1"/>
        <w:numPr>
          <w:ilvl w:val="0"/>
          <w:numId w:val="44"/>
        </w:numPr>
        <w:spacing w:after="0"/>
      </w:pPr>
      <w:bookmarkStart w:id="415" w:name="_Ref376941539"/>
      <w:bookmarkStart w:id="416" w:name="_Ref376941542"/>
      <w:bookmarkStart w:id="417" w:name="_Ref376941575"/>
      <w:bookmarkStart w:id="418" w:name="_Toc383424450"/>
      <w:r w:rsidRPr="008B2F8A">
        <w:lastRenderedPageBreak/>
        <w:t>Clinical evaluation for the indications</w:t>
      </w:r>
      <w:bookmarkEnd w:id="415"/>
      <w:bookmarkEnd w:id="416"/>
      <w:bookmarkEnd w:id="417"/>
      <w:bookmarkEnd w:id="418"/>
    </w:p>
    <w:p w14:paraId="11ED32EB" w14:textId="77777777" w:rsidR="00E47AB8" w:rsidRPr="008B2F8A" w:rsidRDefault="00E47AB8" w:rsidP="00693BE5">
      <w:pPr>
        <w:pStyle w:val="Heading2"/>
      </w:pPr>
      <w:bookmarkStart w:id="419" w:name="_Toc383424451"/>
      <w:r w:rsidRPr="008B2F8A">
        <w:t>Description of search strategies</w:t>
      </w:r>
      <w:bookmarkEnd w:id="419"/>
    </w:p>
    <w:p w14:paraId="53C728C7" w14:textId="7B7491D4" w:rsidR="00E47AB8" w:rsidRPr="008B2F8A" w:rsidRDefault="00E47AB8" w:rsidP="00422306">
      <w:r w:rsidRPr="008B2F8A">
        <w:t>The following exclusion criteria were applied to identify eligible studies for inclusion:</w:t>
      </w:r>
    </w:p>
    <w:p w14:paraId="1A74381B" w14:textId="77777777" w:rsidR="00E47AB8" w:rsidRPr="008B2F8A" w:rsidRDefault="00E47AB8" w:rsidP="00E47AB8">
      <w:pPr>
        <w:pStyle w:val="ListParagraph"/>
        <w:numPr>
          <w:ilvl w:val="0"/>
          <w:numId w:val="29"/>
        </w:numPr>
      </w:pPr>
      <w:r w:rsidRPr="008B2F8A">
        <w:t>Not an appropriate clinical study</w:t>
      </w:r>
    </w:p>
    <w:p w14:paraId="7799272B" w14:textId="5CB607F9" w:rsidR="00E47AB8" w:rsidRPr="008B2F8A" w:rsidRDefault="00E47AB8" w:rsidP="00E47AB8">
      <w:pPr>
        <w:pStyle w:val="ListParagraph"/>
        <w:numPr>
          <w:ilvl w:val="1"/>
          <w:numId w:val="29"/>
        </w:numPr>
      </w:pPr>
      <w:r w:rsidRPr="008B2F8A">
        <w:t xml:space="preserve">Non-clinical studies </w:t>
      </w:r>
      <w:r>
        <w:t xml:space="preserve">are </w:t>
      </w:r>
      <w:r w:rsidRPr="008B2F8A">
        <w:t>excluded.</w:t>
      </w:r>
    </w:p>
    <w:p w14:paraId="498081C6" w14:textId="4E5CCF72" w:rsidR="00E47AB8" w:rsidRPr="008B2F8A" w:rsidRDefault="00E47AB8" w:rsidP="00E47AB8">
      <w:pPr>
        <w:pStyle w:val="ListParagraph"/>
        <w:numPr>
          <w:ilvl w:val="1"/>
          <w:numId w:val="29"/>
        </w:numPr>
      </w:pPr>
      <w:r w:rsidRPr="008B2F8A">
        <w:t xml:space="preserve">Case series where the use or reporting of the reference standard is based on the breast MRI result (positive/negative) </w:t>
      </w:r>
      <w:r>
        <w:t xml:space="preserve">are </w:t>
      </w:r>
      <w:r w:rsidRPr="008B2F8A">
        <w:t>excluded.</w:t>
      </w:r>
    </w:p>
    <w:p w14:paraId="61FF6B29" w14:textId="642A5D63" w:rsidR="00E47AB8" w:rsidRPr="008B2F8A" w:rsidRDefault="00E47AB8" w:rsidP="00E47AB8">
      <w:pPr>
        <w:pStyle w:val="ListParagraph"/>
        <w:numPr>
          <w:ilvl w:val="1"/>
          <w:numId w:val="29"/>
        </w:numPr>
      </w:pPr>
      <w:r w:rsidRPr="008B2F8A">
        <w:t xml:space="preserve">Case-control studies where patients were selected for inclusion in the study on the basis of their known disease status </w:t>
      </w:r>
      <w:r>
        <w:t xml:space="preserve">are </w:t>
      </w:r>
      <w:r w:rsidRPr="008B2F8A">
        <w:t>excluded.</w:t>
      </w:r>
    </w:p>
    <w:p w14:paraId="1EBEE2C2" w14:textId="484D7CDA" w:rsidR="00E47AB8" w:rsidRPr="008B2F8A" w:rsidRDefault="00E47AB8" w:rsidP="00E47AB8">
      <w:pPr>
        <w:pStyle w:val="ListParagraph"/>
        <w:numPr>
          <w:ilvl w:val="1"/>
          <w:numId w:val="29"/>
        </w:numPr>
      </w:pPr>
      <w:r w:rsidRPr="008B2F8A">
        <w:t xml:space="preserve">Systematic reviews which have been superseded </w:t>
      </w:r>
      <w:r>
        <w:t xml:space="preserve">are </w:t>
      </w:r>
      <w:r w:rsidRPr="008B2F8A">
        <w:t>excluded.</w:t>
      </w:r>
    </w:p>
    <w:p w14:paraId="1C0DDE4E" w14:textId="5FBB8186" w:rsidR="00E47AB8" w:rsidRPr="008B2F8A" w:rsidRDefault="00E47AB8" w:rsidP="00E47AB8">
      <w:pPr>
        <w:pStyle w:val="ListParagraph"/>
        <w:numPr>
          <w:ilvl w:val="1"/>
          <w:numId w:val="29"/>
        </w:numPr>
      </w:pPr>
      <w:r w:rsidRPr="008B2F8A">
        <w:t xml:space="preserve">Abstracts only </w:t>
      </w:r>
      <w:r>
        <w:t>are</w:t>
      </w:r>
      <w:r w:rsidRPr="008B2F8A">
        <w:t xml:space="preserve"> excluded.</w:t>
      </w:r>
    </w:p>
    <w:p w14:paraId="5B162828" w14:textId="77777777" w:rsidR="00E47AB8" w:rsidRPr="008B2F8A" w:rsidRDefault="00E47AB8" w:rsidP="00E47AB8">
      <w:pPr>
        <w:pStyle w:val="ListParagraph"/>
        <w:numPr>
          <w:ilvl w:val="0"/>
          <w:numId w:val="29"/>
        </w:numPr>
      </w:pPr>
      <w:r w:rsidRPr="008B2F8A">
        <w:t>Wrong patient group</w:t>
      </w:r>
    </w:p>
    <w:p w14:paraId="7C0F6DDB" w14:textId="3764D2B6" w:rsidR="00E47AB8" w:rsidRPr="008B2F8A" w:rsidRDefault="00E47AB8" w:rsidP="00E47AB8">
      <w:pPr>
        <w:pStyle w:val="ListParagraph"/>
        <w:numPr>
          <w:ilvl w:val="1"/>
          <w:numId w:val="29"/>
        </w:numPr>
      </w:pPr>
      <w:r w:rsidRPr="008B2F8A">
        <w:t>Studies must include the patients as described in the PICO table (</w:t>
      </w:r>
      <w:r w:rsidRPr="008B2F8A">
        <w:fldChar w:fldCharType="begin"/>
      </w:r>
      <w:r w:rsidRPr="008B2F8A">
        <w:instrText xml:space="preserve"> REF _Ref369268285 \h </w:instrText>
      </w:r>
      <w:r w:rsidRPr="008B2F8A">
        <w:fldChar w:fldCharType="separate"/>
      </w:r>
      <w:r w:rsidR="00B81273" w:rsidRPr="008B2F8A">
        <w:t xml:space="preserve">Table </w:t>
      </w:r>
      <w:r w:rsidR="00B81273">
        <w:rPr>
          <w:noProof/>
        </w:rPr>
        <w:t>A</w:t>
      </w:r>
      <w:r w:rsidR="00B81273" w:rsidRPr="008B2F8A">
        <w:t>.</w:t>
      </w:r>
      <w:r w:rsidR="00B81273">
        <w:rPr>
          <w:noProof/>
        </w:rPr>
        <w:t>10</w:t>
      </w:r>
      <w:r w:rsidRPr="008B2F8A">
        <w:fldChar w:fldCharType="end"/>
      </w:r>
      <w:r w:rsidRPr="008B2F8A">
        <w:t>).</w:t>
      </w:r>
    </w:p>
    <w:p w14:paraId="76F656E7" w14:textId="616230A9" w:rsidR="00E47AB8" w:rsidRPr="008B2F8A" w:rsidRDefault="00E47AB8" w:rsidP="00E47AB8">
      <w:pPr>
        <w:pStyle w:val="ListParagraph"/>
        <w:numPr>
          <w:ilvl w:val="2"/>
          <w:numId w:val="29"/>
        </w:numPr>
      </w:pPr>
      <w:r w:rsidRPr="008B2F8A">
        <w:t xml:space="preserve">Age: studies including women &gt;65 years </w:t>
      </w:r>
      <w:r>
        <w:t xml:space="preserve">old </w:t>
      </w:r>
      <w:r w:rsidRPr="008B2F8A">
        <w:t>will be excluded (this criteri</w:t>
      </w:r>
      <w:r>
        <w:t>on</w:t>
      </w:r>
      <w:r w:rsidRPr="008B2F8A">
        <w:t xml:space="preserve"> follows </w:t>
      </w:r>
      <w:r>
        <w:t>HIQA, 2013</w:t>
      </w:r>
      <w:r w:rsidRPr="008B2F8A">
        <w:t xml:space="preserve"> and acknowledges the limited body of evidence for women aged &lt;50 years). For indications in which no studies meet this criterion, the age range </w:t>
      </w:r>
      <w:r>
        <w:t>is</w:t>
      </w:r>
      <w:r w:rsidRPr="008B2F8A">
        <w:t xml:space="preserve"> extended.</w:t>
      </w:r>
    </w:p>
    <w:p w14:paraId="6370CEEE" w14:textId="0EF1BCB5" w:rsidR="00E47AB8" w:rsidRPr="008B2F8A" w:rsidRDefault="00E47AB8" w:rsidP="00E47AB8">
      <w:pPr>
        <w:pStyle w:val="ListParagraph"/>
        <w:numPr>
          <w:ilvl w:val="1"/>
          <w:numId w:val="29"/>
        </w:numPr>
      </w:pPr>
      <w:r w:rsidRPr="008B2F8A">
        <w:t xml:space="preserve">Studies with &lt;20 patients undergoing MRI </w:t>
      </w:r>
      <w:r>
        <w:t xml:space="preserve">are </w:t>
      </w:r>
      <w:r w:rsidRPr="008B2F8A">
        <w:t>excluded.</w:t>
      </w:r>
    </w:p>
    <w:p w14:paraId="79BF79C4" w14:textId="77777777" w:rsidR="00E47AB8" w:rsidRPr="008B2F8A" w:rsidRDefault="00E47AB8" w:rsidP="00E47AB8">
      <w:pPr>
        <w:pStyle w:val="ListParagraph"/>
        <w:numPr>
          <w:ilvl w:val="0"/>
          <w:numId w:val="29"/>
        </w:numPr>
      </w:pPr>
      <w:r w:rsidRPr="008B2F8A">
        <w:t>Wrong diagnostic tests</w:t>
      </w:r>
    </w:p>
    <w:p w14:paraId="41AF5754" w14:textId="6AE12226" w:rsidR="00E47AB8" w:rsidRPr="008B2F8A" w:rsidRDefault="00E47AB8" w:rsidP="00E47AB8">
      <w:pPr>
        <w:pStyle w:val="ListParagraph"/>
        <w:numPr>
          <w:ilvl w:val="1"/>
          <w:numId w:val="29"/>
        </w:numPr>
      </w:pPr>
      <w:r w:rsidRPr="008B2F8A">
        <w:t xml:space="preserve">Studies </w:t>
      </w:r>
      <w:r>
        <w:t>must cover</w:t>
      </w:r>
      <w:r w:rsidRPr="008B2F8A">
        <w:t xml:space="preserve"> breast MRI and mammography.</w:t>
      </w:r>
    </w:p>
    <w:p w14:paraId="7EB6068E" w14:textId="3563C303" w:rsidR="00E47AB8" w:rsidRPr="008B2F8A" w:rsidRDefault="00E47AB8" w:rsidP="00E47AB8">
      <w:pPr>
        <w:pStyle w:val="ListParagraph"/>
        <w:numPr>
          <w:ilvl w:val="1"/>
          <w:numId w:val="29"/>
        </w:numPr>
      </w:pPr>
      <w:r w:rsidRPr="008B2F8A">
        <w:t xml:space="preserve">Studies </w:t>
      </w:r>
      <w:r>
        <w:t>must</w:t>
      </w:r>
      <w:r w:rsidRPr="008B2F8A">
        <w:t xml:space="preserve"> report on MRI as an </w:t>
      </w:r>
      <w:r w:rsidRPr="008B2F8A">
        <w:rPr>
          <w:i/>
        </w:rPr>
        <w:t>additional</w:t>
      </w:r>
      <w:r w:rsidRPr="008B2F8A">
        <w:t xml:space="preserve"> test to mammography. Where no studies report on MRI as an additional test, studies which compare MRI with mammography </w:t>
      </w:r>
      <w:r>
        <w:t>are</w:t>
      </w:r>
      <w:r w:rsidRPr="008B2F8A">
        <w:t xml:space="preserve"> included.</w:t>
      </w:r>
    </w:p>
    <w:p w14:paraId="28267C02" w14:textId="77777777" w:rsidR="00E47AB8" w:rsidRPr="008B2F8A" w:rsidRDefault="00E47AB8" w:rsidP="00E47AB8">
      <w:pPr>
        <w:pStyle w:val="ListParagraph"/>
        <w:numPr>
          <w:ilvl w:val="0"/>
          <w:numId w:val="29"/>
        </w:numPr>
      </w:pPr>
      <w:r w:rsidRPr="008B2F8A">
        <w:t>Wrong reference standard or comparator</w:t>
      </w:r>
    </w:p>
    <w:p w14:paraId="67702D78" w14:textId="77777777" w:rsidR="00E47AB8" w:rsidRPr="008B2F8A" w:rsidRDefault="00E47AB8" w:rsidP="00E47AB8">
      <w:pPr>
        <w:pStyle w:val="ListParagraph"/>
        <w:numPr>
          <w:ilvl w:val="1"/>
          <w:numId w:val="29"/>
        </w:numPr>
      </w:pPr>
      <w:r w:rsidRPr="008B2F8A">
        <w:t>Reference standard: minimum of histology for positive tests and a consensus of all tests for negative tests.</w:t>
      </w:r>
    </w:p>
    <w:p w14:paraId="558D3F24" w14:textId="77777777" w:rsidR="00E47AB8" w:rsidRPr="008B2F8A" w:rsidRDefault="00E47AB8" w:rsidP="00E47AB8">
      <w:pPr>
        <w:pStyle w:val="ListParagraph"/>
        <w:numPr>
          <w:ilvl w:val="1"/>
          <w:numId w:val="29"/>
        </w:numPr>
      </w:pPr>
      <w:r w:rsidRPr="008B2F8A">
        <w:t>Mammography with or without ultrasound as a comparator.</w:t>
      </w:r>
    </w:p>
    <w:p w14:paraId="26BC2D29" w14:textId="77777777" w:rsidR="00E47AB8" w:rsidRPr="008B2F8A" w:rsidRDefault="00E47AB8" w:rsidP="00E47AB8">
      <w:pPr>
        <w:pStyle w:val="ListParagraph"/>
        <w:numPr>
          <w:ilvl w:val="0"/>
          <w:numId w:val="29"/>
        </w:numPr>
      </w:pPr>
      <w:r w:rsidRPr="008B2F8A">
        <w:t>Wrong outcomes</w:t>
      </w:r>
    </w:p>
    <w:p w14:paraId="1C1D32A6" w14:textId="4F3D0788" w:rsidR="00E47AB8" w:rsidRPr="008B2F8A" w:rsidRDefault="00E47AB8" w:rsidP="00E47AB8">
      <w:pPr>
        <w:pStyle w:val="ListParagraph"/>
        <w:numPr>
          <w:ilvl w:val="1"/>
          <w:numId w:val="29"/>
        </w:numPr>
      </w:pPr>
      <w:r w:rsidRPr="008B2F8A">
        <w:t>Studies must report on at least one of the outcomes described in the PICO table (</w:t>
      </w:r>
      <w:r w:rsidRPr="008B2F8A">
        <w:fldChar w:fldCharType="begin"/>
      </w:r>
      <w:r w:rsidRPr="008B2F8A">
        <w:instrText xml:space="preserve"> REF _Ref369268285 \h </w:instrText>
      </w:r>
      <w:r w:rsidRPr="008B2F8A">
        <w:fldChar w:fldCharType="separate"/>
      </w:r>
      <w:r w:rsidR="00B81273" w:rsidRPr="008B2F8A">
        <w:t xml:space="preserve">Table </w:t>
      </w:r>
      <w:r w:rsidR="00B81273">
        <w:rPr>
          <w:noProof/>
        </w:rPr>
        <w:t>A</w:t>
      </w:r>
      <w:r w:rsidR="00B81273" w:rsidRPr="008B2F8A">
        <w:t>.</w:t>
      </w:r>
      <w:r w:rsidR="00B81273">
        <w:rPr>
          <w:noProof/>
        </w:rPr>
        <w:t>10</w:t>
      </w:r>
      <w:r w:rsidRPr="008B2F8A">
        <w:fldChar w:fldCharType="end"/>
      </w:r>
      <w:r w:rsidRPr="008B2F8A">
        <w:t>).</w:t>
      </w:r>
    </w:p>
    <w:p w14:paraId="272CB8FD" w14:textId="77777777" w:rsidR="00E47AB8" w:rsidRPr="008B2F8A" w:rsidRDefault="00E47AB8" w:rsidP="00E47AB8">
      <w:pPr>
        <w:pStyle w:val="ListParagraph"/>
        <w:numPr>
          <w:ilvl w:val="0"/>
          <w:numId w:val="29"/>
        </w:numPr>
      </w:pPr>
      <w:r w:rsidRPr="008B2F8A">
        <w:t>Not in English</w:t>
      </w:r>
    </w:p>
    <w:p w14:paraId="79C17B9A" w14:textId="7356C425" w:rsidR="00E47AB8" w:rsidRPr="008B2F8A" w:rsidRDefault="00E47AB8" w:rsidP="00693BE5">
      <w:pPr>
        <w:pStyle w:val="Heading2"/>
      </w:pPr>
      <w:bookmarkStart w:id="420" w:name="_Ref383090735"/>
      <w:bookmarkStart w:id="421" w:name="_Ref383090747"/>
      <w:bookmarkStart w:id="422" w:name="_Ref383090753"/>
      <w:bookmarkStart w:id="423" w:name="_Ref383090755"/>
      <w:bookmarkStart w:id="424" w:name="_Toc383424452"/>
      <w:r w:rsidRPr="008B2F8A">
        <w:t>Search strategies</w:t>
      </w:r>
      <w:bookmarkEnd w:id="420"/>
      <w:bookmarkEnd w:id="421"/>
      <w:bookmarkEnd w:id="422"/>
      <w:bookmarkEnd w:id="423"/>
      <w:bookmarkEnd w:id="424"/>
    </w:p>
    <w:p w14:paraId="3CE7ED9F" w14:textId="6D77ED05" w:rsidR="00693BE5" w:rsidRPr="00693BE5" w:rsidRDefault="00E47AB8" w:rsidP="00693BE5">
      <w:r w:rsidRPr="008B2F8A">
        <w:t>Two search strategies were developed</w:t>
      </w:r>
      <w:r>
        <w:t>.</w:t>
      </w:r>
      <w:r w:rsidRPr="008B2F8A">
        <w:t xml:space="preserve"> </w:t>
      </w:r>
      <w:r>
        <w:t>(</w:t>
      </w:r>
      <w:r w:rsidRPr="008B2F8A">
        <w:t>For full details</w:t>
      </w:r>
      <w:r>
        <w:t>,</w:t>
      </w:r>
      <w:r w:rsidRPr="008B2F8A">
        <w:t xml:space="preserve"> see </w:t>
      </w:r>
      <w:r w:rsidRPr="008B2F8A">
        <w:fldChar w:fldCharType="begin"/>
      </w:r>
      <w:r w:rsidRPr="008B2F8A">
        <w:instrText xml:space="preserve"> REF _Ref373401753 \h </w:instrText>
      </w:r>
      <w:r w:rsidRPr="008B2F8A">
        <w:fldChar w:fldCharType="separate"/>
      </w:r>
      <w:r w:rsidR="00B81273" w:rsidRPr="008B2F8A">
        <w:t xml:space="preserve">Appendix </w:t>
      </w:r>
      <w:r w:rsidR="00B81273">
        <w:rPr>
          <w:noProof/>
        </w:rPr>
        <w:t>2</w:t>
      </w:r>
      <w:r w:rsidRPr="008B2F8A">
        <w:fldChar w:fldCharType="end"/>
      </w:r>
      <w:r w:rsidRPr="008B2F8A">
        <w:t>.</w:t>
      </w:r>
      <w:r>
        <w:t>)</w:t>
      </w:r>
    </w:p>
    <w:p w14:paraId="5103BF3C" w14:textId="4CE9B595" w:rsidR="00E47AB8" w:rsidRPr="008B2F8A" w:rsidRDefault="00E47AB8" w:rsidP="00693BE5">
      <w:pPr>
        <w:pStyle w:val="Heading3"/>
        <w:numPr>
          <w:ilvl w:val="2"/>
          <w:numId w:val="42"/>
        </w:numPr>
      </w:pPr>
      <w:bookmarkStart w:id="425" w:name="_Toc383424453"/>
      <w:r w:rsidRPr="008B2F8A">
        <w:t>Asymptomatic, high-risk women: MBS interim-funded item</w:t>
      </w:r>
      <w:bookmarkEnd w:id="425"/>
    </w:p>
    <w:p w14:paraId="17CC370B" w14:textId="77777777" w:rsidR="00E47AB8" w:rsidRPr="008B2F8A" w:rsidRDefault="00E47AB8" w:rsidP="00422306">
      <w:r w:rsidRPr="008B2F8A">
        <w:t>The following electronic databases were searched:</w:t>
      </w:r>
    </w:p>
    <w:p w14:paraId="10685719" w14:textId="77777777" w:rsidR="00E47AB8" w:rsidRPr="008B2F8A" w:rsidRDefault="00E47AB8" w:rsidP="00E47AB8">
      <w:pPr>
        <w:pStyle w:val="ListParagraph"/>
        <w:numPr>
          <w:ilvl w:val="0"/>
          <w:numId w:val="29"/>
        </w:numPr>
      </w:pPr>
      <w:r w:rsidRPr="008B2F8A">
        <w:t>EMBASE.com (includes MEDLINE and EMBASE) and records retrieved 25 January 2013. Updated 6 November 2013.</w:t>
      </w:r>
    </w:p>
    <w:p w14:paraId="0DE2131B" w14:textId="541D2C20" w:rsidR="00E47AB8" w:rsidRPr="008B2F8A" w:rsidRDefault="00E47AB8" w:rsidP="00E47AB8">
      <w:pPr>
        <w:pStyle w:val="ListParagraph"/>
        <w:numPr>
          <w:ilvl w:val="0"/>
          <w:numId w:val="29"/>
        </w:numPr>
      </w:pPr>
      <w:r w:rsidRPr="008B2F8A">
        <w:lastRenderedPageBreak/>
        <w:t>PreMEDLINE and records retrieved 25 January 2013. Updated 6 November 2013.</w:t>
      </w:r>
    </w:p>
    <w:p w14:paraId="3503AF0D" w14:textId="7E32AB80" w:rsidR="00E47AB8" w:rsidRPr="008B2F8A" w:rsidRDefault="00E47AB8" w:rsidP="00E47AB8">
      <w:pPr>
        <w:pStyle w:val="ListParagraph"/>
        <w:numPr>
          <w:ilvl w:val="0"/>
          <w:numId w:val="29"/>
        </w:numPr>
      </w:pPr>
      <w:r w:rsidRPr="008B2F8A">
        <w:rPr>
          <w:color w:val="000000"/>
        </w:rPr>
        <w:t>The Cochrane Library (</w:t>
      </w:r>
      <w:r w:rsidRPr="008B2F8A">
        <w:t xml:space="preserve">includes CDSR, DARE, CLEED, </w:t>
      </w:r>
      <w:bookmarkStart w:id="426" w:name="OLE_LINK46"/>
      <w:r w:rsidRPr="008B2F8A">
        <w:t xml:space="preserve">CLHTA </w:t>
      </w:r>
      <w:bookmarkEnd w:id="426"/>
      <w:r w:rsidRPr="008B2F8A">
        <w:t xml:space="preserve">and </w:t>
      </w:r>
      <w:bookmarkStart w:id="427" w:name="OLE_LINK47"/>
      <w:bookmarkStart w:id="428" w:name="OLE_LINK48"/>
      <w:r w:rsidRPr="008B2F8A">
        <w:t>CLMCR</w:t>
      </w:r>
      <w:bookmarkEnd w:id="427"/>
      <w:bookmarkEnd w:id="428"/>
      <w:r w:rsidRPr="008B2F8A">
        <w:t>). Records retrieved 9 December 2012.</w:t>
      </w:r>
    </w:p>
    <w:p w14:paraId="695F610F" w14:textId="77777777" w:rsidR="00E47AB8" w:rsidRPr="008B2F8A" w:rsidRDefault="00E47AB8" w:rsidP="00E47AB8">
      <w:pPr>
        <w:pStyle w:val="ListParagraph"/>
        <w:numPr>
          <w:ilvl w:val="0"/>
          <w:numId w:val="29"/>
        </w:numPr>
      </w:pPr>
      <w:r w:rsidRPr="008B2F8A">
        <w:t xml:space="preserve">The World Health Organization’s </w:t>
      </w:r>
      <w:bookmarkStart w:id="429" w:name="OLE_LINK431"/>
      <w:bookmarkStart w:id="430" w:name="OLE_LINK432"/>
      <w:r w:rsidRPr="008B2F8A">
        <w:t xml:space="preserve">International Clinical Trials Registry Platform </w:t>
      </w:r>
      <w:bookmarkEnd w:id="429"/>
      <w:bookmarkEnd w:id="430"/>
      <w:r w:rsidRPr="008B2F8A">
        <w:t xml:space="preserve">(WHO </w:t>
      </w:r>
      <w:bookmarkStart w:id="431" w:name="OLE_LINK49"/>
      <w:bookmarkStart w:id="432" w:name="OLE_LINK50"/>
      <w:r w:rsidRPr="008B2F8A">
        <w:t>ICTRP</w:t>
      </w:r>
      <w:bookmarkEnd w:id="431"/>
      <w:bookmarkEnd w:id="432"/>
      <w:r w:rsidRPr="008B2F8A">
        <w:t>)</w:t>
      </w:r>
      <w:r>
        <w:t>,</w:t>
      </w:r>
      <w:r w:rsidRPr="008B2F8A">
        <w:t xml:space="preserve"> which include the US National Institutes of Health</w:t>
      </w:r>
      <w:r w:rsidRPr="00426E6B">
        <w:t xml:space="preserve"> (</w:t>
      </w:r>
      <w:r w:rsidRPr="008B2F8A">
        <w:t xml:space="preserve">NIH) and </w:t>
      </w:r>
      <w:bookmarkStart w:id="433" w:name="OLE_LINK51"/>
      <w:bookmarkStart w:id="434" w:name="OLE_LINK52"/>
      <w:r w:rsidRPr="008B2F8A">
        <w:t xml:space="preserve">ANZCTR </w:t>
      </w:r>
      <w:bookmarkEnd w:id="433"/>
      <w:bookmarkEnd w:id="434"/>
      <w:r w:rsidRPr="008B2F8A">
        <w:t>registries. Records retrieved 9 January 2013.</w:t>
      </w:r>
    </w:p>
    <w:p w14:paraId="0B1B6667" w14:textId="78EA5292" w:rsidR="00E47AB8" w:rsidRPr="008B2F8A" w:rsidRDefault="00E47AB8" w:rsidP="00693BE5">
      <w:pPr>
        <w:pStyle w:val="Heading3"/>
        <w:numPr>
          <w:ilvl w:val="2"/>
          <w:numId w:val="42"/>
        </w:numPr>
      </w:pPr>
      <w:bookmarkStart w:id="435" w:name="_Toc383424454"/>
      <w:r w:rsidRPr="008B2F8A">
        <w:t>Additional high-risk groups</w:t>
      </w:r>
      <w:bookmarkEnd w:id="435"/>
    </w:p>
    <w:p w14:paraId="35342AC0" w14:textId="77777777" w:rsidR="00E47AB8" w:rsidRPr="008B2F8A" w:rsidRDefault="00E47AB8" w:rsidP="00422306">
      <w:r w:rsidRPr="008B2F8A">
        <w:t>The following electronic databases were searched:</w:t>
      </w:r>
    </w:p>
    <w:p w14:paraId="2D58DD78" w14:textId="506E9BA8" w:rsidR="00E47AB8" w:rsidRPr="008B2F8A" w:rsidRDefault="00E47AB8" w:rsidP="00E47AB8">
      <w:pPr>
        <w:pStyle w:val="ListParagraph"/>
        <w:numPr>
          <w:ilvl w:val="0"/>
          <w:numId w:val="30"/>
        </w:numPr>
      </w:pPr>
      <w:r w:rsidRPr="008B2F8A">
        <w:t>EMBASE.com (includes MEDLINE and EMBASE) and records retrieved 28 May 2013. PreMEDLINE and records retrieved 28 May 2013. Updated 6 November 2013.</w:t>
      </w:r>
    </w:p>
    <w:p w14:paraId="453516A4" w14:textId="3E56562C" w:rsidR="00E47AB8" w:rsidRPr="008B2F8A" w:rsidRDefault="00E47AB8" w:rsidP="00E47AB8">
      <w:pPr>
        <w:pStyle w:val="ListParagraph"/>
        <w:numPr>
          <w:ilvl w:val="0"/>
          <w:numId w:val="30"/>
        </w:numPr>
      </w:pPr>
      <w:r w:rsidRPr="008B2F8A">
        <w:rPr>
          <w:color w:val="000000"/>
        </w:rPr>
        <w:t>The Cochrane Library (</w:t>
      </w:r>
      <w:r w:rsidRPr="008B2F8A">
        <w:t>includes CDSR, DARE, CLEED, CLHTA and CLMCR) and records retrieved 13 November 2012.</w:t>
      </w:r>
    </w:p>
    <w:p w14:paraId="20B26773" w14:textId="2A7E4387" w:rsidR="00E47AB8" w:rsidRPr="008B2F8A" w:rsidRDefault="00E47AB8" w:rsidP="00E47AB8">
      <w:pPr>
        <w:pStyle w:val="ListParagraph"/>
        <w:numPr>
          <w:ilvl w:val="0"/>
          <w:numId w:val="30"/>
        </w:numPr>
      </w:pPr>
      <w:r w:rsidRPr="008B2F8A">
        <w:t>The WHO’s ICTRP, which includes the NIH and ANZCTR registries.</w:t>
      </w:r>
    </w:p>
    <w:p w14:paraId="77376065" w14:textId="48F161C4" w:rsidR="00E47AB8" w:rsidRPr="008B2F8A" w:rsidRDefault="00E47AB8" w:rsidP="00693BE5">
      <w:pPr>
        <w:pStyle w:val="Heading2"/>
      </w:pPr>
      <w:bookmarkStart w:id="436" w:name="_Toc365552160"/>
      <w:bookmarkStart w:id="437" w:name="_Toc383424455"/>
      <w:r w:rsidRPr="008B2F8A">
        <w:t>All included studies</w:t>
      </w:r>
      <w:bookmarkEnd w:id="436"/>
      <w:bookmarkEnd w:id="437"/>
    </w:p>
    <w:p w14:paraId="2279F6AF" w14:textId="77777777" w:rsidR="00E47AB8" w:rsidRPr="008B2F8A" w:rsidRDefault="00E47AB8" w:rsidP="00693BE5">
      <w:pPr>
        <w:pStyle w:val="Heading3"/>
        <w:numPr>
          <w:ilvl w:val="2"/>
          <w:numId w:val="42"/>
        </w:numPr>
      </w:pPr>
      <w:bookmarkStart w:id="438" w:name="_Toc363113394"/>
      <w:bookmarkStart w:id="439" w:name="_Toc365552161"/>
      <w:bookmarkStart w:id="440" w:name="_Toc383424456"/>
      <w:r w:rsidRPr="008B2F8A">
        <w:t>Search results</w:t>
      </w:r>
      <w:bookmarkEnd w:id="438"/>
      <w:bookmarkEnd w:id="439"/>
      <w:bookmarkEnd w:id="440"/>
    </w:p>
    <w:p w14:paraId="3BF951F2" w14:textId="75C188BD" w:rsidR="00E47AB8" w:rsidRPr="008B2F8A" w:rsidRDefault="00E47AB8" w:rsidP="00422306">
      <w:pPr>
        <w:rPr>
          <w:lang w:eastAsia="en-AU"/>
        </w:rPr>
      </w:pPr>
      <w:r w:rsidRPr="008B2F8A">
        <w:rPr>
          <w:lang w:eastAsia="en-AU"/>
        </w:rPr>
        <w:t>The citations retrieved from the literature search were reviewed to assess their eligibility for inclusion in the assessment. At all stages in the review</w:t>
      </w:r>
      <w:r>
        <w:rPr>
          <w:lang w:eastAsia="en-AU"/>
        </w:rPr>
        <w:t>,</w:t>
      </w:r>
      <w:r w:rsidRPr="008B2F8A">
        <w:rPr>
          <w:lang w:eastAsia="en-AU"/>
        </w:rPr>
        <w:t xml:space="preserve"> studies were excluded if they did not meet the PICO criteria specified in Section </w:t>
      </w:r>
      <w:r w:rsidRPr="008B2F8A">
        <w:rPr>
          <w:lang w:eastAsia="en-AU"/>
        </w:rPr>
        <w:fldChar w:fldCharType="begin"/>
      </w:r>
      <w:r w:rsidRPr="008B2F8A">
        <w:rPr>
          <w:lang w:eastAsia="en-AU"/>
        </w:rPr>
        <w:instrText xml:space="preserve"> REF _Ref373401905 \r \h </w:instrText>
      </w:r>
      <w:r w:rsidRPr="008B2F8A">
        <w:rPr>
          <w:lang w:eastAsia="en-AU"/>
        </w:rPr>
      </w:r>
      <w:r w:rsidRPr="008B2F8A">
        <w:rPr>
          <w:lang w:eastAsia="en-AU"/>
        </w:rPr>
        <w:fldChar w:fldCharType="separate"/>
      </w:r>
      <w:r w:rsidR="00B81273">
        <w:rPr>
          <w:lang w:eastAsia="en-AU"/>
        </w:rPr>
        <w:t>A.8</w:t>
      </w:r>
      <w:r w:rsidRPr="008B2F8A">
        <w:rPr>
          <w:lang w:eastAsia="en-AU"/>
        </w:rPr>
        <w:fldChar w:fldCharType="end"/>
      </w:r>
      <w:r w:rsidRPr="008B2F8A">
        <w:rPr>
          <w:lang w:eastAsia="en-AU"/>
        </w:rPr>
        <w:t>, if they were the wrong publication type (ie, editorial, non-systematic reviews, letters, articles before 2006)</w:t>
      </w:r>
      <w:r>
        <w:rPr>
          <w:lang w:eastAsia="en-AU"/>
        </w:rPr>
        <w:t>,</w:t>
      </w:r>
      <w:r w:rsidRPr="008B2F8A">
        <w:rPr>
          <w:lang w:eastAsia="en-AU"/>
        </w:rPr>
        <w:t xml:space="preserve"> or if they were not published in English. Initially</w:t>
      </w:r>
      <w:r>
        <w:rPr>
          <w:lang w:eastAsia="en-AU"/>
        </w:rPr>
        <w:t>,</w:t>
      </w:r>
      <w:r w:rsidRPr="008B2F8A">
        <w:rPr>
          <w:lang w:eastAsia="en-AU"/>
        </w:rPr>
        <w:t xml:space="preserve"> the titles and abstracts of all citations were screened</w:t>
      </w:r>
      <w:r>
        <w:rPr>
          <w:lang w:eastAsia="en-AU"/>
        </w:rPr>
        <w:t>,</w:t>
      </w:r>
      <w:r w:rsidRPr="008B2F8A">
        <w:rPr>
          <w:lang w:eastAsia="en-AU"/>
        </w:rPr>
        <w:t xml:space="preserve"> and studies that did not meet the criteria were excluded. The full</w:t>
      </w:r>
      <w:r>
        <w:rPr>
          <w:lang w:eastAsia="en-AU"/>
        </w:rPr>
        <w:t xml:space="preserve"> </w:t>
      </w:r>
      <w:r w:rsidRPr="008B2F8A">
        <w:rPr>
          <w:lang w:eastAsia="en-AU"/>
        </w:rPr>
        <w:t xml:space="preserve">text </w:t>
      </w:r>
      <w:r>
        <w:rPr>
          <w:lang w:eastAsia="en-AU"/>
        </w:rPr>
        <w:t xml:space="preserve">of </w:t>
      </w:r>
      <w:r w:rsidRPr="008B2F8A">
        <w:rPr>
          <w:lang w:eastAsia="en-AU"/>
        </w:rPr>
        <w:t>all remaining studies</w:t>
      </w:r>
      <w:r w:rsidRPr="008B2F8A" w:rsidDel="00BE1CAD">
        <w:rPr>
          <w:lang w:eastAsia="en-AU"/>
        </w:rPr>
        <w:t xml:space="preserve"> </w:t>
      </w:r>
      <w:r>
        <w:rPr>
          <w:lang w:eastAsia="en-AU"/>
        </w:rPr>
        <w:t>was</w:t>
      </w:r>
      <w:r w:rsidRPr="008B2F8A">
        <w:rPr>
          <w:lang w:eastAsia="en-AU"/>
        </w:rPr>
        <w:t xml:space="preserve"> retrieved and reviewed.</w:t>
      </w:r>
    </w:p>
    <w:p w14:paraId="66C9777F" w14:textId="1622EC07" w:rsidR="00E47AB8" w:rsidRPr="008B2F8A" w:rsidRDefault="00E47AB8" w:rsidP="00422306">
      <w:pPr>
        <w:rPr>
          <w:lang w:eastAsia="en-AU"/>
        </w:rPr>
      </w:pPr>
      <w:r w:rsidRPr="008B2F8A">
        <w:rPr>
          <w:lang w:eastAsia="en-AU"/>
        </w:rPr>
        <w:t xml:space="preserve">Studies reporting on a head-to-head comparison of breast MRI </w:t>
      </w:r>
      <w:r>
        <w:rPr>
          <w:lang w:eastAsia="en-AU"/>
        </w:rPr>
        <w:t>+</w:t>
      </w:r>
      <w:r w:rsidRPr="008B2F8A">
        <w:rPr>
          <w:lang w:eastAsia="en-AU"/>
        </w:rPr>
        <w:t xml:space="preserve"> mammography with mammography (with or without ultrasound) provide direct evidence about the relative effects of these tests to </w:t>
      </w:r>
      <w:r>
        <w:rPr>
          <w:lang w:eastAsia="en-AU"/>
        </w:rPr>
        <w:t>answer</w:t>
      </w:r>
      <w:r w:rsidRPr="008B2F8A">
        <w:rPr>
          <w:lang w:eastAsia="en-AU"/>
        </w:rPr>
        <w:t xml:space="preserve"> the clinical question. Studies comparing breast MRI with mammography were included only if no studies were identified which provided direct evidence. Information from studies that report data for only one of the tests of interest was not used</w:t>
      </w:r>
      <w:r>
        <w:rPr>
          <w:lang w:eastAsia="en-AU"/>
        </w:rPr>
        <w:t>,</w:t>
      </w:r>
      <w:r w:rsidRPr="008B2F8A">
        <w:rPr>
          <w:lang w:eastAsia="en-AU"/>
        </w:rPr>
        <w:t xml:space="preserve"> as indirect comparisons of results from different studies can introduce bias.</w:t>
      </w:r>
    </w:p>
    <w:p w14:paraId="59FA2105" w14:textId="54C58E9A" w:rsidR="00E47AB8" w:rsidRPr="008B2F8A" w:rsidRDefault="00E47AB8" w:rsidP="00422306">
      <w:pPr>
        <w:rPr>
          <w:lang w:eastAsia="en-AU"/>
        </w:rPr>
      </w:pPr>
      <w:r w:rsidRPr="008B2F8A">
        <w:rPr>
          <w:lang w:eastAsia="en-AU"/>
        </w:rPr>
        <w:t>Studies investigating MRI in &lt;20 patients were excluded because small studies are unlikely to achieve sufficient precision in their estimates of test outcomes for reliable interpretation. Large studies that identify few cancers would be unlikely to provide precise estimates of the sensitivity of a test but may still provide useful information about the relative specificity of tests</w:t>
      </w:r>
      <w:r>
        <w:rPr>
          <w:lang w:eastAsia="en-AU"/>
        </w:rPr>
        <w:t>,</w:t>
      </w:r>
      <w:r w:rsidRPr="008B2F8A">
        <w:rPr>
          <w:lang w:eastAsia="en-AU"/>
        </w:rPr>
        <w:t xml:space="preserve"> and were included in the review.</w:t>
      </w:r>
    </w:p>
    <w:p w14:paraId="6BD1AD82" w14:textId="6CF941FB" w:rsidR="00E47AB8" w:rsidRPr="008B2F8A" w:rsidRDefault="00E47AB8" w:rsidP="00E47AB8">
      <w:pPr>
        <w:pStyle w:val="Heading4"/>
        <w:numPr>
          <w:ilvl w:val="3"/>
          <w:numId w:val="42"/>
        </w:numPr>
      </w:pPr>
      <w:r w:rsidRPr="008B2F8A">
        <w:t>Asymptomatic, high-risk women: MBS interim-funded item</w:t>
      </w:r>
    </w:p>
    <w:p w14:paraId="65FA3542" w14:textId="77777777" w:rsidR="00E47AB8" w:rsidRPr="008B2F8A" w:rsidRDefault="00E47AB8" w:rsidP="00422306">
      <w:r w:rsidRPr="008B2F8A">
        <w:fldChar w:fldCharType="begin"/>
      </w:r>
      <w:r w:rsidRPr="008B2F8A">
        <w:instrText xml:space="preserve"> REF _Ref368057823 \h </w:instrText>
      </w:r>
      <w:r w:rsidRPr="008B2F8A">
        <w:fldChar w:fldCharType="separate"/>
      </w:r>
      <w:r w:rsidR="00B81273" w:rsidRPr="008B2F8A">
        <w:t xml:space="preserve">Table </w:t>
      </w:r>
      <w:r w:rsidR="00B81273">
        <w:rPr>
          <w:noProof/>
        </w:rPr>
        <w:t>B</w:t>
      </w:r>
      <w:r w:rsidR="00B81273" w:rsidRPr="008B2F8A">
        <w:t>.</w:t>
      </w:r>
      <w:r w:rsidR="00B81273">
        <w:rPr>
          <w:noProof/>
        </w:rPr>
        <w:t>1</w:t>
      </w:r>
      <w:r w:rsidRPr="008B2F8A">
        <w:fldChar w:fldCharType="end"/>
      </w:r>
      <w:r w:rsidRPr="008B2F8A">
        <w:t xml:space="preserve"> presents a summary of the search results.</w:t>
      </w:r>
    </w:p>
    <w:p w14:paraId="4ADA0782" w14:textId="77777777" w:rsidR="00E47AB8" w:rsidRPr="008B2F8A" w:rsidRDefault="00E47AB8" w:rsidP="00422306">
      <w:pPr>
        <w:pStyle w:val="Caption"/>
      </w:pPr>
      <w:bookmarkStart w:id="441" w:name="_Ref368057823"/>
      <w:bookmarkStart w:id="442" w:name="_Toc383424567"/>
      <w:r w:rsidRPr="008B2F8A">
        <w:lastRenderedPageBreak/>
        <w:t xml:space="preserve">Table </w:t>
      </w:r>
      <w:fldSimple w:instr=" STYLEREF 1 \s ">
        <w:r w:rsidR="00B81273">
          <w:rPr>
            <w:noProof/>
          </w:rPr>
          <w:t>B</w:t>
        </w:r>
      </w:fldSimple>
      <w:r w:rsidRPr="008B2F8A">
        <w:t>.</w:t>
      </w:r>
      <w:fldSimple w:instr=" SEQ Table \* ARABIC \s 1 ">
        <w:r w:rsidR="00B81273">
          <w:rPr>
            <w:noProof/>
          </w:rPr>
          <w:t>1</w:t>
        </w:r>
      </w:fldSimple>
      <w:bookmarkEnd w:id="441"/>
      <w:r w:rsidRPr="008B2F8A">
        <w:rPr>
          <w:noProof/>
        </w:rPr>
        <w:tab/>
      </w:r>
      <w:bookmarkStart w:id="443" w:name="OLE_LINK980"/>
      <w:bookmarkStart w:id="444" w:name="OLE_LINK981"/>
      <w:r w:rsidRPr="008B2F8A">
        <w:t>Summary of identification of studies from the search of the published literature</w:t>
      </w:r>
      <w:bookmarkEnd w:id="443"/>
      <w:bookmarkEnd w:id="444"/>
      <w:r w:rsidRPr="008B2F8A">
        <w:t>.</w:t>
      </w:r>
      <w:bookmarkEnd w:id="442"/>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Summary of identification of studies from the search of the published literature"/>
      </w:tblPr>
      <w:tblGrid>
        <w:gridCol w:w="4563"/>
        <w:gridCol w:w="851"/>
        <w:gridCol w:w="849"/>
        <w:gridCol w:w="850"/>
        <w:gridCol w:w="810"/>
        <w:gridCol w:w="1147"/>
      </w:tblGrid>
      <w:tr w:rsidR="00E47AB8" w:rsidRPr="008B2F8A" w14:paraId="16555886" w14:textId="77777777" w:rsidTr="00422306">
        <w:trPr>
          <w:cantSplit/>
          <w:tblHeader/>
        </w:trPr>
        <w:tc>
          <w:tcPr>
            <w:tcW w:w="4563" w:type="dxa"/>
            <w:vAlign w:val="bottom"/>
          </w:tcPr>
          <w:p w14:paraId="295EDA99" w14:textId="77777777" w:rsidR="00E47AB8" w:rsidRPr="008B2F8A" w:rsidRDefault="00E47AB8" w:rsidP="008016EF">
            <w:pPr>
              <w:pStyle w:val="TableHeading"/>
              <w:spacing w:before="40" w:after="80" w:line="276" w:lineRule="auto"/>
            </w:pPr>
          </w:p>
        </w:tc>
        <w:tc>
          <w:tcPr>
            <w:tcW w:w="851" w:type="dxa"/>
            <w:vAlign w:val="bottom"/>
          </w:tcPr>
          <w:p w14:paraId="36F4E74A" w14:textId="77777777" w:rsidR="00E47AB8" w:rsidRPr="008B2F8A" w:rsidRDefault="00E47AB8" w:rsidP="008016EF">
            <w:pPr>
              <w:pStyle w:val="TableHeading"/>
              <w:spacing w:before="40" w:after="80" w:line="276" w:lineRule="auto"/>
              <w:jc w:val="center"/>
              <w:rPr>
                <w:bCs w:val="0"/>
                <w:szCs w:val="20"/>
              </w:rPr>
            </w:pPr>
            <w:r w:rsidRPr="008B2F8A">
              <w:rPr>
                <w:bCs w:val="0"/>
                <w:szCs w:val="20"/>
              </w:rPr>
              <w:t>EMBASE*</w:t>
            </w:r>
          </w:p>
        </w:tc>
        <w:tc>
          <w:tcPr>
            <w:tcW w:w="849" w:type="dxa"/>
            <w:vAlign w:val="bottom"/>
          </w:tcPr>
          <w:p w14:paraId="6C59D533" w14:textId="3165354B" w:rsidR="00E47AB8" w:rsidRPr="008B2F8A" w:rsidRDefault="00E47AB8" w:rsidP="008016EF">
            <w:pPr>
              <w:pStyle w:val="TableHeading"/>
              <w:spacing w:before="40" w:after="80" w:line="276" w:lineRule="auto"/>
              <w:jc w:val="center"/>
              <w:rPr>
                <w:bCs w:val="0"/>
                <w:szCs w:val="20"/>
              </w:rPr>
            </w:pPr>
            <w:r w:rsidRPr="008B2F8A">
              <w:rPr>
                <w:bCs w:val="0"/>
                <w:szCs w:val="20"/>
              </w:rPr>
              <w:t>Pre</w:t>
            </w:r>
            <w:r w:rsidRPr="008B2F8A">
              <w:rPr>
                <w:bCs w:val="0"/>
                <w:szCs w:val="20"/>
              </w:rPr>
              <w:softHyphen/>
              <w:t>MEDLINE</w:t>
            </w:r>
          </w:p>
        </w:tc>
        <w:tc>
          <w:tcPr>
            <w:tcW w:w="850" w:type="dxa"/>
            <w:vAlign w:val="bottom"/>
          </w:tcPr>
          <w:p w14:paraId="4D550521" w14:textId="12BA4282" w:rsidR="00E47AB8" w:rsidRPr="008B2F8A" w:rsidRDefault="00E47AB8" w:rsidP="008016EF">
            <w:pPr>
              <w:pStyle w:val="TableHeading"/>
              <w:spacing w:before="40" w:after="80" w:line="276" w:lineRule="auto"/>
              <w:jc w:val="center"/>
              <w:rPr>
                <w:bCs w:val="0"/>
                <w:szCs w:val="20"/>
              </w:rPr>
            </w:pPr>
            <w:r w:rsidRPr="008B2F8A">
              <w:rPr>
                <w:bCs w:val="0"/>
                <w:szCs w:val="20"/>
              </w:rPr>
              <w:t>Cochrane Library</w:t>
            </w:r>
          </w:p>
        </w:tc>
        <w:tc>
          <w:tcPr>
            <w:tcW w:w="810" w:type="dxa"/>
            <w:vAlign w:val="bottom"/>
          </w:tcPr>
          <w:p w14:paraId="51B2A9B7" w14:textId="77777777" w:rsidR="00E47AB8" w:rsidRPr="008B2F8A" w:rsidRDefault="00E47AB8" w:rsidP="008016EF">
            <w:pPr>
              <w:pStyle w:val="TableHeading"/>
              <w:spacing w:before="40" w:after="80" w:line="276" w:lineRule="auto"/>
              <w:jc w:val="center"/>
              <w:rPr>
                <w:bCs w:val="0"/>
                <w:szCs w:val="20"/>
              </w:rPr>
            </w:pPr>
            <w:r w:rsidRPr="008B2F8A">
              <w:rPr>
                <w:bCs w:val="0"/>
                <w:szCs w:val="20"/>
              </w:rPr>
              <w:t>WHO ICTRP</w:t>
            </w:r>
          </w:p>
        </w:tc>
        <w:tc>
          <w:tcPr>
            <w:tcW w:w="1147" w:type="dxa"/>
            <w:vAlign w:val="bottom"/>
          </w:tcPr>
          <w:p w14:paraId="4E25AC71" w14:textId="77777777" w:rsidR="00E47AB8" w:rsidRPr="008B2F8A" w:rsidRDefault="00E47AB8" w:rsidP="008016EF">
            <w:pPr>
              <w:pStyle w:val="TableHeading"/>
              <w:spacing w:before="40" w:after="80" w:line="276" w:lineRule="auto"/>
              <w:jc w:val="center"/>
              <w:rPr>
                <w:bCs w:val="0"/>
                <w:szCs w:val="20"/>
              </w:rPr>
            </w:pPr>
            <w:r w:rsidRPr="008B2F8A">
              <w:rPr>
                <w:bCs w:val="0"/>
                <w:szCs w:val="20"/>
              </w:rPr>
              <w:t>Total</w:t>
            </w:r>
          </w:p>
        </w:tc>
      </w:tr>
      <w:tr w:rsidR="00E47AB8" w:rsidRPr="008B2F8A" w14:paraId="473C2A09" w14:textId="77777777" w:rsidTr="00422306">
        <w:trPr>
          <w:cantSplit/>
        </w:trPr>
        <w:tc>
          <w:tcPr>
            <w:tcW w:w="4563" w:type="dxa"/>
            <w:tcBorders>
              <w:bottom w:val="single" w:sz="4" w:space="0" w:color="auto"/>
            </w:tcBorders>
          </w:tcPr>
          <w:p w14:paraId="6331CE9D" w14:textId="77777777" w:rsidR="00E47AB8" w:rsidRPr="008B2F8A" w:rsidRDefault="00E47AB8" w:rsidP="008016EF">
            <w:pPr>
              <w:pStyle w:val="TableText0"/>
              <w:spacing w:before="0" w:after="0" w:line="276" w:lineRule="auto"/>
            </w:pPr>
            <w:r w:rsidRPr="008B2F8A">
              <w:t>Number of citations retrieved by search</w:t>
            </w:r>
          </w:p>
        </w:tc>
        <w:tc>
          <w:tcPr>
            <w:tcW w:w="851" w:type="dxa"/>
            <w:tcBorders>
              <w:bottom w:val="single" w:sz="4" w:space="0" w:color="auto"/>
            </w:tcBorders>
          </w:tcPr>
          <w:p w14:paraId="08D0573F" w14:textId="77777777" w:rsidR="00E47AB8" w:rsidRPr="008B2F8A" w:rsidRDefault="00E47AB8" w:rsidP="00426E6B">
            <w:pPr>
              <w:pStyle w:val="TableText0"/>
              <w:spacing w:after="80"/>
              <w:ind w:right="170"/>
              <w:jc w:val="right"/>
              <w:rPr>
                <w:szCs w:val="20"/>
              </w:rPr>
            </w:pPr>
            <w:r w:rsidRPr="008B2F8A">
              <w:rPr>
                <w:szCs w:val="20"/>
              </w:rPr>
              <w:t>2382</w:t>
            </w:r>
          </w:p>
        </w:tc>
        <w:tc>
          <w:tcPr>
            <w:tcW w:w="849" w:type="dxa"/>
            <w:tcBorders>
              <w:bottom w:val="single" w:sz="4" w:space="0" w:color="auto"/>
            </w:tcBorders>
          </w:tcPr>
          <w:p w14:paraId="3BAFC92E" w14:textId="77777777" w:rsidR="00E47AB8" w:rsidRPr="008B2F8A" w:rsidRDefault="00E47AB8" w:rsidP="00426E6B">
            <w:pPr>
              <w:pStyle w:val="TableText0"/>
              <w:spacing w:after="80"/>
              <w:ind w:right="170"/>
              <w:jc w:val="right"/>
              <w:rPr>
                <w:szCs w:val="20"/>
              </w:rPr>
            </w:pPr>
            <w:r w:rsidRPr="008B2F8A">
              <w:rPr>
                <w:szCs w:val="20"/>
              </w:rPr>
              <w:t>222</w:t>
            </w:r>
          </w:p>
        </w:tc>
        <w:tc>
          <w:tcPr>
            <w:tcW w:w="850" w:type="dxa"/>
            <w:tcBorders>
              <w:bottom w:val="single" w:sz="4" w:space="0" w:color="auto"/>
            </w:tcBorders>
          </w:tcPr>
          <w:p w14:paraId="61C5B383" w14:textId="77777777" w:rsidR="00E47AB8" w:rsidRPr="008B2F8A" w:rsidRDefault="00E47AB8" w:rsidP="00426E6B">
            <w:pPr>
              <w:pStyle w:val="TableText0"/>
              <w:spacing w:after="80"/>
              <w:ind w:right="170"/>
              <w:jc w:val="right"/>
              <w:rPr>
                <w:szCs w:val="20"/>
              </w:rPr>
            </w:pPr>
            <w:r w:rsidRPr="008B2F8A">
              <w:rPr>
                <w:szCs w:val="20"/>
              </w:rPr>
              <w:t>174</w:t>
            </w:r>
          </w:p>
        </w:tc>
        <w:tc>
          <w:tcPr>
            <w:tcW w:w="810" w:type="dxa"/>
            <w:tcBorders>
              <w:bottom w:val="single" w:sz="4" w:space="0" w:color="auto"/>
            </w:tcBorders>
          </w:tcPr>
          <w:p w14:paraId="7884A591" w14:textId="77777777" w:rsidR="00E47AB8" w:rsidRPr="008B2F8A" w:rsidRDefault="00E47AB8" w:rsidP="00426E6B">
            <w:pPr>
              <w:pStyle w:val="TableText0"/>
              <w:spacing w:after="80"/>
              <w:ind w:right="170"/>
              <w:jc w:val="right"/>
              <w:rPr>
                <w:szCs w:val="20"/>
              </w:rPr>
            </w:pPr>
            <w:r w:rsidRPr="008B2F8A">
              <w:rPr>
                <w:szCs w:val="20"/>
              </w:rPr>
              <w:t>120</w:t>
            </w:r>
          </w:p>
        </w:tc>
        <w:tc>
          <w:tcPr>
            <w:tcW w:w="1147" w:type="dxa"/>
            <w:tcBorders>
              <w:bottom w:val="single" w:sz="4" w:space="0" w:color="auto"/>
            </w:tcBorders>
          </w:tcPr>
          <w:p w14:paraId="13D0AAFB" w14:textId="0E963AEA" w:rsidR="00E47AB8" w:rsidRPr="008B2F8A" w:rsidRDefault="00E47AB8" w:rsidP="00426E6B">
            <w:pPr>
              <w:pStyle w:val="TableText0"/>
              <w:spacing w:after="80"/>
              <w:ind w:right="170"/>
              <w:jc w:val="right"/>
              <w:rPr>
                <w:szCs w:val="20"/>
              </w:rPr>
            </w:pPr>
            <w:r w:rsidRPr="00AA62E6">
              <w:rPr>
                <w:color w:val="FFFFFF" w:themeColor="background1"/>
              </w:rPr>
              <w:t>-</w:t>
            </w:r>
          </w:p>
        </w:tc>
      </w:tr>
      <w:tr w:rsidR="00E47AB8" w:rsidRPr="008B2F8A" w14:paraId="0A81062C" w14:textId="77777777" w:rsidTr="00422306">
        <w:trPr>
          <w:cantSplit/>
        </w:trPr>
        <w:tc>
          <w:tcPr>
            <w:tcW w:w="4563" w:type="dxa"/>
            <w:tcBorders>
              <w:bottom w:val="nil"/>
            </w:tcBorders>
          </w:tcPr>
          <w:p w14:paraId="6A2586B7" w14:textId="77777777" w:rsidR="00E47AB8" w:rsidRPr="008B2F8A" w:rsidRDefault="00E47AB8" w:rsidP="008016EF">
            <w:pPr>
              <w:pStyle w:val="TableText0"/>
              <w:spacing w:before="0" w:after="0" w:line="276" w:lineRule="auto"/>
            </w:pPr>
            <w:r w:rsidRPr="008B2F8A">
              <w:t>Number of citations excluded after title/abstract review:</w:t>
            </w:r>
          </w:p>
        </w:tc>
        <w:tc>
          <w:tcPr>
            <w:tcW w:w="851" w:type="dxa"/>
            <w:tcBorders>
              <w:bottom w:val="nil"/>
            </w:tcBorders>
          </w:tcPr>
          <w:p w14:paraId="3CAE0674" w14:textId="77777777" w:rsidR="00E47AB8" w:rsidRPr="008B2F8A" w:rsidRDefault="00E47AB8" w:rsidP="00426E6B">
            <w:pPr>
              <w:pStyle w:val="TableText0"/>
              <w:spacing w:after="80"/>
              <w:ind w:right="170"/>
              <w:jc w:val="right"/>
              <w:rPr>
                <w:szCs w:val="20"/>
              </w:rPr>
            </w:pPr>
          </w:p>
        </w:tc>
        <w:tc>
          <w:tcPr>
            <w:tcW w:w="849" w:type="dxa"/>
            <w:tcBorders>
              <w:bottom w:val="nil"/>
            </w:tcBorders>
          </w:tcPr>
          <w:p w14:paraId="7B3A6029" w14:textId="77777777" w:rsidR="00E47AB8" w:rsidRPr="008B2F8A" w:rsidRDefault="00E47AB8" w:rsidP="00426E6B">
            <w:pPr>
              <w:pStyle w:val="TableText0"/>
              <w:spacing w:after="80"/>
              <w:ind w:right="170"/>
              <w:jc w:val="right"/>
              <w:rPr>
                <w:szCs w:val="20"/>
              </w:rPr>
            </w:pPr>
          </w:p>
        </w:tc>
        <w:tc>
          <w:tcPr>
            <w:tcW w:w="850" w:type="dxa"/>
            <w:tcBorders>
              <w:bottom w:val="nil"/>
            </w:tcBorders>
          </w:tcPr>
          <w:p w14:paraId="098804CD" w14:textId="77777777" w:rsidR="00E47AB8" w:rsidRPr="008B2F8A" w:rsidRDefault="00E47AB8" w:rsidP="00426E6B">
            <w:pPr>
              <w:pStyle w:val="TableText0"/>
              <w:spacing w:after="80"/>
              <w:ind w:right="170"/>
              <w:jc w:val="right"/>
              <w:rPr>
                <w:szCs w:val="20"/>
              </w:rPr>
            </w:pPr>
          </w:p>
        </w:tc>
        <w:tc>
          <w:tcPr>
            <w:tcW w:w="810" w:type="dxa"/>
            <w:tcBorders>
              <w:bottom w:val="nil"/>
            </w:tcBorders>
          </w:tcPr>
          <w:p w14:paraId="422CE259" w14:textId="77777777" w:rsidR="00E47AB8" w:rsidRPr="008B2F8A" w:rsidRDefault="00E47AB8" w:rsidP="00426E6B">
            <w:pPr>
              <w:pStyle w:val="TableText0"/>
              <w:spacing w:after="80"/>
              <w:ind w:right="170"/>
              <w:jc w:val="right"/>
              <w:rPr>
                <w:szCs w:val="20"/>
              </w:rPr>
            </w:pPr>
          </w:p>
        </w:tc>
        <w:tc>
          <w:tcPr>
            <w:tcW w:w="1147" w:type="dxa"/>
            <w:tcBorders>
              <w:bottom w:val="nil"/>
            </w:tcBorders>
          </w:tcPr>
          <w:p w14:paraId="4EF43ACF"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4F2A858A" w14:textId="77777777" w:rsidTr="00422306">
        <w:trPr>
          <w:cantSplit/>
        </w:trPr>
        <w:tc>
          <w:tcPr>
            <w:tcW w:w="4563" w:type="dxa"/>
            <w:tcBorders>
              <w:top w:val="nil"/>
              <w:bottom w:val="nil"/>
            </w:tcBorders>
          </w:tcPr>
          <w:p w14:paraId="12D679D6" w14:textId="77777777" w:rsidR="00E47AB8" w:rsidRPr="008B2F8A" w:rsidRDefault="00E47AB8" w:rsidP="00E47AB8">
            <w:pPr>
              <w:pStyle w:val="TableBullet"/>
              <w:keepNext w:val="0"/>
              <w:numPr>
                <w:ilvl w:val="0"/>
                <w:numId w:val="31"/>
              </w:numPr>
              <w:spacing w:before="0" w:after="0" w:line="276" w:lineRule="auto"/>
            </w:pPr>
            <w:r w:rsidRPr="008B2F8A">
              <w:t>duplicates</w:t>
            </w:r>
          </w:p>
        </w:tc>
        <w:tc>
          <w:tcPr>
            <w:tcW w:w="851" w:type="dxa"/>
            <w:tcBorders>
              <w:top w:val="nil"/>
              <w:bottom w:val="nil"/>
            </w:tcBorders>
          </w:tcPr>
          <w:p w14:paraId="490CD4E4" w14:textId="77777777" w:rsidR="00E47AB8" w:rsidRPr="008B2F8A" w:rsidRDefault="00E47AB8" w:rsidP="00426E6B">
            <w:pPr>
              <w:pStyle w:val="TableText0"/>
              <w:spacing w:after="80"/>
              <w:ind w:right="170"/>
              <w:jc w:val="right"/>
              <w:rPr>
                <w:szCs w:val="20"/>
              </w:rPr>
            </w:pPr>
            <w:r w:rsidRPr="008B2F8A">
              <w:rPr>
                <w:szCs w:val="20"/>
              </w:rPr>
              <w:t>6</w:t>
            </w:r>
          </w:p>
        </w:tc>
        <w:tc>
          <w:tcPr>
            <w:tcW w:w="849" w:type="dxa"/>
            <w:tcBorders>
              <w:top w:val="nil"/>
              <w:bottom w:val="nil"/>
            </w:tcBorders>
          </w:tcPr>
          <w:p w14:paraId="0C5019FB" w14:textId="77777777" w:rsidR="00E47AB8" w:rsidRPr="008B2F8A" w:rsidRDefault="00E47AB8" w:rsidP="00426E6B">
            <w:pPr>
              <w:pStyle w:val="TableText0"/>
              <w:spacing w:after="80"/>
              <w:ind w:right="170"/>
              <w:jc w:val="right"/>
              <w:rPr>
                <w:szCs w:val="20"/>
              </w:rPr>
            </w:pPr>
            <w:r w:rsidRPr="008B2F8A">
              <w:rPr>
                <w:szCs w:val="20"/>
              </w:rPr>
              <w:t>0</w:t>
            </w:r>
          </w:p>
        </w:tc>
        <w:tc>
          <w:tcPr>
            <w:tcW w:w="850" w:type="dxa"/>
            <w:tcBorders>
              <w:top w:val="nil"/>
              <w:bottom w:val="nil"/>
            </w:tcBorders>
          </w:tcPr>
          <w:p w14:paraId="78015BEA" w14:textId="77777777" w:rsidR="00E47AB8" w:rsidRPr="008B2F8A" w:rsidRDefault="00E47AB8" w:rsidP="00426E6B">
            <w:pPr>
              <w:pStyle w:val="TableText0"/>
              <w:spacing w:after="80"/>
              <w:ind w:right="170"/>
              <w:jc w:val="right"/>
              <w:rPr>
                <w:szCs w:val="20"/>
              </w:rPr>
            </w:pPr>
            <w:r w:rsidRPr="008B2F8A">
              <w:rPr>
                <w:szCs w:val="20"/>
              </w:rPr>
              <w:t>2</w:t>
            </w:r>
          </w:p>
        </w:tc>
        <w:tc>
          <w:tcPr>
            <w:tcW w:w="810" w:type="dxa"/>
            <w:tcBorders>
              <w:top w:val="nil"/>
              <w:bottom w:val="nil"/>
            </w:tcBorders>
          </w:tcPr>
          <w:p w14:paraId="673026E0" w14:textId="77777777" w:rsidR="00E47AB8" w:rsidRPr="008B2F8A" w:rsidRDefault="00E47AB8" w:rsidP="00426E6B">
            <w:pPr>
              <w:pStyle w:val="TableText0"/>
              <w:spacing w:after="80"/>
              <w:ind w:right="170"/>
              <w:jc w:val="right"/>
              <w:rPr>
                <w:szCs w:val="20"/>
              </w:rPr>
            </w:pPr>
            <w:r w:rsidRPr="00885597">
              <w:rPr>
                <w:color w:val="FFFFFF" w:themeColor="background1"/>
              </w:rPr>
              <w:t>-</w:t>
            </w:r>
          </w:p>
        </w:tc>
        <w:tc>
          <w:tcPr>
            <w:tcW w:w="1147" w:type="dxa"/>
            <w:tcBorders>
              <w:top w:val="nil"/>
              <w:bottom w:val="nil"/>
            </w:tcBorders>
          </w:tcPr>
          <w:p w14:paraId="3D505DC8"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2F6CADA7" w14:textId="77777777" w:rsidTr="00422306">
        <w:trPr>
          <w:cantSplit/>
        </w:trPr>
        <w:tc>
          <w:tcPr>
            <w:tcW w:w="4563" w:type="dxa"/>
            <w:tcBorders>
              <w:top w:val="nil"/>
              <w:bottom w:val="nil"/>
            </w:tcBorders>
          </w:tcPr>
          <w:p w14:paraId="2D51EEB4" w14:textId="0CB4C864" w:rsidR="00E47AB8" w:rsidRPr="008B2F8A" w:rsidRDefault="00E47AB8" w:rsidP="00E47AB8">
            <w:pPr>
              <w:pStyle w:val="TableBullet"/>
              <w:keepNext w:val="0"/>
              <w:numPr>
                <w:ilvl w:val="0"/>
                <w:numId w:val="31"/>
              </w:numPr>
              <w:spacing w:before="0" w:after="0" w:line="276" w:lineRule="auto"/>
            </w:pPr>
            <w:r w:rsidRPr="008B2F8A">
              <w:t>publication type (ie, editorial, non-systematic</w:t>
            </w:r>
            <w:r w:rsidRPr="008B2F8A">
              <w:br/>
              <w:t>reviews, letters, articles before 2006)</w:t>
            </w:r>
          </w:p>
        </w:tc>
        <w:tc>
          <w:tcPr>
            <w:tcW w:w="851" w:type="dxa"/>
            <w:tcBorders>
              <w:top w:val="nil"/>
              <w:bottom w:val="nil"/>
            </w:tcBorders>
          </w:tcPr>
          <w:p w14:paraId="3B3F34A0" w14:textId="77777777" w:rsidR="00E47AB8" w:rsidRPr="008B2F8A" w:rsidRDefault="00E47AB8" w:rsidP="00426E6B">
            <w:pPr>
              <w:pStyle w:val="TableText0"/>
              <w:spacing w:after="80"/>
              <w:ind w:right="170"/>
              <w:jc w:val="right"/>
              <w:rPr>
                <w:szCs w:val="20"/>
              </w:rPr>
            </w:pPr>
            <w:r w:rsidRPr="008B2F8A">
              <w:rPr>
                <w:szCs w:val="20"/>
              </w:rPr>
              <w:t>367</w:t>
            </w:r>
          </w:p>
        </w:tc>
        <w:tc>
          <w:tcPr>
            <w:tcW w:w="849" w:type="dxa"/>
            <w:tcBorders>
              <w:top w:val="nil"/>
              <w:bottom w:val="nil"/>
            </w:tcBorders>
          </w:tcPr>
          <w:p w14:paraId="02D2B1AD" w14:textId="77777777" w:rsidR="00E47AB8" w:rsidRPr="008B2F8A" w:rsidRDefault="00E47AB8" w:rsidP="00426E6B">
            <w:pPr>
              <w:pStyle w:val="TableText0"/>
              <w:spacing w:after="80"/>
              <w:ind w:right="170"/>
              <w:jc w:val="right"/>
              <w:rPr>
                <w:szCs w:val="20"/>
              </w:rPr>
            </w:pPr>
            <w:r w:rsidRPr="008B2F8A">
              <w:rPr>
                <w:szCs w:val="20"/>
              </w:rPr>
              <w:t>36</w:t>
            </w:r>
          </w:p>
        </w:tc>
        <w:tc>
          <w:tcPr>
            <w:tcW w:w="850" w:type="dxa"/>
            <w:tcBorders>
              <w:top w:val="nil"/>
              <w:bottom w:val="nil"/>
            </w:tcBorders>
          </w:tcPr>
          <w:p w14:paraId="67F6DB43" w14:textId="77777777" w:rsidR="00E47AB8" w:rsidRPr="008B2F8A" w:rsidRDefault="00E47AB8" w:rsidP="00426E6B">
            <w:pPr>
              <w:pStyle w:val="TableText0"/>
              <w:spacing w:after="80"/>
              <w:ind w:right="170"/>
              <w:jc w:val="right"/>
              <w:rPr>
                <w:szCs w:val="20"/>
              </w:rPr>
            </w:pPr>
            <w:r w:rsidRPr="008B2F8A">
              <w:rPr>
                <w:szCs w:val="20"/>
              </w:rPr>
              <w:t>18</w:t>
            </w:r>
          </w:p>
        </w:tc>
        <w:tc>
          <w:tcPr>
            <w:tcW w:w="810" w:type="dxa"/>
            <w:tcBorders>
              <w:top w:val="nil"/>
              <w:bottom w:val="nil"/>
            </w:tcBorders>
          </w:tcPr>
          <w:p w14:paraId="044699FF" w14:textId="77777777" w:rsidR="00E47AB8" w:rsidRPr="008B2F8A" w:rsidRDefault="00E47AB8" w:rsidP="00426E6B">
            <w:pPr>
              <w:pStyle w:val="TableText0"/>
              <w:spacing w:after="80"/>
              <w:ind w:right="170"/>
              <w:jc w:val="right"/>
              <w:rPr>
                <w:szCs w:val="20"/>
              </w:rPr>
            </w:pPr>
            <w:r w:rsidRPr="00885597">
              <w:rPr>
                <w:color w:val="FFFFFF" w:themeColor="background1"/>
              </w:rPr>
              <w:t>-</w:t>
            </w:r>
          </w:p>
        </w:tc>
        <w:tc>
          <w:tcPr>
            <w:tcW w:w="1147" w:type="dxa"/>
            <w:tcBorders>
              <w:top w:val="nil"/>
              <w:bottom w:val="nil"/>
            </w:tcBorders>
          </w:tcPr>
          <w:p w14:paraId="238E9166"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4F16081D" w14:textId="77777777" w:rsidTr="00422306">
        <w:trPr>
          <w:cantSplit/>
        </w:trPr>
        <w:tc>
          <w:tcPr>
            <w:tcW w:w="4563" w:type="dxa"/>
            <w:tcBorders>
              <w:top w:val="nil"/>
              <w:bottom w:val="nil"/>
            </w:tcBorders>
          </w:tcPr>
          <w:p w14:paraId="774EB0F6" w14:textId="77777777" w:rsidR="00E47AB8" w:rsidRPr="008B2F8A" w:rsidRDefault="00E47AB8" w:rsidP="00E47AB8">
            <w:pPr>
              <w:pStyle w:val="TableBullet"/>
              <w:keepNext w:val="0"/>
              <w:numPr>
                <w:ilvl w:val="0"/>
                <w:numId w:val="31"/>
              </w:numPr>
              <w:spacing w:before="0" w:after="0" w:line="276" w:lineRule="auto"/>
            </w:pPr>
            <w:r w:rsidRPr="008B2F8A">
              <w:t>wrong participant group</w:t>
            </w:r>
          </w:p>
        </w:tc>
        <w:tc>
          <w:tcPr>
            <w:tcW w:w="851" w:type="dxa"/>
            <w:tcBorders>
              <w:top w:val="nil"/>
              <w:bottom w:val="nil"/>
            </w:tcBorders>
          </w:tcPr>
          <w:p w14:paraId="20E7D0A5" w14:textId="77777777" w:rsidR="00E47AB8" w:rsidRPr="008B2F8A" w:rsidRDefault="00E47AB8" w:rsidP="00426E6B">
            <w:pPr>
              <w:pStyle w:val="TableText0"/>
              <w:spacing w:after="80"/>
              <w:ind w:right="170"/>
              <w:jc w:val="right"/>
              <w:rPr>
                <w:szCs w:val="20"/>
              </w:rPr>
            </w:pPr>
            <w:r w:rsidRPr="008B2F8A">
              <w:rPr>
                <w:szCs w:val="20"/>
              </w:rPr>
              <w:t>1360</w:t>
            </w:r>
          </w:p>
        </w:tc>
        <w:tc>
          <w:tcPr>
            <w:tcW w:w="849" w:type="dxa"/>
            <w:tcBorders>
              <w:top w:val="nil"/>
              <w:bottom w:val="nil"/>
            </w:tcBorders>
          </w:tcPr>
          <w:p w14:paraId="783C0668" w14:textId="77777777" w:rsidR="00E47AB8" w:rsidRPr="008B2F8A" w:rsidRDefault="00E47AB8" w:rsidP="00426E6B">
            <w:pPr>
              <w:pStyle w:val="TableText0"/>
              <w:spacing w:after="80"/>
              <w:ind w:right="170"/>
              <w:jc w:val="right"/>
              <w:rPr>
                <w:szCs w:val="20"/>
              </w:rPr>
            </w:pPr>
            <w:r w:rsidRPr="008B2F8A">
              <w:rPr>
                <w:szCs w:val="20"/>
              </w:rPr>
              <w:t>126</w:t>
            </w:r>
          </w:p>
        </w:tc>
        <w:tc>
          <w:tcPr>
            <w:tcW w:w="850" w:type="dxa"/>
            <w:tcBorders>
              <w:top w:val="nil"/>
              <w:bottom w:val="nil"/>
            </w:tcBorders>
          </w:tcPr>
          <w:p w14:paraId="31CEB406" w14:textId="77777777" w:rsidR="00E47AB8" w:rsidRPr="008B2F8A" w:rsidRDefault="00E47AB8" w:rsidP="00426E6B">
            <w:pPr>
              <w:pStyle w:val="TableText0"/>
              <w:spacing w:after="80"/>
              <w:ind w:right="170"/>
              <w:jc w:val="right"/>
              <w:rPr>
                <w:szCs w:val="20"/>
              </w:rPr>
            </w:pPr>
            <w:r w:rsidRPr="008B2F8A">
              <w:rPr>
                <w:szCs w:val="20"/>
              </w:rPr>
              <w:t>71</w:t>
            </w:r>
          </w:p>
        </w:tc>
        <w:tc>
          <w:tcPr>
            <w:tcW w:w="810" w:type="dxa"/>
            <w:tcBorders>
              <w:top w:val="nil"/>
              <w:bottom w:val="nil"/>
            </w:tcBorders>
          </w:tcPr>
          <w:p w14:paraId="61DD27EA" w14:textId="77777777" w:rsidR="00E47AB8" w:rsidRPr="008B2F8A" w:rsidRDefault="00E47AB8" w:rsidP="00426E6B">
            <w:pPr>
              <w:pStyle w:val="TableText0"/>
              <w:spacing w:after="80"/>
              <w:ind w:right="170"/>
              <w:jc w:val="right"/>
              <w:rPr>
                <w:szCs w:val="20"/>
              </w:rPr>
            </w:pPr>
            <w:r w:rsidRPr="00885597">
              <w:rPr>
                <w:color w:val="FFFFFF" w:themeColor="background1"/>
              </w:rPr>
              <w:t>-</w:t>
            </w:r>
          </w:p>
        </w:tc>
        <w:tc>
          <w:tcPr>
            <w:tcW w:w="1147" w:type="dxa"/>
            <w:tcBorders>
              <w:top w:val="nil"/>
              <w:bottom w:val="nil"/>
            </w:tcBorders>
          </w:tcPr>
          <w:p w14:paraId="7C511EC3"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352D2BFE" w14:textId="77777777" w:rsidTr="00422306">
        <w:trPr>
          <w:cantSplit/>
        </w:trPr>
        <w:tc>
          <w:tcPr>
            <w:tcW w:w="4563" w:type="dxa"/>
            <w:tcBorders>
              <w:top w:val="nil"/>
              <w:bottom w:val="nil"/>
            </w:tcBorders>
          </w:tcPr>
          <w:p w14:paraId="1B422252" w14:textId="77777777" w:rsidR="00E47AB8" w:rsidRPr="008B2F8A" w:rsidRDefault="00E47AB8" w:rsidP="00E47AB8">
            <w:pPr>
              <w:pStyle w:val="TableBullet"/>
              <w:keepNext w:val="0"/>
              <w:numPr>
                <w:ilvl w:val="0"/>
                <w:numId w:val="31"/>
              </w:numPr>
              <w:spacing w:before="0" w:after="0" w:line="276" w:lineRule="auto"/>
            </w:pPr>
            <w:r w:rsidRPr="008B2F8A">
              <w:t>wrong intervention</w:t>
            </w:r>
          </w:p>
        </w:tc>
        <w:tc>
          <w:tcPr>
            <w:tcW w:w="851" w:type="dxa"/>
            <w:tcBorders>
              <w:top w:val="nil"/>
              <w:bottom w:val="nil"/>
            </w:tcBorders>
          </w:tcPr>
          <w:p w14:paraId="532B58D6" w14:textId="77777777" w:rsidR="00E47AB8" w:rsidRPr="008B2F8A" w:rsidRDefault="00E47AB8" w:rsidP="00426E6B">
            <w:pPr>
              <w:pStyle w:val="TableText0"/>
              <w:spacing w:after="80"/>
              <w:ind w:right="170"/>
              <w:jc w:val="right"/>
              <w:rPr>
                <w:szCs w:val="20"/>
              </w:rPr>
            </w:pPr>
            <w:r w:rsidRPr="008B2F8A">
              <w:rPr>
                <w:szCs w:val="20"/>
              </w:rPr>
              <w:t>301</w:t>
            </w:r>
          </w:p>
        </w:tc>
        <w:tc>
          <w:tcPr>
            <w:tcW w:w="849" w:type="dxa"/>
            <w:tcBorders>
              <w:top w:val="nil"/>
              <w:bottom w:val="nil"/>
            </w:tcBorders>
          </w:tcPr>
          <w:p w14:paraId="40FBFAA9" w14:textId="77777777" w:rsidR="00E47AB8" w:rsidRPr="008B2F8A" w:rsidRDefault="00E47AB8" w:rsidP="00426E6B">
            <w:pPr>
              <w:pStyle w:val="TableText0"/>
              <w:spacing w:after="80"/>
              <w:ind w:right="170"/>
              <w:jc w:val="right"/>
              <w:rPr>
                <w:szCs w:val="20"/>
              </w:rPr>
            </w:pPr>
            <w:r w:rsidRPr="008B2F8A">
              <w:rPr>
                <w:szCs w:val="20"/>
              </w:rPr>
              <w:t>26</w:t>
            </w:r>
          </w:p>
        </w:tc>
        <w:tc>
          <w:tcPr>
            <w:tcW w:w="850" w:type="dxa"/>
            <w:tcBorders>
              <w:top w:val="nil"/>
              <w:bottom w:val="nil"/>
            </w:tcBorders>
          </w:tcPr>
          <w:p w14:paraId="1DCBF4F9" w14:textId="77777777" w:rsidR="00E47AB8" w:rsidRPr="008B2F8A" w:rsidRDefault="00E47AB8" w:rsidP="00426E6B">
            <w:pPr>
              <w:pStyle w:val="TableText0"/>
              <w:spacing w:after="80"/>
              <w:ind w:right="170"/>
              <w:jc w:val="right"/>
              <w:rPr>
                <w:szCs w:val="20"/>
              </w:rPr>
            </w:pPr>
            <w:r w:rsidRPr="008B2F8A">
              <w:rPr>
                <w:szCs w:val="20"/>
              </w:rPr>
              <w:t>29</w:t>
            </w:r>
          </w:p>
        </w:tc>
        <w:tc>
          <w:tcPr>
            <w:tcW w:w="810" w:type="dxa"/>
            <w:tcBorders>
              <w:top w:val="nil"/>
              <w:bottom w:val="nil"/>
            </w:tcBorders>
          </w:tcPr>
          <w:p w14:paraId="3481A430" w14:textId="77777777" w:rsidR="00E47AB8" w:rsidRPr="008B2F8A" w:rsidRDefault="00E47AB8" w:rsidP="00426E6B">
            <w:pPr>
              <w:pStyle w:val="TableText0"/>
              <w:spacing w:after="80"/>
              <w:ind w:right="170"/>
              <w:jc w:val="right"/>
              <w:rPr>
                <w:szCs w:val="20"/>
              </w:rPr>
            </w:pPr>
            <w:r w:rsidRPr="00885597">
              <w:rPr>
                <w:color w:val="FFFFFF" w:themeColor="background1"/>
              </w:rPr>
              <w:t>-</w:t>
            </w:r>
          </w:p>
        </w:tc>
        <w:tc>
          <w:tcPr>
            <w:tcW w:w="1147" w:type="dxa"/>
            <w:tcBorders>
              <w:top w:val="nil"/>
              <w:bottom w:val="nil"/>
            </w:tcBorders>
          </w:tcPr>
          <w:p w14:paraId="6C8493F6"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28CF0CC3" w14:textId="77777777" w:rsidTr="00422306">
        <w:trPr>
          <w:cantSplit/>
        </w:trPr>
        <w:tc>
          <w:tcPr>
            <w:tcW w:w="4563" w:type="dxa"/>
            <w:tcBorders>
              <w:top w:val="nil"/>
              <w:bottom w:val="nil"/>
            </w:tcBorders>
          </w:tcPr>
          <w:p w14:paraId="20FD9135" w14:textId="77777777" w:rsidR="00E47AB8" w:rsidRPr="008B2F8A" w:rsidRDefault="00E47AB8" w:rsidP="00E47AB8">
            <w:pPr>
              <w:pStyle w:val="TableBullet"/>
              <w:keepNext w:val="0"/>
              <w:numPr>
                <w:ilvl w:val="0"/>
                <w:numId w:val="31"/>
              </w:numPr>
              <w:spacing w:before="0" w:after="0" w:line="276" w:lineRule="auto"/>
            </w:pPr>
            <w:r w:rsidRPr="008B2F8A">
              <w:t>wrong comparator</w:t>
            </w:r>
          </w:p>
        </w:tc>
        <w:tc>
          <w:tcPr>
            <w:tcW w:w="851" w:type="dxa"/>
            <w:tcBorders>
              <w:top w:val="nil"/>
              <w:bottom w:val="nil"/>
            </w:tcBorders>
          </w:tcPr>
          <w:p w14:paraId="3AB8613E" w14:textId="77777777" w:rsidR="00E47AB8" w:rsidRPr="008B2F8A" w:rsidRDefault="00E47AB8" w:rsidP="00426E6B">
            <w:pPr>
              <w:pStyle w:val="TableText0"/>
              <w:spacing w:after="80"/>
              <w:ind w:right="170"/>
              <w:jc w:val="right"/>
              <w:rPr>
                <w:szCs w:val="20"/>
              </w:rPr>
            </w:pPr>
            <w:r w:rsidRPr="008B2F8A">
              <w:rPr>
                <w:szCs w:val="20"/>
              </w:rPr>
              <w:t>205</w:t>
            </w:r>
          </w:p>
        </w:tc>
        <w:tc>
          <w:tcPr>
            <w:tcW w:w="849" w:type="dxa"/>
            <w:tcBorders>
              <w:top w:val="nil"/>
              <w:bottom w:val="nil"/>
            </w:tcBorders>
          </w:tcPr>
          <w:p w14:paraId="4E7749D6" w14:textId="77777777" w:rsidR="00E47AB8" w:rsidRPr="008B2F8A" w:rsidRDefault="00E47AB8" w:rsidP="00426E6B">
            <w:pPr>
              <w:pStyle w:val="TableText0"/>
              <w:spacing w:after="80"/>
              <w:ind w:right="170"/>
              <w:jc w:val="right"/>
              <w:rPr>
                <w:szCs w:val="20"/>
              </w:rPr>
            </w:pPr>
            <w:r w:rsidRPr="008B2F8A">
              <w:rPr>
                <w:szCs w:val="20"/>
              </w:rPr>
              <w:t>9</w:t>
            </w:r>
          </w:p>
        </w:tc>
        <w:tc>
          <w:tcPr>
            <w:tcW w:w="850" w:type="dxa"/>
            <w:tcBorders>
              <w:top w:val="nil"/>
              <w:bottom w:val="nil"/>
            </w:tcBorders>
          </w:tcPr>
          <w:p w14:paraId="51586711" w14:textId="77777777" w:rsidR="00E47AB8" w:rsidRPr="008B2F8A" w:rsidRDefault="00E47AB8" w:rsidP="00426E6B">
            <w:pPr>
              <w:pStyle w:val="TableText0"/>
              <w:spacing w:after="80"/>
              <w:ind w:right="170"/>
              <w:jc w:val="right"/>
              <w:rPr>
                <w:szCs w:val="20"/>
              </w:rPr>
            </w:pPr>
            <w:r w:rsidRPr="008B2F8A">
              <w:rPr>
                <w:szCs w:val="20"/>
              </w:rPr>
              <w:t>14</w:t>
            </w:r>
          </w:p>
        </w:tc>
        <w:tc>
          <w:tcPr>
            <w:tcW w:w="810" w:type="dxa"/>
            <w:tcBorders>
              <w:top w:val="nil"/>
              <w:bottom w:val="nil"/>
            </w:tcBorders>
          </w:tcPr>
          <w:p w14:paraId="4776C63A" w14:textId="77777777" w:rsidR="00E47AB8" w:rsidRPr="008B2F8A" w:rsidRDefault="00E47AB8" w:rsidP="00426E6B">
            <w:pPr>
              <w:pStyle w:val="TableText0"/>
              <w:spacing w:after="80"/>
              <w:ind w:right="170"/>
              <w:jc w:val="right"/>
              <w:rPr>
                <w:szCs w:val="20"/>
              </w:rPr>
            </w:pPr>
            <w:r w:rsidRPr="00885597">
              <w:rPr>
                <w:color w:val="FFFFFF" w:themeColor="background1"/>
              </w:rPr>
              <w:t>-</w:t>
            </w:r>
          </w:p>
        </w:tc>
        <w:tc>
          <w:tcPr>
            <w:tcW w:w="1147" w:type="dxa"/>
            <w:tcBorders>
              <w:top w:val="nil"/>
              <w:bottom w:val="nil"/>
            </w:tcBorders>
          </w:tcPr>
          <w:p w14:paraId="329F6AC0"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15C5BF2C" w14:textId="77777777" w:rsidTr="00422306">
        <w:trPr>
          <w:cantSplit/>
        </w:trPr>
        <w:tc>
          <w:tcPr>
            <w:tcW w:w="4563" w:type="dxa"/>
            <w:tcBorders>
              <w:top w:val="nil"/>
              <w:bottom w:val="nil"/>
            </w:tcBorders>
          </w:tcPr>
          <w:p w14:paraId="2A29537B" w14:textId="77777777" w:rsidR="00E47AB8" w:rsidRPr="008B2F8A" w:rsidRDefault="00E47AB8" w:rsidP="00E47AB8">
            <w:pPr>
              <w:pStyle w:val="TableBullet"/>
              <w:keepNext w:val="0"/>
              <w:numPr>
                <w:ilvl w:val="0"/>
                <w:numId w:val="31"/>
              </w:numPr>
              <w:spacing w:before="0" w:after="0" w:line="276" w:lineRule="auto"/>
            </w:pPr>
            <w:r w:rsidRPr="008B2F8A">
              <w:t>did not report outcomes of interest</w:t>
            </w:r>
          </w:p>
        </w:tc>
        <w:tc>
          <w:tcPr>
            <w:tcW w:w="851" w:type="dxa"/>
            <w:tcBorders>
              <w:top w:val="nil"/>
              <w:bottom w:val="nil"/>
            </w:tcBorders>
          </w:tcPr>
          <w:p w14:paraId="0E7469D5" w14:textId="77777777" w:rsidR="00E47AB8" w:rsidRPr="008B2F8A" w:rsidRDefault="00E47AB8" w:rsidP="00426E6B">
            <w:pPr>
              <w:pStyle w:val="TableText0"/>
              <w:spacing w:after="80"/>
              <w:ind w:right="170"/>
              <w:jc w:val="right"/>
              <w:rPr>
                <w:szCs w:val="20"/>
              </w:rPr>
            </w:pPr>
            <w:r w:rsidRPr="008B2F8A">
              <w:rPr>
                <w:szCs w:val="20"/>
              </w:rPr>
              <w:t>10</w:t>
            </w:r>
          </w:p>
        </w:tc>
        <w:tc>
          <w:tcPr>
            <w:tcW w:w="849" w:type="dxa"/>
            <w:tcBorders>
              <w:top w:val="nil"/>
              <w:bottom w:val="nil"/>
            </w:tcBorders>
          </w:tcPr>
          <w:p w14:paraId="230CC32F" w14:textId="77777777" w:rsidR="00E47AB8" w:rsidRPr="008B2F8A" w:rsidRDefault="00E47AB8" w:rsidP="00426E6B">
            <w:pPr>
              <w:pStyle w:val="TableText0"/>
              <w:spacing w:after="80"/>
              <w:ind w:right="170"/>
              <w:jc w:val="right"/>
              <w:rPr>
                <w:szCs w:val="20"/>
              </w:rPr>
            </w:pPr>
            <w:r w:rsidRPr="008B2F8A">
              <w:rPr>
                <w:szCs w:val="20"/>
              </w:rPr>
              <w:t>0</w:t>
            </w:r>
          </w:p>
        </w:tc>
        <w:tc>
          <w:tcPr>
            <w:tcW w:w="850" w:type="dxa"/>
            <w:tcBorders>
              <w:top w:val="nil"/>
              <w:bottom w:val="nil"/>
            </w:tcBorders>
          </w:tcPr>
          <w:p w14:paraId="3BA89B65" w14:textId="77777777" w:rsidR="00E47AB8" w:rsidRPr="008B2F8A" w:rsidRDefault="00E47AB8" w:rsidP="00426E6B">
            <w:pPr>
              <w:pStyle w:val="TableText0"/>
              <w:spacing w:after="80"/>
              <w:ind w:right="170"/>
              <w:jc w:val="right"/>
              <w:rPr>
                <w:szCs w:val="20"/>
              </w:rPr>
            </w:pPr>
            <w:r w:rsidRPr="008B2F8A">
              <w:rPr>
                <w:szCs w:val="20"/>
              </w:rPr>
              <w:t>2</w:t>
            </w:r>
          </w:p>
        </w:tc>
        <w:tc>
          <w:tcPr>
            <w:tcW w:w="810" w:type="dxa"/>
            <w:tcBorders>
              <w:top w:val="nil"/>
              <w:bottom w:val="nil"/>
            </w:tcBorders>
          </w:tcPr>
          <w:p w14:paraId="4E5E49CE" w14:textId="77777777" w:rsidR="00E47AB8" w:rsidRPr="008B2F8A" w:rsidRDefault="00E47AB8" w:rsidP="00426E6B">
            <w:pPr>
              <w:pStyle w:val="TableText0"/>
              <w:spacing w:after="80"/>
              <w:ind w:right="170"/>
              <w:jc w:val="right"/>
              <w:rPr>
                <w:szCs w:val="20"/>
              </w:rPr>
            </w:pPr>
            <w:r w:rsidRPr="00885597">
              <w:rPr>
                <w:color w:val="FFFFFF" w:themeColor="background1"/>
              </w:rPr>
              <w:t>-</w:t>
            </w:r>
          </w:p>
        </w:tc>
        <w:tc>
          <w:tcPr>
            <w:tcW w:w="1147" w:type="dxa"/>
            <w:tcBorders>
              <w:top w:val="nil"/>
              <w:bottom w:val="nil"/>
            </w:tcBorders>
          </w:tcPr>
          <w:p w14:paraId="1242550E"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631D7704" w14:textId="77777777" w:rsidTr="00422306">
        <w:trPr>
          <w:cantSplit/>
        </w:trPr>
        <w:tc>
          <w:tcPr>
            <w:tcW w:w="4563" w:type="dxa"/>
            <w:tcBorders>
              <w:top w:val="nil"/>
              <w:bottom w:val="nil"/>
            </w:tcBorders>
          </w:tcPr>
          <w:p w14:paraId="5E43C097" w14:textId="77777777" w:rsidR="00E47AB8" w:rsidRPr="008B2F8A" w:rsidRDefault="00E47AB8" w:rsidP="00E47AB8">
            <w:pPr>
              <w:pStyle w:val="TableText0"/>
              <w:keepNext w:val="0"/>
              <w:numPr>
                <w:ilvl w:val="0"/>
                <w:numId w:val="31"/>
              </w:numPr>
              <w:spacing w:before="0" w:after="0" w:line="276" w:lineRule="auto"/>
            </w:pPr>
            <w:r w:rsidRPr="008B2F8A">
              <w:t>non-English article</w:t>
            </w:r>
          </w:p>
        </w:tc>
        <w:tc>
          <w:tcPr>
            <w:tcW w:w="851" w:type="dxa"/>
            <w:tcBorders>
              <w:top w:val="nil"/>
              <w:bottom w:val="nil"/>
            </w:tcBorders>
          </w:tcPr>
          <w:p w14:paraId="6840573D" w14:textId="77777777" w:rsidR="00E47AB8" w:rsidRPr="008B2F8A" w:rsidRDefault="00E47AB8" w:rsidP="00426E6B">
            <w:pPr>
              <w:pStyle w:val="TableText0"/>
              <w:spacing w:after="80"/>
              <w:ind w:right="170"/>
              <w:jc w:val="right"/>
              <w:rPr>
                <w:szCs w:val="20"/>
              </w:rPr>
            </w:pPr>
            <w:r w:rsidRPr="008B2F8A">
              <w:rPr>
                <w:szCs w:val="20"/>
              </w:rPr>
              <w:t>1</w:t>
            </w:r>
          </w:p>
        </w:tc>
        <w:tc>
          <w:tcPr>
            <w:tcW w:w="849" w:type="dxa"/>
            <w:tcBorders>
              <w:top w:val="nil"/>
              <w:bottom w:val="nil"/>
            </w:tcBorders>
          </w:tcPr>
          <w:p w14:paraId="075FBF11" w14:textId="77777777" w:rsidR="00E47AB8" w:rsidRPr="008B2F8A" w:rsidRDefault="00E47AB8" w:rsidP="00426E6B">
            <w:pPr>
              <w:pStyle w:val="TableText0"/>
              <w:spacing w:after="80"/>
              <w:ind w:right="170"/>
              <w:jc w:val="right"/>
              <w:rPr>
                <w:szCs w:val="20"/>
              </w:rPr>
            </w:pPr>
            <w:r w:rsidRPr="008B2F8A">
              <w:rPr>
                <w:szCs w:val="20"/>
              </w:rPr>
              <w:t>0</w:t>
            </w:r>
          </w:p>
        </w:tc>
        <w:tc>
          <w:tcPr>
            <w:tcW w:w="850" w:type="dxa"/>
            <w:tcBorders>
              <w:top w:val="nil"/>
              <w:bottom w:val="nil"/>
            </w:tcBorders>
          </w:tcPr>
          <w:p w14:paraId="7F31A4F9" w14:textId="77777777" w:rsidR="00E47AB8" w:rsidRPr="008B2F8A" w:rsidRDefault="00E47AB8" w:rsidP="00426E6B">
            <w:pPr>
              <w:pStyle w:val="TableText0"/>
              <w:spacing w:after="80"/>
              <w:ind w:right="170"/>
              <w:jc w:val="right"/>
              <w:rPr>
                <w:szCs w:val="20"/>
              </w:rPr>
            </w:pPr>
            <w:r w:rsidRPr="008B2F8A">
              <w:rPr>
                <w:szCs w:val="20"/>
              </w:rPr>
              <w:t>2</w:t>
            </w:r>
          </w:p>
        </w:tc>
        <w:tc>
          <w:tcPr>
            <w:tcW w:w="810" w:type="dxa"/>
            <w:tcBorders>
              <w:top w:val="nil"/>
              <w:bottom w:val="nil"/>
            </w:tcBorders>
          </w:tcPr>
          <w:p w14:paraId="2E92CE55" w14:textId="77777777" w:rsidR="00E47AB8" w:rsidRPr="008B2F8A" w:rsidRDefault="00E47AB8" w:rsidP="00426E6B">
            <w:pPr>
              <w:pStyle w:val="TableText0"/>
              <w:spacing w:after="80"/>
              <w:ind w:right="170"/>
              <w:jc w:val="right"/>
              <w:rPr>
                <w:szCs w:val="20"/>
              </w:rPr>
            </w:pPr>
            <w:r w:rsidRPr="00885597">
              <w:rPr>
                <w:color w:val="FFFFFF" w:themeColor="background1"/>
              </w:rPr>
              <w:t>-</w:t>
            </w:r>
          </w:p>
        </w:tc>
        <w:tc>
          <w:tcPr>
            <w:tcW w:w="1147" w:type="dxa"/>
            <w:tcBorders>
              <w:top w:val="nil"/>
              <w:bottom w:val="nil"/>
            </w:tcBorders>
          </w:tcPr>
          <w:p w14:paraId="51025FAE"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5AEEB5D7" w14:textId="77777777" w:rsidTr="00422306">
        <w:trPr>
          <w:cantSplit/>
        </w:trPr>
        <w:tc>
          <w:tcPr>
            <w:tcW w:w="4563" w:type="dxa"/>
            <w:tcBorders>
              <w:top w:val="nil"/>
              <w:bottom w:val="nil"/>
            </w:tcBorders>
          </w:tcPr>
          <w:p w14:paraId="7C6BC85D" w14:textId="77777777" w:rsidR="00E47AB8" w:rsidRPr="008B2F8A" w:rsidRDefault="00E47AB8" w:rsidP="00422306">
            <w:pPr>
              <w:pStyle w:val="TableText0"/>
              <w:keepNext w:val="0"/>
              <w:spacing w:before="0" w:after="0" w:line="276" w:lineRule="auto"/>
            </w:pPr>
            <w:r w:rsidRPr="008B2F8A">
              <w:t>Total excluded</w:t>
            </w:r>
          </w:p>
        </w:tc>
        <w:tc>
          <w:tcPr>
            <w:tcW w:w="851" w:type="dxa"/>
            <w:tcBorders>
              <w:top w:val="nil"/>
              <w:bottom w:val="nil"/>
            </w:tcBorders>
          </w:tcPr>
          <w:p w14:paraId="4DF297E9" w14:textId="77777777" w:rsidR="00E47AB8" w:rsidRPr="008B2F8A" w:rsidRDefault="00E47AB8" w:rsidP="00426E6B">
            <w:pPr>
              <w:pStyle w:val="TableText0"/>
              <w:spacing w:after="80"/>
              <w:ind w:right="170"/>
              <w:jc w:val="right"/>
              <w:rPr>
                <w:szCs w:val="20"/>
              </w:rPr>
            </w:pPr>
            <w:r w:rsidRPr="008B2F8A">
              <w:rPr>
                <w:szCs w:val="20"/>
              </w:rPr>
              <w:t>2250</w:t>
            </w:r>
          </w:p>
        </w:tc>
        <w:tc>
          <w:tcPr>
            <w:tcW w:w="849" w:type="dxa"/>
            <w:tcBorders>
              <w:top w:val="nil"/>
              <w:bottom w:val="nil"/>
            </w:tcBorders>
          </w:tcPr>
          <w:p w14:paraId="6EBAB6DC" w14:textId="77777777" w:rsidR="00E47AB8" w:rsidRPr="008B2F8A" w:rsidRDefault="00E47AB8" w:rsidP="00426E6B">
            <w:pPr>
              <w:pStyle w:val="TableText0"/>
              <w:spacing w:after="80"/>
              <w:ind w:right="170"/>
              <w:jc w:val="right"/>
              <w:rPr>
                <w:szCs w:val="20"/>
              </w:rPr>
            </w:pPr>
            <w:r w:rsidRPr="008B2F8A">
              <w:rPr>
                <w:szCs w:val="20"/>
              </w:rPr>
              <w:t>197</w:t>
            </w:r>
          </w:p>
        </w:tc>
        <w:tc>
          <w:tcPr>
            <w:tcW w:w="850" w:type="dxa"/>
            <w:tcBorders>
              <w:top w:val="nil"/>
              <w:bottom w:val="nil"/>
            </w:tcBorders>
          </w:tcPr>
          <w:p w14:paraId="0C06015F" w14:textId="77777777" w:rsidR="00E47AB8" w:rsidRPr="008B2F8A" w:rsidRDefault="00E47AB8" w:rsidP="00426E6B">
            <w:pPr>
              <w:pStyle w:val="TableText0"/>
              <w:spacing w:after="80"/>
              <w:ind w:right="170"/>
              <w:jc w:val="right"/>
              <w:rPr>
                <w:szCs w:val="20"/>
              </w:rPr>
            </w:pPr>
            <w:r w:rsidRPr="008B2F8A">
              <w:rPr>
                <w:szCs w:val="20"/>
              </w:rPr>
              <w:t>138</w:t>
            </w:r>
          </w:p>
        </w:tc>
        <w:tc>
          <w:tcPr>
            <w:tcW w:w="810" w:type="dxa"/>
            <w:tcBorders>
              <w:top w:val="nil"/>
              <w:bottom w:val="nil"/>
            </w:tcBorders>
          </w:tcPr>
          <w:p w14:paraId="5D6F5F45" w14:textId="77777777" w:rsidR="00E47AB8" w:rsidRPr="008B2F8A" w:rsidRDefault="00E47AB8" w:rsidP="00426E6B">
            <w:pPr>
              <w:pStyle w:val="TableText0"/>
              <w:spacing w:after="80"/>
              <w:ind w:right="170"/>
              <w:jc w:val="right"/>
              <w:rPr>
                <w:szCs w:val="20"/>
              </w:rPr>
            </w:pPr>
            <w:r w:rsidRPr="008B2F8A">
              <w:rPr>
                <w:szCs w:val="20"/>
              </w:rPr>
              <w:t>108</w:t>
            </w:r>
          </w:p>
        </w:tc>
        <w:tc>
          <w:tcPr>
            <w:tcW w:w="1147" w:type="dxa"/>
            <w:tcBorders>
              <w:top w:val="nil"/>
              <w:bottom w:val="nil"/>
            </w:tcBorders>
          </w:tcPr>
          <w:p w14:paraId="14A6B808" w14:textId="77777777" w:rsidR="00E47AB8" w:rsidRPr="008B2F8A" w:rsidRDefault="00E47AB8" w:rsidP="00426E6B">
            <w:pPr>
              <w:pStyle w:val="TableText0"/>
              <w:spacing w:after="80"/>
              <w:ind w:right="170"/>
              <w:jc w:val="right"/>
              <w:rPr>
                <w:szCs w:val="20"/>
              </w:rPr>
            </w:pPr>
            <w:r w:rsidRPr="00532480">
              <w:rPr>
                <w:color w:val="FFFFFF" w:themeColor="background1"/>
              </w:rPr>
              <w:t>-</w:t>
            </w:r>
          </w:p>
        </w:tc>
      </w:tr>
      <w:tr w:rsidR="00E47AB8" w:rsidRPr="008B2F8A" w14:paraId="724B0849" w14:textId="77777777" w:rsidTr="00422306">
        <w:trPr>
          <w:cantSplit/>
        </w:trPr>
        <w:tc>
          <w:tcPr>
            <w:tcW w:w="4563" w:type="dxa"/>
            <w:tcBorders>
              <w:top w:val="nil"/>
            </w:tcBorders>
          </w:tcPr>
          <w:p w14:paraId="12C2D605" w14:textId="77777777" w:rsidR="00E47AB8" w:rsidRPr="008B2F8A" w:rsidRDefault="00E47AB8" w:rsidP="00422306">
            <w:pPr>
              <w:pStyle w:val="TableText0"/>
              <w:keepNext w:val="0"/>
              <w:spacing w:before="0" w:after="0" w:line="276" w:lineRule="auto"/>
            </w:pPr>
            <w:r w:rsidRPr="008B2F8A">
              <w:rPr>
                <w:b/>
              </w:rPr>
              <w:t>No. of citations potentially relevant</w:t>
            </w:r>
          </w:p>
        </w:tc>
        <w:tc>
          <w:tcPr>
            <w:tcW w:w="851" w:type="dxa"/>
            <w:tcBorders>
              <w:top w:val="nil"/>
            </w:tcBorders>
          </w:tcPr>
          <w:p w14:paraId="57993A48" w14:textId="77777777" w:rsidR="00E47AB8" w:rsidRPr="008B2F8A" w:rsidRDefault="00E47AB8" w:rsidP="00426E6B">
            <w:pPr>
              <w:pStyle w:val="TableText0"/>
              <w:spacing w:after="80"/>
              <w:ind w:right="170"/>
              <w:jc w:val="right"/>
              <w:rPr>
                <w:b/>
                <w:szCs w:val="20"/>
              </w:rPr>
            </w:pPr>
            <w:r w:rsidRPr="008B2F8A">
              <w:rPr>
                <w:b/>
                <w:szCs w:val="20"/>
              </w:rPr>
              <w:t>132</w:t>
            </w:r>
          </w:p>
        </w:tc>
        <w:tc>
          <w:tcPr>
            <w:tcW w:w="849" w:type="dxa"/>
            <w:tcBorders>
              <w:top w:val="nil"/>
            </w:tcBorders>
          </w:tcPr>
          <w:p w14:paraId="2C5DCC66" w14:textId="77777777" w:rsidR="00E47AB8" w:rsidRPr="008B2F8A" w:rsidRDefault="00E47AB8" w:rsidP="00426E6B">
            <w:pPr>
              <w:pStyle w:val="TableText0"/>
              <w:spacing w:after="80"/>
              <w:ind w:right="170"/>
              <w:jc w:val="right"/>
              <w:rPr>
                <w:b/>
                <w:szCs w:val="20"/>
              </w:rPr>
            </w:pPr>
            <w:r w:rsidRPr="008B2F8A">
              <w:rPr>
                <w:b/>
                <w:szCs w:val="20"/>
              </w:rPr>
              <w:t>25</w:t>
            </w:r>
          </w:p>
        </w:tc>
        <w:tc>
          <w:tcPr>
            <w:tcW w:w="850" w:type="dxa"/>
            <w:tcBorders>
              <w:top w:val="nil"/>
            </w:tcBorders>
          </w:tcPr>
          <w:p w14:paraId="257742A4" w14:textId="77777777" w:rsidR="00E47AB8" w:rsidRPr="008B2F8A" w:rsidRDefault="00E47AB8" w:rsidP="00426E6B">
            <w:pPr>
              <w:pStyle w:val="TableText0"/>
              <w:spacing w:after="80"/>
              <w:ind w:right="170"/>
              <w:jc w:val="right"/>
              <w:rPr>
                <w:b/>
                <w:szCs w:val="20"/>
              </w:rPr>
            </w:pPr>
            <w:r w:rsidRPr="008B2F8A">
              <w:rPr>
                <w:b/>
                <w:szCs w:val="20"/>
              </w:rPr>
              <w:t>36</w:t>
            </w:r>
          </w:p>
        </w:tc>
        <w:tc>
          <w:tcPr>
            <w:tcW w:w="810" w:type="dxa"/>
            <w:tcBorders>
              <w:top w:val="nil"/>
            </w:tcBorders>
          </w:tcPr>
          <w:p w14:paraId="6B446265" w14:textId="77777777" w:rsidR="00E47AB8" w:rsidRPr="008B2F8A" w:rsidRDefault="00E47AB8" w:rsidP="00426E6B">
            <w:pPr>
              <w:pStyle w:val="TableText0"/>
              <w:spacing w:after="80"/>
              <w:ind w:right="170"/>
              <w:jc w:val="right"/>
              <w:rPr>
                <w:b/>
                <w:szCs w:val="20"/>
              </w:rPr>
            </w:pPr>
            <w:r w:rsidRPr="008B2F8A">
              <w:rPr>
                <w:b/>
                <w:szCs w:val="20"/>
              </w:rPr>
              <w:t>12</w:t>
            </w:r>
          </w:p>
        </w:tc>
        <w:tc>
          <w:tcPr>
            <w:tcW w:w="1147" w:type="dxa"/>
            <w:tcBorders>
              <w:top w:val="nil"/>
            </w:tcBorders>
          </w:tcPr>
          <w:p w14:paraId="397FAE35" w14:textId="77777777" w:rsidR="00E47AB8" w:rsidRPr="008B2F8A" w:rsidRDefault="00E47AB8" w:rsidP="00426E6B">
            <w:pPr>
              <w:pStyle w:val="TableText0"/>
              <w:spacing w:after="80"/>
              <w:ind w:right="170"/>
              <w:jc w:val="right"/>
              <w:rPr>
                <w:b/>
                <w:szCs w:val="20"/>
              </w:rPr>
            </w:pPr>
            <w:r w:rsidRPr="00532480">
              <w:rPr>
                <w:color w:val="FFFFFF" w:themeColor="background1"/>
              </w:rPr>
              <w:t>-</w:t>
            </w:r>
          </w:p>
        </w:tc>
      </w:tr>
      <w:tr w:rsidR="00E47AB8" w:rsidRPr="008B2F8A" w14:paraId="686174B2" w14:textId="77777777" w:rsidTr="00422306">
        <w:trPr>
          <w:cantSplit/>
        </w:trPr>
        <w:tc>
          <w:tcPr>
            <w:tcW w:w="4563" w:type="dxa"/>
          </w:tcPr>
          <w:p w14:paraId="4389BAFA" w14:textId="6D7A5528" w:rsidR="00E47AB8" w:rsidRPr="008B2F8A" w:rsidRDefault="00E47AB8" w:rsidP="00422306">
            <w:pPr>
              <w:pStyle w:val="TableText0"/>
              <w:keepNext w:val="0"/>
              <w:spacing w:before="0" w:after="0" w:line="276" w:lineRule="auto"/>
            </w:pPr>
            <w:r w:rsidRPr="008B2F8A">
              <w:t>Number of duplicates across EMBASE.com, PreMEDLINE and the Cochrane Library</w:t>
            </w:r>
          </w:p>
        </w:tc>
        <w:tc>
          <w:tcPr>
            <w:tcW w:w="851" w:type="dxa"/>
          </w:tcPr>
          <w:p w14:paraId="15D6D660" w14:textId="0921C177" w:rsidR="00E47AB8" w:rsidRPr="008B2F8A" w:rsidRDefault="00E47AB8" w:rsidP="00426E6B">
            <w:pPr>
              <w:pStyle w:val="TableText0"/>
              <w:spacing w:after="80"/>
              <w:ind w:right="170"/>
              <w:jc w:val="right"/>
              <w:rPr>
                <w:szCs w:val="20"/>
              </w:rPr>
            </w:pPr>
            <w:r w:rsidRPr="007B6374">
              <w:rPr>
                <w:color w:val="FFFFFF" w:themeColor="background1"/>
              </w:rPr>
              <w:t>-</w:t>
            </w:r>
          </w:p>
        </w:tc>
        <w:tc>
          <w:tcPr>
            <w:tcW w:w="849" w:type="dxa"/>
          </w:tcPr>
          <w:p w14:paraId="6DEAD446" w14:textId="6F07B54A" w:rsidR="00E47AB8" w:rsidRPr="008B2F8A" w:rsidRDefault="00E47AB8" w:rsidP="00426E6B">
            <w:pPr>
              <w:pStyle w:val="TableText0"/>
              <w:spacing w:after="80"/>
              <w:ind w:right="170"/>
              <w:jc w:val="right"/>
              <w:rPr>
                <w:szCs w:val="20"/>
              </w:rPr>
            </w:pPr>
            <w:r w:rsidRPr="007B6374">
              <w:rPr>
                <w:color w:val="FFFFFF" w:themeColor="background1"/>
              </w:rPr>
              <w:t>-</w:t>
            </w:r>
          </w:p>
        </w:tc>
        <w:tc>
          <w:tcPr>
            <w:tcW w:w="850" w:type="dxa"/>
          </w:tcPr>
          <w:p w14:paraId="64DE727F" w14:textId="15C2C787" w:rsidR="00E47AB8" w:rsidRPr="008B2F8A" w:rsidRDefault="00E47AB8" w:rsidP="00426E6B">
            <w:pPr>
              <w:pStyle w:val="TableText0"/>
              <w:spacing w:after="80"/>
              <w:ind w:right="170"/>
              <w:jc w:val="right"/>
              <w:rPr>
                <w:szCs w:val="20"/>
              </w:rPr>
            </w:pPr>
            <w:r w:rsidRPr="007B6374">
              <w:rPr>
                <w:color w:val="FFFFFF" w:themeColor="background1"/>
              </w:rPr>
              <w:t>-</w:t>
            </w:r>
          </w:p>
        </w:tc>
        <w:tc>
          <w:tcPr>
            <w:tcW w:w="810" w:type="dxa"/>
          </w:tcPr>
          <w:p w14:paraId="44DB4FB9" w14:textId="6C6D523E" w:rsidR="00E47AB8" w:rsidRPr="008B2F8A" w:rsidRDefault="00E47AB8" w:rsidP="00426E6B">
            <w:pPr>
              <w:pStyle w:val="TableText0"/>
              <w:spacing w:after="80"/>
              <w:ind w:right="170"/>
              <w:jc w:val="right"/>
              <w:rPr>
                <w:szCs w:val="20"/>
              </w:rPr>
            </w:pPr>
            <w:r w:rsidRPr="007B6374">
              <w:rPr>
                <w:color w:val="FFFFFF" w:themeColor="background1"/>
              </w:rPr>
              <w:t>-</w:t>
            </w:r>
          </w:p>
        </w:tc>
        <w:tc>
          <w:tcPr>
            <w:tcW w:w="1147" w:type="dxa"/>
          </w:tcPr>
          <w:p w14:paraId="2C8E4107" w14:textId="77777777" w:rsidR="00E47AB8" w:rsidRPr="008B2F8A" w:rsidRDefault="00E47AB8" w:rsidP="00426E6B">
            <w:pPr>
              <w:pStyle w:val="TableText0"/>
              <w:spacing w:after="80"/>
              <w:ind w:right="170"/>
              <w:jc w:val="right"/>
              <w:rPr>
                <w:szCs w:val="20"/>
              </w:rPr>
            </w:pPr>
            <w:r w:rsidRPr="008B2F8A">
              <w:rPr>
                <w:szCs w:val="20"/>
              </w:rPr>
              <w:t>17</w:t>
            </w:r>
          </w:p>
        </w:tc>
      </w:tr>
      <w:tr w:rsidR="00E47AB8" w:rsidRPr="008B2F8A" w14:paraId="731BA4E2" w14:textId="77777777" w:rsidTr="00422306">
        <w:trPr>
          <w:cantSplit/>
        </w:trPr>
        <w:tc>
          <w:tcPr>
            <w:tcW w:w="4563" w:type="dxa"/>
            <w:tcBorders>
              <w:bottom w:val="nil"/>
            </w:tcBorders>
          </w:tcPr>
          <w:p w14:paraId="7DC6B19E" w14:textId="38F90A50" w:rsidR="00E47AB8" w:rsidRPr="008B2F8A" w:rsidRDefault="00E47AB8" w:rsidP="00422306">
            <w:pPr>
              <w:pStyle w:val="TableText0"/>
              <w:keepNext w:val="0"/>
              <w:spacing w:before="0" w:after="0" w:line="276" w:lineRule="auto"/>
            </w:pPr>
            <w:r w:rsidRPr="008B2F8A">
              <w:t>No. of citations direct from ‘additional high-risk group’ searches</w:t>
            </w:r>
          </w:p>
        </w:tc>
        <w:tc>
          <w:tcPr>
            <w:tcW w:w="851" w:type="dxa"/>
          </w:tcPr>
          <w:p w14:paraId="4A98FC40" w14:textId="450D6738" w:rsidR="00E47AB8" w:rsidRPr="008B2F8A" w:rsidRDefault="00E47AB8" w:rsidP="00426E6B">
            <w:pPr>
              <w:pStyle w:val="TableText0"/>
              <w:spacing w:after="80"/>
              <w:ind w:right="170"/>
              <w:jc w:val="right"/>
              <w:rPr>
                <w:szCs w:val="20"/>
              </w:rPr>
            </w:pPr>
            <w:r w:rsidRPr="007B6374">
              <w:rPr>
                <w:color w:val="FFFFFF" w:themeColor="background1"/>
              </w:rPr>
              <w:t>-</w:t>
            </w:r>
          </w:p>
        </w:tc>
        <w:tc>
          <w:tcPr>
            <w:tcW w:w="849" w:type="dxa"/>
          </w:tcPr>
          <w:p w14:paraId="6A11F4D8" w14:textId="2E3DA61D" w:rsidR="00E47AB8" w:rsidRPr="008B2F8A" w:rsidRDefault="00E47AB8" w:rsidP="00426E6B">
            <w:pPr>
              <w:pStyle w:val="TableText0"/>
              <w:spacing w:after="80"/>
              <w:ind w:right="170"/>
              <w:jc w:val="right"/>
              <w:rPr>
                <w:szCs w:val="20"/>
              </w:rPr>
            </w:pPr>
            <w:r w:rsidRPr="007B6374">
              <w:rPr>
                <w:color w:val="FFFFFF" w:themeColor="background1"/>
              </w:rPr>
              <w:t>-</w:t>
            </w:r>
          </w:p>
        </w:tc>
        <w:tc>
          <w:tcPr>
            <w:tcW w:w="850" w:type="dxa"/>
          </w:tcPr>
          <w:p w14:paraId="4DEAFB41" w14:textId="0E1A670D" w:rsidR="00E47AB8" w:rsidRPr="008B2F8A" w:rsidRDefault="00E47AB8" w:rsidP="00426E6B">
            <w:pPr>
              <w:pStyle w:val="TableText0"/>
              <w:spacing w:after="80"/>
              <w:ind w:right="170"/>
              <w:jc w:val="right"/>
              <w:rPr>
                <w:szCs w:val="20"/>
              </w:rPr>
            </w:pPr>
            <w:r w:rsidRPr="007B6374">
              <w:rPr>
                <w:color w:val="FFFFFF" w:themeColor="background1"/>
              </w:rPr>
              <w:t>-</w:t>
            </w:r>
          </w:p>
        </w:tc>
        <w:tc>
          <w:tcPr>
            <w:tcW w:w="810" w:type="dxa"/>
            <w:tcBorders>
              <w:bottom w:val="nil"/>
            </w:tcBorders>
          </w:tcPr>
          <w:p w14:paraId="4AB5BEF6" w14:textId="25F02043" w:rsidR="00E47AB8" w:rsidRPr="008B2F8A" w:rsidRDefault="00E47AB8" w:rsidP="00426E6B">
            <w:pPr>
              <w:pStyle w:val="TableText0"/>
              <w:spacing w:after="80"/>
              <w:ind w:right="170"/>
              <w:jc w:val="right"/>
              <w:rPr>
                <w:szCs w:val="20"/>
              </w:rPr>
            </w:pPr>
            <w:r w:rsidRPr="007B6374">
              <w:rPr>
                <w:color w:val="FFFFFF" w:themeColor="background1"/>
              </w:rPr>
              <w:t>-</w:t>
            </w:r>
          </w:p>
        </w:tc>
        <w:tc>
          <w:tcPr>
            <w:tcW w:w="1147" w:type="dxa"/>
            <w:tcBorders>
              <w:bottom w:val="nil"/>
            </w:tcBorders>
          </w:tcPr>
          <w:p w14:paraId="396BAEBF" w14:textId="77777777" w:rsidR="00E47AB8" w:rsidRPr="008B2F8A" w:rsidRDefault="00E47AB8" w:rsidP="00426E6B">
            <w:pPr>
              <w:pStyle w:val="TableText0"/>
              <w:spacing w:after="80"/>
              <w:ind w:right="170"/>
              <w:jc w:val="right"/>
              <w:rPr>
                <w:szCs w:val="20"/>
              </w:rPr>
            </w:pPr>
            <w:r w:rsidRPr="008B2F8A">
              <w:rPr>
                <w:szCs w:val="20"/>
              </w:rPr>
              <w:t>24</w:t>
            </w:r>
          </w:p>
        </w:tc>
      </w:tr>
      <w:tr w:rsidR="00E47AB8" w:rsidRPr="008B2F8A" w14:paraId="46D53BC6" w14:textId="77777777" w:rsidTr="00422306">
        <w:trPr>
          <w:cantSplit/>
        </w:trPr>
        <w:tc>
          <w:tcPr>
            <w:tcW w:w="4563" w:type="dxa"/>
            <w:tcBorders>
              <w:top w:val="single" w:sz="4" w:space="0" w:color="auto"/>
              <w:left w:val="single" w:sz="4" w:space="0" w:color="auto"/>
              <w:bottom w:val="nil"/>
            </w:tcBorders>
          </w:tcPr>
          <w:p w14:paraId="06916798" w14:textId="77777777" w:rsidR="00E47AB8" w:rsidRPr="008B2F8A" w:rsidRDefault="00E47AB8" w:rsidP="00422306">
            <w:pPr>
              <w:pStyle w:val="TableText0"/>
              <w:keepNext w:val="0"/>
              <w:spacing w:before="0" w:after="0" w:line="276" w:lineRule="auto"/>
              <w:rPr>
                <w:b/>
              </w:rPr>
            </w:pPr>
            <w:r w:rsidRPr="008B2F8A">
              <w:rPr>
                <w:b/>
              </w:rPr>
              <w:t>Total no. of citations potentially relevant</w:t>
            </w:r>
          </w:p>
        </w:tc>
        <w:tc>
          <w:tcPr>
            <w:tcW w:w="851" w:type="dxa"/>
            <w:tcBorders>
              <w:bottom w:val="nil"/>
            </w:tcBorders>
          </w:tcPr>
          <w:p w14:paraId="133FDE81" w14:textId="08126935" w:rsidR="00E47AB8" w:rsidRPr="008B2F8A" w:rsidRDefault="00E47AB8" w:rsidP="00426E6B">
            <w:pPr>
              <w:pStyle w:val="TableText0"/>
              <w:spacing w:after="80"/>
              <w:ind w:right="170"/>
              <w:jc w:val="right"/>
              <w:rPr>
                <w:b/>
                <w:szCs w:val="20"/>
              </w:rPr>
            </w:pPr>
            <w:r w:rsidRPr="007B6374">
              <w:rPr>
                <w:color w:val="FFFFFF" w:themeColor="background1"/>
              </w:rPr>
              <w:t>-</w:t>
            </w:r>
          </w:p>
        </w:tc>
        <w:tc>
          <w:tcPr>
            <w:tcW w:w="849" w:type="dxa"/>
            <w:tcBorders>
              <w:bottom w:val="nil"/>
            </w:tcBorders>
          </w:tcPr>
          <w:p w14:paraId="1447BBC1" w14:textId="455AD8F1" w:rsidR="00E47AB8" w:rsidRPr="008B2F8A" w:rsidRDefault="00E47AB8" w:rsidP="00426E6B">
            <w:pPr>
              <w:pStyle w:val="TableText0"/>
              <w:spacing w:after="80"/>
              <w:ind w:right="170"/>
              <w:jc w:val="right"/>
              <w:rPr>
                <w:b/>
                <w:szCs w:val="20"/>
              </w:rPr>
            </w:pPr>
            <w:r w:rsidRPr="007B6374">
              <w:rPr>
                <w:color w:val="FFFFFF" w:themeColor="background1"/>
              </w:rPr>
              <w:t>-</w:t>
            </w:r>
          </w:p>
        </w:tc>
        <w:tc>
          <w:tcPr>
            <w:tcW w:w="850" w:type="dxa"/>
            <w:tcBorders>
              <w:bottom w:val="nil"/>
            </w:tcBorders>
          </w:tcPr>
          <w:p w14:paraId="1EFA9A21" w14:textId="4941625A" w:rsidR="00E47AB8" w:rsidRPr="008B2F8A" w:rsidRDefault="00E47AB8" w:rsidP="00426E6B">
            <w:pPr>
              <w:pStyle w:val="TableText0"/>
              <w:spacing w:after="80"/>
              <w:ind w:right="170"/>
              <w:jc w:val="right"/>
              <w:rPr>
                <w:b/>
                <w:szCs w:val="20"/>
              </w:rPr>
            </w:pPr>
            <w:r w:rsidRPr="007B6374">
              <w:rPr>
                <w:color w:val="FFFFFF" w:themeColor="background1"/>
              </w:rPr>
              <w:t>-</w:t>
            </w:r>
          </w:p>
        </w:tc>
        <w:tc>
          <w:tcPr>
            <w:tcW w:w="810" w:type="dxa"/>
            <w:tcBorders>
              <w:top w:val="single" w:sz="4" w:space="0" w:color="auto"/>
              <w:bottom w:val="nil"/>
              <w:right w:val="single" w:sz="4" w:space="0" w:color="auto"/>
            </w:tcBorders>
          </w:tcPr>
          <w:p w14:paraId="0EF7B49D" w14:textId="6C66F780" w:rsidR="00E47AB8" w:rsidRPr="008B2F8A" w:rsidRDefault="00E47AB8" w:rsidP="00426E6B">
            <w:pPr>
              <w:pStyle w:val="TableText0"/>
              <w:spacing w:after="80"/>
              <w:ind w:right="170"/>
              <w:jc w:val="right"/>
              <w:rPr>
                <w:b/>
                <w:szCs w:val="20"/>
              </w:rPr>
            </w:pPr>
            <w:r w:rsidRPr="007B6374">
              <w:rPr>
                <w:color w:val="FFFFFF" w:themeColor="background1"/>
              </w:rPr>
              <w:t>-</w:t>
            </w:r>
          </w:p>
        </w:tc>
        <w:tc>
          <w:tcPr>
            <w:tcW w:w="1147" w:type="dxa"/>
            <w:tcBorders>
              <w:top w:val="single" w:sz="4" w:space="0" w:color="auto"/>
              <w:left w:val="single" w:sz="4" w:space="0" w:color="auto"/>
              <w:bottom w:val="nil"/>
              <w:right w:val="single" w:sz="4" w:space="0" w:color="auto"/>
            </w:tcBorders>
          </w:tcPr>
          <w:p w14:paraId="4FD8AF98" w14:textId="77777777" w:rsidR="00E47AB8" w:rsidRPr="008B2F8A" w:rsidRDefault="00E47AB8" w:rsidP="00426E6B">
            <w:pPr>
              <w:pStyle w:val="TableText0"/>
              <w:spacing w:after="80"/>
              <w:ind w:right="170"/>
              <w:jc w:val="right"/>
              <w:rPr>
                <w:b/>
                <w:szCs w:val="20"/>
              </w:rPr>
            </w:pPr>
            <w:r w:rsidRPr="008B2F8A">
              <w:rPr>
                <w:b/>
                <w:szCs w:val="20"/>
              </w:rPr>
              <w:t>212</w:t>
            </w:r>
          </w:p>
        </w:tc>
      </w:tr>
      <w:tr w:rsidR="00E47AB8" w:rsidRPr="008B2F8A" w14:paraId="164CA6B8" w14:textId="77777777" w:rsidTr="00422306">
        <w:trPr>
          <w:cantSplit/>
        </w:trPr>
        <w:tc>
          <w:tcPr>
            <w:tcW w:w="4563" w:type="dxa"/>
            <w:tcBorders>
              <w:bottom w:val="nil"/>
            </w:tcBorders>
          </w:tcPr>
          <w:p w14:paraId="7D6307CC" w14:textId="77777777" w:rsidR="00E47AB8" w:rsidRPr="008B2F8A" w:rsidRDefault="00E47AB8" w:rsidP="00422306">
            <w:pPr>
              <w:pStyle w:val="TableText0"/>
              <w:keepNext w:val="0"/>
              <w:spacing w:before="0" w:after="0" w:line="276" w:lineRule="auto"/>
            </w:pPr>
            <w:r w:rsidRPr="008B2F8A">
              <w:t>Number of citations excluded after full text review:</w:t>
            </w:r>
          </w:p>
        </w:tc>
        <w:tc>
          <w:tcPr>
            <w:tcW w:w="851" w:type="dxa"/>
            <w:tcBorders>
              <w:bottom w:val="nil"/>
            </w:tcBorders>
          </w:tcPr>
          <w:p w14:paraId="5B2F1A63" w14:textId="4531DD6A"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bottom w:val="nil"/>
            </w:tcBorders>
          </w:tcPr>
          <w:p w14:paraId="39143CC7" w14:textId="25080559"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bottom w:val="nil"/>
            </w:tcBorders>
          </w:tcPr>
          <w:p w14:paraId="586C7EF3" w14:textId="3FC1F901"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bottom w:val="nil"/>
            </w:tcBorders>
          </w:tcPr>
          <w:p w14:paraId="554F1641" w14:textId="0F7A74C2"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bottom w:val="nil"/>
            </w:tcBorders>
          </w:tcPr>
          <w:p w14:paraId="56159D9E" w14:textId="77777777" w:rsidR="00E47AB8" w:rsidRPr="008B2F8A" w:rsidRDefault="00E47AB8" w:rsidP="00426E6B">
            <w:pPr>
              <w:pStyle w:val="TableText0"/>
              <w:spacing w:after="80"/>
              <w:ind w:right="170"/>
              <w:rPr>
                <w:szCs w:val="20"/>
              </w:rPr>
            </w:pPr>
          </w:p>
        </w:tc>
      </w:tr>
      <w:tr w:rsidR="00E47AB8" w:rsidRPr="008B2F8A" w14:paraId="28997A58" w14:textId="77777777" w:rsidTr="00422306">
        <w:trPr>
          <w:cantSplit/>
        </w:trPr>
        <w:tc>
          <w:tcPr>
            <w:tcW w:w="4563" w:type="dxa"/>
            <w:tcBorders>
              <w:top w:val="nil"/>
              <w:bottom w:val="nil"/>
            </w:tcBorders>
          </w:tcPr>
          <w:p w14:paraId="15A49F0A" w14:textId="67DDDE56" w:rsidR="00E47AB8" w:rsidRPr="008B2F8A" w:rsidRDefault="00E47AB8" w:rsidP="00E47AB8">
            <w:pPr>
              <w:pStyle w:val="TableBullet"/>
              <w:keepNext w:val="0"/>
              <w:numPr>
                <w:ilvl w:val="0"/>
                <w:numId w:val="31"/>
              </w:numPr>
              <w:spacing w:before="0" w:after="0" w:line="276" w:lineRule="auto"/>
            </w:pPr>
            <w:r w:rsidRPr="008B2F8A">
              <w:t xml:space="preserve">potentially relevant for ‘additional high-risk’ group </w:t>
            </w:r>
          </w:p>
        </w:tc>
        <w:tc>
          <w:tcPr>
            <w:tcW w:w="851" w:type="dxa"/>
            <w:tcBorders>
              <w:top w:val="nil"/>
              <w:bottom w:val="nil"/>
            </w:tcBorders>
          </w:tcPr>
          <w:p w14:paraId="6775ECF7"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3210B19F"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457AFE33"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1A76B16A"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5680DC8A" w14:textId="77777777" w:rsidR="00E47AB8" w:rsidRPr="008B2F8A" w:rsidRDefault="00E47AB8" w:rsidP="00426E6B">
            <w:pPr>
              <w:pStyle w:val="TableText0"/>
              <w:spacing w:after="80"/>
              <w:ind w:right="170"/>
              <w:jc w:val="right"/>
              <w:rPr>
                <w:szCs w:val="20"/>
              </w:rPr>
            </w:pPr>
            <w:r w:rsidRPr="008B2F8A">
              <w:rPr>
                <w:szCs w:val="20"/>
              </w:rPr>
              <w:t>26</w:t>
            </w:r>
          </w:p>
        </w:tc>
      </w:tr>
      <w:tr w:rsidR="00E47AB8" w:rsidRPr="008B2F8A" w14:paraId="1175EEBB" w14:textId="77777777" w:rsidTr="00422306">
        <w:trPr>
          <w:cantSplit/>
        </w:trPr>
        <w:tc>
          <w:tcPr>
            <w:tcW w:w="4563" w:type="dxa"/>
            <w:tcBorders>
              <w:top w:val="nil"/>
              <w:bottom w:val="nil"/>
            </w:tcBorders>
          </w:tcPr>
          <w:p w14:paraId="22F73E23" w14:textId="77777777" w:rsidR="00E47AB8" w:rsidRPr="008B2F8A" w:rsidRDefault="00E47AB8" w:rsidP="00E47AB8">
            <w:pPr>
              <w:pStyle w:val="TableBullet"/>
              <w:keepNext w:val="0"/>
              <w:numPr>
                <w:ilvl w:val="0"/>
                <w:numId w:val="31"/>
              </w:numPr>
              <w:spacing w:before="0" w:after="0" w:line="276" w:lineRule="auto"/>
            </w:pPr>
            <w:r w:rsidRPr="008B2F8A">
              <w:t>publication type</w:t>
            </w:r>
          </w:p>
        </w:tc>
        <w:tc>
          <w:tcPr>
            <w:tcW w:w="851" w:type="dxa"/>
            <w:tcBorders>
              <w:top w:val="nil"/>
              <w:bottom w:val="nil"/>
            </w:tcBorders>
          </w:tcPr>
          <w:p w14:paraId="02179917"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5E58A8B2"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0A4CAE5B"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3AC97C93"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5EBCF0FC" w14:textId="77777777" w:rsidR="00E47AB8" w:rsidRPr="008B2F8A" w:rsidRDefault="00E47AB8" w:rsidP="00426E6B">
            <w:pPr>
              <w:pStyle w:val="TableText0"/>
              <w:spacing w:after="80"/>
              <w:ind w:right="170"/>
              <w:jc w:val="right"/>
              <w:rPr>
                <w:szCs w:val="20"/>
              </w:rPr>
            </w:pPr>
            <w:r w:rsidRPr="008B2F8A">
              <w:rPr>
                <w:szCs w:val="20"/>
              </w:rPr>
              <w:t>59</w:t>
            </w:r>
          </w:p>
        </w:tc>
      </w:tr>
      <w:tr w:rsidR="00E47AB8" w:rsidRPr="008B2F8A" w14:paraId="36FFB8FE" w14:textId="77777777" w:rsidTr="00422306">
        <w:trPr>
          <w:cantSplit/>
        </w:trPr>
        <w:tc>
          <w:tcPr>
            <w:tcW w:w="4563" w:type="dxa"/>
            <w:tcBorders>
              <w:top w:val="nil"/>
              <w:bottom w:val="nil"/>
            </w:tcBorders>
          </w:tcPr>
          <w:p w14:paraId="74544715" w14:textId="77777777" w:rsidR="00E47AB8" w:rsidRPr="008B2F8A" w:rsidRDefault="00E47AB8" w:rsidP="00E47AB8">
            <w:pPr>
              <w:pStyle w:val="TableBullet"/>
              <w:keepNext w:val="0"/>
              <w:numPr>
                <w:ilvl w:val="0"/>
                <w:numId w:val="31"/>
              </w:numPr>
              <w:spacing w:before="0" w:after="0" w:line="276" w:lineRule="auto"/>
            </w:pPr>
            <w:r w:rsidRPr="008B2F8A">
              <w:t>wrong participant group</w:t>
            </w:r>
          </w:p>
        </w:tc>
        <w:tc>
          <w:tcPr>
            <w:tcW w:w="851" w:type="dxa"/>
            <w:tcBorders>
              <w:top w:val="nil"/>
              <w:bottom w:val="nil"/>
            </w:tcBorders>
          </w:tcPr>
          <w:p w14:paraId="6037F7F3"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5E3000EA"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729FF077"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7CD8EECD"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294E2C21" w14:textId="77777777" w:rsidR="00E47AB8" w:rsidRPr="008B2F8A" w:rsidRDefault="00E47AB8" w:rsidP="00426E6B">
            <w:pPr>
              <w:pStyle w:val="TableText0"/>
              <w:spacing w:after="80"/>
              <w:ind w:right="170"/>
              <w:jc w:val="right"/>
              <w:rPr>
                <w:szCs w:val="20"/>
              </w:rPr>
            </w:pPr>
            <w:r w:rsidRPr="008B2F8A">
              <w:rPr>
                <w:szCs w:val="20"/>
              </w:rPr>
              <w:t>25</w:t>
            </w:r>
          </w:p>
        </w:tc>
      </w:tr>
      <w:tr w:rsidR="00E47AB8" w:rsidRPr="008B2F8A" w14:paraId="1B763F06" w14:textId="77777777" w:rsidTr="00422306">
        <w:trPr>
          <w:cantSplit/>
        </w:trPr>
        <w:tc>
          <w:tcPr>
            <w:tcW w:w="4563" w:type="dxa"/>
            <w:tcBorders>
              <w:top w:val="nil"/>
              <w:bottom w:val="nil"/>
            </w:tcBorders>
          </w:tcPr>
          <w:p w14:paraId="0B68BB4C" w14:textId="77777777" w:rsidR="00E47AB8" w:rsidRPr="008B2F8A" w:rsidRDefault="00E47AB8" w:rsidP="00E47AB8">
            <w:pPr>
              <w:pStyle w:val="TableBullet"/>
              <w:keepNext w:val="0"/>
              <w:numPr>
                <w:ilvl w:val="0"/>
                <w:numId w:val="31"/>
              </w:numPr>
              <w:spacing w:before="0" w:after="0" w:line="276" w:lineRule="auto"/>
            </w:pPr>
            <w:r w:rsidRPr="008B2F8A">
              <w:t>wrong intervention</w:t>
            </w:r>
          </w:p>
        </w:tc>
        <w:tc>
          <w:tcPr>
            <w:tcW w:w="851" w:type="dxa"/>
            <w:tcBorders>
              <w:top w:val="nil"/>
              <w:bottom w:val="nil"/>
            </w:tcBorders>
          </w:tcPr>
          <w:p w14:paraId="4BE60FFA"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53FFBA98"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14A62BB8"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45E7E4CC"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6C412D5D" w14:textId="77777777" w:rsidR="00E47AB8" w:rsidRPr="008B2F8A" w:rsidRDefault="00E47AB8" w:rsidP="00426E6B">
            <w:pPr>
              <w:pStyle w:val="TableText0"/>
              <w:spacing w:after="80"/>
              <w:ind w:right="170"/>
              <w:jc w:val="right"/>
              <w:rPr>
                <w:szCs w:val="20"/>
              </w:rPr>
            </w:pPr>
            <w:r w:rsidRPr="008B2F8A">
              <w:rPr>
                <w:szCs w:val="20"/>
              </w:rPr>
              <w:t>13</w:t>
            </w:r>
          </w:p>
        </w:tc>
      </w:tr>
      <w:tr w:rsidR="00E47AB8" w:rsidRPr="008B2F8A" w14:paraId="15AEE6D9" w14:textId="77777777" w:rsidTr="00422306">
        <w:trPr>
          <w:cantSplit/>
        </w:trPr>
        <w:tc>
          <w:tcPr>
            <w:tcW w:w="4563" w:type="dxa"/>
            <w:tcBorders>
              <w:top w:val="nil"/>
              <w:bottom w:val="nil"/>
            </w:tcBorders>
          </w:tcPr>
          <w:p w14:paraId="225C94EF" w14:textId="77777777" w:rsidR="00E47AB8" w:rsidRPr="008B2F8A" w:rsidRDefault="00E47AB8" w:rsidP="00E47AB8">
            <w:pPr>
              <w:pStyle w:val="TableBullet"/>
              <w:keepNext w:val="0"/>
              <w:numPr>
                <w:ilvl w:val="0"/>
                <w:numId w:val="31"/>
              </w:numPr>
              <w:spacing w:before="0" w:after="0" w:line="276" w:lineRule="auto"/>
            </w:pPr>
            <w:r w:rsidRPr="008B2F8A">
              <w:t>wrong comparator</w:t>
            </w:r>
          </w:p>
        </w:tc>
        <w:tc>
          <w:tcPr>
            <w:tcW w:w="851" w:type="dxa"/>
            <w:tcBorders>
              <w:top w:val="nil"/>
              <w:bottom w:val="nil"/>
            </w:tcBorders>
          </w:tcPr>
          <w:p w14:paraId="54CA60CD"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72F0795A"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0E6C6C95"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708E3F68"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1C236A3A" w14:textId="77777777" w:rsidR="00E47AB8" w:rsidRPr="008B2F8A" w:rsidRDefault="00E47AB8" w:rsidP="00426E6B">
            <w:pPr>
              <w:pStyle w:val="TableText0"/>
              <w:spacing w:after="80"/>
              <w:ind w:right="170"/>
              <w:jc w:val="right"/>
              <w:rPr>
                <w:szCs w:val="20"/>
              </w:rPr>
            </w:pPr>
            <w:r w:rsidRPr="008B2F8A">
              <w:rPr>
                <w:szCs w:val="20"/>
              </w:rPr>
              <w:t>15</w:t>
            </w:r>
          </w:p>
        </w:tc>
      </w:tr>
      <w:tr w:rsidR="00E47AB8" w:rsidRPr="008B2F8A" w14:paraId="029A2629" w14:textId="77777777" w:rsidTr="00422306">
        <w:trPr>
          <w:cantSplit/>
        </w:trPr>
        <w:tc>
          <w:tcPr>
            <w:tcW w:w="4563" w:type="dxa"/>
            <w:tcBorders>
              <w:top w:val="nil"/>
              <w:bottom w:val="nil"/>
            </w:tcBorders>
          </w:tcPr>
          <w:p w14:paraId="71DADA03" w14:textId="77777777" w:rsidR="00E47AB8" w:rsidRPr="008B2F8A" w:rsidRDefault="00E47AB8" w:rsidP="00E47AB8">
            <w:pPr>
              <w:pStyle w:val="TableBullet"/>
              <w:keepNext w:val="0"/>
              <w:numPr>
                <w:ilvl w:val="0"/>
                <w:numId w:val="31"/>
              </w:numPr>
              <w:spacing w:before="0" w:after="0" w:line="276" w:lineRule="auto"/>
            </w:pPr>
            <w:r w:rsidRPr="008B2F8A">
              <w:t>did not report outcomes of interest</w:t>
            </w:r>
          </w:p>
        </w:tc>
        <w:tc>
          <w:tcPr>
            <w:tcW w:w="851" w:type="dxa"/>
            <w:tcBorders>
              <w:top w:val="nil"/>
              <w:bottom w:val="nil"/>
            </w:tcBorders>
          </w:tcPr>
          <w:p w14:paraId="73EA945B"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094A5D39"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04E7186C"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30A08A01"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19DB06A2" w14:textId="77777777" w:rsidR="00E47AB8" w:rsidRPr="008B2F8A" w:rsidRDefault="00E47AB8" w:rsidP="00426E6B">
            <w:pPr>
              <w:pStyle w:val="TableText0"/>
              <w:spacing w:after="80"/>
              <w:ind w:right="170"/>
              <w:jc w:val="right"/>
              <w:rPr>
                <w:szCs w:val="20"/>
              </w:rPr>
            </w:pPr>
            <w:r w:rsidRPr="008B2F8A">
              <w:rPr>
                <w:szCs w:val="20"/>
              </w:rPr>
              <w:t>10</w:t>
            </w:r>
          </w:p>
        </w:tc>
      </w:tr>
      <w:tr w:rsidR="00E47AB8" w:rsidRPr="008B2F8A" w14:paraId="3D103F61" w14:textId="77777777" w:rsidTr="00422306">
        <w:trPr>
          <w:cantSplit/>
        </w:trPr>
        <w:tc>
          <w:tcPr>
            <w:tcW w:w="4563" w:type="dxa"/>
            <w:tcBorders>
              <w:top w:val="nil"/>
              <w:bottom w:val="nil"/>
            </w:tcBorders>
          </w:tcPr>
          <w:p w14:paraId="6EB693EF" w14:textId="77777777" w:rsidR="00E47AB8" w:rsidRPr="008B2F8A" w:rsidRDefault="00E47AB8" w:rsidP="00E47AB8">
            <w:pPr>
              <w:pStyle w:val="TableBullet"/>
              <w:keepNext w:val="0"/>
              <w:numPr>
                <w:ilvl w:val="0"/>
                <w:numId w:val="31"/>
              </w:numPr>
              <w:spacing w:before="0" w:after="0" w:line="276" w:lineRule="auto"/>
            </w:pPr>
            <w:r w:rsidRPr="008B2F8A">
              <w:t>non-English article</w:t>
            </w:r>
          </w:p>
        </w:tc>
        <w:tc>
          <w:tcPr>
            <w:tcW w:w="851" w:type="dxa"/>
            <w:tcBorders>
              <w:top w:val="nil"/>
              <w:bottom w:val="nil"/>
            </w:tcBorders>
          </w:tcPr>
          <w:p w14:paraId="6D563BFF"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2048A671"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1E25F9D2"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31EDACAE"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06065C51" w14:textId="77777777" w:rsidR="00E47AB8" w:rsidRPr="008B2F8A" w:rsidRDefault="00E47AB8" w:rsidP="00426E6B">
            <w:pPr>
              <w:pStyle w:val="TableText0"/>
              <w:spacing w:after="80"/>
              <w:ind w:right="170"/>
              <w:jc w:val="right"/>
              <w:rPr>
                <w:szCs w:val="20"/>
              </w:rPr>
            </w:pPr>
            <w:r w:rsidRPr="008B2F8A">
              <w:rPr>
                <w:szCs w:val="20"/>
              </w:rPr>
              <w:t>2</w:t>
            </w:r>
          </w:p>
        </w:tc>
      </w:tr>
      <w:tr w:rsidR="00E47AB8" w:rsidRPr="008B2F8A" w14:paraId="0ED6842D" w14:textId="77777777" w:rsidTr="00422306">
        <w:trPr>
          <w:cantSplit/>
        </w:trPr>
        <w:tc>
          <w:tcPr>
            <w:tcW w:w="4563" w:type="dxa"/>
            <w:tcBorders>
              <w:top w:val="nil"/>
              <w:bottom w:val="nil"/>
            </w:tcBorders>
          </w:tcPr>
          <w:p w14:paraId="335C4FAB" w14:textId="77777777" w:rsidR="00E47AB8" w:rsidRPr="008B2F8A" w:rsidRDefault="00E47AB8" w:rsidP="00E47AB8">
            <w:pPr>
              <w:pStyle w:val="TableBullet"/>
              <w:keepNext w:val="0"/>
              <w:numPr>
                <w:ilvl w:val="0"/>
                <w:numId w:val="31"/>
              </w:numPr>
              <w:spacing w:before="0" w:after="0" w:line="276" w:lineRule="auto"/>
            </w:pPr>
            <w:r w:rsidRPr="008B2F8A">
              <w:t>WHO ICTRP awaiting classification</w:t>
            </w:r>
          </w:p>
        </w:tc>
        <w:tc>
          <w:tcPr>
            <w:tcW w:w="851" w:type="dxa"/>
            <w:tcBorders>
              <w:top w:val="nil"/>
              <w:bottom w:val="nil"/>
            </w:tcBorders>
          </w:tcPr>
          <w:p w14:paraId="77692E61"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19254896"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465E5405"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2BCA2021"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043F6370" w14:textId="77777777" w:rsidR="00E47AB8" w:rsidRPr="008B2F8A" w:rsidRDefault="00E47AB8" w:rsidP="00426E6B">
            <w:pPr>
              <w:pStyle w:val="TableText0"/>
              <w:spacing w:after="80"/>
              <w:ind w:right="170"/>
              <w:jc w:val="right"/>
              <w:rPr>
                <w:szCs w:val="20"/>
              </w:rPr>
            </w:pPr>
            <w:r w:rsidRPr="008B2F8A">
              <w:rPr>
                <w:szCs w:val="20"/>
              </w:rPr>
              <w:t>9</w:t>
            </w:r>
          </w:p>
        </w:tc>
      </w:tr>
      <w:tr w:rsidR="00E47AB8" w:rsidRPr="008B2F8A" w14:paraId="7984BF2C" w14:textId="77777777" w:rsidTr="00422306">
        <w:trPr>
          <w:cantSplit/>
        </w:trPr>
        <w:tc>
          <w:tcPr>
            <w:tcW w:w="4563" w:type="dxa"/>
            <w:tcBorders>
              <w:top w:val="nil"/>
              <w:bottom w:val="nil"/>
            </w:tcBorders>
          </w:tcPr>
          <w:p w14:paraId="56996692" w14:textId="77777777" w:rsidR="00E47AB8" w:rsidRPr="008B2F8A" w:rsidRDefault="00E47AB8" w:rsidP="00422306">
            <w:pPr>
              <w:pStyle w:val="TableText0"/>
              <w:keepNext w:val="0"/>
              <w:spacing w:before="0" w:after="0" w:line="276" w:lineRule="auto"/>
            </w:pPr>
            <w:r w:rsidRPr="008B2F8A">
              <w:t>Total excluded</w:t>
            </w:r>
          </w:p>
        </w:tc>
        <w:tc>
          <w:tcPr>
            <w:tcW w:w="851" w:type="dxa"/>
            <w:tcBorders>
              <w:top w:val="nil"/>
              <w:bottom w:val="nil"/>
            </w:tcBorders>
          </w:tcPr>
          <w:p w14:paraId="5600E008"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49" w:type="dxa"/>
            <w:tcBorders>
              <w:top w:val="nil"/>
              <w:bottom w:val="nil"/>
            </w:tcBorders>
          </w:tcPr>
          <w:p w14:paraId="7A9F6972"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50" w:type="dxa"/>
            <w:tcBorders>
              <w:top w:val="nil"/>
              <w:bottom w:val="nil"/>
            </w:tcBorders>
          </w:tcPr>
          <w:p w14:paraId="509D32C0"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810" w:type="dxa"/>
            <w:tcBorders>
              <w:top w:val="nil"/>
              <w:bottom w:val="nil"/>
            </w:tcBorders>
          </w:tcPr>
          <w:p w14:paraId="39B0BECD" w14:textId="77777777" w:rsidR="00E47AB8" w:rsidRPr="008B2F8A" w:rsidRDefault="00E47AB8" w:rsidP="00426E6B">
            <w:pPr>
              <w:pStyle w:val="TableText0"/>
              <w:spacing w:after="80"/>
              <w:ind w:right="170"/>
              <w:jc w:val="right"/>
              <w:rPr>
                <w:szCs w:val="20"/>
              </w:rPr>
            </w:pPr>
            <w:r w:rsidRPr="00BF4644">
              <w:rPr>
                <w:color w:val="FFFFFF" w:themeColor="background1"/>
              </w:rPr>
              <w:t>-</w:t>
            </w:r>
          </w:p>
        </w:tc>
        <w:tc>
          <w:tcPr>
            <w:tcW w:w="1147" w:type="dxa"/>
            <w:tcBorders>
              <w:top w:val="nil"/>
              <w:bottom w:val="nil"/>
            </w:tcBorders>
          </w:tcPr>
          <w:p w14:paraId="4C948A26" w14:textId="77777777" w:rsidR="00E47AB8" w:rsidRPr="008B2F8A" w:rsidRDefault="00E47AB8" w:rsidP="00426E6B">
            <w:pPr>
              <w:pStyle w:val="TableText0"/>
              <w:spacing w:after="80"/>
              <w:ind w:right="170"/>
              <w:jc w:val="right"/>
              <w:rPr>
                <w:szCs w:val="20"/>
              </w:rPr>
            </w:pPr>
            <w:r w:rsidRPr="008B2F8A">
              <w:rPr>
                <w:szCs w:val="20"/>
              </w:rPr>
              <w:t>156</w:t>
            </w:r>
          </w:p>
        </w:tc>
      </w:tr>
      <w:tr w:rsidR="00E47AB8" w:rsidRPr="008B2F8A" w14:paraId="25DD3E51" w14:textId="77777777" w:rsidTr="00422306">
        <w:trPr>
          <w:cantSplit/>
        </w:trPr>
        <w:tc>
          <w:tcPr>
            <w:tcW w:w="4563" w:type="dxa"/>
            <w:tcBorders>
              <w:top w:val="nil"/>
            </w:tcBorders>
          </w:tcPr>
          <w:p w14:paraId="74A70659" w14:textId="77777777" w:rsidR="00E47AB8" w:rsidRPr="008B2F8A" w:rsidRDefault="00E47AB8" w:rsidP="00422306">
            <w:pPr>
              <w:pStyle w:val="TableText0"/>
              <w:keepNext w:val="0"/>
              <w:spacing w:before="0" w:after="0" w:line="276" w:lineRule="auto"/>
              <w:rPr>
                <w:b/>
              </w:rPr>
            </w:pPr>
            <w:r w:rsidRPr="008B2F8A">
              <w:rPr>
                <w:b/>
              </w:rPr>
              <w:t>No. of relevant citations</w:t>
            </w:r>
          </w:p>
        </w:tc>
        <w:tc>
          <w:tcPr>
            <w:tcW w:w="851" w:type="dxa"/>
            <w:tcBorders>
              <w:top w:val="nil"/>
            </w:tcBorders>
          </w:tcPr>
          <w:p w14:paraId="46AB7ED7" w14:textId="77777777" w:rsidR="00E47AB8" w:rsidRPr="008B2F8A" w:rsidRDefault="00E47AB8" w:rsidP="00426E6B">
            <w:pPr>
              <w:pStyle w:val="TableText0"/>
              <w:spacing w:after="80"/>
              <w:ind w:right="170"/>
              <w:jc w:val="right"/>
              <w:rPr>
                <w:b/>
                <w:szCs w:val="20"/>
              </w:rPr>
            </w:pPr>
            <w:r w:rsidRPr="00BF4644">
              <w:rPr>
                <w:color w:val="FFFFFF" w:themeColor="background1"/>
              </w:rPr>
              <w:t>-</w:t>
            </w:r>
          </w:p>
        </w:tc>
        <w:tc>
          <w:tcPr>
            <w:tcW w:w="849" w:type="dxa"/>
            <w:tcBorders>
              <w:top w:val="nil"/>
            </w:tcBorders>
          </w:tcPr>
          <w:p w14:paraId="3C2DD758" w14:textId="77777777" w:rsidR="00E47AB8" w:rsidRPr="008B2F8A" w:rsidRDefault="00E47AB8" w:rsidP="00426E6B">
            <w:pPr>
              <w:pStyle w:val="TableText0"/>
              <w:spacing w:after="80"/>
              <w:ind w:right="170"/>
              <w:jc w:val="right"/>
              <w:rPr>
                <w:b/>
                <w:szCs w:val="20"/>
              </w:rPr>
            </w:pPr>
            <w:r w:rsidRPr="00BF4644">
              <w:rPr>
                <w:color w:val="FFFFFF" w:themeColor="background1"/>
              </w:rPr>
              <w:t>-</w:t>
            </w:r>
          </w:p>
        </w:tc>
        <w:tc>
          <w:tcPr>
            <w:tcW w:w="850" w:type="dxa"/>
            <w:tcBorders>
              <w:top w:val="nil"/>
            </w:tcBorders>
          </w:tcPr>
          <w:p w14:paraId="45AB319F" w14:textId="77777777" w:rsidR="00E47AB8" w:rsidRPr="008B2F8A" w:rsidRDefault="00E47AB8" w:rsidP="00426E6B">
            <w:pPr>
              <w:pStyle w:val="TableText0"/>
              <w:spacing w:after="80"/>
              <w:ind w:right="170"/>
              <w:jc w:val="right"/>
              <w:rPr>
                <w:b/>
                <w:szCs w:val="20"/>
              </w:rPr>
            </w:pPr>
            <w:r w:rsidRPr="00BF4644">
              <w:rPr>
                <w:color w:val="FFFFFF" w:themeColor="background1"/>
              </w:rPr>
              <w:t>-</w:t>
            </w:r>
          </w:p>
        </w:tc>
        <w:tc>
          <w:tcPr>
            <w:tcW w:w="810" w:type="dxa"/>
            <w:tcBorders>
              <w:top w:val="nil"/>
            </w:tcBorders>
          </w:tcPr>
          <w:p w14:paraId="539B74C1" w14:textId="77777777" w:rsidR="00E47AB8" w:rsidRPr="008B2F8A" w:rsidRDefault="00E47AB8" w:rsidP="00426E6B">
            <w:pPr>
              <w:pStyle w:val="TableText0"/>
              <w:spacing w:after="80"/>
              <w:ind w:right="170"/>
              <w:jc w:val="right"/>
              <w:rPr>
                <w:b/>
                <w:szCs w:val="20"/>
              </w:rPr>
            </w:pPr>
            <w:r w:rsidRPr="00BF4644">
              <w:rPr>
                <w:color w:val="FFFFFF" w:themeColor="background1"/>
              </w:rPr>
              <w:t>-</w:t>
            </w:r>
          </w:p>
        </w:tc>
        <w:tc>
          <w:tcPr>
            <w:tcW w:w="1147" w:type="dxa"/>
            <w:tcBorders>
              <w:top w:val="nil"/>
            </w:tcBorders>
          </w:tcPr>
          <w:p w14:paraId="0DDB01B5" w14:textId="77777777" w:rsidR="00E47AB8" w:rsidRPr="008B2F8A" w:rsidRDefault="00E47AB8" w:rsidP="00426E6B">
            <w:pPr>
              <w:pStyle w:val="TableText0"/>
              <w:spacing w:after="80"/>
              <w:ind w:right="170"/>
              <w:jc w:val="right"/>
              <w:rPr>
                <w:b/>
                <w:szCs w:val="20"/>
              </w:rPr>
            </w:pPr>
            <w:r w:rsidRPr="008B2F8A">
              <w:rPr>
                <w:b/>
                <w:szCs w:val="20"/>
              </w:rPr>
              <w:t>53</w:t>
            </w:r>
          </w:p>
        </w:tc>
      </w:tr>
      <w:tr w:rsidR="00E47AB8" w:rsidRPr="008B2F8A" w14:paraId="193EF867" w14:textId="77777777" w:rsidTr="00422306">
        <w:trPr>
          <w:cantSplit/>
        </w:trPr>
        <w:tc>
          <w:tcPr>
            <w:tcW w:w="4563" w:type="dxa"/>
          </w:tcPr>
          <w:p w14:paraId="33AC80CB" w14:textId="77777777" w:rsidR="00E47AB8" w:rsidRPr="008B2F8A" w:rsidRDefault="00E47AB8" w:rsidP="00422306">
            <w:pPr>
              <w:pStyle w:val="TableText0"/>
              <w:keepNext w:val="0"/>
              <w:spacing w:before="0" w:after="0" w:line="276" w:lineRule="auto"/>
              <w:rPr>
                <w:b/>
              </w:rPr>
            </w:pPr>
            <w:r w:rsidRPr="008B2F8A">
              <w:rPr>
                <w:b/>
              </w:rPr>
              <w:t>No. excluded with reasons</w:t>
            </w:r>
          </w:p>
          <w:p w14:paraId="7BD5BDA4" w14:textId="4ABF14B5" w:rsidR="00E47AB8" w:rsidRPr="008B2F8A" w:rsidRDefault="00E47AB8" w:rsidP="00422306">
            <w:pPr>
              <w:pStyle w:val="TableText0"/>
              <w:keepNext w:val="0"/>
              <w:spacing w:before="0" w:after="0" w:line="276" w:lineRule="auto"/>
            </w:pPr>
            <w:r w:rsidRPr="008B2F8A">
              <w:t>Health technology assessments</w:t>
            </w:r>
          </w:p>
          <w:p w14:paraId="51D92ADF" w14:textId="77777777" w:rsidR="00E47AB8" w:rsidRPr="008B2F8A" w:rsidRDefault="00E47AB8" w:rsidP="00422306">
            <w:pPr>
              <w:pStyle w:val="TableText0"/>
              <w:keepNext w:val="0"/>
              <w:spacing w:before="0" w:after="0" w:line="276" w:lineRule="auto"/>
            </w:pPr>
            <w:r w:rsidRPr="008B2F8A">
              <w:t>Primary studies</w:t>
            </w:r>
          </w:p>
          <w:p w14:paraId="134E953D" w14:textId="77777777" w:rsidR="00E47AB8" w:rsidRPr="008B2F8A" w:rsidRDefault="00E47AB8" w:rsidP="00422306">
            <w:pPr>
              <w:pStyle w:val="TableText0"/>
              <w:keepNext w:val="0"/>
              <w:spacing w:before="0" w:after="0" w:line="276" w:lineRule="auto"/>
              <w:rPr>
                <w:b/>
              </w:rPr>
            </w:pPr>
            <w:r w:rsidRPr="008B2F8A">
              <w:t>Ongoing</w:t>
            </w:r>
          </w:p>
        </w:tc>
        <w:tc>
          <w:tcPr>
            <w:tcW w:w="851" w:type="dxa"/>
          </w:tcPr>
          <w:p w14:paraId="48C01209" w14:textId="1F8A3967" w:rsidR="00E47AB8" w:rsidRPr="008B2F8A" w:rsidRDefault="00E47AB8" w:rsidP="00426E6B">
            <w:pPr>
              <w:pStyle w:val="TableText0"/>
              <w:spacing w:after="80"/>
              <w:ind w:right="170"/>
              <w:rPr>
                <w:szCs w:val="20"/>
              </w:rPr>
            </w:pPr>
            <w:r w:rsidRPr="00FF6165">
              <w:rPr>
                <w:color w:val="FFFFFF" w:themeColor="background1"/>
              </w:rPr>
              <w:t>-</w:t>
            </w:r>
          </w:p>
        </w:tc>
        <w:tc>
          <w:tcPr>
            <w:tcW w:w="849" w:type="dxa"/>
          </w:tcPr>
          <w:p w14:paraId="0B80CB0C" w14:textId="14C8D49A" w:rsidR="00E47AB8" w:rsidRPr="008B2F8A" w:rsidRDefault="00E47AB8" w:rsidP="00426E6B">
            <w:pPr>
              <w:pStyle w:val="TableText0"/>
              <w:spacing w:after="80"/>
              <w:ind w:right="170"/>
              <w:rPr>
                <w:szCs w:val="20"/>
              </w:rPr>
            </w:pPr>
            <w:r w:rsidRPr="00FF6165">
              <w:rPr>
                <w:color w:val="FFFFFF" w:themeColor="background1"/>
              </w:rPr>
              <w:t>-</w:t>
            </w:r>
          </w:p>
        </w:tc>
        <w:tc>
          <w:tcPr>
            <w:tcW w:w="850" w:type="dxa"/>
          </w:tcPr>
          <w:p w14:paraId="66FA54C9" w14:textId="7790C38D" w:rsidR="00E47AB8" w:rsidRPr="008B2F8A" w:rsidRDefault="00E47AB8" w:rsidP="00426E6B">
            <w:pPr>
              <w:pStyle w:val="TableText0"/>
              <w:spacing w:after="80"/>
              <w:ind w:right="170"/>
              <w:rPr>
                <w:szCs w:val="20"/>
              </w:rPr>
            </w:pPr>
            <w:r w:rsidRPr="00FF6165">
              <w:rPr>
                <w:color w:val="FFFFFF" w:themeColor="background1"/>
              </w:rPr>
              <w:t>-</w:t>
            </w:r>
          </w:p>
        </w:tc>
        <w:tc>
          <w:tcPr>
            <w:tcW w:w="810" w:type="dxa"/>
          </w:tcPr>
          <w:p w14:paraId="2C93A386" w14:textId="07AAED7D" w:rsidR="00E47AB8" w:rsidRPr="008B2F8A" w:rsidRDefault="00E47AB8" w:rsidP="00426E6B">
            <w:pPr>
              <w:pStyle w:val="TableText0"/>
              <w:spacing w:after="80"/>
              <w:ind w:right="170"/>
              <w:rPr>
                <w:szCs w:val="20"/>
              </w:rPr>
            </w:pPr>
            <w:r w:rsidRPr="00FF6165">
              <w:rPr>
                <w:color w:val="FFFFFF" w:themeColor="background1"/>
              </w:rPr>
              <w:t>-</w:t>
            </w:r>
          </w:p>
        </w:tc>
        <w:tc>
          <w:tcPr>
            <w:tcW w:w="1147" w:type="dxa"/>
          </w:tcPr>
          <w:p w14:paraId="36F512DD" w14:textId="77777777" w:rsidR="00E47AB8" w:rsidRPr="008B2F8A" w:rsidRDefault="00E47AB8" w:rsidP="00426E6B">
            <w:pPr>
              <w:pStyle w:val="TableText0"/>
              <w:spacing w:after="0"/>
              <w:ind w:right="170"/>
              <w:jc w:val="right"/>
              <w:rPr>
                <w:szCs w:val="20"/>
              </w:rPr>
            </w:pPr>
          </w:p>
          <w:p w14:paraId="72E17130" w14:textId="77777777" w:rsidR="00E47AB8" w:rsidRPr="008B2F8A" w:rsidRDefault="00E47AB8" w:rsidP="00426E6B">
            <w:pPr>
              <w:pStyle w:val="TableText0"/>
              <w:spacing w:after="0"/>
              <w:ind w:right="170"/>
              <w:jc w:val="right"/>
              <w:rPr>
                <w:szCs w:val="20"/>
              </w:rPr>
            </w:pPr>
            <w:r w:rsidRPr="008B2F8A">
              <w:rPr>
                <w:szCs w:val="20"/>
              </w:rPr>
              <w:t>9</w:t>
            </w:r>
          </w:p>
          <w:p w14:paraId="4DC03486" w14:textId="77777777" w:rsidR="00E47AB8" w:rsidRPr="008B2F8A" w:rsidRDefault="00E47AB8" w:rsidP="00426E6B">
            <w:pPr>
              <w:pStyle w:val="TableText0"/>
              <w:spacing w:after="0"/>
              <w:ind w:right="170"/>
              <w:jc w:val="right"/>
              <w:rPr>
                <w:szCs w:val="20"/>
              </w:rPr>
            </w:pPr>
            <w:r w:rsidRPr="008B2F8A">
              <w:rPr>
                <w:szCs w:val="20"/>
              </w:rPr>
              <w:t>19</w:t>
            </w:r>
          </w:p>
          <w:p w14:paraId="61ABDCB5" w14:textId="77777777" w:rsidR="00E47AB8" w:rsidRPr="008B2F8A" w:rsidRDefault="00E47AB8" w:rsidP="00426E6B">
            <w:pPr>
              <w:pStyle w:val="TableText0"/>
              <w:spacing w:after="0"/>
              <w:ind w:right="170"/>
              <w:jc w:val="right"/>
              <w:rPr>
                <w:szCs w:val="20"/>
              </w:rPr>
            </w:pPr>
            <w:r w:rsidRPr="008B2F8A">
              <w:rPr>
                <w:szCs w:val="20"/>
              </w:rPr>
              <w:t>1</w:t>
            </w:r>
          </w:p>
        </w:tc>
      </w:tr>
      <w:tr w:rsidR="00E47AB8" w:rsidRPr="008B2F8A" w14:paraId="262F0ACC" w14:textId="77777777" w:rsidTr="00422306">
        <w:trPr>
          <w:cantSplit/>
        </w:trPr>
        <w:tc>
          <w:tcPr>
            <w:tcW w:w="4563" w:type="dxa"/>
          </w:tcPr>
          <w:p w14:paraId="1FCC496F" w14:textId="77777777" w:rsidR="00E47AB8" w:rsidRPr="008B2F8A" w:rsidRDefault="00E47AB8" w:rsidP="00422306">
            <w:pPr>
              <w:pStyle w:val="TableText0"/>
              <w:keepNext w:val="0"/>
              <w:spacing w:before="0" w:after="0" w:line="276" w:lineRule="auto"/>
              <w:rPr>
                <w:b/>
              </w:rPr>
            </w:pPr>
            <w:r w:rsidRPr="008B2F8A">
              <w:rPr>
                <w:b/>
              </w:rPr>
              <w:t>No. included</w:t>
            </w:r>
          </w:p>
          <w:p w14:paraId="7B29DBC5" w14:textId="4365923A" w:rsidR="00E47AB8" w:rsidRPr="008B2F8A" w:rsidRDefault="00E47AB8" w:rsidP="00422306">
            <w:pPr>
              <w:pStyle w:val="TableText0"/>
              <w:keepNext w:val="0"/>
              <w:spacing w:before="0" w:after="0" w:line="276" w:lineRule="auto"/>
            </w:pPr>
            <w:bookmarkStart w:id="445" w:name="OLE_LINK306"/>
            <w:bookmarkStart w:id="446" w:name="OLE_LINK307"/>
            <w:r w:rsidRPr="008B2F8A">
              <w:t>Health technology assessments</w:t>
            </w:r>
            <w:r w:rsidRPr="008B2F8A" w:rsidDel="00455348">
              <w:t xml:space="preserve"> </w:t>
            </w:r>
            <w:bookmarkEnd w:id="445"/>
            <w:bookmarkEnd w:id="446"/>
            <w:r w:rsidRPr="008B2F8A">
              <w:t>&amp; systematic reviews</w:t>
            </w:r>
          </w:p>
          <w:p w14:paraId="0FE11A77" w14:textId="77777777" w:rsidR="00E47AB8" w:rsidRPr="008B2F8A" w:rsidRDefault="00E47AB8" w:rsidP="00422306">
            <w:pPr>
              <w:pStyle w:val="TableText0"/>
              <w:keepNext w:val="0"/>
              <w:spacing w:before="0" w:after="0" w:line="276" w:lineRule="auto"/>
              <w:rPr>
                <w:b/>
              </w:rPr>
            </w:pPr>
            <w:r w:rsidRPr="008B2F8A">
              <w:t>Primary studies</w:t>
            </w:r>
          </w:p>
        </w:tc>
        <w:tc>
          <w:tcPr>
            <w:tcW w:w="851" w:type="dxa"/>
          </w:tcPr>
          <w:p w14:paraId="49C1117C" w14:textId="2AA78F4B" w:rsidR="00E47AB8" w:rsidRPr="008B2F8A" w:rsidRDefault="00E47AB8" w:rsidP="00426E6B">
            <w:pPr>
              <w:pStyle w:val="TableText0"/>
              <w:spacing w:after="80"/>
              <w:ind w:right="170"/>
              <w:rPr>
                <w:szCs w:val="20"/>
              </w:rPr>
            </w:pPr>
            <w:r w:rsidRPr="00FF6165">
              <w:rPr>
                <w:color w:val="FFFFFF" w:themeColor="background1"/>
              </w:rPr>
              <w:t>-</w:t>
            </w:r>
          </w:p>
        </w:tc>
        <w:tc>
          <w:tcPr>
            <w:tcW w:w="849" w:type="dxa"/>
          </w:tcPr>
          <w:p w14:paraId="0EC89C1D" w14:textId="7930EA03" w:rsidR="00E47AB8" w:rsidRPr="008B2F8A" w:rsidRDefault="00E47AB8" w:rsidP="00426E6B">
            <w:pPr>
              <w:pStyle w:val="TableText0"/>
              <w:spacing w:after="80"/>
              <w:ind w:right="170"/>
              <w:rPr>
                <w:szCs w:val="20"/>
              </w:rPr>
            </w:pPr>
            <w:r w:rsidRPr="00FF6165">
              <w:rPr>
                <w:color w:val="FFFFFF" w:themeColor="background1"/>
              </w:rPr>
              <w:t>-</w:t>
            </w:r>
          </w:p>
        </w:tc>
        <w:tc>
          <w:tcPr>
            <w:tcW w:w="850" w:type="dxa"/>
          </w:tcPr>
          <w:p w14:paraId="4119C4C0" w14:textId="648E7703" w:rsidR="00E47AB8" w:rsidRPr="008B2F8A" w:rsidRDefault="00E47AB8" w:rsidP="00426E6B">
            <w:pPr>
              <w:pStyle w:val="TableText0"/>
              <w:spacing w:after="80"/>
              <w:ind w:right="170"/>
              <w:rPr>
                <w:szCs w:val="20"/>
              </w:rPr>
            </w:pPr>
            <w:r w:rsidRPr="00FF6165">
              <w:rPr>
                <w:color w:val="FFFFFF" w:themeColor="background1"/>
              </w:rPr>
              <w:t>-</w:t>
            </w:r>
          </w:p>
        </w:tc>
        <w:tc>
          <w:tcPr>
            <w:tcW w:w="810" w:type="dxa"/>
          </w:tcPr>
          <w:p w14:paraId="149DC6C7" w14:textId="4878ACF1" w:rsidR="00E47AB8" w:rsidRPr="008B2F8A" w:rsidRDefault="00E47AB8" w:rsidP="00426E6B">
            <w:pPr>
              <w:pStyle w:val="TableText0"/>
              <w:spacing w:after="80"/>
              <w:ind w:right="170"/>
              <w:rPr>
                <w:szCs w:val="20"/>
              </w:rPr>
            </w:pPr>
            <w:r w:rsidRPr="00FF6165">
              <w:rPr>
                <w:color w:val="FFFFFF" w:themeColor="background1"/>
              </w:rPr>
              <w:t>-</w:t>
            </w:r>
          </w:p>
        </w:tc>
        <w:tc>
          <w:tcPr>
            <w:tcW w:w="1147" w:type="dxa"/>
          </w:tcPr>
          <w:p w14:paraId="03DF8FA5" w14:textId="77777777" w:rsidR="00E47AB8" w:rsidRPr="008B2F8A" w:rsidRDefault="00E47AB8" w:rsidP="00426E6B">
            <w:pPr>
              <w:pStyle w:val="TableText0"/>
              <w:spacing w:after="0"/>
              <w:ind w:right="170"/>
              <w:jc w:val="right"/>
              <w:rPr>
                <w:szCs w:val="20"/>
              </w:rPr>
            </w:pPr>
          </w:p>
          <w:p w14:paraId="32966E21" w14:textId="77777777" w:rsidR="00E47AB8" w:rsidRPr="008B2F8A" w:rsidRDefault="00E47AB8" w:rsidP="00426E6B">
            <w:pPr>
              <w:pStyle w:val="TableText0"/>
              <w:spacing w:after="0"/>
              <w:ind w:right="170"/>
              <w:jc w:val="right"/>
              <w:rPr>
                <w:szCs w:val="20"/>
              </w:rPr>
            </w:pPr>
            <w:r w:rsidRPr="008B2F8A">
              <w:rPr>
                <w:szCs w:val="20"/>
              </w:rPr>
              <w:t>2</w:t>
            </w:r>
          </w:p>
          <w:p w14:paraId="500BC2E0" w14:textId="77777777" w:rsidR="00E47AB8" w:rsidRPr="008B2F8A" w:rsidRDefault="00E47AB8" w:rsidP="00426E6B">
            <w:pPr>
              <w:pStyle w:val="TableText0"/>
              <w:spacing w:after="0"/>
              <w:ind w:right="170"/>
              <w:jc w:val="right"/>
              <w:rPr>
                <w:szCs w:val="20"/>
              </w:rPr>
            </w:pPr>
            <w:r w:rsidRPr="008B2F8A">
              <w:rPr>
                <w:szCs w:val="20"/>
              </w:rPr>
              <w:t>6</w:t>
            </w:r>
          </w:p>
          <w:p w14:paraId="6E3FF1E0" w14:textId="588F873F" w:rsidR="00E47AB8" w:rsidRPr="008B2F8A" w:rsidRDefault="00E47AB8" w:rsidP="00426E6B">
            <w:pPr>
              <w:pStyle w:val="TableText0"/>
              <w:keepNext w:val="0"/>
              <w:spacing w:before="0" w:after="0" w:line="276" w:lineRule="auto"/>
              <w:ind w:right="170"/>
              <w:jc w:val="right"/>
              <w:rPr>
                <w:szCs w:val="20"/>
              </w:rPr>
            </w:pPr>
            <w:r w:rsidRPr="008B2F8A">
              <w:rPr>
                <w:szCs w:val="20"/>
              </w:rPr>
              <w:t>(22 pubs)</w:t>
            </w:r>
          </w:p>
        </w:tc>
      </w:tr>
    </w:tbl>
    <w:p w14:paraId="75BE07A7" w14:textId="77777777" w:rsidR="00E47AB8" w:rsidRPr="008B2F8A" w:rsidRDefault="00E47AB8" w:rsidP="00426E6B">
      <w:pPr>
        <w:pStyle w:val="TableNotesLast"/>
      </w:pPr>
      <w:r w:rsidRPr="008B2F8A">
        <w:t>*Includes EMBASE and MEDLINE. ICTRP = International Clinical Trials Registry Platform.</w:t>
      </w:r>
    </w:p>
    <w:p w14:paraId="16387FD1" w14:textId="154452BB" w:rsidR="00E47AB8" w:rsidRPr="008B2F8A" w:rsidRDefault="00E47AB8" w:rsidP="00E47AB8">
      <w:pPr>
        <w:pStyle w:val="Heading4"/>
        <w:numPr>
          <w:ilvl w:val="3"/>
          <w:numId w:val="42"/>
        </w:numPr>
      </w:pPr>
      <w:r w:rsidRPr="008B2F8A">
        <w:t>Additional high-risk groups</w:t>
      </w:r>
    </w:p>
    <w:p w14:paraId="108C2901" w14:textId="77777777" w:rsidR="00E47AB8" w:rsidRPr="008B2F8A" w:rsidRDefault="00E47AB8" w:rsidP="00422306">
      <w:pPr>
        <w:rPr>
          <w:b/>
          <w:color w:val="000000"/>
          <w:sz w:val="24"/>
          <w:szCs w:val="24"/>
        </w:rPr>
      </w:pPr>
      <w:r w:rsidRPr="008B2F8A">
        <w:fldChar w:fldCharType="begin"/>
      </w:r>
      <w:r w:rsidRPr="008B2F8A">
        <w:instrText xml:space="preserve"> REF _Ref368057809 \h </w:instrText>
      </w:r>
      <w:r w:rsidRPr="008B2F8A">
        <w:fldChar w:fldCharType="separate"/>
      </w:r>
      <w:r w:rsidR="00B81273" w:rsidRPr="008B2F8A">
        <w:t xml:space="preserve">Table </w:t>
      </w:r>
      <w:r w:rsidR="00B81273">
        <w:rPr>
          <w:noProof/>
        </w:rPr>
        <w:t>B</w:t>
      </w:r>
      <w:r w:rsidR="00B81273" w:rsidRPr="008B2F8A">
        <w:t>.</w:t>
      </w:r>
      <w:r w:rsidR="00B81273">
        <w:rPr>
          <w:noProof/>
        </w:rPr>
        <w:t>2</w:t>
      </w:r>
      <w:r w:rsidRPr="008B2F8A">
        <w:fldChar w:fldCharType="end"/>
      </w:r>
      <w:r w:rsidRPr="008B2F8A">
        <w:t xml:space="preserve"> presents a summary of the search results.</w:t>
      </w:r>
    </w:p>
    <w:p w14:paraId="1513DC2C" w14:textId="17D8C38D" w:rsidR="00003049" w:rsidRDefault="00E47AB8" w:rsidP="00003049">
      <w:pPr>
        <w:pStyle w:val="Caption"/>
      </w:pPr>
      <w:bookmarkStart w:id="447" w:name="_Ref368057809"/>
      <w:bookmarkStart w:id="448" w:name="_Toc383424568"/>
      <w:r w:rsidRPr="008B2F8A">
        <w:lastRenderedPageBreak/>
        <w:t xml:space="preserve">Table </w:t>
      </w:r>
      <w:fldSimple w:instr=" STYLEREF 1 \s ">
        <w:r w:rsidR="00B81273">
          <w:rPr>
            <w:noProof/>
          </w:rPr>
          <w:t>B</w:t>
        </w:r>
      </w:fldSimple>
      <w:r w:rsidRPr="008B2F8A">
        <w:t>.</w:t>
      </w:r>
      <w:fldSimple w:instr=" SEQ Table \* ARABIC \s 1 ">
        <w:r w:rsidR="00B81273">
          <w:rPr>
            <w:noProof/>
          </w:rPr>
          <w:t>2</w:t>
        </w:r>
      </w:fldSimple>
      <w:bookmarkEnd w:id="447"/>
      <w:r w:rsidRPr="008B2F8A">
        <w:tab/>
      </w:r>
      <w:bookmarkStart w:id="449" w:name="OLE_LINK982"/>
      <w:bookmarkStart w:id="450" w:name="OLE_LINK983"/>
      <w:r w:rsidRPr="008B2F8A">
        <w:t>Summary of identification of studies from the search of the published literature</w:t>
      </w:r>
      <w:bookmarkEnd w:id="449"/>
      <w:bookmarkEnd w:id="450"/>
      <w:r w:rsidRPr="008B2F8A">
        <w:t>.</w:t>
      </w:r>
      <w:bookmarkEnd w:id="448"/>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Summary of identification of studies from the search of the published literature"/>
      </w:tblPr>
      <w:tblGrid>
        <w:gridCol w:w="4206"/>
        <w:gridCol w:w="935"/>
        <w:gridCol w:w="907"/>
        <w:gridCol w:w="926"/>
        <w:gridCol w:w="661"/>
        <w:gridCol w:w="944"/>
      </w:tblGrid>
      <w:tr w:rsidR="00003049" w:rsidRPr="008B2F8A" w14:paraId="2869463C" w14:textId="19B33237" w:rsidTr="00003049">
        <w:trPr>
          <w:cantSplit/>
          <w:tblHeader/>
        </w:trPr>
        <w:tc>
          <w:tcPr>
            <w:tcW w:w="4306" w:type="dxa"/>
            <w:vAlign w:val="bottom"/>
          </w:tcPr>
          <w:p w14:paraId="67C09FDE" w14:textId="77777777" w:rsidR="00003049" w:rsidRPr="008B2F8A" w:rsidRDefault="00003049" w:rsidP="00003049">
            <w:pPr>
              <w:pStyle w:val="TableHeading"/>
              <w:keepNext w:val="0"/>
              <w:spacing w:before="40" w:after="0" w:line="276" w:lineRule="auto"/>
            </w:pPr>
          </w:p>
        </w:tc>
        <w:tc>
          <w:tcPr>
            <w:tcW w:w="935" w:type="dxa"/>
            <w:vAlign w:val="bottom"/>
          </w:tcPr>
          <w:p w14:paraId="63C1FF4F" w14:textId="77777777" w:rsidR="00003049" w:rsidRPr="008B2F8A" w:rsidRDefault="00003049" w:rsidP="00003049">
            <w:pPr>
              <w:pStyle w:val="TableHeading"/>
              <w:spacing w:before="40" w:after="0" w:line="276" w:lineRule="auto"/>
              <w:ind w:right="113"/>
              <w:jc w:val="center"/>
              <w:rPr>
                <w:bCs w:val="0"/>
                <w:szCs w:val="20"/>
              </w:rPr>
            </w:pPr>
            <w:r w:rsidRPr="008B2F8A">
              <w:rPr>
                <w:bCs w:val="0"/>
                <w:szCs w:val="20"/>
              </w:rPr>
              <w:t>EMBASE*</w:t>
            </w:r>
          </w:p>
        </w:tc>
        <w:tc>
          <w:tcPr>
            <w:tcW w:w="907" w:type="dxa"/>
            <w:vAlign w:val="bottom"/>
          </w:tcPr>
          <w:p w14:paraId="246C569D" w14:textId="79269769" w:rsidR="00003049" w:rsidRPr="008B2F8A" w:rsidRDefault="00003049" w:rsidP="00003049">
            <w:pPr>
              <w:pStyle w:val="TableHeading"/>
              <w:spacing w:before="40" w:after="0" w:line="276" w:lineRule="auto"/>
              <w:ind w:right="113"/>
              <w:jc w:val="center"/>
              <w:rPr>
                <w:bCs w:val="0"/>
                <w:szCs w:val="20"/>
              </w:rPr>
            </w:pPr>
            <w:r w:rsidRPr="008B2F8A">
              <w:rPr>
                <w:bCs w:val="0"/>
                <w:szCs w:val="20"/>
              </w:rPr>
              <w:t>Pre</w:t>
            </w:r>
            <w:r w:rsidRPr="008B2F8A">
              <w:rPr>
                <w:bCs w:val="0"/>
                <w:szCs w:val="20"/>
              </w:rPr>
              <w:softHyphen/>
              <w:t>MEDLINE</w:t>
            </w:r>
          </w:p>
        </w:tc>
        <w:tc>
          <w:tcPr>
            <w:tcW w:w="926" w:type="dxa"/>
            <w:vAlign w:val="bottom"/>
          </w:tcPr>
          <w:p w14:paraId="6B438180" w14:textId="77777777" w:rsidR="00003049" w:rsidRPr="008B2F8A" w:rsidRDefault="00003049" w:rsidP="00003049">
            <w:pPr>
              <w:pStyle w:val="TableHeading"/>
              <w:spacing w:before="40" w:after="0" w:line="276" w:lineRule="auto"/>
              <w:ind w:right="113"/>
              <w:jc w:val="center"/>
              <w:rPr>
                <w:bCs w:val="0"/>
                <w:szCs w:val="20"/>
              </w:rPr>
            </w:pPr>
            <w:r w:rsidRPr="008B2F8A">
              <w:rPr>
                <w:bCs w:val="0"/>
                <w:szCs w:val="20"/>
              </w:rPr>
              <w:t>Cochrane Library</w:t>
            </w:r>
          </w:p>
        </w:tc>
        <w:tc>
          <w:tcPr>
            <w:tcW w:w="0" w:type="auto"/>
            <w:vAlign w:val="bottom"/>
          </w:tcPr>
          <w:p w14:paraId="078585C3" w14:textId="77777777" w:rsidR="00003049" w:rsidRPr="008B2F8A" w:rsidRDefault="00003049" w:rsidP="00003049">
            <w:pPr>
              <w:pStyle w:val="TableHeading"/>
              <w:spacing w:before="40" w:after="0" w:line="276" w:lineRule="auto"/>
              <w:ind w:right="113"/>
              <w:jc w:val="center"/>
              <w:rPr>
                <w:bCs w:val="0"/>
                <w:szCs w:val="20"/>
              </w:rPr>
            </w:pPr>
            <w:r w:rsidRPr="008B2F8A">
              <w:rPr>
                <w:bCs w:val="0"/>
                <w:szCs w:val="20"/>
              </w:rPr>
              <w:t>WHO ICTRP</w:t>
            </w:r>
          </w:p>
        </w:tc>
        <w:tc>
          <w:tcPr>
            <w:tcW w:w="0" w:type="auto"/>
            <w:vAlign w:val="bottom"/>
          </w:tcPr>
          <w:p w14:paraId="789C1CE7" w14:textId="3E6BB29C" w:rsidR="00003049" w:rsidRPr="008B2F8A" w:rsidRDefault="00003049" w:rsidP="00003049">
            <w:pPr>
              <w:pStyle w:val="TableHeading"/>
              <w:spacing w:before="40" w:after="0" w:line="276" w:lineRule="auto"/>
              <w:ind w:right="113"/>
              <w:jc w:val="center"/>
              <w:rPr>
                <w:bCs w:val="0"/>
                <w:szCs w:val="20"/>
              </w:rPr>
            </w:pPr>
            <w:r w:rsidRPr="008B2F8A">
              <w:rPr>
                <w:bCs w:val="0"/>
                <w:szCs w:val="20"/>
              </w:rPr>
              <w:t>Total</w:t>
            </w:r>
          </w:p>
        </w:tc>
      </w:tr>
      <w:tr w:rsidR="00003049" w:rsidRPr="008B2F8A" w14:paraId="2A4A75D9" w14:textId="5424F44C" w:rsidTr="00003049">
        <w:trPr>
          <w:cantSplit/>
        </w:trPr>
        <w:tc>
          <w:tcPr>
            <w:tcW w:w="4306" w:type="dxa"/>
          </w:tcPr>
          <w:p w14:paraId="69B82EB5" w14:textId="77777777" w:rsidR="00003049" w:rsidRPr="008B2F8A" w:rsidRDefault="00003049" w:rsidP="00003049">
            <w:pPr>
              <w:pStyle w:val="TableText0"/>
              <w:keepNext w:val="0"/>
              <w:spacing w:before="40" w:after="0" w:line="276" w:lineRule="auto"/>
            </w:pPr>
            <w:r w:rsidRPr="008B2F8A">
              <w:t>Number of citations retrieved by search</w:t>
            </w:r>
          </w:p>
        </w:tc>
        <w:tc>
          <w:tcPr>
            <w:tcW w:w="935" w:type="dxa"/>
          </w:tcPr>
          <w:p w14:paraId="59E4B776" w14:textId="77777777" w:rsidR="00003049" w:rsidRPr="008B2F8A" w:rsidRDefault="00003049" w:rsidP="00003049">
            <w:pPr>
              <w:pStyle w:val="TableText0"/>
              <w:spacing w:before="40" w:after="0"/>
              <w:ind w:right="113"/>
              <w:jc w:val="right"/>
              <w:rPr>
                <w:szCs w:val="20"/>
              </w:rPr>
            </w:pPr>
            <w:r w:rsidRPr="008B2F8A">
              <w:rPr>
                <w:szCs w:val="20"/>
              </w:rPr>
              <w:t>614</w:t>
            </w:r>
          </w:p>
        </w:tc>
        <w:tc>
          <w:tcPr>
            <w:tcW w:w="907" w:type="dxa"/>
          </w:tcPr>
          <w:p w14:paraId="365EFE50" w14:textId="77777777" w:rsidR="00003049" w:rsidRPr="008B2F8A" w:rsidRDefault="00003049" w:rsidP="00003049">
            <w:pPr>
              <w:pStyle w:val="TableText0"/>
              <w:spacing w:before="40" w:after="0"/>
              <w:ind w:right="113"/>
              <w:jc w:val="right"/>
              <w:rPr>
                <w:szCs w:val="20"/>
              </w:rPr>
            </w:pPr>
            <w:r w:rsidRPr="008B2F8A">
              <w:rPr>
                <w:szCs w:val="20"/>
              </w:rPr>
              <w:t>48</w:t>
            </w:r>
          </w:p>
        </w:tc>
        <w:tc>
          <w:tcPr>
            <w:tcW w:w="926" w:type="dxa"/>
          </w:tcPr>
          <w:p w14:paraId="754F11BC" w14:textId="77777777" w:rsidR="00003049" w:rsidRPr="008B2F8A" w:rsidRDefault="00003049" w:rsidP="00003049">
            <w:pPr>
              <w:pStyle w:val="TableText0"/>
              <w:spacing w:before="40" w:after="0"/>
              <w:ind w:right="113"/>
              <w:jc w:val="right"/>
              <w:rPr>
                <w:szCs w:val="20"/>
              </w:rPr>
            </w:pPr>
            <w:r w:rsidRPr="008B2F8A">
              <w:rPr>
                <w:szCs w:val="20"/>
              </w:rPr>
              <w:t>110</w:t>
            </w:r>
          </w:p>
        </w:tc>
        <w:tc>
          <w:tcPr>
            <w:tcW w:w="0" w:type="auto"/>
          </w:tcPr>
          <w:p w14:paraId="3DA6279D" w14:textId="77777777" w:rsidR="00003049" w:rsidRPr="008B2F8A" w:rsidRDefault="00003049" w:rsidP="00003049">
            <w:pPr>
              <w:pStyle w:val="TableText0"/>
              <w:spacing w:before="40" w:after="0"/>
              <w:ind w:right="113"/>
              <w:jc w:val="right"/>
              <w:rPr>
                <w:szCs w:val="20"/>
              </w:rPr>
            </w:pPr>
            <w:r w:rsidRPr="008B2F8A">
              <w:rPr>
                <w:szCs w:val="20"/>
              </w:rPr>
              <w:t>120</w:t>
            </w:r>
          </w:p>
        </w:tc>
        <w:tc>
          <w:tcPr>
            <w:tcW w:w="0" w:type="auto"/>
          </w:tcPr>
          <w:p w14:paraId="627D6B1D" w14:textId="2B70E0AB" w:rsidR="00003049" w:rsidRPr="008B2F8A" w:rsidRDefault="00003049" w:rsidP="00003049">
            <w:pPr>
              <w:pStyle w:val="TableText0"/>
              <w:spacing w:before="40" w:after="0"/>
              <w:ind w:right="113"/>
              <w:jc w:val="right"/>
              <w:rPr>
                <w:szCs w:val="20"/>
              </w:rPr>
            </w:pPr>
            <w:r w:rsidRPr="008B2F8A">
              <w:rPr>
                <w:szCs w:val="20"/>
              </w:rPr>
              <w:t>-</w:t>
            </w:r>
          </w:p>
        </w:tc>
      </w:tr>
      <w:tr w:rsidR="00003049" w:rsidRPr="008B2F8A" w14:paraId="6F372F63" w14:textId="726F3B72" w:rsidTr="00003049">
        <w:trPr>
          <w:cantSplit/>
        </w:trPr>
        <w:tc>
          <w:tcPr>
            <w:tcW w:w="4306" w:type="dxa"/>
            <w:tcBorders>
              <w:bottom w:val="single" w:sz="4" w:space="0" w:color="auto"/>
            </w:tcBorders>
          </w:tcPr>
          <w:p w14:paraId="0597C813" w14:textId="588BA249" w:rsidR="00003049" w:rsidRPr="008B2F8A" w:rsidRDefault="00003049" w:rsidP="00003049">
            <w:pPr>
              <w:pStyle w:val="TableText0"/>
              <w:keepNext w:val="0"/>
              <w:spacing w:before="40" w:after="0" w:line="276" w:lineRule="auto"/>
            </w:pPr>
            <w:r w:rsidRPr="008B2F8A">
              <w:t xml:space="preserve">Combined EMBASE.com, PreMEDLINE and Cochrane Library </w:t>
            </w:r>
          </w:p>
        </w:tc>
        <w:tc>
          <w:tcPr>
            <w:tcW w:w="935" w:type="dxa"/>
            <w:tcBorders>
              <w:bottom w:val="single" w:sz="4" w:space="0" w:color="auto"/>
            </w:tcBorders>
          </w:tcPr>
          <w:p w14:paraId="2AE323E5" w14:textId="7FDDB032"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bottom w:val="single" w:sz="4" w:space="0" w:color="auto"/>
            </w:tcBorders>
          </w:tcPr>
          <w:p w14:paraId="66E4DB5C" w14:textId="76BD5AA8"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bottom w:val="single" w:sz="4" w:space="0" w:color="auto"/>
            </w:tcBorders>
          </w:tcPr>
          <w:p w14:paraId="74C04A16" w14:textId="594BDFD5"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bottom w:val="single" w:sz="4" w:space="0" w:color="auto"/>
            </w:tcBorders>
          </w:tcPr>
          <w:p w14:paraId="304C03B6" w14:textId="4ED6D182"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bottom w:val="single" w:sz="4" w:space="0" w:color="auto"/>
            </w:tcBorders>
          </w:tcPr>
          <w:p w14:paraId="4071F3B6" w14:textId="2467C728" w:rsidR="00003049" w:rsidRPr="000671D4" w:rsidRDefault="00003049" w:rsidP="00003049">
            <w:pPr>
              <w:pStyle w:val="TableText0"/>
              <w:spacing w:before="40" w:after="0"/>
              <w:ind w:right="113"/>
              <w:jc w:val="right"/>
              <w:rPr>
                <w:color w:val="FFFFFF" w:themeColor="background1"/>
              </w:rPr>
            </w:pPr>
            <w:r w:rsidRPr="008B2F8A">
              <w:rPr>
                <w:szCs w:val="20"/>
              </w:rPr>
              <w:t>772</w:t>
            </w:r>
          </w:p>
        </w:tc>
      </w:tr>
      <w:tr w:rsidR="00003049" w:rsidRPr="008B2F8A" w14:paraId="6624542D" w14:textId="665CD271" w:rsidTr="00003049">
        <w:trPr>
          <w:cantSplit/>
        </w:trPr>
        <w:tc>
          <w:tcPr>
            <w:tcW w:w="4306" w:type="dxa"/>
            <w:tcBorders>
              <w:bottom w:val="nil"/>
            </w:tcBorders>
          </w:tcPr>
          <w:p w14:paraId="3321D3BD" w14:textId="77777777" w:rsidR="00003049" w:rsidRPr="008B2F8A" w:rsidRDefault="00003049" w:rsidP="00003049">
            <w:pPr>
              <w:pStyle w:val="TableText0"/>
              <w:keepNext w:val="0"/>
              <w:spacing w:before="40" w:after="0" w:line="276" w:lineRule="auto"/>
            </w:pPr>
            <w:r w:rsidRPr="008B2F8A">
              <w:t>Number of citations excluded after title/abstract review:</w:t>
            </w:r>
          </w:p>
        </w:tc>
        <w:tc>
          <w:tcPr>
            <w:tcW w:w="935" w:type="dxa"/>
            <w:tcBorders>
              <w:bottom w:val="nil"/>
            </w:tcBorders>
          </w:tcPr>
          <w:p w14:paraId="33C4CD5B" w14:textId="22304DFB"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bottom w:val="nil"/>
            </w:tcBorders>
          </w:tcPr>
          <w:p w14:paraId="2006F1C7" w14:textId="322C6349"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bottom w:val="nil"/>
            </w:tcBorders>
          </w:tcPr>
          <w:p w14:paraId="45763157" w14:textId="6BE9BDD6"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bottom w:val="nil"/>
            </w:tcBorders>
          </w:tcPr>
          <w:p w14:paraId="25987DF1" w14:textId="01249E2D"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bottom w:val="nil"/>
            </w:tcBorders>
          </w:tcPr>
          <w:p w14:paraId="715523A2" w14:textId="3C500480" w:rsidR="00003049" w:rsidRPr="000671D4" w:rsidRDefault="00003049" w:rsidP="00003049">
            <w:pPr>
              <w:pStyle w:val="TableText0"/>
              <w:spacing w:before="40" w:after="0"/>
              <w:ind w:right="113"/>
              <w:jc w:val="right"/>
              <w:rPr>
                <w:color w:val="FFFFFF" w:themeColor="background1"/>
              </w:rPr>
            </w:pPr>
            <w:r w:rsidRPr="00AA62E6">
              <w:rPr>
                <w:color w:val="FFFFFF" w:themeColor="background1"/>
              </w:rPr>
              <w:t>-</w:t>
            </w:r>
          </w:p>
        </w:tc>
      </w:tr>
      <w:tr w:rsidR="00003049" w:rsidRPr="008B2F8A" w14:paraId="5FAFD74B" w14:textId="758FDB81" w:rsidTr="00003049">
        <w:trPr>
          <w:cantSplit/>
        </w:trPr>
        <w:tc>
          <w:tcPr>
            <w:tcW w:w="4306" w:type="dxa"/>
            <w:tcBorders>
              <w:top w:val="nil"/>
              <w:bottom w:val="nil"/>
            </w:tcBorders>
          </w:tcPr>
          <w:p w14:paraId="1ABE2315" w14:textId="77777777" w:rsidR="00003049" w:rsidRPr="008B2F8A" w:rsidRDefault="00003049" w:rsidP="00003049">
            <w:pPr>
              <w:pStyle w:val="TableBullet"/>
              <w:keepNext w:val="0"/>
              <w:numPr>
                <w:ilvl w:val="0"/>
                <w:numId w:val="31"/>
              </w:numPr>
              <w:spacing w:before="40" w:after="0" w:line="276" w:lineRule="auto"/>
            </w:pPr>
            <w:r w:rsidRPr="008B2F8A">
              <w:t>duplicates</w:t>
            </w:r>
          </w:p>
        </w:tc>
        <w:tc>
          <w:tcPr>
            <w:tcW w:w="935" w:type="dxa"/>
            <w:tcBorders>
              <w:top w:val="nil"/>
              <w:bottom w:val="nil"/>
            </w:tcBorders>
          </w:tcPr>
          <w:p w14:paraId="0B54A337" w14:textId="74D4D952"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49062C81" w14:textId="24A208BE"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0CE61B32" w14:textId="773619E4"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196F58D6" w14:textId="77777777"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top w:val="nil"/>
              <w:bottom w:val="nil"/>
            </w:tcBorders>
          </w:tcPr>
          <w:p w14:paraId="7188CB36" w14:textId="64C97A77" w:rsidR="00003049" w:rsidRPr="000671D4" w:rsidRDefault="00003049" w:rsidP="00003049">
            <w:pPr>
              <w:pStyle w:val="TableText0"/>
              <w:spacing w:before="40" w:after="0"/>
              <w:ind w:right="113"/>
              <w:jc w:val="right"/>
              <w:rPr>
                <w:color w:val="FFFFFF" w:themeColor="background1"/>
              </w:rPr>
            </w:pPr>
            <w:r w:rsidRPr="008B2F8A">
              <w:rPr>
                <w:szCs w:val="20"/>
              </w:rPr>
              <w:t>33</w:t>
            </w:r>
          </w:p>
        </w:tc>
      </w:tr>
      <w:tr w:rsidR="00003049" w:rsidRPr="008B2F8A" w14:paraId="12B1C37B" w14:textId="293C5B4A" w:rsidTr="00003049">
        <w:trPr>
          <w:cantSplit/>
        </w:trPr>
        <w:tc>
          <w:tcPr>
            <w:tcW w:w="4306" w:type="dxa"/>
            <w:tcBorders>
              <w:top w:val="nil"/>
              <w:bottom w:val="nil"/>
            </w:tcBorders>
          </w:tcPr>
          <w:p w14:paraId="77E33202" w14:textId="3D3630C6" w:rsidR="00003049" w:rsidRPr="008B2F8A" w:rsidRDefault="00003049" w:rsidP="00003049">
            <w:pPr>
              <w:pStyle w:val="TableBullet"/>
              <w:keepNext w:val="0"/>
              <w:numPr>
                <w:ilvl w:val="0"/>
                <w:numId w:val="31"/>
              </w:numPr>
              <w:spacing w:before="40" w:after="0" w:line="276" w:lineRule="auto"/>
            </w:pPr>
            <w:r w:rsidRPr="008B2F8A">
              <w:t>publication type (ie, editorial, non-systematic reviews, letters, articles before 2006)</w:t>
            </w:r>
          </w:p>
        </w:tc>
        <w:tc>
          <w:tcPr>
            <w:tcW w:w="935" w:type="dxa"/>
            <w:tcBorders>
              <w:top w:val="nil"/>
              <w:bottom w:val="nil"/>
            </w:tcBorders>
          </w:tcPr>
          <w:p w14:paraId="620267CB" w14:textId="62F9FDA2"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1154B456" w14:textId="2B842AA9"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7996F5B2" w14:textId="08656413"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0F5388BF" w14:textId="77777777"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top w:val="nil"/>
              <w:bottom w:val="nil"/>
            </w:tcBorders>
          </w:tcPr>
          <w:p w14:paraId="2B01A267" w14:textId="206C0A83" w:rsidR="00003049" w:rsidRPr="000671D4" w:rsidRDefault="00003049" w:rsidP="00003049">
            <w:pPr>
              <w:pStyle w:val="TableText0"/>
              <w:spacing w:before="40" w:after="0"/>
              <w:ind w:right="113"/>
              <w:jc w:val="right"/>
              <w:rPr>
                <w:color w:val="FFFFFF" w:themeColor="background1"/>
              </w:rPr>
            </w:pPr>
            <w:r w:rsidRPr="008B2F8A">
              <w:rPr>
                <w:szCs w:val="20"/>
              </w:rPr>
              <w:t>187</w:t>
            </w:r>
          </w:p>
        </w:tc>
      </w:tr>
      <w:tr w:rsidR="00003049" w:rsidRPr="008B2F8A" w14:paraId="4A05B2E5" w14:textId="54131921" w:rsidTr="00003049">
        <w:trPr>
          <w:cantSplit/>
        </w:trPr>
        <w:tc>
          <w:tcPr>
            <w:tcW w:w="4306" w:type="dxa"/>
            <w:tcBorders>
              <w:top w:val="nil"/>
              <w:bottom w:val="nil"/>
            </w:tcBorders>
          </w:tcPr>
          <w:p w14:paraId="48A51316" w14:textId="77777777" w:rsidR="00003049" w:rsidRPr="008B2F8A" w:rsidRDefault="00003049" w:rsidP="00003049">
            <w:pPr>
              <w:pStyle w:val="TableBullet"/>
              <w:keepNext w:val="0"/>
              <w:numPr>
                <w:ilvl w:val="0"/>
                <w:numId w:val="31"/>
              </w:numPr>
              <w:spacing w:before="40" w:after="0" w:line="276" w:lineRule="auto"/>
            </w:pPr>
            <w:r w:rsidRPr="008B2F8A">
              <w:t>wrong participant group</w:t>
            </w:r>
          </w:p>
        </w:tc>
        <w:tc>
          <w:tcPr>
            <w:tcW w:w="935" w:type="dxa"/>
            <w:tcBorders>
              <w:top w:val="nil"/>
              <w:bottom w:val="nil"/>
            </w:tcBorders>
          </w:tcPr>
          <w:p w14:paraId="7FD9FED1" w14:textId="34BCD5BD"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6911913C" w14:textId="4B608D46"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61FD87A2" w14:textId="5218998F"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506B937B" w14:textId="77777777"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top w:val="nil"/>
              <w:bottom w:val="nil"/>
            </w:tcBorders>
          </w:tcPr>
          <w:p w14:paraId="7A74F66B" w14:textId="6BDC10EA" w:rsidR="00003049" w:rsidRPr="000671D4" w:rsidRDefault="00003049" w:rsidP="00003049">
            <w:pPr>
              <w:pStyle w:val="TableText0"/>
              <w:spacing w:before="40" w:after="0"/>
              <w:ind w:right="113"/>
              <w:jc w:val="right"/>
              <w:rPr>
                <w:color w:val="FFFFFF" w:themeColor="background1"/>
              </w:rPr>
            </w:pPr>
            <w:r w:rsidRPr="008B2F8A">
              <w:rPr>
                <w:szCs w:val="20"/>
              </w:rPr>
              <w:t>136</w:t>
            </w:r>
          </w:p>
        </w:tc>
      </w:tr>
      <w:tr w:rsidR="00003049" w:rsidRPr="008B2F8A" w14:paraId="185352F1" w14:textId="5A248092" w:rsidTr="00003049">
        <w:trPr>
          <w:cantSplit/>
        </w:trPr>
        <w:tc>
          <w:tcPr>
            <w:tcW w:w="4306" w:type="dxa"/>
            <w:tcBorders>
              <w:top w:val="nil"/>
              <w:bottom w:val="nil"/>
            </w:tcBorders>
          </w:tcPr>
          <w:p w14:paraId="57ACD388" w14:textId="77777777" w:rsidR="00003049" w:rsidRPr="008B2F8A" w:rsidRDefault="00003049" w:rsidP="00003049">
            <w:pPr>
              <w:pStyle w:val="TableBullet"/>
              <w:keepNext w:val="0"/>
              <w:numPr>
                <w:ilvl w:val="0"/>
                <w:numId w:val="31"/>
              </w:numPr>
              <w:spacing w:before="40" w:after="0" w:line="276" w:lineRule="auto"/>
            </w:pPr>
            <w:r w:rsidRPr="008B2F8A">
              <w:t>wrong intervention</w:t>
            </w:r>
          </w:p>
        </w:tc>
        <w:tc>
          <w:tcPr>
            <w:tcW w:w="935" w:type="dxa"/>
            <w:tcBorders>
              <w:top w:val="nil"/>
              <w:bottom w:val="nil"/>
            </w:tcBorders>
          </w:tcPr>
          <w:p w14:paraId="1C3BE82B" w14:textId="14C7E8B4"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41467258" w14:textId="54370E7E"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469D60B3" w14:textId="5F33CE17"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2041D349" w14:textId="77777777"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top w:val="nil"/>
              <w:bottom w:val="nil"/>
            </w:tcBorders>
          </w:tcPr>
          <w:p w14:paraId="4B992A57" w14:textId="7481CC3A" w:rsidR="00003049" w:rsidRPr="000671D4" w:rsidRDefault="00003049" w:rsidP="00003049">
            <w:pPr>
              <w:pStyle w:val="TableText0"/>
              <w:spacing w:before="40" w:after="0"/>
              <w:ind w:right="113"/>
              <w:jc w:val="right"/>
              <w:rPr>
                <w:color w:val="FFFFFF" w:themeColor="background1"/>
              </w:rPr>
            </w:pPr>
            <w:r w:rsidRPr="008B2F8A">
              <w:rPr>
                <w:szCs w:val="20"/>
              </w:rPr>
              <w:t>129</w:t>
            </w:r>
          </w:p>
        </w:tc>
      </w:tr>
      <w:tr w:rsidR="00003049" w:rsidRPr="008B2F8A" w14:paraId="77E79F2B" w14:textId="5B22B248" w:rsidTr="00003049">
        <w:trPr>
          <w:cantSplit/>
        </w:trPr>
        <w:tc>
          <w:tcPr>
            <w:tcW w:w="4306" w:type="dxa"/>
            <w:tcBorders>
              <w:top w:val="nil"/>
              <w:bottom w:val="nil"/>
            </w:tcBorders>
          </w:tcPr>
          <w:p w14:paraId="4FA19C99" w14:textId="77777777" w:rsidR="00003049" w:rsidRPr="008B2F8A" w:rsidRDefault="00003049" w:rsidP="00003049">
            <w:pPr>
              <w:pStyle w:val="TableBullet"/>
              <w:keepNext w:val="0"/>
              <w:numPr>
                <w:ilvl w:val="0"/>
                <w:numId w:val="31"/>
              </w:numPr>
              <w:spacing w:before="40" w:after="0" w:line="276" w:lineRule="auto"/>
            </w:pPr>
            <w:r w:rsidRPr="008B2F8A">
              <w:t>wrong comparator</w:t>
            </w:r>
          </w:p>
        </w:tc>
        <w:tc>
          <w:tcPr>
            <w:tcW w:w="935" w:type="dxa"/>
            <w:tcBorders>
              <w:top w:val="nil"/>
              <w:bottom w:val="nil"/>
            </w:tcBorders>
          </w:tcPr>
          <w:p w14:paraId="06018A81" w14:textId="61762BC9"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042B2014" w14:textId="0D7A9949"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057A4F00" w14:textId="33574223"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59F71B85" w14:textId="77777777"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top w:val="nil"/>
              <w:bottom w:val="nil"/>
            </w:tcBorders>
          </w:tcPr>
          <w:p w14:paraId="128C404B" w14:textId="3284CA94" w:rsidR="00003049" w:rsidRPr="000671D4" w:rsidRDefault="00003049" w:rsidP="00003049">
            <w:pPr>
              <w:pStyle w:val="TableText0"/>
              <w:spacing w:before="40" w:after="0"/>
              <w:ind w:right="113"/>
              <w:jc w:val="right"/>
              <w:rPr>
                <w:color w:val="FFFFFF" w:themeColor="background1"/>
              </w:rPr>
            </w:pPr>
            <w:r w:rsidRPr="008B2F8A">
              <w:rPr>
                <w:szCs w:val="20"/>
              </w:rPr>
              <w:t>59</w:t>
            </w:r>
          </w:p>
        </w:tc>
      </w:tr>
      <w:tr w:rsidR="00003049" w:rsidRPr="008B2F8A" w14:paraId="39CEDF42" w14:textId="7365CA79" w:rsidTr="00003049">
        <w:trPr>
          <w:cantSplit/>
        </w:trPr>
        <w:tc>
          <w:tcPr>
            <w:tcW w:w="4306" w:type="dxa"/>
            <w:tcBorders>
              <w:top w:val="nil"/>
              <w:bottom w:val="nil"/>
            </w:tcBorders>
          </w:tcPr>
          <w:p w14:paraId="0BD23D5E" w14:textId="77777777" w:rsidR="00003049" w:rsidRPr="008B2F8A" w:rsidRDefault="00003049" w:rsidP="00003049">
            <w:pPr>
              <w:pStyle w:val="TableBullet"/>
              <w:keepNext w:val="0"/>
              <w:numPr>
                <w:ilvl w:val="0"/>
                <w:numId w:val="31"/>
              </w:numPr>
              <w:spacing w:before="40" w:after="0" w:line="276" w:lineRule="auto"/>
            </w:pPr>
            <w:r w:rsidRPr="008B2F8A">
              <w:t xml:space="preserve">did not report outcomes of interest </w:t>
            </w:r>
          </w:p>
        </w:tc>
        <w:tc>
          <w:tcPr>
            <w:tcW w:w="935" w:type="dxa"/>
            <w:tcBorders>
              <w:top w:val="nil"/>
              <w:bottom w:val="nil"/>
            </w:tcBorders>
          </w:tcPr>
          <w:p w14:paraId="1B8905A9" w14:textId="35911088"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72AAD4F2" w14:textId="193406C1"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1EB83CBB" w14:textId="7BF3C951"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6C5952EA" w14:textId="77777777"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top w:val="nil"/>
              <w:bottom w:val="nil"/>
            </w:tcBorders>
          </w:tcPr>
          <w:p w14:paraId="5D20AC22" w14:textId="2B5C4CD5" w:rsidR="00003049" w:rsidRPr="000671D4" w:rsidRDefault="00003049" w:rsidP="00003049">
            <w:pPr>
              <w:pStyle w:val="TableText0"/>
              <w:spacing w:before="40" w:after="0"/>
              <w:ind w:right="113"/>
              <w:jc w:val="right"/>
              <w:rPr>
                <w:color w:val="FFFFFF" w:themeColor="background1"/>
              </w:rPr>
            </w:pPr>
            <w:r w:rsidRPr="008B2F8A">
              <w:rPr>
                <w:szCs w:val="20"/>
              </w:rPr>
              <w:t>12</w:t>
            </w:r>
          </w:p>
        </w:tc>
      </w:tr>
      <w:tr w:rsidR="00003049" w:rsidRPr="008B2F8A" w14:paraId="7EF10CD6" w14:textId="0845CFA2" w:rsidTr="00003049">
        <w:trPr>
          <w:cantSplit/>
        </w:trPr>
        <w:tc>
          <w:tcPr>
            <w:tcW w:w="4306" w:type="dxa"/>
            <w:tcBorders>
              <w:top w:val="nil"/>
              <w:bottom w:val="nil"/>
            </w:tcBorders>
          </w:tcPr>
          <w:p w14:paraId="5057B161" w14:textId="77777777" w:rsidR="00003049" w:rsidRPr="008B2F8A" w:rsidRDefault="00003049" w:rsidP="00003049">
            <w:pPr>
              <w:pStyle w:val="TableText0"/>
              <w:keepNext w:val="0"/>
              <w:numPr>
                <w:ilvl w:val="0"/>
                <w:numId w:val="31"/>
              </w:numPr>
              <w:spacing w:before="40" w:after="0" w:line="276" w:lineRule="auto"/>
            </w:pPr>
            <w:r w:rsidRPr="008B2F8A">
              <w:t>non-English article</w:t>
            </w:r>
          </w:p>
        </w:tc>
        <w:tc>
          <w:tcPr>
            <w:tcW w:w="935" w:type="dxa"/>
            <w:tcBorders>
              <w:top w:val="nil"/>
              <w:bottom w:val="nil"/>
            </w:tcBorders>
          </w:tcPr>
          <w:p w14:paraId="4F3CBE3D" w14:textId="527F12E6"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685B087E" w14:textId="7004DFBD"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0761BDEB" w14:textId="06083BDE"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0CF71BC5" w14:textId="77777777" w:rsidR="00003049" w:rsidRPr="008B2F8A" w:rsidRDefault="00003049" w:rsidP="00003049">
            <w:pPr>
              <w:pStyle w:val="TableText0"/>
              <w:spacing w:before="40" w:after="0"/>
              <w:ind w:right="113"/>
              <w:jc w:val="right"/>
              <w:rPr>
                <w:szCs w:val="20"/>
              </w:rPr>
            </w:pPr>
            <w:r w:rsidRPr="000671D4">
              <w:rPr>
                <w:color w:val="FFFFFF" w:themeColor="background1"/>
              </w:rPr>
              <w:t>-</w:t>
            </w:r>
          </w:p>
        </w:tc>
        <w:tc>
          <w:tcPr>
            <w:tcW w:w="0" w:type="auto"/>
            <w:tcBorders>
              <w:top w:val="nil"/>
              <w:bottom w:val="nil"/>
            </w:tcBorders>
          </w:tcPr>
          <w:p w14:paraId="306C6E54" w14:textId="0EFC62A5" w:rsidR="00003049" w:rsidRPr="000671D4" w:rsidRDefault="00003049" w:rsidP="00003049">
            <w:pPr>
              <w:pStyle w:val="TableText0"/>
              <w:spacing w:before="40" w:after="0"/>
              <w:ind w:right="113"/>
              <w:jc w:val="right"/>
              <w:rPr>
                <w:color w:val="FFFFFF" w:themeColor="background1"/>
              </w:rPr>
            </w:pPr>
            <w:r w:rsidRPr="008B2F8A">
              <w:rPr>
                <w:szCs w:val="20"/>
              </w:rPr>
              <w:t>4</w:t>
            </w:r>
          </w:p>
        </w:tc>
      </w:tr>
      <w:tr w:rsidR="00003049" w:rsidRPr="008B2F8A" w14:paraId="3B04EB39" w14:textId="6DA8A84C" w:rsidTr="00003049">
        <w:trPr>
          <w:cantSplit/>
        </w:trPr>
        <w:tc>
          <w:tcPr>
            <w:tcW w:w="4306" w:type="dxa"/>
            <w:tcBorders>
              <w:top w:val="nil"/>
              <w:bottom w:val="nil"/>
            </w:tcBorders>
          </w:tcPr>
          <w:p w14:paraId="00865765" w14:textId="77777777" w:rsidR="00003049" w:rsidRPr="008B2F8A" w:rsidRDefault="00003049" w:rsidP="00003049">
            <w:pPr>
              <w:pStyle w:val="TableText0"/>
              <w:keepNext w:val="0"/>
              <w:spacing w:before="40" w:after="0" w:line="276" w:lineRule="auto"/>
            </w:pPr>
            <w:r w:rsidRPr="008B2F8A">
              <w:t>Total excluded</w:t>
            </w:r>
          </w:p>
        </w:tc>
        <w:tc>
          <w:tcPr>
            <w:tcW w:w="935" w:type="dxa"/>
            <w:tcBorders>
              <w:top w:val="nil"/>
              <w:bottom w:val="nil"/>
            </w:tcBorders>
          </w:tcPr>
          <w:p w14:paraId="3CD375AA" w14:textId="68BB0E11"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1755C88A" w14:textId="6B17853B"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50FB038A" w14:textId="005F0739"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1423C338" w14:textId="77777777" w:rsidR="00003049" w:rsidRPr="008B2F8A" w:rsidRDefault="00003049" w:rsidP="00003049">
            <w:pPr>
              <w:pStyle w:val="TableText0"/>
              <w:spacing w:before="40" w:after="0"/>
              <w:ind w:right="113"/>
              <w:jc w:val="right"/>
              <w:rPr>
                <w:szCs w:val="20"/>
              </w:rPr>
            </w:pPr>
            <w:r w:rsidRPr="008B2F8A">
              <w:rPr>
                <w:szCs w:val="20"/>
              </w:rPr>
              <w:t>102</w:t>
            </w:r>
          </w:p>
        </w:tc>
        <w:tc>
          <w:tcPr>
            <w:tcW w:w="0" w:type="auto"/>
            <w:tcBorders>
              <w:top w:val="nil"/>
              <w:bottom w:val="nil"/>
            </w:tcBorders>
          </w:tcPr>
          <w:p w14:paraId="5F47B79B" w14:textId="03611090" w:rsidR="00003049" w:rsidRPr="008B2F8A" w:rsidRDefault="00003049" w:rsidP="00003049">
            <w:pPr>
              <w:pStyle w:val="TableText0"/>
              <w:spacing w:before="40" w:after="0"/>
              <w:ind w:right="113"/>
              <w:jc w:val="right"/>
              <w:rPr>
                <w:szCs w:val="20"/>
              </w:rPr>
            </w:pPr>
            <w:r w:rsidRPr="008B2F8A">
              <w:rPr>
                <w:szCs w:val="20"/>
              </w:rPr>
              <w:t>560</w:t>
            </w:r>
          </w:p>
        </w:tc>
      </w:tr>
      <w:tr w:rsidR="00003049" w:rsidRPr="008B2F8A" w14:paraId="2F1A31D4" w14:textId="0698630A" w:rsidTr="00003049">
        <w:trPr>
          <w:cantSplit/>
        </w:trPr>
        <w:tc>
          <w:tcPr>
            <w:tcW w:w="4306" w:type="dxa"/>
            <w:tcBorders>
              <w:top w:val="nil"/>
            </w:tcBorders>
          </w:tcPr>
          <w:p w14:paraId="46C0C62B" w14:textId="77777777" w:rsidR="00003049" w:rsidRPr="008B2F8A" w:rsidRDefault="00003049" w:rsidP="00003049">
            <w:pPr>
              <w:pStyle w:val="TableText0"/>
              <w:keepNext w:val="0"/>
              <w:spacing w:before="40" w:after="0" w:line="276" w:lineRule="auto"/>
              <w:rPr>
                <w:b/>
              </w:rPr>
            </w:pPr>
            <w:r w:rsidRPr="008B2F8A">
              <w:rPr>
                <w:b/>
              </w:rPr>
              <w:t>Total remaining citations</w:t>
            </w:r>
          </w:p>
        </w:tc>
        <w:tc>
          <w:tcPr>
            <w:tcW w:w="935" w:type="dxa"/>
            <w:tcBorders>
              <w:top w:val="nil"/>
            </w:tcBorders>
          </w:tcPr>
          <w:p w14:paraId="6C7F3F01" w14:textId="77777777"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907" w:type="dxa"/>
            <w:tcBorders>
              <w:top w:val="nil"/>
            </w:tcBorders>
          </w:tcPr>
          <w:p w14:paraId="68A0EBF7" w14:textId="58A4C0A4"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926" w:type="dxa"/>
            <w:tcBorders>
              <w:top w:val="nil"/>
            </w:tcBorders>
          </w:tcPr>
          <w:p w14:paraId="0089646F" w14:textId="437F307E"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0" w:type="auto"/>
            <w:tcBorders>
              <w:top w:val="nil"/>
            </w:tcBorders>
          </w:tcPr>
          <w:p w14:paraId="488EF357" w14:textId="77777777" w:rsidR="00003049" w:rsidRPr="008B2F8A" w:rsidRDefault="00003049" w:rsidP="00003049">
            <w:pPr>
              <w:pStyle w:val="TableText0"/>
              <w:spacing w:before="40" w:after="0"/>
              <w:ind w:right="113"/>
              <w:jc w:val="right"/>
              <w:rPr>
                <w:b/>
                <w:szCs w:val="20"/>
              </w:rPr>
            </w:pPr>
            <w:r w:rsidRPr="008B2F8A">
              <w:rPr>
                <w:b/>
                <w:szCs w:val="20"/>
              </w:rPr>
              <w:t>12</w:t>
            </w:r>
          </w:p>
        </w:tc>
        <w:tc>
          <w:tcPr>
            <w:tcW w:w="0" w:type="auto"/>
            <w:tcBorders>
              <w:top w:val="nil"/>
            </w:tcBorders>
          </w:tcPr>
          <w:p w14:paraId="20DF44D1" w14:textId="3DC515C4" w:rsidR="00003049" w:rsidRPr="008B2F8A" w:rsidRDefault="00003049" w:rsidP="00003049">
            <w:pPr>
              <w:pStyle w:val="TableText0"/>
              <w:spacing w:before="40" w:after="0"/>
              <w:ind w:right="113"/>
              <w:jc w:val="right"/>
              <w:rPr>
                <w:b/>
                <w:szCs w:val="20"/>
              </w:rPr>
            </w:pPr>
            <w:r w:rsidRPr="008B2F8A">
              <w:rPr>
                <w:b/>
                <w:szCs w:val="20"/>
              </w:rPr>
              <w:t>212</w:t>
            </w:r>
          </w:p>
        </w:tc>
      </w:tr>
      <w:tr w:rsidR="00003049" w:rsidRPr="008B2F8A" w14:paraId="292C7F9C" w14:textId="1523D5E2" w:rsidTr="00003049">
        <w:trPr>
          <w:cantSplit/>
        </w:trPr>
        <w:tc>
          <w:tcPr>
            <w:tcW w:w="4306" w:type="dxa"/>
          </w:tcPr>
          <w:p w14:paraId="1AF64C50" w14:textId="2FA05290" w:rsidR="00003049" w:rsidRPr="008B2F8A" w:rsidRDefault="00003049" w:rsidP="00003049">
            <w:pPr>
              <w:pStyle w:val="TableText0"/>
              <w:keepNext w:val="0"/>
              <w:spacing w:before="40" w:after="0" w:line="276" w:lineRule="auto"/>
            </w:pPr>
            <w:r w:rsidRPr="008B2F8A">
              <w:t xml:space="preserve">No. of </w:t>
            </w:r>
            <w:r>
              <w:t xml:space="preserve">relevant </w:t>
            </w:r>
            <w:r w:rsidRPr="008B2F8A">
              <w:t xml:space="preserve">citations </w:t>
            </w:r>
            <w:r>
              <w:t>identified in MBS interim-funded search (Table B.1)</w:t>
            </w:r>
          </w:p>
        </w:tc>
        <w:tc>
          <w:tcPr>
            <w:tcW w:w="935" w:type="dxa"/>
          </w:tcPr>
          <w:p w14:paraId="75DA58AC" w14:textId="325DFA03"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Pr>
          <w:p w14:paraId="5488C6DA" w14:textId="5A4D2093"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Pr>
          <w:p w14:paraId="1E418984" w14:textId="5BE79F49"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Pr>
          <w:p w14:paraId="24609B24" w14:textId="77777777" w:rsidR="00003049" w:rsidRPr="008B2F8A" w:rsidRDefault="00003049" w:rsidP="00003049">
            <w:pPr>
              <w:pStyle w:val="TableText0"/>
              <w:spacing w:before="40" w:after="0"/>
              <w:ind w:right="113"/>
              <w:jc w:val="right"/>
              <w:rPr>
                <w:szCs w:val="20"/>
              </w:rPr>
            </w:pPr>
            <w:r w:rsidRPr="008B2F8A">
              <w:rPr>
                <w:szCs w:val="20"/>
              </w:rPr>
              <w:t>0</w:t>
            </w:r>
          </w:p>
        </w:tc>
        <w:tc>
          <w:tcPr>
            <w:tcW w:w="0" w:type="auto"/>
          </w:tcPr>
          <w:p w14:paraId="67970534" w14:textId="4CE0D58C" w:rsidR="00003049" w:rsidRPr="008B2F8A" w:rsidRDefault="00003049" w:rsidP="00003049">
            <w:pPr>
              <w:pStyle w:val="TableText0"/>
              <w:spacing w:before="40" w:after="0"/>
              <w:ind w:right="113"/>
              <w:jc w:val="right"/>
              <w:rPr>
                <w:szCs w:val="20"/>
              </w:rPr>
            </w:pPr>
            <w:r w:rsidRPr="008B2F8A">
              <w:rPr>
                <w:szCs w:val="20"/>
              </w:rPr>
              <w:t>23</w:t>
            </w:r>
          </w:p>
        </w:tc>
      </w:tr>
      <w:tr w:rsidR="00003049" w:rsidRPr="008B2F8A" w14:paraId="1234323F" w14:textId="5EBD1501" w:rsidTr="00003049">
        <w:trPr>
          <w:cantSplit/>
        </w:trPr>
        <w:tc>
          <w:tcPr>
            <w:tcW w:w="4306" w:type="dxa"/>
            <w:tcBorders>
              <w:bottom w:val="single" w:sz="4" w:space="0" w:color="auto"/>
            </w:tcBorders>
          </w:tcPr>
          <w:p w14:paraId="2B283ABF" w14:textId="77777777" w:rsidR="00003049" w:rsidRPr="008B2F8A" w:rsidRDefault="00003049" w:rsidP="00003049">
            <w:pPr>
              <w:pStyle w:val="TableText0"/>
              <w:keepNext w:val="0"/>
              <w:spacing w:before="40" w:after="0" w:line="276" w:lineRule="auto"/>
              <w:rPr>
                <w:b/>
              </w:rPr>
            </w:pPr>
            <w:r w:rsidRPr="008B2F8A">
              <w:rPr>
                <w:b/>
              </w:rPr>
              <w:t>Total no. of citations potentially relevant</w:t>
            </w:r>
          </w:p>
        </w:tc>
        <w:tc>
          <w:tcPr>
            <w:tcW w:w="935" w:type="dxa"/>
            <w:tcBorders>
              <w:bottom w:val="single" w:sz="4" w:space="0" w:color="auto"/>
            </w:tcBorders>
          </w:tcPr>
          <w:p w14:paraId="41627845" w14:textId="5FD6A556"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907" w:type="dxa"/>
            <w:tcBorders>
              <w:bottom w:val="single" w:sz="4" w:space="0" w:color="auto"/>
            </w:tcBorders>
          </w:tcPr>
          <w:p w14:paraId="79ACC275" w14:textId="4891AAB6"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926" w:type="dxa"/>
            <w:tcBorders>
              <w:bottom w:val="single" w:sz="4" w:space="0" w:color="auto"/>
            </w:tcBorders>
          </w:tcPr>
          <w:p w14:paraId="73AD0913" w14:textId="174ED320"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0" w:type="auto"/>
            <w:tcBorders>
              <w:bottom w:val="single" w:sz="4" w:space="0" w:color="auto"/>
            </w:tcBorders>
          </w:tcPr>
          <w:p w14:paraId="0F1776C6" w14:textId="77777777" w:rsidR="00003049" w:rsidRPr="008B2F8A" w:rsidRDefault="00003049" w:rsidP="00003049">
            <w:pPr>
              <w:pStyle w:val="TableText0"/>
              <w:spacing w:before="40" w:after="0"/>
              <w:ind w:right="113"/>
              <w:jc w:val="right"/>
              <w:rPr>
                <w:b/>
                <w:szCs w:val="20"/>
              </w:rPr>
            </w:pPr>
            <w:r w:rsidRPr="008B2F8A">
              <w:rPr>
                <w:b/>
                <w:szCs w:val="20"/>
              </w:rPr>
              <w:t>12</w:t>
            </w:r>
          </w:p>
        </w:tc>
        <w:tc>
          <w:tcPr>
            <w:tcW w:w="0" w:type="auto"/>
            <w:tcBorders>
              <w:bottom w:val="single" w:sz="4" w:space="0" w:color="auto"/>
            </w:tcBorders>
          </w:tcPr>
          <w:p w14:paraId="1377BF43" w14:textId="686D316D" w:rsidR="00003049" w:rsidRPr="008B2F8A" w:rsidRDefault="00003049" w:rsidP="00003049">
            <w:pPr>
              <w:pStyle w:val="TableText0"/>
              <w:spacing w:before="40" w:after="0"/>
              <w:ind w:right="113"/>
              <w:jc w:val="right"/>
              <w:rPr>
                <w:b/>
                <w:szCs w:val="20"/>
              </w:rPr>
            </w:pPr>
            <w:r w:rsidRPr="008B2F8A">
              <w:rPr>
                <w:b/>
                <w:szCs w:val="20"/>
              </w:rPr>
              <w:t>235</w:t>
            </w:r>
          </w:p>
        </w:tc>
      </w:tr>
      <w:tr w:rsidR="00003049" w:rsidRPr="008B2F8A" w14:paraId="230CA966" w14:textId="02DB1888" w:rsidTr="00003049">
        <w:trPr>
          <w:cantSplit/>
        </w:trPr>
        <w:tc>
          <w:tcPr>
            <w:tcW w:w="4306" w:type="dxa"/>
            <w:tcBorders>
              <w:bottom w:val="nil"/>
            </w:tcBorders>
          </w:tcPr>
          <w:p w14:paraId="777843B8" w14:textId="77777777" w:rsidR="00003049" w:rsidRPr="008B2F8A" w:rsidRDefault="00003049" w:rsidP="00003049">
            <w:pPr>
              <w:pStyle w:val="TableText0"/>
              <w:keepNext w:val="0"/>
              <w:spacing w:before="40" w:after="0" w:line="276" w:lineRule="auto"/>
            </w:pPr>
            <w:r w:rsidRPr="008B2F8A">
              <w:t>Number of citations excluded after full text review:</w:t>
            </w:r>
          </w:p>
        </w:tc>
        <w:tc>
          <w:tcPr>
            <w:tcW w:w="935" w:type="dxa"/>
            <w:tcBorders>
              <w:bottom w:val="nil"/>
            </w:tcBorders>
          </w:tcPr>
          <w:p w14:paraId="5BCAE9D2" w14:textId="46061F48"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bottom w:val="nil"/>
            </w:tcBorders>
          </w:tcPr>
          <w:p w14:paraId="1279006C" w14:textId="73EAF0E2"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bottom w:val="nil"/>
            </w:tcBorders>
          </w:tcPr>
          <w:p w14:paraId="4711EEA0" w14:textId="1728053E"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bottom w:val="nil"/>
            </w:tcBorders>
          </w:tcPr>
          <w:p w14:paraId="08C5B064" w14:textId="77777777" w:rsidR="00003049" w:rsidRPr="008B2F8A" w:rsidRDefault="00003049" w:rsidP="00003049">
            <w:pPr>
              <w:pStyle w:val="TableText0"/>
              <w:spacing w:before="40" w:after="0"/>
              <w:ind w:right="113"/>
              <w:jc w:val="right"/>
              <w:rPr>
                <w:szCs w:val="20"/>
              </w:rPr>
            </w:pPr>
            <w:r w:rsidRPr="00AA62E6">
              <w:rPr>
                <w:color w:val="FFFFFF" w:themeColor="background1"/>
              </w:rPr>
              <w:t>-</w:t>
            </w:r>
          </w:p>
        </w:tc>
        <w:tc>
          <w:tcPr>
            <w:tcW w:w="0" w:type="auto"/>
            <w:tcBorders>
              <w:bottom w:val="nil"/>
            </w:tcBorders>
          </w:tcPr>
          <w:p w14:paraId="04230800" w14:textId="400E0D12" w:rsidR="00003049" w:rsidRPr="00AA62E6" w:rsidRDefault="00003049" w:rsidP="00003049">
            <w:pPr>
              <w:pStyle w:val="TableText0"/>
              <w:spacing w:before="40" w:after="0"/>
              <w:ind w:right="113"/>
              <w:jc w:val="right"/>
              <w:rPr>
                <w:color w:val="FFFFFF" w:themeColor="background1"/>
              </w:rPr>
            </w:pPr>
            <w:r w:rsidRPr="00AA62E6">
              <w:rPr>
                <w:color w:val="FFFFFF" w:themeColor="background1"/>
              </w:rPr>
              <w:t>-</w:t>
            </w:r>
          </w:p>
        </w:tc>
      </w:tr>
      <w:tr w:rsidR="00003049" w:rsidRPr="008B2F8A" w14:paraId="0C205177" w14:textId="46A6833D" w:rsidTr="00003049">
        <w:trPr>
          <w:cantSplit/>
        </w:trPr>
        <w:tc>
          <w:tcPr>
            <w:tcW w:w="4306" w:type="dxa"/>
            <w:tcBorders>
              <w:top w:val="nil"/>
              <w:bottom w:val="nil"/>
            </w:tcBorders>
          </w:tcPr>
          <w:p w14:paraId="37CB62F4" w14:textId="77777777" w:rsidR="00003049" w:rsidRPr="008B2F8A" w:rsidRDefault="00003049" w:rsidP="00003049">
            <w:pPr>
              <w:pStyle w:val="TableBullet"/>
              <w:keepNext w:val="0"/>
              <w:numPr>
                <w:ilvl w:val="0"/>
                <w:numId w:val="31"/>
              </w:numPr>
              <w:spacing w:before="40" w:after="0" w:line="276" w:lineRule="auto"/>
            </w:pPr>
            <w:r w:rsidRPr="008B2F8A">
              <w:t>potentially relevant for interim-funded MBS item</w:t>
            </w:r>
          </w:p>
        </w:tc>
        <w:tc>
          <w:tcPr>
            <w:tcW w:w="935" w:type="dxa"/>
            <w:tcBorders>
              <w:top w:val="nil"/>
              <w:bottom w:val="nil"/>
            </w:tcBorders>
          </w:tcPr>
          <w:p w14:paraId="10A00DA0" w14:textId="755DC7A7"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67376493" w14:textId="29C15159"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531A571C" w14:textId="785A8A96"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124C1723" w14:textId="77777777" w:rsidR="00003049" w:rsidRPr="008B2F8A" w:rsidRDefault="00003049" w:rsidP="00003049">
            <w:pPr>
              <w:pStyle w:val="TableText0"/>
              <w:spacing w:before="40" w:after="0"/>
              <w:ind w:right="113"/>
              <w:jc w:val="right"/>
              <w:rPr>
                <w:szCs w:val="20"/>
              </w:rPr>
            </w:pPr>
            <w:r w:rsidRPr="008B2F8A">
              <w:rPr>
                <w:szCs w:val="20"/>
              </w:rPr>
              <w:t>9</w:t>
            </w:r>
          </w:p>
        </w:tc>
        <w:tc>
          <w:tcPr>
            <w:tcW w:w="0" w:type="auto"/>
            <w:tcBorders>
              <w:top w:val="nil"/>
              <w:bottom w:val="nil"/>
            </w:tcBorders>
          </w:tcPr>
          <w:p w14:paraId="63A680C9" w14:textId="761849A5" w:rsidR="00003049" w:rsidRPr="008B2F8A" w:rsidRDefault="00003049" w:rsidP="00003049">
            <w:pPr>
              <w:pStyle w:val="TableText0"/>
              <w:spacing w:before="40" w:after="0"/>
              <w:ind w:right="113"/>
              <w:jc w:val="right"/>
              <w:rPr>
                <w:szCs w:val="20"/>
              </w:rPr>
            </w:pPr>
            <w:r w:rsidRPr="008B2F8A">
              <w:rPr>
                <w:szCs w:val="20"/>
              </w:rPr>
              <w:t>24</w:t>
            </w:r>
          </w:p>
        </w:tc>
      </w:tr>
      <w:tr w:rsidR="00003049" w:rsidRPr="008B2F8A" w14:paraId="7866220A" w14:textId="5D0EF1B1" w:rsidTr="00003049">
        <w:trPr>
          <w:cantSplit/>
        </w:trPr>
        <w:tc>
          <w:tcPr>
            <w:tcW w:w="4306" w:type="dxa"/>
            <w:tcBorders>
              <w:top w:val="nil"/>
              <w:bottom w:val="nil"/>
            </w:tcBorders>
          </w:tcPr>
          <w:p w14:paraId="4EE1FB1A" w14:textId="77777777" w:rsidR="00003049" w:rsidRPr="008B2F8A" w:rsidRDefault="00003049" w:rsidP="00003049">
            <w:pPr>
              <w:pStyle w:val="TableBullet"/>
              <w:keepNext w:val="0"/>
              <w:numPr>
                <w:ilvl w:val="0"/>
                <w:numId w:val="31"/>
              </w:numPr>
              <w:spacing w:before="40" w:after="0" w:line="276" w:lineRule="auto"/>
            </w:pPr>
            <w:r w:rsidRPr="008B2F8A">
              <w:t>publication type or study design</w:t>
            </w:r>
          </w:p>
        </w:tc>
        <w:tc>
          <w:tcPr>
            <w:tcW w:w="935" w:type="dxa"/>
            <w:tcBorders>
              <w:top w:val="nil"/>
              <w:bottom w:val="nil"/>
            </w:tcBorders>
          </w:tcPr>
          <w:p w14:paraId="4E6AE91D" w14:textId="448392BB"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767DE11D" w14:textId="06A0DB8A"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5631FEBC" w14:textId="6412FB2C"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27C62AD6" w14:textId="77777777" w:rsidR="00003049" w:rsidRPr="008B2F8A" w:rsidRDefault="00003049" w:rsidP="00003049">
            <w:pPr>
              <w:pStyle w:val="TableText0"/>
              <w:spacing w:before="40" w:after="0"/>
              <w:ind w:right="113"/>
              <w:jc w:val="right"/>
              <w:rPr>
                <w:szCs w:val="20"/>
              </w:rPr>
            </w:pPr>
            <w:r w:rsidRPr="008D1F4B">
              <w:rPr>
                <w:color w:val="FFFFFF" w:themeColor="background1"/>
              </w:rPr>
              <w:t>-</w:t>
            </w:r>
          </w:p>
        </w:tc>
        <w:tc>
          <w:tcPr>
            <w:tcW w:w="0" w:type="auto"/>
            <w:tcBorders>
              <w:top w:val="nil"/>
              <w:bottom w:val="nil"/>
            </w:tcBorders>
          </w:tcPr>
          <w:p w14:paraId="0929EFAD" w14:textId="1CCE448B" w:rsidR="00003049" w:rsidRPr="008D1F4B" w:rsidRDefault="00003049" w:rsidP="00003049">
            <w:pPr>
              <w:pStyle w:val="TableText0"/>
              <w:spacing w:before="40" w:after="0"/>
              <w:ind w:right="113"/>
              <w:jc w:val="right"/>
              <w:rPr>
                <w:color w:val="FFFFFF" w:themeColor="background1"/>
              </w:rPr>
            </w:pPr>
            <w:r w:rsidRPr="008B2F8A">
              <w:rPr>
                <w:szCs w:val="20"/>
              </w:rPr>
              <w:t>61</w:t>
            </w:r>
          </w:p>
        </w:tc>
      </w:tr>
      <w:tr w:rsidR="00003049" w:rsidRPr="008B2F8A" w14:paraId="3B10D9FF" w14:textId="3BB7E82D" w:rsidTr="00003049">
        <w:trPr>
          <w:cantSplit/>
        </w:trPr>
        <w:tc>
          <w:tcPr>
            <w:tcW w:w="4306" w:type="dxa"/>
            <w:tcBorders>
              <w:top w:val="nil"/>
              <w:bottom w:val="nil"/>
            </w:tcBorders>
          </w:tcPr>
          <w:p w14:paraId="0134D2B9" w14:textId="77777777" w:rsidR="00003049" w:rsidRPr="008B2F8A" w:rsidRDefault="00003049" w:rsidP="00003049">
            <w:pPr>
              <w:pStyle w:val="TableBullet"/>
              <w:keepNext w:val="0"/>
              <w:numPr>
                <w:ilvl w:val="0"/>
                <w:numId w:val="31"/>
              </w:numPr>
              <w:spacing w:before="40" w:after="0" w:line="276" w:lineRule="auto"/>
            </w:pPr>
            <w:r w:rsidRPr="008B2F8A">
              <w:t>wrong participant group</w:t>
            </w:r>
          </w:p>
        </w:tc>
        <w:tc>
          <w:tcPr>
            <w:tcW w:w="935" w:type="dxa"/>
            <w:tcBorders>
              <w:top w:val="nil"/>
              <w:bottom w:val="nil"/>
            </w:tcBorders>
          </w:tcPr>
          <w:p w14:paraId="6284A4B3" w14:textId="473AB01C"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15AF484A" w14:textId="3182F5F1"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0074F4FC" w14:textId="0821FB3E"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3AD93D49" w14:textId="77777777" w:rsidR="00003049" w:rsidRPr="008B2F8A" w:rsidRDefault="00003049" w:rsidP="00003049">
            <w:pPr>
              <w:pStyle w:val="TableText0"/>
              <w:spacing w:before="40" w:after="0"/>
              <w:ind w:right="113"/>
              <w:jc w:val="right"/>
              <w:rPr>
                <w:szCs w:val="20"/>
              </w:rPr>
            </w:pPr>
            <w:r w:rsidRPr="008D1F4B">
              <w:rPr>
                <w:color w:val="FFFFFF" w:themeColor="background1"/>
              </w:rPr>
              <w:t>-</w:t>
            </w:r>
          </w:p>
        </w:tc>
        <w:tc>
          <w:tcPr>
            <w:tcW w:w="0" w:type="auto"/>
            <w:tcBorders>
              <w:top w:val="nil"/>
              <w:bottom w:val="nil"/>
            </w:tcBorders>
          </w:tcPr>
          <w:p w14:paraId="2F43662B" w14:textId="302836E1" w:rsidR="00003049" w:rsidRPr="008D1F4B" w:rsidRDefault="00003049" w:rsidP="00003049">
            <w:pPr>
              <w:pStyle w:val="TableText0"/>
              <w:spacing w:before="40" w:after="0"/>
              <w:ind w:right="113"/>
              <w:jc w:val="right"/>
              <w:rPr>
                <w:color w:val="FFFFFF" w:themeColor="background1"/>
              </w:rPr>
            </w:pPr>
            <w:r w:rsidRPr="008B2F8A">
              <w:rPr>
                <w:szCs w:val="20"/>
              </w:rPr>
              <w:t>50</w:t>
            </w:r>
          </w:p>
        </w:tc>
      </w:tr>
      <w:tr w:rsidR="00003049" w:rsidRPr="008B2F8A" w14:paraId="14BDC190" w14:textId="1C1BDB5A" w:rsidTr="00003049">
        <w:trPr>
          <w:cantSplit/>
        </w:trPr>
        <w:tc>
          <w:tcPr>
            <w:tcW w:w="4306" w:type="dxa"/>
            <w:tcBorders>
              <w:top w:val="nil"/>
              <w:bottom w:val="nil"/>
            </w:tcBorders>
          </w:tcPr>
          <w:p w14:paraId="1087DDE9" w14:textId="77777777" w:rsidR="00003049" w:rsidRPr="008B2F8A" w:rsidRDefault="00003049" w:rsidP="00003049">
            <w:pPr>
              <w:pStyle w:val="TableBullet"/>
              <w:keepNext w:val="0"/>
              <w:numPr>
                <w:ilvl w:val="0"/>
                <w:numId w:val="31"/>
              </w:numPr>
              <w:spacing w:before="40" w:after="0" w:line="276" w:lineRule="auto"/>
            </w:pPr>
            <w:r w:rsidRPr="008B2F8A">
              <w:t>wrong intervention</w:t>
            </w:r>
          </w:p>
        </w:tc>
        <w:tc>
          <w:tcPr>
            <w:tcW w:w="935" w:type="dxa"/>
            <w:tcBorders>
              <w:top w:val="nil"/>
              <w:bottom w:val="nil"/>
            </w:tcBorders>
          </w:tcPr>
          <w:p w14:paraId="4758F80E" w14:textId="1AB02117"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3B3104B5" w14:textId="71F21F3B"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628E6280" w14:textId="70A51D41"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5A449966" w14:textId="77777777" w:rsidR="00003049" w:rsidRPr="008B2F8A" w:rsidRDefault="00003049" w:rsidP="00003049">
            <w:pPr>
              <w:pStyle w:val="TableText0"/>
              <w:spacing w:before="40" w:after="0"/>
              <w:ind w:right="113"/>
              <w:jc w:val="right"/>
              <w:rPr>
                <w:szCs w:val="20"/>
              </w:rPr>
            </w:pPr>
            <w:r w:rsidRPr="008D1F4B">
              <w:rPr>
                <w:color w:val="FFFFFF" w:themeColor="background1"/>
              </w:rPr>
              <w:t>-</w:t>
            </w:r>
          </w:p>
        </w:tc>
        <w:tc>
          <w:tcPr>
            <w:tcW w:w="0" w:type="auto"/>
            <w:tcBorders>
              <w:top w:val="nil"/>
              <w:bottom w:val="nil"/>
            </w:tcBorders>
          </w:tcPr>
          <w:p w14:paraId="41E14A90" w14:textId="11CE19ED" w:rsidR="00003049" w:rsidRPr="008D1F4B" w:rsidRDefault="00003049" w:rsidP="00003049">
            <w:pPr>
              <w:pStyle w:val="TableText0"/>
              <w:spacing w:before="40" w:after="0"/>
              <w:ind w:right="113"/>
              <w:jc w:val="right"/>
              <w:rPr>
                <w:color w:val="FFFFFF" w:themeColor="background1"/>
              </w:rPr>
            </w:pPr>
            <w:r w:rsidRPr="008B2F8A">
              <w:rPr>
                <w:szCs w:val="20"/>
              </w:rPr>
              <w:t>36</w:t>
            </w:r>
          </w:p>
        </w:tc>
      </w:tr>
      <w:tr w:rsidR="00003049" w:rsidRPr="008B2F8A" w14:paraId="7D38CB5D" w14:textId="6163E8B4" w:rsidTr="00003049">
        <w:trPr>
          <w:cantSplit/>
        </w:trPr>
        <w:tc>
          <w:tcPr>
            <w:tcW w:w="4306" w:type="dxa"/>
            <w:tcBorders>
              <w:top w:val="nil"/>
              <w:bottom w:val="nil"/>
            </w:tcBorders>
          </w:tcPr>
          <w:p w14:paraId="4EB76D2E" w14:textId="77777777" w:rsidR="00003049" w:rsidRPr="008B2F8A" w:rsidRDefault="00003049" w:rsidP="00003049">
            <w:pPr>
              <w:pStyle w:val="TableBullet"/>
              <w:keepNext w:val="0"/>
              <w:numPr>
                <w:ilvl w:val="0"/>
                <w:numId w:val="31"/>
              </w:numPr>
              <w:spacing w:before="40" w:after="0" w:line="276" w:lineRule="auto"/>
            </w:pPr>
            <w:r w:rsidRPr="008B2F8A">
              <w:t>wrong comparator</w:t>
            </w:r>
          </w:p>
        </w:tc>
        <w:tc>
          <w:tcPr>
            <w:tcW w:w="935" w:type="dxa"/>
            <w:tcBorders>
              <w:top w:val="nil"/>
              <w:bottom w:val="nil"/>
            </w:tcBorders>
          </w:tcPr>
          <w:p w14:paraId="6DE45C91" w14:textId="09604C5D"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6CC0253A" w14:textId="4E5E481A"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22611A55" w14:textId="1200EFC1"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517B2B4B" w14:textId="77777777" w:rsidR="00003049" w:rsidRPr="008B2F8A" w:rsidRDefault="00003049" w:rsidP="00003049">
            <w:pPr>
              <w:pStyle w:val="TableText0"/>
              <w:spacing w:before="40" w:after="0"/>
              <w:ind w:right="113"/>
              <w:jc w:val="right"/>
              <w:rPr>
                <w:szCs w:val="20"/>
              </w:rPr>
            </w:pPr>
            <w:r w:rsidRPr="008D1F4B">
              <w:rPr>
                <w:color w:val="FFFFFF" w:themeColor="background1"/>
              </w:rPr>
              <w:t>-</w:t>
            </w:r>
          </w:p>
        </w:tc>
        <w:tc>
          <w:tcPr>
            <w:tcW w:w="0" w:type="auto"/>
            <w:tcBorders>
              <w:top w:val="nil"/>
              <w:bottom w:val="nil"/>
            </w:tcBorders>
          </w:tcPr>
          <w:p w14:paraId="569BB7C5" w14:textId="2AC557D0" w:rsidR="00003049" w:rsidRPr="008D1F4B" w:rsidRDefault="00003049" w:rsidP="00003049">
            <w:pPr>
              <w:pStyle w:val="TableText0"/>
              <w:spacing w:before="40" w:after="0"/>
              <w:ind w:right="113"/>
              <w:jc w:val="right"/>
              <w:rPr>
                <w:color w:val="FFFFFF" w:themeColor="background1"/>
              </w:rPr>
            </w:pPr>
            <w:r w:rsidRPr="008B2F8A">
              <w:rPr>
                <w:szCs w:val="20"/>
              </w:rPr>
              <w:t>0</w:t>
            </w:r>
          </w:p>
        </w:tc>
      </w:tr>
      <w:tr w:rsidR="00003049" w:rsidRPr="008B2F8A" w14:paraId="58746FB2" w14:textId="34506FD4" w:rsidTr="00003049">
        <w:trPr>
          <w:cantSplit/>
        </w:trPr>
        <w:tc>
          <w:tcPr>
            <w:tcW w:w="4306" w:type="dxa"/>
            <w:tcBorders>
              <w:top w:val="nil"/>
              <w:bottom w:val="nil"/>
            </w:tcBorders>
          </w:tcPr>
          <w:p w14:paraId="06DEADF1" w14:textId="77777777" w:rsidR="00003049" w:rsidRPr="008B2F8A" w:rsidRDefault="00003049" w:rsidP="00003049">
            <w:pPr>
              <w:pStyle w:val="TableBullet"/>
              <w:keepNext w:val="0"/>
              <w:numPr>
                <w:ilvl w:val="0"/>
                <w:numId w:val="31"/>
              </w:numPr>
              <w:spacing w:before="40" w:after="0" w:line="276" w:lineRule="auto"/>
            </w:pPr>
            <w:r w:rsidRPr="008B2F8A">
              <w:t>did not report outcomes of interest</w:t>
            </w:r>
          </w:p>
        </w:tc>
        <w:tc>
          <w:tcPr>
            <w:tcW w:w="935" w:type="dxa"/>
            <w:tcBorders>
              <w:top w:val="nil"/>
              <w:bottom w:val="nil"/>
            </w:tcBorders>
          </w:tcPr>
          <w:p w14:paraId="27C3B378" w14:textId="48FA7E94"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19C8CFEC" w14:textId="4CD6C7D6"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47DD5598" w14:textId="66BD2EF0"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0004EFE9" w14:textId="77777777" w:rsidR="00003049" w:rsidRPr="008B2F8A" w:rsidRDefault="00003049" w:rsidP="00003049">
            <w:pPr>
              <w:pStyle w:val="TableText0"/>
              <w:spacing w:before="40" w:after="0"/>
              <w:ind w:right="113"/>
              <w:jc w:val="right"/>
              <w:rPr>
                <w:szCs w:val="20"/>
              </w:rPr>
            </w:pPr>
            <w:r w:rsidRPr="008D1F4B">
              <w:rPr>
                <w:color w:val="FFFFFF" w:themeColor="background1"/>
              </w:rPr>
              <w:t>-</w:t>
            </w:r>
          </w:p>
        </w:tc>
        <w:tc>
          <w:tcPr>
            <w:tcW w:w="0" w:type="auto"/>
            <w:tcBorders>
              <w:top w:val="nil"/>
              <w:bottom w:val="nil"/>
            </w:tcBorders>
          </w:tcPr>
          <w:p w14:paraId="4485479B" w14:textId="6FC6A1AC" w:rsidR="00003049" w:rsidRPr="008D1F4B" w:rsidRDefault="00003049" w:rsidP="00003049">
            <w:pPr>
              <w:pStyle w:val="TableText0"/>
              <w:spacing w:before="40" w:after="0"/>
              <w:ind w:right="113"/>
              <w:jc w:val="right"/>
              <w:rPr>
                <w:color w:val="FFFFFF" w:themeColor="background1"/>
              </w:rPr>
            </w:pPr>
            <w:r w:rsidRPr="008B2F8A">
              <w:rPr>
                <w:szCs w:val="20"/>
              </w:rPr>
              <w:t>2</w:t>
            </w:r>
          </w:p>
        </w:tc>
      </w:tr>
      <w:tr w:rsidR="00003049" w:rsidRPr="008B2F8A" w14:paraId="3EEBD3DD" w14:textId="6097E8BA" w:rsidTr="00003049">
        <w:trPr>
          <w:cantSplit/>
        </w:trPr>
        <w:tc>
          <w:tcPr>
            <w:tcW w:w="4306" w:type="dxa"/>
            <w:tcBorders>
              <w:top w:val="nil"/>
              <w:bottom w:val="nil"/>
            </w:tcBorders>
          </w:tcPr>
          <w:p w14:paraId="05EDE665" w14:textId="77777777" w:rsidR="00003049" w:rsidRPr="008B2F8A" w:rsidRDefault="00003049" w:rsidP="00003049">
            <w:pPr>
              <w:pStyle w:val="TableBullet"/>
              <w:keepNext w:val="0"/>
              <w:numPr>
                <w:ilvl w:val="0"/>
                <w:numId w:val="31"/>
              </w:numPr>
              <w:spacing w:before="40" w:after="0" w:line="276" w:lineRule="auto"/>
            </w:pPr>
            <w:r w:rsidRPr="008B2F8A">
              <w:t>non-English article</w:t>
            </w:r>
          </w:p>
        </w:tc>
        <w:tc>
          <w:tcPr>
            <w:tcW w:w="935" w:type="dxa"/>
            <w:tcBorders>
              <w:top w:val="nil"/>
              <w:bottom w:val="nil"/>
            </w:tcBorders>
          </w:tcPr>
          <w:p w14:paraId="12AC7328" w14:textId="02BE90FF"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7CCA7D6D" w14:textId="63CD3803"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7F3AABC4" w14:textId="52EABFD4"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0BEA848D" w14:textId="77777777" w:rsidR="00003049" w:rsidRPr="008B2F8A" w:rsidRDefault="00003049" w:rsidP="00003049">
            <w:pPr>
              <w:pStyle w:val="TableText0"/>
              <w:spacing w:before="40" w:after="0"/>
              <w:ind w:right="113"/>
              <w:jc w:val="right"/>
              <w:rPr>
                <w:szCs w:val="20"/>
              </w:rPr>
            </w:pPr>
            <w:r w:rsidRPr="008D1F4B">
              <w:rPr>
                <w:color w:val="FFFFFF" w:themeColor="background1"/>
              </w:rPr>
              <w:t>-</w:t>
            </w:r>
          </w:p>
        </w:tc>
        <w:tc>
          <w:tcPr>
            <w:tcW w:w="0" w:type="auto"/>
            <w:tcBorders>
              <w:top w:val="nil"/>
              <w:bottom w:val="nil"/>
            </w:tcBorders>
          </w:tcPr>
          <w:p w14:paraId="7E26FB9C" w14:textId="32353EE4" w:rsidR="00003049" w:rsidRPr="008D1F4B" w:rsidRDefault="00003049" w:rsidP="00003049">
            <w:pPr>
              <w:pStyle w:val="TableText0"/>
              <w:spacing w:before="40" w:after="0"/>
              <w:ind w:right="113"/>
              <w:jc w:val="right"/>
              <w:rPr>
                <w:color w:val="FFFFFF" w:themeColor="background1"/>
              </w:rPr>
            </w:pPr>
            <w:r w:rsidRPr="008B2F8A">
              <w:rPr>
                <w:szCs w:val="20"/>
              </w:rPr>
              <w:t>1</w:t>
            </w:r>
          </w:p>
        </w:tc>
      </w:tr>
      <w:tr w:rsidR="00003049" w:rsidRPr="008B2F8A" w14:paraId="09D5C154" w14:textId="1E4638A4" w:rsidTr="00003049">
        <w:trPr>
          <w:cantSplit/>
        </w:trPr>
        <w:tc>
          <w:tcPr>
            <w:tcW w:w="4306" w:type="dxa"/>
            <w:tcBorders>
              <w:top w:val="nil"/>
              <w:bottom w:val="nil"/>
            </w:tcBorders>
          </w:tcPr>
          <w:p w14:paraId="782B996D" w14:textId="77777777" w:rsidR="00003049" w:rsidRPr="008B2F8A" w:rsidRDefault="00003049" w:rsidP="00003049">
            <w:pPr>
              <w:pStyle w:val="TableText0"/>
              <w:keepNext w:val="0"/>
              <w:numPr>
                <w:ilvl w:val="0"/>
                <w:numId w:val="31"/>
              </w:numPr>
              <w:spacing w:before="40" w:after="0" w:line="276" w:lineRule="auto"/>
            </w:pPr>
            <w:r w:rsidRPr="008B2F8A">
              <w:t>duplicate</w:t>
            </w:r>
          </w:p>
        </w:tc>
        <w:tc>
          <w:tcPr>
            <w:tcW w:w="935" w:type="dxa"/>
            <w:tcBorders>
              <w:top w:val="nil"/>
              <w:bottom w:val="nil"/>
            </w:tcBorders>
          </w:tcPr>
          <w:p w14:paraId="3BA9EA20" w14:textId="12CE18B6"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0087AD76" w14:textId="0796B8CA"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7016478E" w14:textId="3C3BD97A"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769694C2" w14:textId="77777777" w:rsidR="00003049" w:rsidRPr="008B2F8A" w:rsidRDefault="00003049" w:rsidP="00003049">
            <w:pPr>
              <w:pStyle w:val="TableText0"/>
              <w:spacing w:before="40" w:after="0"/>
              <w:ind w:right="113"/>
              <w:jc w:val="right"/>
              <w:rPr>
                <w:szCs w:val="20"/>
              </w:rPr>
            </w:pPr>
            <w:r w:rsidRPr="008D1F4B">
              <w:rPr>
                <w:color w:val="FFFFFF" w:themeColor="background1"/>
              </w:rPr>
              <w:t>-</w:t>
            </w:r>
          </w:p>
        </w:tc>
        <w:tc>
          <w:tcPr>
            <w:tcW w:w="0" w:type="auto"/>
            <w:tcBorders>
              <w:top w:val="nil"/>
              <w:bottom w:val="nil"/>
            </w:tcBorders>
          </w:tcPr>
          <w:p w14:paraId="765B9872" w14:textId="3FBA90F6" w:rsidR="00003049" w:rsidRPr="008D1F4B" w:rsidRDefault="00003049" w:rsidP="00003049">
            <w:pPr>
              <w:pStyle w:val="TableText0"/>
              <w:spacing w:before="40" w:after="0"/>
              <w:ind w:right="113"/>
              <w:jc w:val="right"/>
              <w:rPr>
                <w:color w:val="FFFFFF" w:themeColor="background1"/>
              </w:rPr>
            </w:pPr>
            <w:r w:rsidRPr="008B2F8A">
              <w:rPr>
                <w:szCs w:val="20"/>
              </w:rPr>
              <w:t>40</w:t>
            </w:r>
          </w:p>
        </w:tc>
      </w:tr>
      <w:tr w:rsidR="00003049" w:rsidRPr="008B2F8A" w14:paraId="407078E7" w14:textId="6663D953" w:rsidTr="00003049">
        <w:trPr>
          <w:cantSplit/>
        </w:trPr>
        <w:tc>
          <w:tcPr>
            <w:tcW w:w="4306" w:type="dxa"/>
            <w:tcBorders>
              <w:top w:val="nil"/>
              <w:bottom w:val="nil"/>
            </w:tcBorders>
          </w:tcPr>
          <w:p w14:paraId="686667E3" w14:textId="77777777" w:rsidR="00003049" w:rsidRPr="008B2F8A" w:rsidRDefault="00003049" w:rsidP="00003049">
            <w:pPr>
              <w:pStyle w:val="TableText0"/>
              <w:keepNext w:val="0"/>
              <w:spacing w:before="40" w:after="0" w:line="276" w:lineRule="auto"/>
            </w:pPr>
            <w:r w:rsidRPr="008B2F8A">
              <w:t>Total excluded</w:t>
            </w:r>
          </w:p>
        </w:tc>
        <w:tc>
          <w:tcPr>
            <w:tcW w:w="935" w:type="dxa"/>
            <w:tcBorders>
              <w:top w:val="nil"/>
              <w:bottom w:val="nil"/>
            </w:tcBorders>
          </w:tcPr>
          <w:p w14:paraId="3BAC6E65" w14:textId="6598CEC9"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07" w:type="dxa"/>
            <w:tcBorders>
              <w:top w:val="nil"/>
              <w:bottom w:val="nil"/>
            </w:tcBorders>
          </w:tcPr>
          <w:p w14:paraId="6113E6FD" w14:textId="3241E963"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926" w:type="dxa"/>
            <w:tcBorders>
              <w:top w:val="nil"/>
              <w:bottom w:val="nil"/>
            </w:tcBorders>
          </w:tcPr>
          <w:p w14:paraId="539170FE" w14:textId="25A348D1" w:rsidR="00003049" w:rsidRPr="008B2F8A" w:rsidRDefault="00003049" w:rsidP="00003049">
            <w:pPr>
              <w:pStyle w:val="TableText0"/>
              <w:spacing w:before="40" w:after="0"/>
              <w:ind w:right="113"/>
              <w:jc w:val="right"/>
              <w:rPr>
                <w:szCs w:val="20"/>
              </w:rPr>
            </w:pPr>
            <w:r w:rsidRPr="008B37E7">
              <w:rPr>
                <w:color w:val="FFFFFF" w:themeColor="background1"/>
              </w:rPr>
              <w:t>-</w:t>
            </w:r>
          </w:p>
        </w:tc>
        <w:tc>
          <w:tcPr>
            <w:tcW w:w="0" w:type="auto"/>
            <w:tcBorders>
              <w:top w:val="nil"/>
              <w:bottom w:val="nil"/>
            </w:tcBorders>
          </w:tcPr>
          <w:p w14:paraId="1B3AF908" w14:textId="77777777" w:rsidR="00003049" w:rsidRPr="008B2F8A" w:rsidRDefault="00003049" w:rsidP="00003049">
            <w:pPr>
              <w:pStyle w:val="TableText0"/>
              <w:spacing w:before="40" w:after="0"/>
              <w:ind w:right="113"/>
              <w:jc w:val="right"/>
              <w:rPr>
                <w:szCs w:val="20"/>
              </w:rPr>
            </w:pPr>
            <w:r w:rsidRPr="008D1F4B">
              <w:rPr>
                <w:color w:val="FFFFFF" w:themeColor="background1"/>
              </w:rPr>
              <w:t>-</w:t>
            </w:r>
          </w:p>
        </w:tc>
        <w:tc>
          <w:tcPr>
            <w:tcW w:w="0" w:type="auto"/>
            <w:tcBorders>
              <w:top w:val="nil"/>
              <w:bottom w:val="nil"/>
            </w:tcBorders>
          </w:tcPr>
          <w:p w14:paraId="61EAD137" w14:textId="735808ED" w:rsidR="00003049" w:rsidRPr="008D1F4B" w:rsidRDefault="00003049" w:rsidP="00003049">
            <w:pPr>
              <w:pStyle w:val="TableText0"/>
              <w:spacing w:before="40" w:after="0"/>
              <w:ind w:right="113"/>
              <w:jc w:val="right"/>
              <w:rPr>
                <w:color w:val="FFFFFF" w:themeColor="background1"/>
              </w:rPr>
            </w:pPr>
            <w:r w:rsidRPr="008B2F8A">
              <w:rPr>
                <w:szCs w:val="20"/>
              </w:rPr>
              <w:t>214</w:t>
            </w:r>
          </w:p>
        </w:tc>
      </w:tr>
      <w:tr w:rsidR="00003049" w:rsidRPr="008B2F8A" w14:paraId="387B0E39" w14:textId="36E9C6E9" w:rsidTr="00003049">
        <w:trPr>
          <w:cantSplit/>
        </w:trPr>
        <w:tc>
          <w:tcPr>
            <w:tcW w:w="4306" w:type="dxa"/>
            <w:tcBorders>
              <w:top w:val="nil"/>
            </w:tcBorders>
          </w:tcPr>
          <w:p w14:paraId="35DB1D52" w14:textId="77777777" w:rsidR="00003049" w:rsidRPr="008B2F8A" w:rsidRDefault="00003049" w:rsidP="00003049">
            <w:pPr>
              <w:pStyle w:val="TableText0"/>
              <w:keepNext w:val="0"/>
              <w:spacing w:before="40" w:after="0" w:line="276" w:lineRule="auto"/>
              <w:rPr>
                <w:b/>
              </w:rPr>
            </w:pPr>
            <w:r w:rsidRPr="008B2F8A">
              <w:rPr>
                <w:b/>
              </w:rPr>
              <w:t>No. of relevant citations</w:t>
            </w:r>
          </w:p>
        </w:tc>
        <w:tc>
          <w:tcPr>
            <w:tcW w:w="935" w:type="dxa"/>
            <w:tcBorders>
              <w:top w:val="nil"/>
            </w:tcBorders>
          </w:tcPr>
          <w:p w14:paraId="32009FBE" w14:textId="59F2EEAF"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907" w:type="dxa"/>
            <w:tcBorders>
              <w:top w:val="nil"/>
            </w:tcBorders>
          </w:tcPr>
          <w:p w14:paraId="5CFD0467" w14:textId="57BB97A6"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926" w:type="dxa"/>
            <w:tcBorders>
              <w:top w:val="nil"/>
            </w:tcBorders>
          </w:tcPr>
          <w:p w14:paraId="719ECF16" w14:textId="52B5A09B" w:rsidR="00003049" w:rsidRPr="008B2F8A" w:rsidRDefault="00003049" w:rsidP="00003049">
            <w:pPr>
              <w:pStyle w:val="TableText0"/>
              <w:spacing w:before="40" w:after="0"/>
              <w:ind w:right="113"/>
              <w:jc w:val="right"/>
              <w:rPr>
                <w:b/>
                <w:szCs w:val="20"/>
              </w:rPr>
            </w:pPr>
            <w:r w:rsidRPr="008B37E7">
              <w:rPr>
                <w:color w:val="FFFFFF" w:themeColor="background1"/>
              </w:rPr>
              <w:t>-</w:t>
            </w:r>
          </w:p>
        </w:tc>
        <w:tc>
          <w:tcPr>
            <w:tcW w:w="0" w:type="auto"/>
            <w:tcBorders>
              <w:top w:val="nil"/>
            </w:tcBorders>
          </w:tcPr>
          <w:p w14:paraId="40E551AC" w14:textId="77777777" w:rsidR="00003049" w:rsidRPr="008B2F8A" w:rsidRDefault="00003049" w:rsidP="00003049">
            <w:pPr>
              <w:pStyle w:val="TableText0"/>
              <w:spacing w:before="40" w:after="0"/>
              <w:ind w:right="113"/>
              <w:jc w:val="right"/>
              <w:rPr>
                <w:b/>
                <w:szCs w:val="20"/>
              </w:rPr>
            </w:pPr>
            <w:r w:rsidRPr="008B2F8A">
              <w:rPr>
                <w:b/>
                <w:szCs w:val="20"/>
              </w:rPr>
              <w:t>3</w:t>
            </w:r>
          </w:p>
        </w:tc>
        <w:tc>
          <w:tcPr>
            <w:tcW w:w="0" w:type="auto"/>
            <w:tcBorders>
              <w:top w:val="nil"/>
            </w:tcBorders>
          </w:tcPr>
          <w:p w14:paraId="419CCA6F" w14:textId="135B6AF4" w:rsidR="00003049" w:rsidRPr="008B2F8A" w:rsidRDefault="00003049" w:rsidP="00003049">
            <w:pPr>
              <w:pStyle w:val="TableText0"/>
              <w:spacing w:before="40" w:after="0"/>
              <w:ind w:right="113"/>
              <w:jc w:val="right"/>
              <w:rPr>
                <w:b/>
                <w:szCs w:val="20"/>
              </w:rPr>
            </w:pPr>
            <w:r w:rsidRPr="008B2F8A">
              <w:rPr>
                <w:b/>
                <w:szCs w:val="20"/>
              </w:rPr>
              <w:t>21</w:t>
            </w:r>
          </w:p>
        </w:tc>
      </w:tr>
      <w:tr w:rsidR="00003049" w:rsidRPr="008B2F8A" w14:paraId="41471463" w14:textId="0209C830" w:rsidTr="00003049">
        <w:trPr>
          <w:cantSplit/>
        </w:trPr>
        <w:tc>
          <w:tcPr>
            <w:tcW w:w="4306" w:type="dxa"/>
          </w:tcPr>
          <w:p w14:paraId="3DCE273B" w14:textId="40812C7A" w:rsidR="00003049" w:rsidRPr="008B2F8A" w:rsidRDefault="00003049" w:rsidP="00003049">
            <w:pPr>
              <w:pStyle w:val="TableText0"/>
              <w:keepNext w:val="0"/>
              <w:spacing w:before="40" w:after="80" w:line="276" w:lineRule="auto"/>
              <w:rPr>
                <w:b/>
              </w:rPr>
            </w:pPr>
            <w:r w:rsidRPr="008B2F8A">
              <w:rPr>
                <w:b/>
              </w:rPr>
              <w:t xml:space="preserve">No. </w:t>
            </w:r>
            <w:r>
              <w:rPr>
                <w:b/>
              </w:rPr>
              <w:t>excluded with reasons</w:t>
            </w:r>
          </w:p>
        </w:tc>
        <w:tc>
          <w:tcPr>
            <w:tcW w:w="935" w:type="dxa"/>
          </w:tcPr>
          <w:p w14:paraId="28C3C532" w14:textId="77777777" w:rsidR="00003049" w:rsidRPr="008B37E7" w:rsidRDefault="00003049" w:rsidP="00003049">
            <w:pPr>
              <w:pStyle w:val="TableText0"/>
              <w:spacing w:before="40" w:after="80"/>
              <w:ind w:right="113"/>
              <w:jc w:val="right"/>
              <w:rPr>
                <w:color w:val="FFFFFF" w:themeColor="background1"/>
              </w:rPr>
            </w:pPr>
          </w:p>
        </w:tc>
        <w:tc>
          <w:tcPr>
            <w:tcW w:w="907" w:type="dxa"/>
          </w:tcPr>
          <w:p w14:paraId="7970E2EE" w14:textId="77777777" w:rsidR="00003049" w:rsidRPr="008B37E7" w:rsidRDefault="00003049" w:rsidP="00003049">
            <w:pPr>
              <w:pStyle w:val="TableText0"/>
              <w:spacing w:before="40" w:after="80"/>
              <w:ind w:right="113"/>
              <w:jc w:val="right"/>
              <w:rPr>
                <w:color w:val="FFFFFF" w:themeColor="background1"/>
              </w:rPr>
            </w:pPr>
          </w:p>
        </w:tc>
        <w:tc>
          <w:tcPr>
            <w:tcW w:w="926" w:type="dxa"/>
          </w:tcPr>
          <w:p w14:paraId="7ABEC782" w14:textId="77777777" w:rsidR="00003049" w:rsidRPr="008B37E7" w:rsidRDefault="00003049" w:rsidP="00003049">
            <w:pPr>
              <w:pStyle w:val="TableText0"/>
              <w:spacing w:before="40" w:after="80"/>
              <w:ind w:right="113"/>
              <w:jc w:val="right"/>
              <w:rPr>
                <w:color w:val="FFFFFF" w:themeColor="background1"/>
              </w:rPr>
            </w:pPr>
          </w:p>
        </w:tc>
        <w:tc>
          <w:tcPr>
            <w:tcW w:w="0" w:type="auto"/>
          </w:tcPr>
          <w:p w14:paraId="781B1023" w14:textId="308081A5" w:rsidR="00003049" w:rsidRPr="008B2F8A" w:rsidRDefault="00003049" w:rsidP="00003049">
            <w:pPr>
              <w:pStyle w:val="TableText0"/>
              <w:spacing w:before="40" w:after="80"/>
              <w:ind w:right="113"/>
              <w:rPr>
                <w:szCs w:val="20"/>
              </w:rPr>
            </w:pPr>
          </w:p>
        </w:tc>
        <w:tc>
          <w:tcPr>
            <w:tcW w:w="0" w:type="auto"/>
          </w:tcPr>
          <w:p w14:paraId="14FA739B" w14:textId="77777777" w:rsidR="00003049" w:rsidRPr="008B2F8A" w:rsidRDefault="00003049" w:rsidP="00003049">
            <w:pPr>
              <w:pStyle w:val="TableText0"/>
              <w:spacing w:before="40" w:after="0"/>
              <w:ind w:right="113"/>
              <w:rPr>
                <w:szCs w:val="20"/>
              </w:rPr>
            </w:pPr>
            <w:r w:rsidRPr="008B2F8A">
              <w:rPr>
                <w:szCs w:val="20"/>
              </w:rPr>
              <w:t xml:space="preserve">3 </w:t>
            </w:r>
            <w:r>
              <w:rPr>
                <w:szCs w:val="20"/>
              </w:rPr>
              <w:t>HTAs</w:t>
            </w:r>
            <w:r w:rsidRPr="008B2F8A">
              <w:rPr>
                <w:szCs w:val="20"/>
              </w:rPr>
              <w:t xml:space="preserve"> &amp; systematic reviews</w:t>
            </w:r>
          </w:p>
          <w:p w14:paraId="4F17B252" w14:textId="6731B143" w:rsidR="00003049" w:rsidRPr="008B2F8A" w:rsidRDefault="00003049" w:rsidP="00003049">
            <w:pPr>
              <w:pStyle w:val="TableText0"/>
              <w:spacing w:before="40" w:after="0"/>
              <w:ind w:right="113"/>
              <w:rPr>
                <w:szCs w:val="20"/>
              </w:rPr>
            </w:pPr>
            <w:r w:rsidRPr="008B2F8A">
              <w:rPr>
                <w:szCs w:val="20"/>
              </w:rPr>
              <w:t>13 primary studies</w:t>
            </w:r>
          </w:p>
        </w:tc>
      </w:tr>
      <w:tr w:rsidR="00003049" w:rsidRPr="008B2F8A" w14:paraId="038AAA09" w14:textId="6F024568" w:rsidTr="00003049">
        <w:trPr>
          <w:cantSplit/>
        </w:trPr>
        <w:tc>
          <w:tcPr>
            <w:tcW w:w="4306" w:type="dxa"/>
          </w:tcPr>
          <w:p w14:paraId="0C3BB3FD" w14:textId="77777777" w:rsidR="00003049" w:rsidRPr="008B2F8A" w:rsidRDefault="00003049" w:rsidP="00003049">
            <w:pPr>
              <w:pStyle w:val="TableText0"/>
              <w:keepNext w:val="0"/>
              <w:spacing w:before="40" w:after="80" w:line="276" w:lineRule="auto"/>
              <w:rPr>
                <w:b/>
              </w:rPr>
            </w:pPr>
            <w:r w:rsidRPr="008B2F8A">
              <w:rPr>
                <w:b/>
              </w:rPr>
              <w:t>No. included</w:t>
            </w:r>
          </w:p>
        </w:tc>
        <w:tc>
          <w:tcPr>
            <w:tcW w:w="935" w:type="dxa"/>
          </w:tcPr>
          <w:p w14:paraId="697496D2" w14:textId="5EB8E096" w:rsidR="00003049" w:rsidRPr="008B2F8A" w:rsidRDefault="00003049" w:rsidP="00003049">
            <w:pPr>
              <w:pStyle w:val="TableText0"/>
              <w:spacing w:before="40" w:after="80"/>
              <w:ind w:right="113"/>
              <w:jc w:val="right"/>
              <w:rPr>
                <w:szCs w:val="20"/>
              </w:rPr>
            </w:pPr>
            <w:r w:rsidRPr="008B37E7">
              <w:rPr>
                <w:color w:val="FFFFFF" w:themeColor="background1"/>
              </w:rPr>
              <w:t>-</w:t>
            </w:r>
          </w:p>
        </w:tc>
        <w:tc>
          <w:tcPr>
            <w:tcW w:w="907" w:type="dxa"/>
          </w:tcPr>
          <w:p w14:paraId="38CAF30C" w14:textId="758CC3C3" w:rsidR="00003049" w:rsidRPr="008B2F8A" w:rsidRDefault="00003049" w:rsidP="00003049">
            <w:pPr>
              <w:pStyle w:val="TableText0"/>
              <w:spacing w:before="40" w:after="80"/>
              <w:ind w:right="113"/>
              <w:jc w:val="right"/>
              <w:rPr>
                <w:szCs w:val="20"/>
              </w:rPr>
            </w:pPr>
            <w:r w:rsidRPr="008B37E7">
              <w:rPr>
                <w:color w:val="FFFFFF" w:themeColor="background1"/>
              </w:rPr>
              <w:t>-</w:t>
            </w:r>
          </w:p>
        </w:tc>
        <w:tc>
          <w:tcPr>
            <w:tcW w:w="926" w:type="dxa"/>
          </w:tcPr>
          <w:p w14:paraId="5CDAD765" w14:textId="343F17E9" w:rsidR="00003049" w:rsidRPr="008B2F8A" w:rsidRDefault="00003049" w:rsidP="00003049">
            <w:pPr>
              <w:pStyle w:val="TableText0"/>
              <w:spacing w:before="40" w:after="80"/>
              <w:ind w:right="113"/>
              <w:jc w:val="right"/>
              <w:rPr>
                <w:szCs w:val="20"/>
              </w:rPr>
            </w:pPr>
            <w:r w:rsidRPr="008B37E7">
              <w:rPr>
                <w:color w:val="FFFFFF" w:themeColor="background1"/>
              </w:rPr>
              <w:t>-</w:t>
            </w:r>
          </w:p>
        </w:tc>
        <w:tc>
          <w:tcPr>
            <w:tcW w:w="0" w:type="auto"/>
          </w:tcPr>
          <w:p w14:paraId="550D8A97" w14:textId="4CFA5475" w:rsidR="00003049" w:rsidRPr="008B2F8A" w:rsidRDefault="00003049" w:rsidP="00426E6B">
            <w:pPr>
              <w:pStyle w:val="TableText0"/>
              <w:spacing w:before="40" w:after="80"/>
              <w:ind w:right="113"/>
              <w:rPr>
                <w:szCs w:val="20"/>
              </w:rPr>
            </w:pPr>
          </w:p>
        </w:tc>
        <w:tc>
          <w:tcPr>
            <w:tcW w:w="0" w:type="auto"/>
          </w:tcPr>
          <w:p w14:paraId="1E5D72D5" w14:textId="77777777" w:rsidR="00003049" w:rsidRPr="008B2F8A" w:rsidRDefault="00003049" w:rsidP="00003049">
            <w:pPr>
              <w:pStyle w:val="TableText0"/>
              <w:spacing w:before="40" w:after="80"/>
              <w:ind w:right="113"/>
              <w:rPr>
                <w:szCs w:val="20"/>
              </w:rPr>
            </w:pPr>
            <w:r w:rsidRPr="008B2F8A">
              <w:rPr>
                <w:szCs w:val="20"/>
              </w:rPr>
              <w:t xml:space="preserve">2 </w:t>
            </w:r>
            <w:r>
              <w:rPr>
                <w:szCs w:val="20"/>
              </w:rPr>
              <w:t xml:space="preserve">HTAs </w:t>
            </w:r>
            <w:r w:rsidRPr="008B2F8A">
              <w:rPr>
                <w:szCs w:val="20"/>
              </w:rPr>
              <w:t>&amp; systematic reviews</w:t>
            </w:r>
          </w:p>
          <w:p w14:paraId="132D1A4B" w14:textId="020B1200" w:rsidR="00003049" w:rsidRPr="008B2F8A" w:rsidRDefault="00003049" w:rsidP="00426E6B">
            <w:pPr>
              <w:pStyle w:val="TableText0"/>
              <w:spacing w:before="40" w:after="80"/>
              <w:ind w:right="113"/>
              <w:rPr>
                <w:szCs w:val="20"/>
              </w:rPr>
            </w:pPr>
            <w:r w:rsidRPr="008B2F8A">
              <w:rPr>
                <w:szCs w:val="20"/>
              </w:rPr>
              <w:t>5 primary studies</w:t>
            </w:r>
          </w:p>
        </w:tc>
      </w:tr>
    </w:tbl>
    <w:p w14:paraId="79A9D350" w14:textId="77777777" w:rsidR="00E47AB8" w:rsidRPr="008B2F8A" w:rsidRDefault="00E47AB8" w:rsidP="00426E6B">
      <w:pPr>
        <w:pStyle w:val="TableNotesLast"/>
      </w:pPr>
      <w:r w:rsidRPr="008B2F8A">
        <w:t>*Includes EMBASE and MEDLINE. ICTRP = International Clinical Trials Registry Platform; MBS = Medicare Benefits Schedule.</w:t>
      </w:r>
      <w:r>
        <w:t xml:space="preserve"> HTA = </w:t>
      </w:r>
      <w:r w:rsidRPr="00BE1CAD">
        <w:t>health technology assessment</w:t>
      </w:r>
      <w:r>
        <w:t>.</w:t>
      </w:r>
    </w:p>
    <w:p w14:paraId="031C9F2C" w14:textId="77777777" w:rsidR="00E47AB8" w:rsidRPr="008B2F8A" w:rsidRDefault="00E47AB8" w:rsidP="00E47AB8">
      <w:pPr>
        <w:pStyle w:val="Heading3"/>
        <w:numPr>
          <w:ilvl w:val="2"/>
          <w:numId w:val="42"/>
        </w:numPr>
      </w:pPr>
      <w:bookmarkStart w:id="451" w:name="_Toc363113396"/>
      <w:bookmarkStart w:id="452" w:name="_Toc365552162"/>
      <w:bookmarkStart w:id="453" w:name="_Ref377651517"/>
      <w:bookmarkStart w:id="454" w:name="_Ref377651525"/>
      <w:bookmarkStart w:id="455" w:name="_Toc383424457"/>
      <w:r w:rsidRPr="008B2F8A">
        <w:lastRenderedPageBreak/>
        <w:t xml:space="preserve">Master list of </w:t>
      </w:r>
      <w:bookmarkEnd w:id="451"/>
      <w:r w:rsidRPr="008B2F8A">
        <w:t>studies</w:t>
      </w:r>
      <w:bookmarkEnd w:id="452"/>
      <w:bookmarkEnd w:id="453"/>
      <w:bookmarkEnd w:id="454"/>
      <w:bookmarkEnd w:id="455"/>
    </w:p>
    <w:p w14:paraId="7C131F3E" w14:textId="6AAC4432" w:rsidR="00E47AB8" w:rsidRPr="008B2F8A" w:rsidRDefault="00E47AB8" w:rsidP="00E47AB8">
      <w:pPr>
        <w:pStyle w:val="Heading4"/>
        <w:numPr>
          <w:ilvl w:val="3"/>
          <w:numId w:val="42"/>
        </w:numPr>
      </w:pPr>
      <w:r w:rsidRPr="008B2F8A">
        <w:t>Asymptomatic, high-risk women: MBS interim-funded item</w:t>
      </w:r>
    </w:p>
    <w:p w14:paraId="04A27994" w14:textId="19235EE2" w:rsidR="00E47AB8" w:rsidRPr="008B2F8A" w:rsidRDefault="00E47AB8" w:rsidP="00422306">
      <w:r w:rsidRPr="008B2F8A">
        <w:t>A total of 53 relevant citations were identified for full</w:t>
      </w:r>
      <w:r>
        <w:t>-</w:t>
      </w:r>
      <w:r w:rsidRPr="008B2F8A">
        <w:t>text review</w:t>
      </w:r>
      <w:r>
        <w:t>,</w:t>
      </w:r>
      <w:r w:rsidRPr="008B2F8A">
        <w:t xml:space="preserve"> after which two health technology assessment (HTA) reports and five primary studies were </w:t>
      </w:r>
      <w:r>
        <w:t>added</w:t>
      </w:r>
      <w:r w:rsidRPr="008B2F8A">
        <w:t xml:space="preserve">. Master lists of the included studies are presented in </w:t>
      </w:r>
      <w:r w:rsidRPr="008B2F8A">
        <w:fldChar w:fldCharType="begin"/>
      </w:r>
      <w:r w:rsidRPr="008B2F8A">
        <w:instrText xml:space="preserve"> REF _Ref368057992 \h </w:instrText>
      </w:r>
      <w:r w:rsidRPr="008B2F8A">
        <w:fldChar w:fldCharType="separate"/>
      </w:r>
      <w:r w:rsidR="00B81273" w:rsidRPr="008B2F8A">
        <w:t xml:space="preserve">Table </w:t>
      </w:r>
      <w:r w:rsidR="00B81273">
        <w:rPr>
          <w:noProof/>
        </w:rPr>
        <w:t>B</w:t>
      </w:r>
      <w:r w:rsidR="00B81273" w:rsidRPr="008B2F8A">
        <w:t>.</w:t>
      </w:r>
      <w:r w:rsidR="00B81273">
        <w:rPr>
          <w:noProof/>
        </w:rPr>
        <w:t>3</w:t>
      </w:r>
      <w:r w:rsidRPr="008B2F8A">
        <w:fldChar w:fldCharType="end"/>
      </w:r>
      <w:r w:rsidRPr="008B2F8A">
        <w:t xml:space="preserve"> (HTA reports) and </w:t>
      </w:r>
      <w:r w:rsidRPr="008B2F8A">
        <w:fldChar w:fldCharType="begin"/>
      </w:r>
      <w:r w:rsidRPr="008B2F8A">
        <w:instrText xml:space="preserve"> REF _Ref368058095 \h </w:instrText>
      </w:r>
      <w:r w:rsidRPr="008B2F8A">
        <w:fldChar w:fldCharType="separate"/>
      </w:r>
      <w:r w:rsidR="00B81273" w:rsidRPr="008B2F8A">
        <w:t xml:space="preserve">Table </w:t>
      </w:r>
      <w:r w:rsidR="00B81273">
        <w:rPr>
          <w:noProof/>
        </w:rPr>
        <w:t>B</w:t>
      </w:r>
      <w:r w:rsidR="00B81273" w:rsidRPr="008B2F8A">
        <w:t>.</w:t>
      </w:r>
      <w:r w:rsidR="00B81273">
        <w:rPr>
          <w:noProof/>
        </w:rPr>
        <w:t>4</w:t>
      </w:r>
      <w:r w:rsidRPr="008B2F8A">
        <w:fldChar w:fldCharType="end"/>
      </w:r>
      <w:r w:rsidRPr="008B2F8A">
        <w:t xml:space="preserve"> (primary studies). The five primary diagnostic accuracy studies (</w:t>
      </w:r>
      <w:bookmarkStart w:id="456" w:name="OLE_LINK681"/>
      <w:bookmarkStart w:id="457" w:name="OLE_LINK682"/>
      <w:r w:rsidRPr="008B2F8A">
        <w:rPr>
          <w:noProof/>
        </w:rPr>
        <w:t>Kriege et al, 2006a</w:t>
      </w:r>
      <w:r w:rsidRPr="008B2F8A">
        <w:t xml:space="preserve">; </w:t>
      </w:r>
      <w:r w:rsidRPr="008B2F8A">
        <w:rPr>
          <w:noProof/>
        </w:rPr>
        <w:t>Kuhl et al, 2005</w:t>
      </w:r>
      <w:r w:rsidRPr="008B2F8A">
        <w:t xml:space="preserve">; </w:t>
      </w:r>
      <w:r>
        <w:rPr>
          <w:noProof/>
        </w:rPr>
        <w:t>Leach, 2005</w:t>
      </w:r>
      <w:r w:rsidRPr="008B2F8A">
        <w:t xml:space="preserve">; </w:t>
      </w:r>
      <w:r w:rsidRPr="008B2F8A">
        <w:rPr>
          <w:noProof/>
        </w:rPr>
        <w:t>Sardanelli et al, 2011</w:t>
      </w:r>
      <w:bookmarkEnd w:id="456"/>
      <w:bookmarkEnd w:id="457"/>
      <w:r w:rsidRPr="008B2F8A">
        <w:t xml:space="preserve">; </w:t>
      </w:r>
      <w:r w:rsidRPr="008B2F8A">
        <w:rPr>
          <w:noProof/>
        </w:rPr>
        <w:t>Warner et al, 2004</w:t>
      </w:r>
      <w:r>
        <w:rPr>
          <w:noProof/>
        </w:rPr>
        <w:t xml:space="preserve">; </w:t>
      </w:r>
      <w:r w:rsidRPr="008B2F8A">
        <w:t xml:space="preserve">22 publications, </w:t>
      </w:r>
      <w:r>
        <w:t>2</w:t>
      </w:r>
      <w:r w:rsidRPr="008B2F8A">
        <w:t xml:space="preserve"> of which were identified by hand searching) were all included in one or more of the included HTA reports (</w:t>
      </w:r>
      <w:bookmarkStart w:id="458" w:name="OLE_LINK683"/>
      <w:bookmarkStart w:id="459" w:name="OLE_LINK684"/>
      <w:r w:rsidRPr="008B2F8A">
        <w:rPr>
          <w:noProof/>
        </w:rPr>
        <w:t>HIQA, 2013</w:t>
      </w:r>
      <w:r w:rsidRPr="008B2F8A">
        <w:t xml:space="preserve">; </w:t>
      </w:r>
      <w:r w:rsidRPr="008B2F8A">
        <w:rPr>
          <w:noProof/>
        </w:rPr>
        <w:t>NICE, 2013</w:t>
      </w:r>
      <w:bookmarkEnd w:id="458"/>
      <w:bookmarkEnd w:id="459"/>
      <w:r w:rsidRPr="008B2F8A">
        <w:t>)</w:t>
      </w:r>
      <w:r>
        <w:t>,</w:t>
      </w:r>
      <w:r w:rsidRPr="008B2F8A">
        <w:t xml:space="preserve"> and only the recent </w:t>
      </w:r>
      <w:bookmarkStart w:id="460" w:name="OLE_LINK685"/>
      <w:bookmarkStart w:id="461" w:name="OLE_LINK686"/>
      <w:r w:rsidRPr="008B2F8A">
        <w:rPr>
          <w:noProof/>
        </w:rPr>
        <w:t xml:space="preserve">Sardanelli et al </w:t>
      </w:r>
      <w:r>
        <w:rPr>
          <w:noProof/>
        </w:rPr>
        <w:t>(</w:t>
      </w:r>
      <w:r w:rsidRPr="008B2F8A">
        <w:rPr>
          <w:noProof/>
        </w:rPr>
        <w:t>2011</w:t>
      </w:r>
      <w:bookmarkEnd w:id="460"/>
      <w:bookmarkEnd w:id="461"/>
      <w:r w:rsidRPr="008B2F8A">
        <w:rPr>
          <w:noProof/>
        </w:rPr>
        <w:t>)</w:t>
      </w:r>
      <w:r w:rsidRPr="008B2F8A">
        <w:t xml:space="preserve"> study was not included in the previous </w:t>
      </w:r>
      <w:bookmarkStart w:id="462" w:name="OLE_LINK687"/>
      <w:bookmarkStart w:id="463" w:name="OLE_LINK688"/>
      <w:r w:rsidRPr="008B2F8A">
        <w:t>MSAC (2006</w:t>
      </w:r>
      <w:bookmarkEnd w:id="462"/>
      <w:bookmarkEnd w:id="463"/>
      <w:r w:rsidRPr="008B2F8A">
        <w:t>) assessment</w:t>
      </w:r>
      <w:r w:rsidRPr="008B2F8A">
        <w:rPr>
          <w:noProof/>
        </w:rPr>
        <w:t xml:space="preserve">. </w:t>
      </w:r>
      <w:r w:rsidRPr="008B2F8A">
        <w:t>Two of the studies (</w:t>
      </w:r>
      <w:bookmarkStart w:id="464" w:name="OLE_LINK689"/>
      <w:bookmarkStart w:id="465" w:name="OLE_LINK690"/>
      <w:r w:rsidRPr="008B2F8A">
        <w:rPr>
          <w:noProof/>
        </w:rPr>
        <w:t>Kriege et al, 2006a; Warner et al, 2004</w:t>
      </w:r>
      <w:bookmarkEnd w:id="464"/>
      <w:bookmarkEnd w:id="465"/>
      <w:r w:rsidRPr="008B2F8A">
        <w:rPr>
          <w:noProof/>
        </w:rPr>
        <w:t>)</w:t>
      </w:r>
      <w:r w:rsidRPr="008B2F8A">
        <w:t xml:space="preserve"> have published updated results since the previous MSAC assessment (</w:t>
      </w:r>
      <w:bookmarkStart w:id="466" w:name="OLE_LINK691"/>
      <w:bookmarkStart w:id="467" w:name="OLE_LINK692"/>
      <w:r w:rsidRPr="008B2F8A">
        <w:rPr>
          <w:noProof/>
        </w:rPr>
        <w:t>Passaperuma et al, 2012; Rijnsburger et al, 2010</w:t>
      </w:r>
      <w:bookmarkEnd w:id="466"/>
      <w:bookmarkEnd w:id="467"/>
      <w:r w:rsidRPr="008B2F8A">
        <w:rPr>
          <w:noProof/>
        </w:rPr>
        <w:t>), although neither update included accuracy outcomes for MRI as an additional test</w:t>
      </w:r>
      <w:r w:rsidRPr="008B2F8A">
        <w:t xml:space="preserve">. </w:t>
      </w:r>
      <w:bookmarkStart w:id="468" w:name="OLE_LINK61"/>
      <w:bookmarkStart w:id="469" w:name="OLE_LINK62"/>
      <w:bookmarkStart w:id="470" w:name="OLE_LINK693"/>
      <w:bookmarkStart w:id="471" w:name="OLE_LINK694"/>
      <w:r w:rsidRPr="008B2F8A">
        <w:t xml:space="preserve">Sardanelli </w:t>
      </w:r>
      <w:bookmarkEnd w:id="468"/>
      <w:bookmarkEnd w:id="469"/>
      <w:r>
        <w:t>et al (2011</w:t>
      </w:r>
      <w:bookmarkEnd w:id="470"/>
      <w:bookmarkEnd w:id="471"/>
      <w:r>
        <w:t>)</w:t>
      </w:r>
      <w:r w:rsidRPr="008B2F8A">
        <w:t xml:space="preserve"> also did not include accuracy outcomes for MRI as an additional test in women </w:t>
      </w:r>
      <w:r>
        <w:t>&lt;</w:t>
      </w:r>
      <w:r w:rsidRPr="008B2F8A">
        <w:t>50 years of age, but it has been included as it had a high proportion of women with a history of breast cancer</w:t>
      </w:r>
      <w:r>
        <w:t>,</w:t>
      </w:r>
      <w:r w:rsidRPr="008B2F8A">
        <w:t xml:space="preserve"> </w:t>
      </w:r>
      <w:r>
        <w:t>as</w:t>
      </w:r>
      <w:r w:rsidRPr="008B2F8A">
        <w:t xml:space="preserve"> there were few studies </w:t>
      </w:r>
      <w:r>
        <w:t>of</w:t>
      </w:r>
      <w:r w:rsidRPr="008B2F8A">
        <w:t xml:space="preserve"> this patient population.</w:t>
      </w:r>
    </w:p>
    <w:p w14:paraId="681EC41B" w14:textId="2CB6E0CB" w:rsidR="00E47AB8" w:rsidRPr="008B2F8A" w:rsidRDefault="00E47AB8" w:rsidP="00422306">
      <w:r w:rsidRPr="008B2F8A">
        <w:t>One primary patient outcomes study (two publications) was also included (</w:t>
      </w:r>
      <w:bookmarkStart w:id="472" w:name="OLE_LINK695"/>
      <w:bookmarkStart w:id="473" w:name="OLE_LINK696"/>
      <w:r>
        <w:rPr>
          <w:noProof/>
        </w:rPr>
        <w:t>Brédart</w:t>
      </w:r>
      <w:r w:rsidRPr="008B2F8A">
        <w:rPr>
          <w:noProof/>
        </w:rPr>
        <w:t xml:space="preserve"> et al, 2012a, b</w:t>
      </w:r>
      <w:bookmarkEnd w:id="472"/>
      <w:bookmarkEnd w:id="473"/>
      <w:r w:rsidRPr="008B2F8A">
        <w:rPr>
          <w:noProof/>
        </w:rPr>
        <w:t>)</w:t>
      </w:r>
      <w:r w:rsidRPr="008B2F8A">
        <w:t>.</w:t>
      </w:r>
    </w:p>
    <w:p w14:paraId="7F56397D" w14:textId="7EDA8A9C" w:rsidR="00E47AB8" w:rsidRPr="008B2F8A" w:rsidRDefault="00E47AB8" w:rsidP="00422306">
      <w:r w:rsidRPr="008B2F8A">
        <w:t>The EMBASE.com and PreMEDLINE search was updated in November 2013. No further studies were identified for inclusion.</w:t>
      </w:r>
    </w:p>
    <w:p w14:paraId="29E87004" w14:textId="21046BB9" w:rsidR="00E47AB8" w:rsidRPr="008B2F8A" w:rsidRDefault="00E47AB8" w:rsidP="00422306">
      <w:pPr>
        <w:pStyle w:val="Caption"/>
        <w:ind w:left="1440" w:hanging="1440"/>
      </w:pPr>
      <w:bookmarkStart w:id="474" w:name="_Ref368057992"/>
      <w:bookmarkStart w:id="475" w:name="_Toc383424569"/>
      <w:r w:rsidRPr="008B2F8A">
        <w:t xml:space="preserve">Table </w:t>
      </w:r>
      <w:fldSimple w:instr=" STYLEREF 1 \s ">
        <w:r w:rsidR="00B81273">
          <w:rPr>
            <w:noProof/>
          </w:rPr>
          <w:t>B</w:t>
        </w:r>
      </w:fldSimple>
      <w:r w:rsidRPr="008B2F8A">
        <w:t>.</w:t>
      </w:r>
      <w:fldSimple w:instr=" SEQ Table \* ARABIC \s 1 ">
        <w:r w:rsidR="00B81273">
          <w:rPr>
            <w:noProof/>
          </w:rPr>
          <w:t>3</w:t>
        </w:r>
      </w:fldSimple>
      <w:bookmarkEnd w:id="474"/>
      <w:r w:rsidRPr="008B2F8A">
        <w:tab/>
      </w:r>
      <w:bookmarkStart w:id="476" w:name="OLE_LINK984"/>
      <w:bookmarkStart w:id="477" w:name="OLE_LINK985"/>
      <w:r w:rsidRPr="008B2F8A">
        <w:t>Master list of health technology assessments</w:t>
      </w:r>
      <w:r w:rsidRPr="008B2F8A" w:rsidDel="00455348">
        <w:t xml:space="preserve"> </w:t>
      </w:r>
      <w:r w:rsidRPr="008B2F8A">
        <w:t>included for the assessment of asymptomatic, high-risk women</w:t>
      </w:r>
      <w:bookmarkEnd w:id="476"/>
      <w:bookmarkEnd w:id="477"/>
      <w:r w:rsidRPr="008B2F8A">
        <w:t>.</w:t>
      </w:r>
      <w:bookmarkEnd w:id="475"/>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Master list of health technology assessments included for the assessment of asymptomatic, high-risk women"/>
      </w:tblPr>
      <w:tblGrid>
        <w:gridCol w:w="1448"/>
        <w:gridCol w:w="7622"/>
      </w:tblGrid>
      <w:tr w:rsidR="00E47AB8" w:rsidRPr="008B2F8A" w14:paraId="40FCFEEF" w14:textId="77777777" w:rsidTr="00422306">
        <w:trPr>
          <w:cantSplit/>
          <w:tblHeader/>
        </w:trPr>
        <w:tc>
          <w:tcPr>
            <w:tcW w:w="1448" w:type="dxa"/>
          </w:tcPr>
          <w:p w14:paraId="551E09D1" w14:textId="77777777" w:rsidR="00E47AB8" w:rsidRPr="008B2F8A" w:rsidRDefault="00E47AB8" w:rsidP="00422306">
            <w:pPr>
              <w:pStyle w:val="TableHeading"/>
              <w:keepNext w:val="0"/>
              <w:spacing w:before="40" w:after="80" w:line="276" w:lineRule="auto"/>
            </w:pPr>
            <w:r w:rsidRPr="008B2F8A">
              <w:t>Organisation</w:t>
            </w:r>
          </w:p>
        </w:tc>
        <w:tc>
          <w:tcPr>
            <w:tcW w:w="7622" w:type="dxa"/>
          </w:tcPr>
          <w:p w14:paraId="7C6B71E3" w14:textId="77777777" w:rsidR="00E47AB8" w:rsidRPr="008B2F8A" w:rsidRDefault="00E47AB8" w:rsidP="00422306">
            <w:pPr>
              <w:pStyle w:val="TableHeading"/>
              <w:keepNext w:val="0"/>
              <w:spacing w:before="40" w:after="80" w:line="276" w:lineRule="auto"/>
            </w:pPr>
            <w:r w:rsidRPr="008B2F8A">
              <w:t>Reports</w:t>
            </w:r>
          </w:p>
        </w:tc>
      </w:tr>
      <w:tr w:rsidR="00E47AB8" w:rsidRPr="008B2F8A" w14:paraId="1A9D4324" w14:textId="77777777" w:rsidTr="00422306">
        <w:trPr>
          <w:cantSplit/>
        </w:trPr>
        <w:tc>
          <w:tcPr>
            <w:tcW w:w="1448" w:type="dxa"/>
          </w:tcPr>
          <w:p w14:paraId="44CCFF33" w14:textId="41A56502" w:rsidR="00E47AB8" w:rsidRPr="008B2F8A" w:rsidRDefault="00E47AB8" w:rsidP="00422306">
            <w:pPr>
              <w:pStyle w:val="TableText0"/>
              <w:keepNext w:val="0"/>
              <w:spacing w:before="40" w:after="80" w:line="276" w:lineRule="auto"/>
            </w:pPr>
            <w:r>
              <w:t>NICE, 2013</w:t>
            </w:r>
          </w:p>
        </w:tc>
        <w:tc>
          <w:tcPr>
            <w:tcW w:w="7622" w:type="dxa"/>
          </w:tcPr>
          <w:p w14:paraId="07672258" w14:textId="0120DE8A" w:rsidR="00E47AB8" w:rsidRPr="008B2F8A" w:rsidRDefault="00E47AB8" w:rsidP="00422306">
            <w:pPr>
              <w:spacing w:before="40" w:after="80"/>
              <w:rPr>
                <w:rFonts w:ascii="Arial Narrow" w:hAnsi="Arial Narrow" w:cs="Calibri"/>
                <w:sz w:val="20"/>
                <w:szCs w:val="20"/>
              </w:rPr>
            </w:pPr>
            <w:r w:rsidRPr="008B2F8A">
              <w:rPr>
                <w:rFonts w:ascii="Arial Narrow" w:eastAsiaTheme="minorHAnsi" w:hAnsi="Arial Narrow" w:cs="Arial"/>
                <w:sz w:val="20"/>
                <w:szCs w:val="20"/>
              </w:rPr>
              <w:t xml:space="preserve">National Institute of Clinical Excellence 2013, </w:t>
            </w:r>
            <w:r w:rsidRPr="008B2F8A">
              <w:rPr>
                <w:rFonts w:ascii="Arial Narrow" w:eastAsiaTheme="minorHAnsi" w:hAnsi="Arial Narrow" w:cs="Arial"/>
                <w:i/>
                <w:iCs/>
                <w:sz w:val="20"/>
                <w:szCs w:val="20"/>
              </w:rPr>
              <w:t>Familial breast cancer: classification and care of people at risk of familial breast cancer and management of breast cancer and related risks in people with a family history of breast cancer.</w:t>
            </w:r>
            <w:r w:rsidRPr="008B2F8A">
              <w:rPr>
                <w:rFonts w:ascii="Arial Narrow" w:eastAsiaTheme="minorHAnsi" w:hAnsi="Arial Narrow" w:cs="Arial"/>
                <w:sz w:val="20"/>
                <w:szCs w:val="20"/>
              </w:rPr>
              <w:t xml:space="preserve"> </w:t>
            </w:r>
            <w:bookmarkStart w:id="478" w:name="OLE_LINK63"/>
            <w:bookmarkStart w:id="479" w:name="OLE_LINK64"/>
            <w:r w:rsidRPr="008B2F8A">
              <w:rPr>
                <w:rFonts w:ascii="Arial Narrow" w:eastAsiaTheme="minorHAnsi" w:hAnsi="Arial Narrow" w:cs="Arial"/>
                <w:sz w:val="20"/>
                <w:szCs w:val="20"/>
              </w:rPr>
              <w:t>CG164</w:t>
            </w:r>
            <w:bookmarkEnd w:id="478"/>
            <w:bookmarkEnd w:id="479"/>
            <w:r w:rsidRPr="008B2F8A">
              <w:rPr>
                <w:rFonts w:ascii="Arial Narrow" w:eastAsiaTheme="minorHAnsi" w:hAnsi="Arial Narrow" w:cs="Arial"/>
                <w:sz w:val="20"/>
                <w:szCs w:val="20"/>
              </w:rPr>
              <w:t>. London: NICE.</w:t>
            </w:r>
          </w:p>
        </w:tc>
      </w:tr>
      <w:tr w:rsidR="00E47AB8" w:rsidRPr="008B2F8A" w14:paraId="2ADE4E3D" w14:textId="77777777" w:rsidTr="00422306">
        <w:trPr>
          <w:cantSplit/>
        </w:trPr>
        <w:tc>
          <w:tcPr>
            <w:tcW w:w="1448" w:type="dxa"/>
          </w:tcPr>
          <w:p w14:paraId="1E258642" w14:textId="6505FB52" w:rsidR="00E47AB8" w:rsidRPr="008B2F8A" w:rsidRDefault="00E47AB8" w:rsidP="00422306">
            <w:pPr>
              <w:pStyle w:val="TableText0"/>
              <w:keepNext w:val="0"/>
              <w:spacing w:before="40" w:after="80" w:line="276" w:lineRule="auto"/>
            </w:pPr>
            <w:r>
              <w:t>HIQA, 2013</w:t>
            </w:r>
          </w:p>
        </w:tc>
        <w:tc>
          <w:tcPr>
            <w:tcW w:w="7622" w:type="dxa"/>
          </w:tcPr>
          <w:p w14:paraId="209C6513" w14:textId="3187528E" w:rsidR="00E47AB8" w:rsidRPr="008B2F8A" w:rsidRDefault="00E47AB8" w:rsidP="00422306">
            <w:pPr>
              <w:pStyle w:val="TableText0"/>
              <w:keepNext w:val="0"/>
              <w:spacing w:before="40" w:after="80" w:line="276" w:lineRule="auto"/>
            </w:pPr>
            <w:bookmarkStart w:id="480" w:name="OLE_LINK417"/>
            <w:bookmarkStart w:id="481" w:name="OLE_LINK418"/>
            <w:r w:rsidRPr="008B2F8A">
              <w:rPr>
                <w:rFonts w:eastAsiaTheme="minorHAnsi" w:cs="Arial"/>
                <w:szCs w:val="20"/>
              </w:rPr>
              <w:t xml:space="preserve">Health Information and Quality Authority </w:t>
            </w:r>
            <w:bookmarkEnd w:id="480"/>
            <w:bookmarkEnd w:id="481"/>
            <w:r w:rsidRPr="008B2F8A">
              <w:rPr>
                <w:rFonts w:eastAsiaTheme="minorHAnsi" w:cs="Arial"/>
                <w:szCs w:val="20"/>
              </w:rPr>
              <w:t xml:space="preserve">2013, </w:t>
            </w:r>
            <w:r w:rsidRPr="008B2F8A">
              <w:rPr>
                <w:rFonts w:eastAsiaTheme="minorHAnsi" w:cs="Arial"/>
                <w:i/>
                <w:iCs/>
                <w:szCs w:val="20"/>
              </w:rPr>
              <w:t>Health technology assessment (HTA) of surveillance of women aged less than 50 years at elevated risk of breast cancer: technical report.</w:t>
            </w:r>
            <w:r w:rsidRPr="008B2F8A">
              <w:rPr>
                <w:rFonts w:eastAsiaTheme="minorHAnsi" w:cs="Arial"/>
                <w:szCs w:val="20"/>
              </w:rPr>
              <w:t xml:space="preserve"> Dublin</w:t>
            </w:r>
            <w:r>
              <w:rPr>
                <w:rFonts w:eastAsiaTheme="minorHAnsi" w:cs="Arial"/>
                <w:szCs w:val="20"/>
              </w:rPr>
              <w:t>:</w:t>
            </w:r>
            <w:r w:rsidRPr="008B2F8A">
              <w:rPr>
                <w:rFonts w:eastAsiaTheme="minorHAnsi" w:cs="Arial"/>
                <w:szCs w:val="20"/>
              </w:rPr>
              <w:t xml:space="preserve"> HIQA.</w:t>
            </w:r>
          </w:p>
        </w:tc>
      </w:tr>
    </w:tbl>
    <w:p w14:paraId="2D6C46D0" w14:textId="2F76E7C1" w:rsidR="00E47AB8" w:rsidRPr="008B2F8A" w:rsidRDefault="00E47AB8" w:rsidP="00422306"/>
    <w:p w14:paraId="2DE56C6F" w14:textId="77777777" w:rsidR="00E47AB8" w:rsidRPr="008B2F8A" w:rsidRDefault="00E47AB8" w:rsidP="00422306">
      <w:pPr>
        <w:pStyle w:val="Caption"/>
        <w:ind w:left="1440" w:hanging="1440"/>
      </w:pPr>
      <w:bookmarkStart w:id="482" w:name="_Ref368058095"/>
      <w:bookmarkStart w:id="483" w:name="_Toc383424570"/>
      <w:r w:rsidRPr="008B2F8A">
        <w:t xml:space="preserve">Table </w:t>
      </w:r>
      <w:fldSimple w:instr=" STYLEREF 1 \s ">
        <w:r w:rsidR="00B81273">
          <w:rPr>
            <w:noProof/>
          </w:rPr>
          <w:t>B</w:t>
        </w:r>
      </w:fldSimple>
      <w:r w:rsidRPr="008B2F8A">
        <w:t>.</w:t>
      </w:r>
      <w:fldSimple w:instr=" SEQ Table \* ARABIC \s 1 ">
        <w:r w:rsidR="00B81273">
          <w:rPr>
            <w:noProof/>
          </w:rPr>
          <w:t>4</w:t>
        </w:r>
      </w:fldSimple>
      <w:bookmarkEnd w:id="482"/>
      <w:r w:rsidRPr="008B2F8A">
        <w:tab/>
      </w:r>
      <w:bookmarkStart w:id="484" w:name="OLE_LINK986"/>
      <w:bookmarkStart w:id="485" w:name="OLE_LINK987"/>
      <w:r w:rsidRPr="008B2F8A">
        <w:t>Master list of primary studies included for the assessment of asymptomatic, high-risk women</w:t>
      </w:r>
      <w:bookmarkEnd w:id="484"/>
      <w:bookmarkEnd w:id="485"/>
      <w:r w:rsidRPr="008B2F8A">
        <w:t>.</w:t>
      </w:r>
      <w:bookmarkEnd w:id="483"/>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Master list of primary studies included for the assessment of asymptomatic, high-risk women"/>
      </w:tblPr>
      <w:tblGrid>
        <w:gridCol w:w="1448"/>
        <w:gridCol w:w="7611"/>
        <w:gridCol w:w="11"/>
      </w:tblGrid>
      <w:tr w:rsidR="00E47AB8" w:rsidRPr="008B2F8A" w14:paraId="3CFCD1C1" w14:textId="77777777" w:rsidTr="00422306">
        <w:trPr>
          <w:cantSplit/>
          <w:tblHeader/>
        </w:trPr>
        <w:tc>
          <w:tcPr>
            <w:tcW w:w="1448" w:type="dxa"/>
          </w:tcPr>
          <w:p w14:paraId="557DB41E" w14:textId="77777777" w:rsidR="00E47AB8" w:rsidRPr="008B2F8A" w:rsidRDefault="00E47AB8" w:rsidP="00422306">
            <w:pPr>
              <w:pStyle w:val="Tableheaderrow"/>
              <w:keepNext/>
              <w:spacing w:before="40" w:after="80" w:line="276" w:lineRule="auto"/>
            </w:pPr>
            <w:r w:rsidRPr="008B2F8A">
              <w:t>Trial</w:t>
            </w:r>
          </w:p>
        </w:tc>
        <w:tc>
          <w:tcPr>
            <w:tcW w:w="7622" w:type="dxa"/>
            <w:gridSpan w:val="2"/>
          </w:tcPr>
          <w:p w14:paraId="5273BBEA" w14:textId="77777777" w:rsidR="00E47AB8" w:rsidRPr="008B2F8A" w:rsidRDefault="00E47AB8" w:rsidP="00422306">
            <w:pPr>
              <w:pStyle w:val="Tableheaderrow"/>
              <w:keepNext/>
              <w:spacing w:before="40" w:after="80" w:line="276" w:lineRule="auto"/>
            </w:pPr>
            <w:r w:rsidRPr="008B2F8A">
              <w:t>Reports</w:t>
            </w:r>
          </w:p>
        </w:tc>
      </w:tr>
      <w:tr w:rsidR="00E47AB8" w:rsidRPr="008B2F8A" w14:paraId="66F82EF0" w14:textId="77777777" w:rsidTr="00422306">
        <w:trPr>
          <w:cantSplit/>
        </w:trPr>
        <w:tc>
          <w:tcPr>
            <w:tcW w:w="1448" w:type="dxa"/>
          </w:tcPr>
          <w:p w14:paraId="4A07B979" w14:textId="77777777" w:rsidR="00E47AB8" w:rsidRPr="008B2F8A" w:rsidRDefault="00E47AB8" w:rsidP="00422306">
            <w:pPr>
              <w:pStyle w:val="Tabletext"/>
              <w:keepNext/>
              <w:spacing w:before="40" w:after="80" w:line="276" w:lineRule="auto"/>
              <w:rPr>
                <w:szCs w:val="20"/>
              </w:rPr>
            </w:pPr>
          </w:p>
        </w:tc>
        <w:tc>
          <w:tcPr>
            <w:tcW w:w="7622" w:type="dxa"/>
            <w:gridSpan w:val="2"/>
          </w:tcPr>
          <w:p w14:paraId="25632110" w14:textId="77777777" w:rsidR="00E47AB8" w:rsidRPr="008B2F8A" w:rsidRDefault="00E47AB8" w:rsidP="00422306">
            <w:pPr>
              <w:pStyle w:val="Tabletext"/>
              <w:keepNext/>
              <w:spacing w:before="40" w:after="80" w:line="276" w:lineRule="auto"/>
              <w:rPr>
                <w:b/>
                <w:smallCaps/>
                <w:szCs w:val="20"/>
              </w:rPr>
            </w:pPr>
            <w:r w:rsidRPr="008B2F8A">
              <w:rPr>
                <w:b/>
                <w:smallCaps/>
                <w:szCs w:val="20"/>
              </w:rPr>
              <w:t>Diagnostic outcomes</w:t>
            </w:r>
          </w:p>
        </w:tc>
      </w:tr>
      <w:tr w:rsidR="00E47AB8" w:rsidRPr="008B2F8A" w14:paraId="1DCCAB94" w14:textId="77777777" w:rsidTr="00422306">
        <w:trPr>
          <w:cantSplit/>
        </w:trPr>
        <w:tc>
          <w:tcPr>
            <w:tcW w:w="1448" w:type="dxa"/>
          </w:tcPr>
          <w:p w14:paraId="5A2D9C01" w14:textId="7FA5AC9A" w:rsidR="00E47AB8" w:rsidRPr="008B2F8A" w:rsidRDefault="00E47AB8" w:rsidP="00422306">
            <w:pPr>
              <w:pStyle w:val="Tabletext"/>
              <w:spacing w:before="40" w:after="80" w:line="276" w:lineRule="auto"/>
              <w:rPr>
                <w:szCs w:val="20"/>
              </w:rPr>
            </w:pPr>
            <w:r>
              <w:rPr>
                <w:szCs w:val="20"/>
              </w:rPr>
              <w:t>Leach, 2005</w:t>
            </w:r>
          </w:p>
          <w:p w14:paraId="3E808DC2" w14:textId="77777777" w:rsidR="00E47AB8" w:rsidRPr="008B2F8A" w:rsidRDefault="00E47AB8" w:rsidP="00422306">
            <w:pPr>
              <w:pStyle w:val="Tabletext"/>
              <w:spacing w:before="40" w:after="80" w:line="276" w:lineRule="auto"/>
              <w:rPr>
                <w:szCs w:val="20"/>
              </w:rPr>
            </w:pPr>
            <w:r w:rsidRPr="008B2F8A">
              <w:rPr>
                <w:szCs w:val="20"/>
              </w:rPr>
              <w:t xml:space="preserve">UK </w:t>
            </w:r>
            <w:bookmarkStart w:id="486" w:name="OLE_LINK53"/>
            <w:bookmarkStart w:id="487" w:name="OLE_LINK54"/>
            <w:r w:rsidRPr="008B2F8A">
              <w:rPr>
                <w:szCs w:val="20"/>
              </w:rPr>
              <w:t xml:space="preserve">MARIBS </w:t>
            </w:r>
            <w:bookmarkEnd w:id="486"/>
            <w:bookmarkEnd w:id="487"/>
            <w:r w:rsidRPr="008B2F8A">
              <w:rPr>
                <w:szCs w:val="20"/>
              </w:rPr>
              <w:t>study</w:t>
            </w:r>
          </w:p>
        </w:tc>
        <w:tc>
          <w:tcPr>
            <w:tcW w:w="7622" w:type="dxa"/>
            <w:gridSpan w:val="2"/>
          </w:tcPr>
          <w:p w14:paraId="64CB0F82" w14:textId="11DB99D1" w:rsidR="00E47AB8" w:rsidRPr="008B2F8A" w:rsidRDefault="00E47AB8" w:rsidP="00426E6B">
            <w:pPr>
              <w:pStyle w:val="Tabletext"/>
              <w:spacing w:before="40" w:after="80" w:line="276" w:lineRule="auto"/>
              <w:rPr>
                <w:rFonts w:cs="Calibri"/>
                <w:b/>
                <w:color w:val="000000"/>
                <w:szCs w:val="20"/>
                <w:lang w:eastAsia="en-AU"/>
              </w:rPr>
            </w:pPr>
            <w:r w:rsidRPr="008B2F8A">
              <w:rPr>
                <w:rFonts w:cs="Calibri"/>
                <w:b/>
                <w:szCs w:val="20"/>
              </w:rPr>
              <w:t xml:space="preserve">Leach, MO 2005. Screening with magnetic resonance imaging and mammography of a UK population at high familial risk of breast cancer: a prospective multicentre cohort study (MARIBS), </w:t>
            </w:r>
            <w:r w:rsidRPr="008B2F8A">
              <w:rPr>
                <w:rFonts w:cs="Calibri"/>
                <w:b/>
                <w:i/>
                <w:iCs/>
                <w:szCs w:val="20"/>
              </w:rPr>
              <w:t>Lancet</w:t>
            </w:r>
            <w:r w:rsidRPr="008B2F8A">
              <w:rPr>
                <w:rFonts w:cs="Calibri"/>
                <w:b/>
                <w:szCs w:val="20"/>
              </w:rPr>
              <w:t>, 365 (9473), 1769–1778.</w:t>
            </w:r>
          </w:p>
          <w:p w14:paraId="0646484B" w14:textId="77777777" w:rsidR="00E47AB8" w:rsidRPr="008B2F8A" w:rsidRDefault="00E47AB8" w:rsidP="00426E6B">
            <w:pPr>
              <w:pStyle w:val="Tabletext"/>
              <w:spacing w:before="40" w:after="80" w:line="276" w:lineRule="auto"/>
              <w:rPr>
                <w:rFonts w:cs="Calibri"/>
                <w:szCs w:val="20"/>
              </w:rPr>
            </w:pPr>
            <w:r w:rsidRPr="008B2F8A">
              <w:rPr>
                <w:rFonts w:cs="Calibri"/>
                <w:szCs w:val="20"/>
              </w:rPr>
              <w:t xml:space="preserve">Gilbert, FJ, Warren, RML et al, 2009. Cancers in </w:t>
            </w:r>
            <w:r w:rsidRPr="008B2F8A">
              <w:rPr>
                <w:rFonts w:cs="Calibri"/>
                <w:i/>
                <w:szCs w:val="20"/>
              </w:rPr>
              <w:t>BRCA1</w:t>
            </w:r>
            <w:r w:rsidRPr="008B2F8A">
              <w:rPr>
                <w:rFonts w:cs="Calibri"/>
                <w:szCs w:val="20"/>
              </w:rPr>
              <w:t xml:space="preserve"> and </w:t>
            </w:r>
            <w:r w:rsidRPr="008B2F8A">
              <w:rPr>
                <w:rFonts w:cs="Calibri"/>
                <w:i/>
                <w:szCs w:val="20"/>
              </w:rPr>
              <w:t>BRCA2</w:t>
            </w:r>
            <w:r w:rsidRPr="008B2F8A">
              <w:rPr>
                <w:rFonts w:cs="Calibri"/>
                <w:szCs w:val="20"/>
              </w:rPr>
              <w:t xml:space="preserve"> carriers and in women at high risk for breast cancer: MR imaging and mammographic features, </w:t>
            </w:r>
            <w:r w:rsidRPr="008B2F8A">
              <w:rPr>
                <w:rFonts w:cs="Calibri"/>
                <w:i/>
                <w:iCs/>
                <w:szCs w:val="20"/>
              </w:rPr>
              <w:t>Radiology</w:t>
            </w:r>
            <w:r w:rsidRPr="008B2F8A">
              <w:rPr>
                <w:rFonts w:cs="Calibri"/>
                <w:szCs w:val="20"/>
              </w:rPr>
              <w:t>, 252 (2), 358–368.</w:t>
            </w:r>
          </w:p>
          <w:p w14:paraId="07FC8C74" w14:textId="507A249B" w:rsidR="00E47AB8" w:rsidRPr="008B2F8A" w:rsidRDefault="00E47AB8" w:rsidP="00426E6B">
            <w:pPr>
              <w:pStyle w:val="Tabletext"/>
              <w:spacing w:before="40" w:after="80" w:line="276" w:lineRule="auto"/>
              <w:rPr>
                <w:rFonts w:cs="Calibri"/>
                <w:szCs w:val="20"/>
              </w:rPr>
            </w:pPr>
            <w:r w:rsidRPr="008B2F8A">
              <w:rPr>
                <w:rFonts w:cs="Calibri"/>
                <w:szCs w:val="20"/>
              </w:rPr>
              <w:t xml:space="preserve">Warren, RML, </w:t>
            </w:r>
            <w:bookmarkStart w:id="488" w:name="OLE_LINK67"/>
            <w:bookmarkStart w:id="489" w:name="OLE_LINK68"/>
            <w:r w:rsidRPr="008B2F8A">
              <w:rPr>
                <w:rFonts w:cs="Calibri"/>
                <w:szCs w:val="20"/>
              </w:rPr>
              <w:t>Pointon</w:t>
            </w:r>
            <w:bookmarkEnd w:id="488"/>
            <w:bookmarkEnd w:id="489"/>
            <w:r w:rsidRPr="008B2F8A">
              <w:rPr>
                <w:rFonts w:cs="Calibri"/>
                <w:szCs w:val="20"/>
              </w:rPr>
              <w:t xml:space="preserve">, L et al, 2002. What is the recall rate of breast MRI when used for screening asymptomatic women at high risk?, </w:t>
            </w:r>
            <w:r w:rsidRPr="008B2F8A">
              <w:rPr>
                <w:rFonts w:cs="Calibri"/>
                <w:i/>
                <w:iCs/>
                <w:szCs w:val="20"/>
              </w:rPr>
              <w:t>Magnet Resonance Imag</w:t>
            </w:r>
            <w:r w:rsidRPr="008B2F8A">
              <w:rPr>
                <w:rFonts w:cs="Calibri"/>
                <w:szCs w:val="20"/>
              </w:rPr>
              <w:t>, 20 (7), 557–565.</w:t>
            </w:r>
          </w:p>
          <w:p w14:paraId="187A1036" w14:textId="0A60CE53" w:rsidR="00E47AB8" w:rsidRPr="008B2F8A" w:rsidRDefault="00E47AB8" w:rsidP="00426E6B">
            <w:pPr>
              <w:pStyle w:val="Tabletext"/>
              <w:spacing w:before="40" w:after="80" w:line="276" w:lineRule="auto"/>
              <w:rPr>
                <w:szCs w:val="20"/>
              </w:rPr>
            </w:pPr>
            <w:r w:rsidRPr="008B2F8A">
              <w:rPr>
                <w:rFonts w:cs="Calibri"/>
                <w:szCs w:val="20"/>
              </w:rPr>
              <w:t xml:space="preserve">Hutton, J, Walker, LG et al, 2011. Psychological impact and acceptability of magnetic resonance imaging and x-ray mammography: The MARIBS Study, </w:t>
            </w:r>
            <w:r w:rsidRPr="008B2F8A">
              <w:rPr>
                <w:rFonts w:cs="Calibri"/>
                <w:i/>
                <w:iCs/>
                <w:szCs w:val="20"/>
              </w:rPr>
              <w:t>B J Cancer</w:t>
            </w:r>
            <w:r w:rsidRPr="008B2F8A">
              <w:rPr>
                <w:rFonts w:cs="Calibri"/>
                <w:szCs w:val="20"/>
              </w:rPr>
              <w:t>, 104 (4), 578–586.</w:t>
            </w:r>
          </w:p>
        </w:tc>
      </w:tr>
      <w:tr w:rsidR="00E47AB8" w:rsidRPr="008B2F8A" w14:paraId="0EB3EFAE" w14:textId="77777777" w:rsidTr="00422306">
        <w:trPr>
          <w:cantSplit/>
        </w:trPr>
        <w:tc>
          <w:tcPr>
            <w:tcW w:w="1448" w:type="dxa"/>
          </w:tcPr>
          <w:p w14:paraId="4FDF1CF0" w14:textId="3ED8071E" w:rsidR="00E47AB8" w:rsidRPr="008B2F8A" w:rsidRDefault="00E47AB8" w:rsidP="00422306">
            <w:pPr>
              <w:pStyle w:val="Tabletext"/>
              <w:spacing w:before="40" w:after="80" w:line="276" w:lineRule="auto"/>
              <w:rPr>
                <w:b/>
                <w:szCs w:val="20"/>
              </w:rPr>
            </w:pPr>
            <w:r>
              <w:rPr>
                <w:szCs w:val="20"/>
              </w:rPr>
              <w:lastRenderedPageBreak/>
              <w:t>Kuhl et al, 2005</w:t>
            </w:r>
          </w:p>
        </w:tc>
        <w:tc>
          <w:tcPr>
            <w:tcW w:w="7622" w:type="dxa"/>
            <w:gridSpan w:val="2"/>
          </w:tcPr>
          <w:p w14:paraId="3D660AAA" w14:textId="68C6483E" w:rsidR="00E47AB8" w:rsidRPr="008B2F8A" w:rsidRDefault="00E47AB8" w:rsidP="00426E6B">
            <w:pPr>
              <w:pStyle w:val="Tabletext"/>
              <w:spacing w:before="40" w:after="80" w:line="276" w:lineRule="auto"/>
              <w:rPr>
                <w:b/>
                <w:color w:val="000000"/>
                <w:szCs w:val="20"/>
                <w:lang w:eastAsia="en-AU"/>
              </w:rPr>
            </w:pPr>
            <w:r w:rsidRPr="008B2F8A">
              <w:rPr>
                <w:rFonts w:cs="Calibri"/>
                <w:b/>
                <w:szCs w:val="20"/>
              </w:rPr>
              <w:t xml:space="preserve">Kuhl, CK, </w:t>
            </w:r>
            <w:bookmarkStart w:id="490" w:name="OLE_LINK69"/>
            <w:bookmarkStart w:id="491" w:name="OLE_LINK70"/>
            <w:r w:rsidRPr="008B2F8A">
              <w:rPr>
                <w:rFonts w:cs="Calibri"/>
                <w:b/>
                <w:szCs w:val="20"/>
              </w:rPr>
              <w:t>Schrading</w:t>
            </w:r>
            <w:bookmarkEnd w:id="490"/>
            <w:bookmarkEnd w:id="491"/>
            <w:r w:rsidRPr="008B2F8A">
              <w:rPr>
                <w:rFonts w:cs="Calibri"/>
                <w:b/>
                <w:szCs w:val="20"/>
              </w:rPr>
              <w:t xml:space="preserve">, S et al, 2005. Mammography, breast ultrasound, and magnetic resonance imaging for surveillance of women at high familial risk for breast cancer, </w:t>
            </w:r>
            <w:r w:rsidRPr="008B2F8A">
              <w:rPr>
                <w:rFonts w:cs="Calibri"/>
                <w:b/>
                <w:i/>
                <w:iCs/>
                <w:szCs w:val="20"/>
              </w:rPr>
              <w:t>J Clin Oncol</w:t>
            </w:r>
            <w:r w:rsidRPr="008B2F8A">
              <w:rPr>
                <w:rFonts w:cs="Calibri"/>
                <w:b/>
                <w:szCs w:val="20"/>
              </w:rPr>
              <w:t>, 23 (33), 8469–8476.</w:t>
            </w:r>
          </w:p>
        </w:tc>
      </w:tr>
      <w:tr w:rsidR="00E47AB8" w:rsidRPr="008B2F8A" w14:paraId="7686EB77" w14:textId="77777777" w:rsidTr="00422306">
        <w:tblPrEx>
          <w:tblLook w:val="01E0" w:firstRow="1" w:lastRow="1" w:firstColumn="1" w:lastColumn="1" w:noHBand="0" w:noVBand="0"/>
        </w:tblPrEx>
        <w:tc>
          <w:tcPr>
            <w:tcW w:w="1448" w:type="dxa"/>
          </w:tcPr>
          <w:p w14:paraId="27FEAA79" w14:textId="447EEE19" w:rsidR="00E47AB8" w:rsidRPr="008B2F8A" w:rsidRDefault="00E47AB8" w:rsidP="00422306">
            <w:pPr>
              <w:pStyle w:val="Tabletext"/>
              <w:spacing w:before="40" w:after="80" w:line="276" w:lineRule="auto"/>
              <w:rPr>
                <w:szCs w:val="20"/>
              </w:rPr>
            </w:pPr>
            <w:bookmarkStart w:id="492" w:name="OLE_LINK527"/>
            <w:r>
              <w:rPr>
                <w:szCs w:val="20"/>
              </w:rPr>
              <w:t>Kriege et al, 2006</w:t>
            </w:r>
            <w:r w:rsidR="00003049">
              <w:rPr>
                <w:szCs w:val="20"/>
              </w:rPr>
              <w:t>b</w:t>
            </w:r>
          </w:p>
          <w:p w14:paraId="4C1ECF92" w14:textId="77777777" w:rsidR="00E47AB8" w:rsidRPr="008B2F8A" w:rsidRDefault="00E47AB8" w:rsidP="00422306">
            <w:pPr>
              <w:pStyle w:val="Tabletext"/>
              <w:spacing w:before="40" w:after="80" w:line="276" w:lineRule="auto"/>
              <w:rPr>
                <w:szCs w:val="20"/>
              </w:rPr>
            </w:pPr>
            <w:r w:rsidRPr="008B2F8A">
              <w:rPr>
                <w:szCs w:val="20"/>
              </w:rPr>
              <w:t xml:space="preserve">Dutch </w:t>
            </w:r>
            <w:bookmarkStart w:id="493" w:name="OLE_LINK55"/>
            <w:bookmarkStart w:id="494" w:name="OLE_LINK56"/>
            <w:r w:rsidRPr="008B2F8A">
              <w:rPr>
                <w:szCs w:val="20"/>
              </w:rPr>
              <w:t xml:space="preserve">MRISC </w:t>
            </w:r>
            <w:bookmarkEnd w:id="493"/>
            <w:bookmarkEnd w:id="494"/>
            <w:r w:rsidRPr="008B2F8A">
              <w:rPr>
                <w:szCs w:val="20"/>
              </w:rPr>
              <w:t>study</w:t>
            </w:r>
          </w:p>
        </w:tc>
        <w:tc>
          <w:tcPr>
            <w:tcW w:w="7622" w:type="dxa"/>
            <w:gridSpan w:val="2"/>
          </w:tcPr>
          <w:p w14:paraId="550DE988" w14:textId="52E07987" w:rsidR="00E47AB8" w:rsidRPr="008B2F8A" w:rsidRDefault="00E47AB8" w:rsidP="00422306">
            <w:pPr>
              <w:spacing w:before="40" w:after="80"/>
              <w:rPr>
                <w:rFonts w:ascii="Arial Narrow" w:hAnsi="Arial Narrow" w:cs="Calibri"/>
                <w:sz w:val="20"/>
                <w:szCs w:val="20"/>
              </w:rPr>
            </w:pPr>
            <w:bookmarkStart w:id="495" w:name="OLE_LINK71"/>
            <w:bookmarkStart w:id="496" w:name="OLE_LINK72"/>
            <w:r w:rsidRPr="008B2F8A">
              <w:rPr>
                <w:rFonts w:ascii="Arial Narrow" w:hAnsi="Arial Narrow" w:cs="Calibri"/>
                <w:sz w:val="20"/>
                <w:szCs w:val="20"/>
              </w:rPr>
              <w:t>Kriege</w:t>
            </w:r>
            <w:bookmarkEnd w:id="495"/>
            <w:bookmarkEnd w:id="496"/>
            <w:r w:rsidRPr="008B2F8A">
              <w:rPr>
                <w:rFonts w:ascii="Arial Narrow" w:hAnsi="Arial Narrow" w:cs="Calibri"/>
                <w:sz w:val="20"/>
                <w:szCs w:val="20"/>
              </w:rPr>
              <w:t xml:space="preserve">, M, </w:t>
            </w:r>
            <w:bookmarkStart w:id="497" w:name="OLE_LINK73"/>
            <w:bookmarkStart w:id="498" w:name="OLE_LINK74"/>
            <w:r w:rsidRPr="008B2F8A">
              <w:rPr>
                <w:rFonts w:ascii="Arial Narrow" w:hAnsi="Arial Narrow" w:cs="Calibri"/>
                <w:sz w:val="20"/>
                <w:szCs w:val="20"/>
              </w:rPr>
              <w:t>Brekelmans</w:t>
            </w:r>
            <w:bookmarkEnd w:id="497"/>
            <w:bookmarkEnd w:id="498"/>
            <w:r w:rsidRPr="008B2F8A">
              <w:rPr>
                <w:rFonts w:ascii="Arial Narrow" w:hAnsi="Arial Narrow" w:cs="Calibri"/>
                <w:sz w:val="20"/>
                <w:szCs w:val="20"/>
              </w:rPr>
              <w:t xml:space="preserve">, CTM et al, 2004. Efficacy of MRI and mammography for breast-cancer screening in women with a familial or genetic predisposition, </w:t>
            </w:r>
            <w:r w:rsidRPr="008B2F8A">
              <w:rPr>
                <w:rFonts w:ascii="Arial Narrow" w:hAnsi="Arial Narrow" w:cs="Calibri"/>
                <w:i/>
                <w:iCs/>
                <w:sz w:val="20"/>
                <w:szCs w:val="20"/>
              </w:rPr>
              <w:t>N Engl J Med</w:t>
            </w:r>
            <w:r w:rsidRPr="008B2F8A">
              <w:rPr>
                <w:rFonts w:ascii="Arial Narrow" w:hAnsi="Arial Narrow" w:cs="Calibri"/>
                <w:sz w:val="20"/>
                <w:szCs w:val="20"/>
              </w:rPr>
              <w:t>, 351 (5), 427–437+519.</w:t>
            </w:r>
          </w:p>
          <w:p w14:paraId="11C4E9EA" w14:textId="77777777" w:rsidR="00E47AB8" w:rsidRPr="008B2F8A" w:rsidRDefault="00E47AB8" w:rsidP="00422306">
            <w:pPr>
              <w:spacing w:before="40" w:after="80"/>
              <w:rPr>
                <w:rFonts w:ascii="Arial Narrow" w:hAnsi="Arial Narrow" w:cs="Calibri"/>
                <w:sz w:val="20"/>
                <w:szCs w:val="20"/>
              </w:rPr>
            </w:pPr>
            <w:r w:rsidRPr="008B2F8A">
              <w:rPr>
                <w:rFonts w:ascii="Arial Narrow" w:hAnsi="Arial Narrow" w:cs="Calibri"/>
                <w:sz w:val="20"/>
                <w:szCs w:val="20"/>
              </w:rPr>
              <w:t xml:space="preserve">Kriege, M, Brekelmans, CTM et al, 2006. Differences between first and subsequent rounds of the </w:t>
            </w:r>
            <w:bookmarkStart w:id="499" w:name="OLE_LINK75"/>
            <w:bookmarkStart w:id="500" w:name="OLE_LINK76"/>
            <w:r w:rsidRPr="008B2F8A">
              <w:rPr>
                <w:rFonts w:ascii="Arial Narrow" w:hAnsi="Arial Narrow" w:cs="Calibri"/>
                <w:sz w:val="20"/>
                <w:szCs w:val="20"/>
              </w:rPr>
              <w:t xml:space="preserve">MRISC </w:t>
            </w:r>
            <w:bookmarkEnd w:id="499"/>
            <w:bookmarkEnd w:id="500"/>
            <w:r w:rsidRPr="008B2F8A">
              <w:rPr>
                <w:rFonts w:ascii="Arial Narrow" w:hAnsi="Arial Narrow" w:cs="Calibri"/>
                <w:sz w:val="20"/>
                <w:szCs w:val="20"/>
              </w:rPr>
              <w:t xml:space="preserve">breast cancer screening program for women with a familial or genetic predisposition, </w:t>
            </w:r>
            <w:r w:rsidRPr="008B2F8A">
              <w:rPr>
                <w:rFonts w:ascii="Arial Narrow" w:hAnsi="Arial Narrow" w:cs="Calibri"/>
                <w:i/>
                <w:iCs/>
                <w:sz w:val="20"/>
                <w:szCs w:val="20"/>
              </w:rPr>
              <w:t>Cancer</w:t>
            </w:r>
            <w:r w:rsidRPr="008B2F8A">
              <w:rPr>
                <w:rFonts w:ascii="Arial Narrow" w:hAnsi="Arial Narrow" w:cs="Calibri"/>
                <w:sz w:val="20"/>
                <w:szCs w:val="20"/>
              </w:rPr>
              <w:t>, 106 (11), 2318–2326.</w:t>
            </w:r>
          </w:p>
          <w:p w14:paraId="4A4E71E0" w14:textId="77777777" w:rsidR="00E47AB8" w:rsidRPr="008B2F8A" w:rsidRDefault="00E47AB8" w:rsidP="00422306">
            <w:pPr>
              <w:spacing w:before="40" w:after="80"/>
              <w:rPr>
                <w:rFonts w:ascii="Arial Narrow" w:hAnsi="Arial Narrow" w:cs="Calibri"/>
                <w:b/>
                <w:sz w:val="20"/>
                <w:szCs w:val="20"/>
              </w:rPr>
            </w:pPr>
            <w:r w:rsidRPr="008B2F8A">
              <w:rPr>
                <w:rFonts w:ascii="Arial Narrow" w:hAnsi="Arial Narrow" w:cs="Calibri"/>
                <w:b/>
                <w:sz w:val="20"/>
                <w:szCs w:val="20"/>
              </w:rPr>
              <w:t xml:space="preserve">Kriege, M, Brekelmans, C et al, 2006. Factors affecting sensitivity and specificity of screening mammography and MRI in women with an inherited risk for breast cancer, </w:t>
            </w:r>
            <w:r w:rsidRPr="008B2F8A">
              <w:rPr>
                <w:rFonts w:ascii="Arial Narrow" w:hAnsi="Arial Narrow" w:cs="Calibri"/>
                <w:b/>
                <w:i/>
                <w:iCs/>
                <w:sz w:val="20"/>
                <w:szCs w:val="20"/>
              </w:rPr>
              <w:t>Breast Cancer Res Treat</w:t>
            </w:r>
            <w:r w:rsidRPr="008B2F8A">
              <w:rPr>
                <w:rFonts w:ascii="Arial Narrow" w:hAnsi="Arial Narrow" w:cs="Calibri"/>
                <w:b/>
                <w:sz w:val="20"/>
                <w:szCs w:val="20"/>
              </w:rPr>
              <w:t>, 100 (1), 109–119.</w:t>
            </w:r>
          </w:p>
          <w:p w14:paraId="3E737D3C" w14:textId="0E11F165" w:rsidR="00E47AB8" w:rsidRPr="008B2F8A" w:rsidRDefault="00E47AB8" w:rsidP="00422306">
            <w:pPr>
              <w:spacing w:before="40" w:after="80"/>
              <w:rPr>
                <w:rFonts w:ascii="Arial Narrow" w:hAnsi="Arial Narrow" w:cs="Calibri"/>
                <w:sz w:val="20"/>
                <w:szCs w:val="20"/>
              </w:rPr>
            </w:pPr>
            <w:r w:rsidRPr="008B2F8A">
              <w:rPr>
                <w:rFonts w:ascii="Arial Narrow" w:hAnsi="Arial Narrow" w:cs="Calibri"/>
                <w:sz w:val="20"/>
                <w:szCs w:val="20"/>
              </w:rPr>
              <w:t xml:space="preserve">Kriege, M, Brekelmans, CTM et al, 2007. Tumor characteristics and detection method in the MRISC screening program for the early detection of hereditary breast cancer, </w:t>
            </w:r>
            <w:r w:rsidRPr="008B2F8A">
              <w:rPr>
                <w:rFonts w:ascii="Arial Narrow" w:hAnsi="Arial Narrow" w:cs="Calibri"/>
                <w:i/>
                <w:iCs/>
                <w:sz w:val="20"/>
                <w:szCs w:val="20"/>
              </w:rPr>
              <w:t>Breast Cancer Res Treat</w:t>
            </w:r>
            <w:r w:rsidRPr="008B2F8A">
              <w:rPr>
                <w:rFonts w:ascii="Arial Narrow" w:hAnsi="Arial Narrow" w:cs="Calibri"/>
                <w:sz w:val="20"/>
                <w:szCs w:val="20"/>
              </w:rPr>
              <w:t>, 102 (3), 357–363.</w:t>
            </w:r>
          </w:p>
          <w:p w14:paraId="6F983EFC" w14:textId="3321D5D3" w:rsidR="00E47AB8" w:rsidRPr="008B2F8A" w:rsidRDefault="00E47AB8" w:rsidP="00422306">
            <w:pPr>
              <w:spacing w:before="40" w:after="80"/>
              <w:rPr>
                <w:rFonts w:ascii="Arial Narrow" w:hAnsi="Arial Narrow" w:cs="Calibri"/>
                <w:sz w:val="20"/>
                <w:szCs w:val="20"/>
              </w:rPr>
            </w:pPr>
            <w:bookmarkStart w:id="501" w:name="OLE_LINK77"/>
            <w:bookmarkStart w:id="502" w:name="OLE_LINK78"/>
            <w:r w:rsidRPr="008B2F8A">
              <w:rPr>
                <w:rFonts w:ascii="Arial Narrow" w:hAnsi="Arial Narrow" w:cs="Calibri"/>
                <w:sz w:val="20"/>
                <w:szCs w:val="20"/>
              </w:rPr>
              <w:t>Obdeijn</w:t>
            </w:r>
            <w:bookmarkEnd w:id="501"/>
            <w:bookmarkEnd w:id="502"/>
            <w:r w:rsidRPr="008B2F8A">
              <w:rPr>
                <w:rFonts w:ascii="Arial Narrow" w:hAnsi="Arial Narrow" w:cs="Calibri"/>
                <w:sz w:val="20"/>
                <w:szCs w:val="20"/>
              </w:rPr>
              <w:t xml:space="preserve">, IMA, Loo, CE et al, 2010. Assessment of false-negative cases of breast MR imaging in women with a familial or genetic predisposition, </w:t>
            </w:r>
            <w:r w:rsidRPr="008B2F8A">
              <w:rPr>
                <w:rFonts w:ascii="Arial Narrow" w:hAnsi="Arial Narrow" w:cs="Calibri"/>
                <w:i/>
                <w:iCs/>
                <w:sz w:val="20"/>
                <w:szCs w:val="20"/>
              </w:rPr>
              <w:t>Breast Cancer Res Treat</w:t>
            </w:r>
            <w:r w:rsidRPr="008B2F8A">
              <w:rPr>
                <w:rFonts w:ascii="Arial Narrow" w:hAnsi="Arial Narrow" w:cs="Calibri"/>
                <w:sz w:val="20"/>
                <w:szCs w:val="20"/>
              </w:rPr>
              <w:t>, 119 (2), 399–407.</w:t>
            </w:r>
          </w:p>
          <w:p w14:paraId="3EB541BB" w14:textId="77777777" w:rsidR="00E47AB8" w:rsidRPr="008B2F8A" w:rsidRDefault="00E47AB8" w:rsidP="00422306">
            <w:pPr>
              <w:spacing w:before="40" w:after="80"/>
              <w:rPr>
                <w:rFonts w:ascii="Arial Narrow" w:hAnsi="Arial Narrow" w:cs="Calibri"/>
                <w:sz w:val="20"/>
                <w:szCs w:val="20"/>
              </w:rPr>
            </w:pPr>
            <w:bookmarkStart w:id="503" w:name="OLE_LINK79"/>
            <w:bookmarkStart w:id="504" w:name="OLE_LINK80"/>
            <w:r w:rsidRPr="008B2F8A">
              <w:rPr>
                <w:rFonts w:ascii="Arial Narrow" w:hAnsi="Arial Narrow" w:cs="Calibri"/>
                <w:sz w:val="20"/>
                <w:szCs w:val="20"/>
              </w:rPr>
              <w:t>Rijnsburger</w:t>
            </w:r>
            <w:bookmarkEnd w:id="503"/>
            <w:bookmarkEnd w:id="504"/>
            <w:r w:rsidRPr="008B2F8A">
              <w:rPr>
                <w:rFonts w:ascii="Arial Narrow" w:hAnsi="Arial Narrow" w:cs="Calibri"/>
                <w:sz w:val="20"/>
                <w:szCs w:val="20"/>
              </w:rPr>
              <w:t xml:space="preserve">, AJ, </w:t>
            </w:r>
            <w:bookmarkStart w:id="505" w:name="OLE_LINK81"/>
            <w:bookmarkStart w:id="506" w:name="OLE_LINK82"/>
            <w:r w:rsidRPr="008B2F8A">
              <w:rPr>
                <w:rFonts w:ascii="Arial Narrow" w:hAnsi="Arial Narrow" w:cs="Calibri"/>
                <w:sz w:val="20"/>
                <w:szCs w:val="20"/>
              </w:rPr>
              <w:t>Essink</w:t>
            </w:r>
            <w:bookmarkEnd w:id="505"/>
            <w:bookmarkEnd w:id="506"/>
            <w:r w:rsidRPr="008B2F8A">
              <w:rPr>
                <w:rFonts w:ascii="Arial Narrow" w:hAnsi="Arial Narrow" w:cs="Calibri"/>
                <w:sz w:val="20"/>
                <w:szCs w:val="20"/>
              </w:rPr>
              <w:t xml:space="preserve">-Bot, ML et al, 2004. Impact of screening for breast cancer in high-risk women on health-related quality of life, </w:t>
            </w:r>
            <w:r w:rsidRPr="008B2F8A">
              <w:rPr>
                <w:rFonts w:ascii="Arial Narrow" w:hAnsi="Arial Narrow" w:cs="Calibri"/>
                <w:i/>
                <w:iCs/>
                <w:sz w:val="20"/>
                <w:szCs w:val="20"/>
              </w:rPr>
              <w:t>Br J Cancer</w:t>
            </w:r>
            <w:r w:rsidRPr="008B2F8A">
              <w:rPr>
                <w:rFonts w:ascii="Arial Narrow" w:hAnsi="Arial Narrow" w:cs="Calibri"/>
                <w:sz w:val="20"/>
                <w:szCs w:val="20"/>
              </w:rPr>
              <w:t>, 91 (1), 69–76.</w:t>
            </w:r>
          </w:p>
          <w:p w14:paraId="4AA78A42" w14:textId="26DECFDD" w:rsidR="00E47AB8" w:rsidRPr="008B2F8A" w:rsidRDefault="00E47AB8" w:rsidP="00426E6B">
            <w:pPr>
              <w:pStyle w:val="TableText0"/>
              <w:keepNext w:val="0"/>
              <w:spacing w:before="40" w:after="80" w:line="276" w:lineRule="auto"/>
              <w:rPr>
                <w:rFonts w:eastAsia="Calibri" w:cs="Calibri"/>
                <w:color w:val="auto"/>
                <w:szCs w:val="20"/>
                <w:lang w:eastAsia="en-US"/>
              </w:rPr>
            </w:pPr>
            <w:r w:rsidRPr="008B2F8A">
              <w:rPr>
                <w:rFonts w:eastAsia="Calibri" w:cs="Calibri"/>
                <w:color w:val="auto"/>
                <w:szCs w:val="20"/>
                <w:lang w:eastAsia="en-US"/>
              </w:rPr>
              <w:t xml:space="preserve">Rijnsburger, AJ, </w:t>
            </w:r>
            <w:bookmarkStart w:id="507" w:name="OLE_LINK83"/>
            <w:bookmarkStart w:id="508" w:name="OLE_LINK84"/>
            <w:r w:rsidRPr="008B2F8A">
              <w:rPr>
                <w:rFonts w:eastAsia="Calibri" w:cs="Calibri"/>
                <w:color w:val="auto"/>
                <w:szCs w:val="20"/>
                <w:lang w:eastAsia="en-US"/>
              </w:rPr>
              <w:t>Obdeijn</w:t>
            </w:r>
            <w:bookmarkEnd w:id="507"/>
            <w:bookmarkEnd w:id="508"/>
            <w:r w:rsidRPr="008B2F8A">
              <w:rPr>
                <w:rFonts w:eastAsia="Calibri" w:cs="Calibri"/>
                <w:color w:val="auto"/>
                <w:szCs w:val="20"/>
                <w:lang w:eastAsia="en-US"/>
              </w:rPr>
              <w:t xml:space="preserve">, IM et al, 2010. </w:t>
            </w:r>
            <w:r w:rsidRPr="008B2F8A">
              <w:rPr>
                <w:rFonts w:eastAsia="Calibri" w:cs="Calibri"/>
                <w:i/>
                <w:color w:val="auto"/>
                <w:szCs w:val="20"/>
                <w:lang w:eastAsia="en-US"/>
              </w:rPr>
              <w:t>BRCA1</w:t>
            </w:r>
            <w:r w:rsidRPr="008B2F8A">
              <w:rPr>
                <w:rFonts w:eastAsia="Calibri" w:cs="Calibri"/>
                <w:color w:val="auto"/>
                <w:szCs w:val="20"/>
                <w:lang w:eastAsia="en-US"/>
              </w:rPr>
              <w:t xml:space="preserve">-associated breast cancers present differently from </w:t>
            </w:r>
            <w:r w:rsidRPr="008B2F8A">
              <w:rPr>
                <w:rFonts w:eastAsia="Calibri" w:cs="Calibri"/>
                <w:i/>
                <w:color w:val="auto"/>
                <w:szCs w:val="20"/>
                <w:lang w:eastAsia="en-US"/>
              </w:rPr>
              <w:t>BRCA2</w:t>
            </w:r>
            <w:r w:rsidRPr="008B2F8A">
              <w:rPr>
                <w:rFonts w:eastAsia="Calibri" w:cs="Calibri"/>
                <w:color w:val="auto"/>
                <w:szCs w:val="20"/>
                <w:lang w:eastAsia="en-US"/>
              </w:rPr>
              <w:t xml:space="preserve">-associated and familial cases: long-term follow-up of the Dutch MRISC screening study, </w:t>
            </w:r>
            <w:r w:rsidRPr="008B2F8A">
              <w:rPr>
                <w:rFonts w:eastAsia="Calibri" w:cs="Calibri"/>
                <w:i/>
                <w:iCs/>
                <w:color w:val="auto"/>
                <w:szCs w:val="20"/>
                <w:lang w:eastAsia="en-US"/>
              </w:rPr>
              <w:t>J Clin Oncol</w:t>
            </w:r>
            <w:r w:rsidRPr="008B2F8A">
              <w:rPr>
                <w:rFonts w:eastAsia="Calibri" w:cs="Calibri"/>
                <w:color w:val="auto"/>
                <w:szCs w:val="20"/>
                <w:lang w:eastAsia="en-US"/>
              </w:rPr>
              <w:t>, 28 (36), 5265–5273.</w:t>
            </w:r>
          </w:p>
          <w:p w14:paraId="19B026A8" w14:textId="77777777" w:rsidR="00E47AB8" w:rsidRPr="008B2F8A" w:rsidRDefault="00E47AB8" w:rsidP="00426E6B">
            <w:pPr>
              <w:pStyle w:val="TableText0"/>
              <w:keepNext w:val="0"/>
              <w:spacing w:before="40" w:after="80" w:line="276" w:lineRule="auto"/>
              <w:rPr>
                <w:rFonts w:cs="Calibri"/>
                <w:szCs w:val="20"/>
              </w:rPr>
            </w:pPr>
            <w:r w:rsidRPr="008B2F8A">
              <w:rPr>
                <w:rFonts w:cs="Calibri"/>
                <w:szCs w:val="20"/>
              </w:rPr>
              <w:t xml:space="preserve">Essink-Bot, ML, Rijnsburger, AJ et al, 2006. Women’s acceptance of MRI in breast cancer surveillance because of a familial or genetic predisposition, </w:t>
            </w:r>
            <w:r w:rsidRPr="008B2F8A">
              <w:rPr>
                <w:rFonts w:cs="Calibri"/>
                <w:i/>
                <w:iCs/>
                <w:szCs w:val="20"/>
              </w:rPr>
              <w:t>Breast (Edinburgh, Scotland)</w:t>
            </w:r>
            <w:r w:rsidRPr="008B2F8A">
              <w:rPr>
                <w:rFonts w:cs="Calibri"/>
                <w:szCs w:val="20"/>
              </w:rPr>
              <w:t>, 15 (5), 673–676.</w:t>
            </w:r>
          </w:p>
          <w:p w14:paraId="2B1C44C4" w14:textId="3ACD495D" w:rsidR="00E47AB8" w:rsidRPr="008B2F8A" w:rsidRDefault="00E47AB8" w:rsidP="00426E6B">
            <w:pPr>
              <w:pStyle w:val="TableText0"/>
              <w:keepNext w:val="0"/>
              <w:spacing w:before="40" w:after="80" w:line="276" w:lineRule="auto"/>
              <w:rPr>
                <w:szCs w:val="20"/>
              </w:rPr>
            </w:pPr>
            <w:r w:rsidRPr="008B2F8A">
              <w:rPr>
                <w:rFonts w:cs="Calibri"/>
                <w:szCs w:val="20"/>
              </w:rPr>
              <w:t xml:space="preserve">van Dooren, S, </w:t>
            </w:r>
            <w:bookmarkStart w:id="509" w:name="OLE_LINK85"/>
            <w:r w:rsidRPr="008B2F8A">
              <w:rPr>
                <w:rFonts w:cs="Calibri"/>
                <w:szCs w:val="20"/>
              </w:rPr>
              <w:t>Seynaeve</w:t>
            </w:r>
            <w:bookmarkEnd w:id="509"/>
            <w:r w:rsidRPr="008B2F8A">
              <w:rPr>
                <w:rFonts w:cs="Calibri"/>
                <w:szCs w:val="20"/>
              </w:rPr>
              <w:t xml:space="preserve">, C et al, 2005. Exploring the course of psychological distress around two successive control visits in women at hereditary risk of breast cancer, </w:t>
            </w:r>
            <w:r w:rsidRPr="008B2F8A">
              <w:rPr>
                <w:rFonts w:cs="Calibri"/>
                <w:i/>
                <w:iCs/>
                <w:szCs w:val="20"/>
              </w:rPr>
              <w:t>Eur J Cancer</w:t>
            </w:r>
            <w:r w:rsidRPr="008B2F8A">
              <w:rPr>
                <w:rFonts w:cs="Calibri"/>
                <w:szCs w:val="20"/>
              </w:rPr>
              <w:t>, 41 (10), 1416–1425.</w:t>
            </w:r>
          </w:p>
        </w:tc>
      </w:tr>
      <w:bookmarkEnd w:id="492"/>
      <w:tr w:rsidR="00E47AB8" w:rsidRPr="008B2F8A" w14:paraId="73A34783" w14:textId="77777777" w:rsidTr="00422306">
        <w:trPr>
          <w:cantSplit/>
        </w:trPr>
        <w:tc>
          <w:tcPr>
            <w:tcW w:w="1448" w:type="dxa"/>
          </w:tcPr>
          <w:p w14:paraId="31043363" w14:textId="708451C5" w:rsidR="00E47AB8" w:rsidRPr="008B2F8A" w:rsidRDefault="00E47AB8" w:rsidP="00422306">
            <w:pPr>
              <w:pStyle w:val="Tabletext"/>
              <w:spacing w:before="40" w:after="80" w:line="276" w:lineRule="auto"/>
            </w:pPr>
            <w:r>
              <w:t>Warner et al, 2004</w:t>
            </w:r>
          </w:p>
          <w:p w14:paraId="2ED1C06E" w14:textId="77777777" w:rsidR="00E47AB8" w:rsidRPr="008B2F8A" w:rsidRDefault="00E47AB8" w:rsidP="00422306">
            <w:pPr>
              <w:pStyle w:val="Tabletext"/>
              <w:spacing w:before="40" w:after="80" w:line="276" w:lineRule="auto"/>
            </w:pPr>
            <w:r w:rsidRPr="008B2F8A">
              <w:t>Canadian study</w:t>
            </w:r>
          </w:p>
        </w:tc>
        <w:tc>
          <w:tcPr>
            <w:tcW w:w="7622" w:type="dxa"/>
            <w:gridSpan w:val="2"/>
          </w:tcPr>
          <w:p w14:paraId="3FD000D2" w14:textId="3CAFC7E8" w:rsidR="00E47AB8" w:rsidRPr="008B2F8A" w:rsidRDefault="00E47AB8" w:rsidP="00426E6B">
            <w:pPr>
              <w:pStyle w:val="Tabletext"/>
              <w:spacing w:before="40" w:after="80" w:line="276" w:lineRule="auto"/>
              <w:rPr>
                <w:color w:val="000000"/>
                <w:lang w:eastAsia="en-AU"/>
              </w:rPr>
            </w:pPr>
            <w:r w:rsidRPr="008B2F8A">
              <w:t xml:space="preserve">Warner, E, </w:t>
            </w:r>
            <w:bookmarkStart w:id="510" w:name="OLE_LINK86"/>
            <w:r w:rsidRPr="008B2F8A">
              <w:t>Plewes</w:t>
            </w:r>
            <w:bookmarkEnd w:id="510"/>
            <w:r w:rsidRPr="008B2F8A">
              <w:t xml:space="preserve">, DB et al, 2001. Comparison of breast magnetic resonance imaging, mammography, and ultrasound for surveillance of women at high risk for hereditary breast cancer, </w:t>
            </w:r>
            <w:r w:rsidRPr="008B2F8A">
              <w:rPr>
                <w:i/>
                <w:iCs/>
              </w:rPr>
              <w:t xml:space="preserve">J Clin </w:t>
            </w:r>
            <w:bookmarkStart w:id="511" w:name="OLE_LINK7"/>
            <w:bookmarkStart w:id="512" w:name="OLE_LINK8"/>
            <w:r w:rsidRPr="008B2F8A">
              <w:rPr>
                <w:i/>
                <w:iCs/>
              </w:rPr>
              <w:t>Oncol</w:t>
            </w:r>
            <w:bookmarkEnd w:id="511"/>
            <w:bookmarkEnd w:id="512"/>
            <w:r w:rsidRPr="008B2F8A">
              <w:t>, 19 (15), 3524–3531.</w:t>
            </w:r>
          </w:p>
          <w:p w14:paraId="383D3272" w14:textId="725E34D1" w:rsidR="00E47AB8" w:rsidRPr="008B2F8A" w:rsidRDefault="00E47AB8" w:rsidP="00426E6B">
            <w:pPr>
              <w:pStyle w:val="Tabletext"/>
              <w:spacing w:before="40" w:after="80" w:line="276" w:lineRule="auto"/>
              <w:rPr>
                <w:b/>
              </w:rPr>
            </w:pPr>
            <w:r w:rsidRPr="008B2F8A">
              <w:rPr>
                <w:b/>
              </w:rPr>
              <w:t xml:space="preserve">Warner, E, Plewes, DB et al, 2004. Surveillance of </w:t>
            </w:r>
            <w:r w:rsidRPr="008B2F8A">
              <w:rPr>
                <w:b/>
                <w:i/>
              </w:rPr>
              <w:t>BRCA1</w:t>
            </w:r>
            <w:r w:rsidRPr="008B2F8A">
              <w:rPr>
                <w:b/>
              </w:rPr>
              <w:t xml:space="preserve"> and </w:t>
            </w:r>
            <w:r w:rsidRPr="008B2F8A">
              <w:rPr>
                <w:b/>
                <w:i/>
              </w:rPr>
              <w:t>BRCA2</w:t>
            </w:r>
            <w:r w:rsidRPr="008B2F8A">
              <w:rPr>
                <w:b/>
              </w:rPr>
              <w:t xml:space="preserve"> mutation carriers with magnetic resonance imaging, ultrasound, mammography, and clinical breast examination, </w:t>
            </w:r>
            <w:r>
              <w:rPr>
                <w:b/>
                <w:i/>
                <w:iCs/>
              </w:rPr>
              <w:t>JAMA</w:t>
            </w:r>
            <w:r w:rsidRPr="008B2F8A">
              <w:rPr>
                <w:b/>
              </w:rPr>
              <w:t>, 292 (11), 1317–1325.</w:t>
            </w:r>
          </w:p>
          <w:p w14:paraId="0A3006BF" w14:textId="33283C5C" w:rsidR="00E47AB8" w:rsidRPr="008B2F8A" w:rsidRDefault="00E47AB8" w:rsidP="00426E6B">
            <w:pPr>
              <w:pStyle w:val="Tabletext"/>
              <w:spacing w:before="40" w:after="80" w:line="276" w:lineRule="auto"/>
              <w:rPr>
                <w:rFonts w:cs="Calibri"/>
                <w:szCs w:val="20"/>
              </w:rPr>
            </w:pPr>
            <w:r w:rsidRPr="008B2F8A">
              <w:rPr>
                <w:rFonts w:cs="Calibri"/>
                <w:szCs w:val="20"/>
              </w:rPr>
              <w:t xml:space="preserve">Warner, E, Hill, K et al, 2011. Prospective study of breast cancer incidence in women with a </w:t>
            </w:r>
            <w:r w:rsidRPr="008B2F8A">
              <w:rPr>
                <w:rFonts w:cs="Calibri"/>
                <w:i/>
                <w:szCs w:val="20"/>
              </w:rPr>
              <w:t>BRCA1</w:t>
            </w:r>
            <w:r w:rsidRPr="008B2F8A">
              <w:rPr>
                <w:rFonts w:cs="Calibri"/>
                <w:szCs w:val="20"/>
              </w:rPr>
              <w:t xml:space="preserve"> or </w:t>
            </w:r>
            <w:r w:rsidRPr="008B2F8A">
              <w:rPr>
                <w:rFonts w:cs="Calibri"/>
                <w:i/>
                <w:szCs w:val="20"/>
              </w:rPr>
              <w:t>BRCA2</w:t>
            </w:r>
            <w:r w:rsidRPr="008B2F8A">
              <w:rPr>
                <w:rFonts w:cs="Calibri"/>
                <w:szCs w:val="20"/>
              </w:rPr>
              <w:t xml:space="preserve"> mutation under surveillance with and without magnetic resonance imaging, </w:t>
            </w:r>
            <w:r w:rsidRPr="008B2F8A">
              <w:rPr>
                <w:rFonts w:cs="Calibri"/>
                <w:i/>
                <w:iCs/>
                <w:szCs w:val="20"/>
              </w:rPr>
              <w:t>J Clin Oncol</w:t>
            </w:r>
            <w:r w:rsidRPr="008B2F8A">
              <w:rPr>
                <w:rFonts w:cs="Calibri"/>
                <w:szCs w:val="20"/>
              </w:rPr>
              <w:t>, 29 (13), 1664–1669.</w:t>
            </w:r>
          </w:p>
          <w:p w14:paraId="09AA8E05" w14:textId="29A05F4E" w:rsidR="00E47AB8" w:rsidRPr="008B2F8A" w:rsidRDefault="00E47AB8" w:rsidP="00426E6B">
            <w:pPr>
              <w:pStyle w:val="Tabletext"/>
              <w:spacing w:before="40" w:after="80" w:line="276" w:lineRule="auto"/>
              <w:rPr>
                <w:rFonts w:cs="Calibri"/>
                <w:szCs w:val="20"/>
              </w:rPr>
            </w:pPr>
            <w:r w:rsidRPr="008B2F8A">
              <w:rPr>
                <w:rFonts w:cs="Calibri"/>
                <w:szCs w:val="20"/>
              </w:rPr>
              <w:t xml:space="preserve">Warner, E, Causer, PA et al, 2011. Improvement in DCIS detection rates by MRI over time in a high-risk breast screening study, </w:t>
            </w:r>
            <w:r w:rsidRPr="008B2F8A">
              <w:rPr>
                <w:rFonts w:cs="Calibri"/>
                <w:i/>
                <w:iCs/>
                <w:szCs w:val="20"/>
              </w:rPr>
              <w:t>Breast J</w:t>
            </w:r>
            <w:r w:rsidRPr="008B2F8A">
              <w:rPr>
                <w:rFonts w:cs="Calibri"/>
                <w:szCs w:val="20"/>
              </w:rPr>
              <w:t>, 17 (1), 9–17.</w:t>
            </w:r>
          </w:p>
          <w:p w14:paraId="63F9FAD4" w14:textId="2EE6FA27" w:rsidR="00E47AB8" w:rsidRPr="008B2F8A" w:rsidRDefault="00E47AB8" w:rsidP="00426E6B">
            <w:pPr>
              <w:pStyle w:val="Tabletext"/>
              <w:spacing w:before="40" w:after="80" w:line="276" w:lineRule="auto"/>
              <w:rPr>
                <w:rFonts w:cs="Calibri"/>
                <w:szCs w:val="20"/>
              </w:rPr>
            </w:pPr>
            <w:bookmarkStart w:id="513" w:name="OLE_LINK87"/>
            <w:bookmarkStart w:id="514" w:name="OLE_LINK88"/>
            <w:r w:rsidRPr="008B2F8A">
              <w:rPr>
                <w:rFonts w:cs="Calibri"/>
                <w:szCs w:val="20"/>
              </w:rPr>
              <w:t>Passaperuma</w:t>
            </w:r>
            <w:bookmarkEnd w:id="513"/>
            <w:bookmarkEnd w:id="514"/>
            <w:r w:rsidRPr="008B2F8A">
              <w:rPr>
                <w:rFonts w:cs="Calibri"/>
                <w:szCs w:val="20"/>
              </w:rPr>
              <w:t xml:space="preserve">, K, Warner, E et al, 2012. Long-term results of screening with magnetic resonance imaging in women with </w:t>
            </w:r>
            <w:r w:rsidRPr="008B2F8A">
              <w:rPr>
                <w:rFonts w:cs="Calibri"/>
                <w:i/>
                <w:szCs w:val="20"/>
              </w:rPr>
              <w:t>BRCA</w:t>
            </w:r>
            <w:r w:rsidRPr="008B2F8A">
              <w:rPr>
                <w:rFonts w:cs="Calibri"/>
                <w:szCs w:val="20"/>
              </w:rPr>
              <w:t xml:space="preserve"> mutations, </w:t>
            </w:r>
            <w:r w:rsidRPr="008B2F8A">
              <w:rPr>
                <w:rFonts w:cs="Calibri"/>
                <w:i/>
                <w:iCs/>
                <w:szCs w:val="20"/>
              </w:rPr>
              <w:t>Br J Cancer</w:t>
            </w:r>
            <w:r w:rsidRPr="008B2F8A">
              <w:rPr>
                <w:rFonts w:cs="Calibri"/>
                <w:szCs w:val="20"/>
              </w:rPr>
              <w:t>, 107 (1), 24–30.</w:t>
            </w:r>
          </w:p>
          <w:p w14:paraId="2D88C967" w14:textId="77777777" w:rsidR="00E47AB8" w:rsidRPr="008B2F8A" w:rsidRDefault="00E47AB8" w:rsidP="00426E6B">
            <w:pPr>
              <w:pStyle w:val="Tabletext"/>
              <w:spacing w:before="40" w:after="80" w:line="276" w:lineRule="auto"/>
              <w:rPr>
                <w:szCs w:val="20"/>
              </w:rPr>
            </w:pPr>
            <w:r w:rsidRPr="008B2F8A">
              <w:rPr>
                <w:rFonts w:cs="Calibri"/>
                <w:szCs w:val="20"/>
              </w:rPr>
              <w:t xml:space="preserve">Spiegel, TN, </w:t>
            </w:r>
            <w:bookmarkStart w:id="515" w:name="OLE_LINK89"/>
            <w:bookmarkStart w:id="516" w:name="OLE_LINK90"/>
            <w:r w:rsidRPr="008B2F8A">
              <w:rPr>
                <w:rFonts w:cs="Calibri"/>
                <w:szCs w:val="20"/>
              </w:rPr>
              <w:t>Esplen</w:t>
            </w:r>
            <w:bookmarkEnd w:id="515"/>
            <w:bookmarkEnd w:id="516"/>
            <w:r w:rsidRPr="008B2F8A">
              <w:rPr>
                <w:rFonts w:cs="Calibri"/>
                <w:szCs w:val="20"/>
              </w:rPr>
              <w:t xml:space="preserve">, MJ et al, 2011. Psychological impact of recall on women with </w:t>
            </w:r>
            <w:r w:rsidRPr="008B2F8A">
              <w:rPr>
                <w:rFonts w:cs="Calibri"/>
                <w:i/>
                <w:szCs w:val="20"/>
              </w:rPr>
              <w:t>BRCA</w:t>
            </w:r>
            <w:r w:rsidRPr="008B2F8A">
              <w:rPr>
                <w:rFonts w:cs="Calibri"/>
                <w:szCs w:val="20"/>
              </w:rPr>
              <w:t xml:space="preserve"> mutations undergoing MRI surveillance, </w:t>
            </w:r>
            <w:r w:rsidRPr="008B2F8A">
              <w:rPr>
                <w:rFonts w:cs="Calibri"/>
                <w:i/>
                <w:iCs/>
                <w:szCs w:val="20"/>
              </w:rPr>
              <w:t>Breast (Edinburgh, Scotland)</w:t>
            </w:r>
            <w:r w:rsidRPr="008B2F8A">
              <w:rPr>
                <w:rFonts w:cs="Calibri"/>
                <w:szCs w:val="20"/>
              </w:rPr>
              <w:t>, 20 (5), 424–430.</w:t>
            </w:r>
          </w:p>
        </w:tc>
      </w:tr>
      <w:tr w:rsidR="00E47AB8" w:rsidRPr="008B2F8A" w14:paraId="0AF942BF" w14:textId="77777777" w:rsidTr="00422306">
        <w:trPr>
          <w:gridAfter w:val="1"/>
          <w:wAfter w:w="11" w:type="dxa"/>
          <w:cantSplit/>
        </w:trPr>
        <w:tc>
          <w:tcPr>
            <w:tcW w:w="1448" w:type="dxa"/>
          </w:tcPr>
          <w:p w14:paraId="59FB5749" w14:textId="16109F55" w:rsidR="00E47AB8" w:rsidRPr="008B2F8A" w:rsidRDefault="00E47AB8" w:rsidP="00422306">
            <w:pPr>
              <w:pStyle w:val="Tabletext"/>
              <w:spacing w:before="40" w:after="80" w:line="276" w:lineRule="auto"/>
              <w:rPr>
                <w:szCs w:val="20"/>
              </w:rPr>
            </w:pPr>
            <w:r>
              <w:rPr>
                <w:szCs w:val="20"/>
              </w:rPr>
              <w:lastRenderedPageBreak/>
              <w:t>Sardanelli et al, 2011</w:t>
            </w:r>
          </w:p>
          <w:p w14:paraId="1D1320A5" w14:textId="77777777" w:rsidR="00E47AB8" w:rsidRPr="008B2F8A" w:rsidRDefault="00E47AB8" w:rsidP="00422306">
            <w:pPr>
              <w:pStyle w:val="Tabletext"/>
              <w:spacing w:before="40" w:after="80" w:line="276" w:lineRule="auto"/>
              <w:rPr>
                <w:szCs w:val="20"/>
              </w:rPr>
            </w:pPr>
            <w:r w:rsidRPr="008B2F8A">
              <w:rPr>
                <w:szCs w:val="20"/>
              </w:rPr>
              <w:t xml:space="preserve">Italian / </w:t>
            </w:r>
            <w:bookmarkStart w:id="517" w:name="OLE_LINK57"/>
            <w:bookmarkStart w:id="518" w:name="OLE_LINK58"/>
            <w:r w:rsidRPr="008B2F8A">
              <w:rPr>
                <w:szCs w:val="20"/>
              </w:rPr>
              <w:t xml:space="preserve">HIBCRIT </w:t>
            </w:r>
            <w:bookmarkEnd w:id="517"/>
            <w:bookmarkEnd w:id="518"/>
            <w:r w:rsidRPr="008B2F8A">
              <w:rPr>
                <w:szCs w:val="20"/>
              </w:rPr>
              <w:t>study</w:t>
            </w:r>
          </w:p>
        </w:tc>
        <w:tc>
          <w:tcPr>
            <w:tcW w:w="7611" w:type="dxa"/>
          </w:tcPr>
          <w:p w14:paraId="01D80960" w14:textId="77777777" w:rsidR="00E47AB8" w:rsidRPr="008B2F8A" w:rsidRDefault="00E47AB8" w:rsidP="00426E6B">
            <w:pPr>
              <w:pStyle w:val="Tabletext"/>
              <w:spacing w:before="40" w:after="80" w:line="276" w:lineRule="auto"/>
              <w:rPr>
                <w:rFonts w:cs="Calibri"/>
                <w:color w:val="000000"/>
                <w:szCs w:val="20"/>
                <w:lang w:eastAsia="en-AU"/>
              </w:rPr>
            </w:pPr>
            <w:r w:rsidRPr="008B2F8A">
              <w:rPr>
                <w:rFonts w:cs="Calibri"/>
                <w:szCs w:val="20"/>
              </w:rPr>
              <w:t xml:space="preserve">Sardanelli, F, </w:t>
            </w:r>
            <w:bookmarkStart w:id="519" w:name="OLE_LINK91"/>
            <w:bookmarkStart w:id="520" w:name="OLE_LINK92"/>
            <w:r w:rsidRPr="008B2F8A">
              <w:rPr>
                <w:rFonts w:cs="Calibri"/>
                <w:szCs w:val="20"/>
              </w:rPr>
              <w:t>Podo</w:t>
            </w:r>
            <w:bookmarkEnd w:id="519"/>
            <w:bookmarkEnd w:id="520"/>
            <w:r w:rsidRPr="008B2F8A">
              <w:rPr>
                <w:rFonts w:cs="Calibri"/>
                <w:szCs w:val="20"/>
              </w:rPr>
              <w:t xml:space="preserve">, F et al, 2007. Multicenter comparative multimodality surveillance of women at genetic-familial high risk for breast cancer (HIBCRIT Study): Interim results, </w:t>
            </w:r>
            <w:r w:rsidRPr="008B2F8A">
              <w:rPr>
                <w:rFonts w:cs="Calibri"/>
                <w:i/>
                <w:iCs/>
                <w:szCs w:val="20"/>
              </w:rPr>
              <w:t>Radiology</w:t>
            </w:r>
            <w:r w:rsidRPr="008B2F8A">
              <w:rPr>
                <w:rFonts w:cs="Calibri"/>
                <w:szCs w:val="20"/>
              </w:rPr>
              <w:t>, 242 (3), 698–715.</w:t>
            </w:r>
          </w:p>
          <w:p w14:paraId="2159BECB" w14:textId="779B0B5C" w:rsidR="00E47AB8" w:rsidRPr="008B2F8A" w:rsidRDefault="00E47AB8" w:rsidP="00426E6B">
            <w:pPr>
              <w:pStyle w:val="Tabletext"/>
              <w:spacing w:before="40" w:after="80" w:line="276" w:lineRule="auto"/>
              <w:rPr>
                <w:b/>
                <w:szCs w:val="20"/>
              </w:rPr>
            </w:pPr>
            <w:r w:rsidRPr="008B2F8A">
              <w:rPr>
                <w:rFonts w:cs="Calibri"/>
                <w:b/>
                <w:szCs w:val="20"/>
              </w:rPr>
              <w:t xml:space="preserve">Sardanelli, F, Podo, F et al, 2011. Multicenter surveillance of women at high genetic breast cancer risk using mammography, ultrasonography, and contrast-enhanced magnetic resonance imaging (the high breast cancer risk Italian 1 study): Final results, </w:t>
            </w:r>
            <w:r w:rsidRPr="008B2F8A">
              <w:rPr>
                <w:rFonts w:cs="Calibri"/>
                <w:b/>
                <w:i/>
                <w:iCs/>
                <w:szCs w:val="20"/>
              </w:rPr>
              <w:t>Investig Radiol</w:t>
            </w:r>
            <w:r w:rsidRPr="008B2F8A">
              <w:rPr>
                <w:rFonts w:cs="Calibri"/>
                <w:b/>
                <w:szCs w:val="20"/>
              </w:rPr>
              <w:t>, 46 (2), 94–105.</w:t>
            </w:r>
          </w:p>
        </w:tc>
      </w:tr>
      <w:tr w:rsidR="00E47AB8" w:rsidRPr="008B2F8A" w14:paraId="1F8DED9B" w14:textId="77777777" w:rsidTr="00422306">
        <w:trPr>
          <w:cantSplit/>
        </w:trPr>
        <w:tc>
          <w:tcPr>
            <w:tcW w:w="1448" w:type="dxa"/>
            <w:shd w:val="clear" w:color="auto" w:fill="auto"/>
          </w:tcPr>
          <w:p w14:paraId="17825A6D" w14:textId="77777777" w:rsidR="00E47AB8" w:rsidRPr="008B2F8A" w:rsidRDefault="00E47AB8" w:rsidP="00422306">
            <w:pPr>
              <w:pStyle w:val="Tabletext"/>
              <w:spacing w:before="40" w:after="80" w:line="276" w:lineRule="auto"/>
            </w:pPr>
          </w:p>
        </w:tc>
        <w:tc>
          <w:tcPr>
            <w:tcW w:w="7622" w:type="dxa"/>
            <w:gridSpan w:val="2"/>
            <w:shd w:val="clear" w:color="auto" w:fill="auto"/>
          </w:tcPr>
          <w:p w14:paraId="7ED3D48C" w14:textId="77777777" w:rsidR="00E47AB8" w:rsidRPr="008B2F8A" w:rsidRDefault="00E47AB8" w:rsidP="00422306">
            <w:pPr>
              <w:pStyle w:val="Tabletext"/>
              <w:spacing w:before="40" w:after="80" w:line="276" w:lineRule="auto"/>
              <w:rPr>
                <w:rFonts w:cs="Calibri"/>
                <w:b/>
                <w:smallCaps/>
                <w:szCs w:val="20"/>
              </w:rPr>
            </w:pPr>
            <w:r w:rsidRPr="008B2F8A">
              <w:rPr>
                <w:rFonts w:cs="Calibri"/>
                <w:b/>
                <w:smallCaps/>
                <w:szCs w:val="20"/>
              </w:rPr>
              <w:t>Patient outcomes</w:t>
            </w:r>
          </w:p>
        </w:tc>
      </w:tr>
      <w:tr w:rsidR="00E47AB8" w:rsidRPr="008B2F8A" w14:paraId="702FA05A" w14:textId="77777777" w:rsidTr="00422306">
        <w:trPr>
          <w:cantSplit/>
        </w:trPr>
        <w:tc>
          <w:tcPr>
            <w:tcW w:w="1448" w:type="dxa"/>
            <w:tcBorders>
              <w:top w:val="single" w:sz="4" w:space="0" w:color="auto"/>
              <w:left w:val="single" w:sz="4" w:space="0" w:color="auto"/>
              <w:bottom w:val="single" w:sz="4" w:space="0" w:color="auto"/>
              <w:right w:val="single" w:sz="4" w:space="0" w:color="auto"/>
            </w:tcBorders>
            <w:shd w:val="clear" w:color="auto" w:fill="auto"/>
          </w:tcPr>
          <w:p w14:paraId="22E118C5" w14:textId="77777777" w:rsidR="00E47AB8" w:rsidRPr="008B2F8A" w:rsidRDefault="00E47AB8" w:rsidP="00422306">
            <w:pPr>
              <w:pStyle w:val="Tabletext"/>
              <w:spacing w:before="40" w:after="80" w:line="276" w:lineRule="auto"/>
            </w:pPr>
            <w:r w:rsidRPr="008B2F8A">
              <w:t>French study</w:t>
            </w:r>
          </w:p>
        </w:tc>
        <w:tc>
          <w:tcPr>
            <w:tcW w:w="7622" w:type="dxa"/>
            <w:gridSpan w:val="2"/>
            <w:tcBorders>
              <w:top w:val="single" w:sz="4" w:space="0" w:color="auto"/>
              <w:left w:val="single" w:sz="4" w:space="0" w:color="auto"/>
              <w:bottom w:val="single" w:sz="4" w:space="0" w:color="auto"/>
              <w:right w:val="single" w:sz="4" w:space="0" w:color="auto"/>
            </w:tcBorders>
            <w:shd w:val="clear" w:color="auto" w:fill="auto"/>
          </w:tcPr>
          <w:p w14:paraId="307FFFA8" w14:textId="20525CDE" w:rsidR="00E47AB8" w:rsidRPr="008B2F8A" w:rsidRDefault="00E47AB8" w:rsidP="00426E6B">
            <w:pPr>
              <w:pStyle w:val="Tabletext"/>
              <w:spacing w:before="40" w:after="80" w:line="276" w:lineRule="auto"/>
              <w:rPr>
                <w:rFonts w:cs="Calibri"/>
                <w:b/>
                <w:bCs/>
                <w:color w:val="000000"/>
                <w:szCs w:val="20"/>
                <w:lang w:eastAsia="en-AU"/>
              </w:rPr>
            </w:pPr>
            <w:r>
              <w:rPr>
                <w:rFonts w:cs="Calibri"/>
                <w:szCs w:val="20"/>
              </w:rPr>
              <w:t>Brédart</w:t>
            </w:r>
            <w:r w:rsidRPr="008B2F8A">
              <w:rPr>
                <w:rFonts w:cs="Calibri"/>
                <w:szCs w:val="20"/>
              </w:rPr>
              <w:t xml:space="preserve">, A, Kop, JL et al, 2012. Perception of care and experience of examination in women at risk of breast cancer undergoing intensive surveillance by standard imaging with or without MRI, </w:t>
            </w:r>
            <w:r w:rsidRPr="008B2F8A">
              <w:rPr>
                <w:rFonts w:cs="Calibri"/>
                <w:i/>
                <w:iCs/>
                <w:szCs w:val="20"/>
              </w:rPr>
              <w:t>Patient Educ Counsel</w:t>
            </w:r>
            <w:r w:rsidRPr="008B2F8A">
              <w:rPr>
                <w:rFonts w:cs="Calibri"/>
                <w:szCs w:val="20"/>
              </w:rPr>
              <w:t>, 86 (3), 405–413.</w:t>
            </w:r>
          </w:p>
          <w:p w14:paraId="6D159630" w14:textId="23EB119B" w:rsidR="00E47AB8" w:rsidRPr="008B2F8A" w:rsidRDefault="00E47AB8" w:rsidP="00426E6B">
            <w:pPr>
              <w:pStyle w:val="Tabletext"/>
              <w:spacing w:before="40" w:after="80" w:line="276" w:lineRule="auto"/>
              <w:rPr>
                <w:rFonts w:cs="Calibri"/>
                <w:szCs w:val="20"/>
              </w:rPr>
            </w:pPr>
            <w:r>
              <w:rPr>
                <w:rFonts w:cs="Calibri"/>
                <w:szCs w:val="20"/>
              </w:rPr>
              <w:t>Brédart</w:t>
            </w:r>
            <w:r w:rsidRPr="008B2F8A">
              <w:rPr>
                <w:rFonts w:cs="Calibri"/>
                <w:szCs w:val="20"/>
              </w:rPr>
              <w:t xml:space="preserve">, A, Kop, JL et al, 2012. Anxiety and specific distress in women at intermediate and high risk of breast cancer before and after surveillance by magnetic resonance imaging and mammography versus standard mammography, </w:t>
            </w:r>
            <w:r w:rsidRPr="008B2F8A">
              <w:rPr>
                <w:rFonts w:cs="Calibri"/>
                <w:i/>
                <w:iCs/>
                <w:szCs w:val="20"/>
              </w:rPr>
              <w:t>Psycho-Oncol</w:t>
            </w:r>
            <w:r w:rsidRPr="008B2F8A">
              <w:rPr>
                <w:rFonts w:cs="Calibri"/>
                <w:szCs w:val="20"/>
              </w:rPr>
              <w:t>, 21 (11), 1185–1194.</w:t>
            </w:r>
          </w:p>
        </w:tc>
      </w:tr>
    </w:tbl>
    <w:p w14:paraId="6E2792B4" w14:textId="52AC8BF2" w:rsidR="00E47AB8" w:rsidRPr="00003049" w:rsidRDefault="00003049" w:rsidP="00422306">
      <w:pPr>
        <w:rPr>
          <w:rFonts w:ascii="Arial Narrow" w:hAnsi="Arial Narrow"/>
          <w:sz w:val="18"/>
          <w:szCs w:val="18"/>
        </w:rPr>
      </w:pPr>
      <w:r>
        <w:rPr>
          <w:rFonts w:ascii="Arial Narrow" w:hAnsi="Arial Narrow"/>
          <w:sz w:val="18"/>
          <w:szCs w:val="18"/>
        </w:rPr>
        <w:t>Bolded text highlights the report providing data on incremental accuracy used in this report.</w:t>
      </w:r>
    </w:p>
    <w:p w14:paraId="7F3406E3" w14:textId="3D56522B" w:rsidR="00E47AB8" w:rsidRPr="008B2F8A" w:rsidRDefault="00E47AB8" w:rsidP="00422306">
      <w:r w:rsidRPr="008B2F8A">
        <w:fldChar w:fldCharType="begin"/>
      </w:r>
      <w:r w:rsidRPr="008B2F8A">
        <w:instrText xml:space="preserve"> REF _Ref373401753 \h </w:instrText>
      </w:r>
      <w:r w:rsidRPr="008B2F8A">
        <w:fldChar w:fldCharType="separate"/>
      </w:r>
      <w:r w:rsidR="00B81273" w:rsidRPr="008B2F8A">
        <w:t xml:space="preserve">Appendix </w:t>
      </w:r>
      <w:r w:rsidR="00B81273">
        <w:rPr>
          <w:noProof/>
        </w:rPr>
        <w:t>2</w:t>
      </w:r>
      <w:r w:rsidRPr="008B2F8A">
        <w:fldChar w:fldCharType="end"/>
      </w:r>
      <w:r w:rsidRPr="008B2F8A">
        <w:t xml:space="preserve"> </w:t>
      </w:r>
      <w:r>
        <w:t>list</w:t>
      </w:r>
      <w:r w:rsidR="003B2A6B">
        <w:t>s</w:t>
      </w:r>
      <w:r w:rsidRPr="008B2F8A">
        <w:t xml:space="preserve"> potentially eligible ongoing </w:t>
      </w:r>
      <w:r>
        <w:t>but</w:t>
      </w:r>
      <w:r w:rsidRPr="008B2F8A">
        <w:t xml:space="preserve"> excluded studies and reasons for their exclusion.</w:t>
      </w:r>
    </w:p>
    <w:p w14:paraId="09F92A47" w14:textId="77777777" w:rsidR="00E47AB8" w:rsidRPr="008B2F8A" w:rsidRDefault="00E47AB8" w:rsidP="00E47AB8">
      <w:pPr>
        <w:pStyle w:val="Heading4"/>
        <w:numPr>
          <w:ilvl w:val="3"/>
          <w:numId w:val="42"/>
        </w:numPr>
      </w:pPr>
      <w:bookmarkStart w:id="521" w:name="_Toc363113398"/>
      <w:bookmarkStart w:id="522" w:name="_Toc365552163"/>
      <w:r w:rsidRPr="008B2F8A">
        <w:t>New, additional high-risk groups</w:t>
      </w:r>
    </w:p>
    <w:p w14:paraId="36D7AA5A" w14:textId="5E58E17B" w:rsidR="00E47AB8" w:rsidRPr="008B2F8A" w:rsidRDefault="00E47AB8" w:rsidP="00422306">
      <w:r w:rsidRPr="008B2F8A">
        <w:t>A total of 24 relevant citations were identified for full</w:t>
      </w:r>
      <w:r>
        <w:t>-</w:t>
      </w:r>
      <w:r w:rsidRPr="008B2F8A">
        <w:t>text review</w:t>
      </w:r>
      <w:r>
        <w:t>,</w:t>
      </w:r>
      <w:r w:rsidRPr="008B2F8A">
        <w:t xml:space="preserve"> after which two HTA reports (</w:t>
      </w:r>
      <w:bookmarkStart w:id="523" w:name="OLE_LINK697"/>
      <w:bookmarkStart w:id="524" w:name="OLE_LINK698"/>
      <w:r w:rsidRPr="008B2F8A">
        <w:rPr>
          <w:noProof/>
        </w:rPr>
        <w:t>NICE, 2013; Robertson et al, 2011b</w:t>
      </w:r>
      <w:bookmarkEnd w:id="523"/>
      <w:bookmarkEnd w:id="524"/>
      <w:r w:rsidRPr="008B2F8A">
        <w:rPr>
          <w:noProof/>
        </w:rPr>
        <w:t>)</w:t>
      </w:r>
      <w:r w:rsidRPr="008B2F8A">
        <w:t xml:space="preserve"> and five primary studies (</w:t>
      </w:r>
      <w:bookmarkStart w:id="525" w:name="OLE_LINK699"/>
      <w:bookmarkStart w:id="526" w:name="OLE_LINK700"/>
      <w:r w:rsidRPr="008B2F8A">
        <w:rPr>
          <w:noProof/>
        </w:rPr>
        <w:t>Berg et al, 2012; Freitas et al, 2013; Ng et al, 2013; Sung et al, 2011a, b</w:t>
      </w:r>
      <w:bookmarkEnd w:id="525"/>
      <w:bookmarkEnd w:id="526"/>
      <w:r w:rsidRPr="008B2F8A">
        <w:rPr>
          <w:noProof/>
        </w:rPr>
        <w:t>)</w:t>
      </w:r>
      <w:r w:rsidRPr="008B2F8A">
        <w:t xml:space="preserve"> were included (</w:t>
      </w:r>
      <w:r w:rsidRPr="008B2F8A">
        <w:fldChar w:fldCharType="begin"/>
      </w:r>
      <w:r w:rsidRPr="008B2F8A">
        <w:instrText xml:space="preserve"> REF _Ref368657290 \h </w:instrText>
      </w:r>
      <w:r w:rsidRPr="008B2F8A">
        <w:fldChar w:fldCharType="separate"/>
      </w:r>
      <w:r w:rsidR="00B81273" w:rsidRPr="008B2F8A">
        <w:t xml:space="preserve">Table </w:t>
      </w:r>
      <w:r w:rsidR="00B81273">
        <w:rPr>
          <w:noProof/>
        </w:rPr>
        <w:t>B</w:t>
      </w:r>
      <w:r w:rsidR="00B81273" w:rsidRPr="008B2F8A">
        <w:t>.</w:t>
      </w:r>
      <w:r w:rsidR="00B81273">
        <w:rPr>
          <w:noProof/>
        </w:rPr>
        <w:t>5</w:t>
      </w:r>
      <w:r w:rsidRPr="008B2F8A">
        <w:fldChar w:fldCharType="end"/>
      </w:r>
      <w:r>
        <w:t>,</w:t>
      </w:r>
      <w:r w:rsidRPr="008B2F8A">
        <w:t xml:space="preserve"> </w:t>
      </w:r>
      <w:r w:rsidRPr="008B2F8A">
        <w:fldChar w:fldCharType="begin"/>
      </w:r>
      <w:r w:rsidRPr="008B2F8A">
        <w:instrText xml:space="preserve"> REF _Ref368657292 \h </w:instrText>
      </w:r>
      <w:r w:rsidRPr="008B2F8A">
        <w:fldChar w:fldCharType="separate"/>
      </w:r>
      <w:r w:rsidR="00B81273" w:rsidRPr="008B2F8A">
        <w:t xml:space="preserve">Table </w:t>
      </w:r>
      <w:r w:rsidR="00B81273">
        <w:rPr>
          <w:noProof/>
        </w:rPr>
        <w:t>B</w:t>
      </w:r>
      <w:r w:rsidR="00B81273" w:rsidRPr="008B2F8A">
        <w:t>.</w:t>
      </w:r>
      <w:r w:rsidR="00B81273">
        <w:rPr>
          <w:noProof/>
        </w:rPr>
        <w:t>6</w:t>
      </w:r>
      <w:r w:rsidRPr="008B2F8A">
        <w:fldChar w:fldCharType="end"/>
      </w:r>
      <w:r w:rsidRPr="008B2F8A">
        <w:t xml:space="preserve">). One additional study </w:t>
      </w:r>
      <w:r w:rsidRPr="008B2F8A">
        <w:rPr>
          <w:noProof/>
        </w:rPr>
        <w:t>(</w:t>
      </w:r>
      <w:bookmarkStart w:id="527" w:name="OLE_LINK701"/>
      <w:bookmarkStart w:id="528" w:name="OLE_LINK702"/>
      <w:r w:rsidRPr="008B2F8A">
        <w:rPr>
          <w:noProof/>
        </w:rPr>
        <w:t>Viehweg et al, 2004</w:t>
      </w:r>
      <w:bookmarkEnd w:id="527"/>
      <w:bookmarkEnd w:id="528"/>
      <w:r w:rsidRPr="008B2F8A">
        <w:rPr>
          <w:noProof/>
        </w:rPr>
        <w:t>)</w:t>
      </w:r>
      <w:r w:rsidRPr="008B2F8A">
        <w:t xml:space="preserve"> was identified for inclusion from an included HTA </w:t>
      </w:r>
      <w:r w:rsidRPr="008B2F8A">
        <w:rPr>
          <w:noProof/>
        </w:rPr>
        <w:t>(</w:t>
      </w:r>
      <w:bookmarkStart w:id="529" w:name="OLE_LINK703"/>
      <w:bookmarkStart w:id="530" w:name="OLE_LINK704"/>
      <w:bookmarkStart w:id="531" w:name="OLE_LINK943"/>
      <w:r w:rsidRPr="008B2F8A">
        <w:rPr>
          <w:noProof/>
        </w:rPr>
        <w:t>Robertson et al, 2011a</w:t>
      </w:r>
      <w:bookmarkEnd w:id="529"/>
      <w:bookmarkEnd w:id="530"/>
      <w:bookmarkEnd w:id="531"/>
      <w:r w:rsidRPr="008B2F8A">
        <w:rPr>
          <w:noProof/>
        </w:rPr>
        <w:t>)</w:t>
      </w:r>
      <w:r w:rsidRPr="008B2F8A">
        <w:t>.</w:t>
      </w:r>
    </w:p>
    <w:p w14:paraId="0AAF2041" w14:textId="77777777" w:rsidR="00E47AB8" w:rsidRPr="008B2F8A" w:rsidRDefault="00E47AB8" w:rsidP="00422306">
      <w:r w:rsidRPr="008B2F8A">
        <w:t>The search was updated in November 2013</w:t>
      </w:r>
      <w:r>
        <w:t>,</w:t>
      </w:r>
      <w:r w:rsidRPr="008B2F8A">
        <w:t xml:space="preserve"> and one further study was identified for inclusion </w:t>
      </w:r>
      <w:r w:rsidRPr="008B2F8A">
        <w:rPr>
          <w:noProof/>
        </w:rPr>
        <w:t>(</w:t>
      </w:r>
      <w:bookmarkStart w:id="532" w:name="OLE_LINK705"/>
      <w:bookmarkStart w:id="533" w:name="OLE_LINK706"/>
      <w:r w:rsidRPr="008B2F8A">
        <w:rPr>
          <w:noProof/>
        </w:rPr>
        <w:t>Ng et al, 2013</w:t>
      </w:r>
      <w:bookmarkEnd w:id="532"/>
      <w:bookmarkEnd w:id="533"/>
      <w:r w:rsidRPr="008B2F8A">
        <w:rPr>
          <w:noProof/>
        </w:rPr>
        <w:t>)</w:t>
      </w:r>
      <w:r w:rsidRPr="008B2F8A">
        <w:t>, although this study had already been identified through hand searching.</w:t>
      </w:r>
    </w:p>
    <w:p w14:paraId="7B75241E" w14:textId="12CF0BF8" w:rsidR="00E47AB8" w:rsidRPr="008B2F8A" w:rsidRDefault="00E47AB8" w:rsidP="00422306">
      <w:pPr>
        <w:pStyle w:val="Caption"/>
        <w:ind w:left="1440" w:hanging="1440"/>
      </w:pPr>
      <w:bookmarkStart w:id="534" w:name="_Ref368657290"/>
      <w:bookmarkStart w:id="535" w:name="_Toc383424571"/>
      <w:r w:rsidRPr="008B2F8A">
        <w:t xml:space="preserve">Table </w:t>
      </w:r>
      <w:fldSimple w:instr=" STYLEREF 1 \s ">
        <w:r w:rsidR="00B81273">
          <w:rPr>
            <w:noProof/>
          </w:rPr>
          <w:t>B</w:t>
        </w:r>
      </w:fldSimple>
      <w:r w:rsidRPr="008B2F8A">
        <w:t>.</w:t>
      </w:r>
      <w:fldSimple w:instr=" SEQ Table \* ARABIC \s 1 ">
        <w:r w:rsidR="00B81273">
          <w:rPr>
            <w:noProof/>
          </w:rPr>
          <w:t>5</w:t>
        </w:r>
      </w:fldSimple>
      <w:bookmarkEnd w:id="534"/>
      <w:r w:rsidRPr="008B2F8A">
        <w:tab/>
      </w:r>
      <w:bookmarkStart w:id="536" w:name="OLE_LINK988"/>
      <w:bookmarkStart w:id="537" w:name="OLE_LINK989"/>
      <w:r w:rsidRPr="008B2F8A">
        <w:t>Systematic reviews and health technology assessments</w:t>
      </w:r>
      <w:r w:rsidRPr="008B2F8A" w:rsidDel="00455348">
        <w:t xml:space="preserve"> </w:t>
      </w:r>
      <w:r w:rsidRPr="008B2F8A">
        <w:t>included for the assessment of additional high-risk groups</w:t>
      </w:r>
      <w:bookmarkEnd w:id="536"/>
      <w:bookmarkEnd w:id="537"/>
      <w:r w:rsidRPr="008B2F8A">
        <w:t>.</w:t>
      </w:r>
      <w:bookmarkEnd w:id="535"/>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Systematic reviews and health technology assessments included for the assessment of additional high-risk groups"/>
      </w:tblPr>
      <w:tblGrid>
        <w:gridCol w:w="1448"/>
        <w:gridCol w:w="7622"/>
      </w:tblGrid>
      <w:tr w:rsidR="00E47AB8" w:rsidRPr="008B2F8A" w14:paraId="247D1C8E" w14:textId="77777777" w:rsidTr="00422306">
        <w:trPr>
          <w:cantSplit/>
          <w:tblHeader/>
        </w:trPr>
        <w:tc>
          <w:tcPr>
            <w:tcW w:w="1448" w:type="dxa"/>
          </w:tcPr>
          <w:p w14:paraId="57F7902D" w14:textId="77777777" w:rsidR="00E47AB8" w:rsidRPr="008B2F8A" w:rsidRDefault="00E47AB8" w:rsidP="00422306">
            <w:pPr>
              <w:pStyle w:val="TableHeading"/>
              <w:keepNext w:val="0"/>
              <w:spacing w:before="40" w:after="80" w:line="276" w:lineRule="auto"/>
            </w:pPr>
            <w:r w:rsidRPr="008B2F8A">
              <w:t>Organisation</w:t>
            </w:r>
          </w:p>
        </w:tc>
        <w:tc>
          <w:tcPr>
            <w:tcW w:w="7622" w:type="dxa"/>
          </w:tcPr>
          <w:p w14:paraId="4F630329" w14:textId="77777777" w:rsidR="00E47AB8" w:rsidRPr="008B2F8A" w:rsidRDefault="00E47AB8" w:rsidP="00422306">
            <w:pPr>
              <w:pStyle w:val="TableHeading"/>
              <w:keepNext w:val="0"/>
              <w:spacing w:before="40" w:after="80" w:line="276" w:lineRule="auto"/>
            </w:pPr>
            <w:r w:rsidRPr="008B2F8A">
              <w:t>Reports</w:t>
            </w:r>
          </w:p>
        </w:tc>
      </w:tr>
      <w:tr w:rsidR="00E47AB8" w:rsidRPr="008B2F8A" w14:paraId="2BAE0ABA" w14:textId="77777777" w:rsidTr="00422306">
        <w:trPr>
          <w:cantSplit/>
        </w:trPr>
        <w:tc>
          <w:tcPr>
            <w:tcW w:w="1448" w:type="dxa"/>
          </w:tcPr>
          <w:p w14:paraId="6EBD3333" w14:textId="2C0AEC3B" w:rsidR="00E47AB8" w:rsidRPr="008B2F8A" w:rsidRDefault="00E47AB8" w:rsidP="00422306">
            <w:pPr>
              <w:pStyle w:val="TableText0"/>
              <w:keepNext w:val="0"/>
              <w:spacing w:before="40" w:after="80" w:line="276" w:lineRule="auto"/>
            </w:pPr>
            <w:r>
              <w:t>NICE, 2013</w:t>
            </w:r>
          </w:p>
        </w:tc>
        <w:tc>
          <w:tcPr>
            <w:tcW w:w="7622" w:type="dxa"/>
          </w:tcPr>
          <w:p w14:paraId="6B620D88" w14:textId="3A1563AF" w:rsidR="00E47AB8" w:rsidRPr="008B2F8A" w:rsidRDefault="00E47AB8" w:rsidP="00422306">
            <w:pPr>
              <w:spacing w:before="40" w:after="80"/>
              <w:rPr>
                <w:rFonts w:ascii="Arial Narrow" w:hAnsi="Arial Narrow" w:cs="Calibri"/>
                <w:sz w:val="20"/>
                <w:szCs w:val="20"/>
              </w:rPr>
            </w:pPr>
            <w:r w:rsidRPr="008B2F8A">
              <w:rPr>
                <w:rFonts w:ascii="Arial Narrow" w:hAnsi="Arial Narrow" w:cs="Calibri"/>
                <w:sz w:val="20"/>
                <w:szCs w:val="20"/>
              </w:rPr>
              <w:t xml:space="preserve">National Institute of Clinical Excellence 2013, </w:t>
            </w:r>
            <w:r w:rsidRPr="008B2F8A">
              <w:rPr>
                <w:rFonts w:ascii="Arial Narrow" w:hAnsi="Arial Narrow" w:cs="Calibri"/>
                <w:i/>
                <w:iCs/>
                <w:sz w:val="20"/>
                <w:szCs w:val="20"/>
              </w:rPr>
              <w:t>Familial breast cancer: classification and care of people at risk of familial breast cancer and management of breast cancer and related risks in people with a family history of breast cancer.</w:t>
            </w:r>
            <w:r w:rsidRPr="008B2F8A">
              <w:rPr>
                <w:rFonts w:ascii="Arial Narrow" w:hAnsi="Arial Narrow" w:cs="Calibri"/>
                <w:sz w:val="20"/>
                <w:szCs w:val="20"/>
              </w:rPr>
              <w:t xml:space="preserve"> CG164. London: NICE.</w:t>
            </w:r>
          </w:p>
        </w:tc>
      </w:tr>
      <w:tr w:rsidR="00E47AB8" w:rsidRPr="008B2F8A" w14:paraId="27059F8E" w14:textId="77777777" w:rsidTr="00422306">
        <w:trPr>
          <w:cantSplit/>
        </w:trPr>
        <w:tc>
          <w:tcPr>
            <w:tcW w:w="1448" w:type="dxa"/>
          </w:tcPr>
          <w:p w14:paraId="4EDE3FD6" w14:textId="10267BAA" w:rsidR="00E47AB8" w:rsidRPr="008B2F8A" w:rsidRDefault="00E47AB8" w:rsidP="00422306">
            <w:pPr>
              <w:pStyle w:val="TableText0"/>
              <w:keepNext w:val="0"/>
              <w:spacing w:before="40" w:after="80" w:line="276" w:lineRule="auto"/>
            </w:pPr>
            <w:r>
              <w:t>Robertson et al, 2011</w:t>
            </w:r>
            <w:r w:rsidR="00003049">
              <w:t>a</w:t>
            </w:r>
          </w:p>
        </w:tc>
        <w:tc>
          <w:tcPr>
            <w:tcW w:w="7622" w:type="dxa"/>
          </w:tcPr>
          <w:p w14:paraId="3F43CC69" w14:textId="6880F403" w:rsidR="00E47AB8" w:rsidRPr="008B2F8A" w:rsidRDefault="00E47AB8" w:rsidP="00422306">
            <w:pPr>
              <w:tabs>
                <w:tab w:val="left" w:pos="1320"/>
              </w:tabs>
              <w:spacing w:before="40" w:after="80"/>
              <w:rPr>
                <w:rFonts w:ascii="Arial Narrow" w:hAnsi="Arial Narrow" w:cs="Calibri"/>
                <w:sz w:val="20"/>
                <w:szCs w:val="20"/>
              </w:rPr>
            </w:pPr>
            <w:r w:rsidRPr="008B2F8A">
              <w:rPr>
                <w:rFonts w:ascii="Arial Narrow" w:hAnsi="Arial Narrow" w:cs="Calibri"/>
                <w:sz w:val="20"/>
                <w:szCs w:val="20"/>
              </w:rPr>
              <w:t xml:space="preserve">Robertson, C, Arcot </w:t>
            </w:r>
            <w:bookmarkStart w:id="538" w:name="OLE_LINK95"/>
            <w:bookmarkStart w:id="539" w:name="OLE_LINK96"/>
            <w:r w:rsidRPr="008B2F8A">
              <w:rPr>
                <w:rFonts w:ascii="Arial Narrow" w:hAnsi="Arial Narrow" w:cs="Calibri"/>
                <w:sz w:val="20"/>
                <w:szCs w:val="20"/>
              </w:rPr>
              <w:t>Ragupathy</w:t>
            </w:r>
            <w:bookmarkEnd w:id="538"/>
            <w:bookmarkEnd w:id="539"/>
            <w:r w:rsidRPr="008B2F8A">
              <w:rPr>
                <w:rFonts w:ascii="Arial Narrow" w:hAnsi="Arial Narrow" w:cs="Calibri"/>
                <w:sz w:val="20"/>
                <w:szCs w:val="20"/>
              </w:rPr>
              <w:t xml:space="preserve">, S et al, 2011. The clinical effectiveness and cost-effectiveness of different surveillance mammography regimens after the treatment for primary breast cancer: systematic reviews, registry database analyses and economic evaluation, </w:t>
            </w:r>
            <w:r w:rsidRPr="008B2F8A">
              <w:rPr>
                <w:rFonts w:ascii="Arial Narrow" w:hAnsi="Arial Narrow" w:cs="Calibri"/>
                <w:i/>
                <w:iCs/>
                <w:sz w:val="20"/>
                <w:szCs w:val="20"/>
              </w:rPr>
              <w:t>Health Technol Assess</w:t>
            </w:r>
            <w:r w:rsidRPr="008B2F8A">
              <w:rPr>
                <w:rFonts w:ascii="Arial Narrow" w:hAnsi="Arial Narrow" w:cs="Calibri"/>
                <w:sz w:val="20"/>
                <w:szCs w:val="20"/>
              </w:rPr>
              <w:t>, 15 (34), 322.</w:t>
            </w:r>
          </w:p>
        </w:tc>
      </w:tr>
    </w:tbl>
    <w:p w14:paraId="1DC6C209" w14:textId="361DFF9E" w:rsidR="00E47AB8" w:rsidRPr="008B2F8A" w:rsidRDefault="00E47AB8" w:rsidP="00422306"/>
    <w:p w14:paraId="6D0E96A1" w14:textId="77777777" w:rsidR="00E47AB8" w:rsidRPr="008B2F8A" w:rsidRDefault="00E47AB8" w:rsidP="00422306">
      <w:pPr>
        <w:pStyle w:val="Caption"/>
        <w:ind w:left="1440" w:hanging="1440"/>
      </w:pPr>
      <w:bookmarkStart w:id="540" w:name="_Ref368657292"/>
      <w:bookmarkStart w:id="541" w:name="_Toc383424572"/>
      <w:r w:rsidRPr="008B2F8A">
        <w:t xml:space="preserve">Table </w:t>
      </w:r>
      <w:fldSimple w:instr=" STYLEREF 1 \s ">
        <w:r w:rsidR="00B81273">
          <w:rPr>
            <w:noProof/>
          </w:rPr>
          <w:t>B</w:t>
        </w:r>
      </w:fldSimple>
      <w:r w:rsidRPr="008B2F8A">
        <w:t>.</w:t>
      </w:r>
      <w:fldSimple w:instr=" SEQ Table \* ARABIC \s 1 ">
        <w:r w:rsidR="00B81273">
          <w:rPr>
            <w:noProof/>
          </w:rPr>
          <w:t>6</w:t>
        </w:r>
      </w:fldSimple>
      <w:bookmarkEnd w:id="540"/>
      <w:r w:rsidRPr="008B2F8A">
        <w:tab/>
      </w:r>
      <w:bookmarkStart w:id="542" w:name="OLE_LINK990"/>
      <w:bookmarkStart w:id="543" w:name="OLE_LINK991"/>
      <w:r w:rsidRPr="008B2F8A">
        <w:t>Primary studies included for the assessment of additional high-risk groups</w:t>
      </w:r>
      <w:bookmarkEnd w:id="542"/>
      <w:bookmarkEnd w:id="543"/>
      <w:r w:rsidRPr="008B2F8A">
        <w:t>.</w:t>
      </w:r>
      <w:bookmarkEnd w:id="541"/>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Primary studies included for the assessment of additional high-risk groups"/>
      </w:tblPr>
      <w:tblGrid>
        <w:gridCol w:w="1448"/>
        <w:gridCol w:w="7622"/>
      </w:tblGrid>
      <w:tr w:rsidR="00E47AB8" w:rsidRPr="008B2F8A" w14:paraId="0F604010" w14:textId="77777777" w:rsidTr="00422306">
        <w:trPr>
          <w:tblHeader/>
        </w:trPr>
        <w:tc>
          <w:tcPr>
            <w:tcW w:w="1448" w:type="dxa"/>
          </w:tcPr>
          <w:p w14:paraId="63B583A4" w14:textId="77777777" w:rsidR="00E47AB8" w:rsidRPr="008B2F8A" w:rsidRDefault="00E47AB8" w:rsidP="00422306">
            <w:pPr>
              <w:pStyle w:val="TableHeading"/>
              <w:keepNext w:val="0"/>
              <w:spacing w:before="40" w:after="80" w:line="276" w:lineRule="auto"/>
            </w:pPr>
            <w:r w:rsidRPr="008B2F8A">
              <w:t>Trial</w:t>
            </w:r>
          </w:p>
        </w:tc>
        <w:tc>
          <w:tcPr>
            <w:tcW w:w="7622" w:type="dxa"/>
          </w:tcPr>
          <w:p w14:paraId="45880CCF" w14:textId="77777777" w:rsidR="00E47AB8" w:rsidRPr="008B2F8A" w:rsidRDefault="00E47AB8" w:rsidP="00422306">
            <w:pPr>
              <w:pStyle w:val="TableHeading"/>
              <w:keepNext w:val="0"/>
              <w:spacing w:before="40" w:after="80" w:line="276" w:lineRule="auto"/>
            </w:pPr>
            <w:r w:rsidRPr="008B2F8A">
              <w:t>Reports</w:t>
            </w:r>
          </w:p>
        </w:tc>
      </w:tr>
      <w:tr w:rsidR="00E47AB8" w:rsidRPr="008B2F8A" w14:paraId="4F653061" w14:textId="77777777" w:rsidTr="00422306">
        <w:tc>
          <w:tcPr>
            <w:tcW w:w="1448" w:type="dxa"/>
          </w:tcPr>
          <w:p w14:paraId="7A8657A3" w14:textId="77777777" w:rsidR="00E47AB8" w:rsidRPr="008B2F8A" w:rsidRDefault="00E47AB8" w:rsidP="00422306">
            <w:pPr>
              <w:pStyle w:val="TableText0"/>
              <w:keepNext w:val="0"/>
              <w:spacing w:before="40" w:after="80" w:line="276" w:lineRule="auto"/>
              <w:rPr>
                <w:szCs w:val="20"/>
              </w:rPr>
            </w:pPr>
          </w:p>
        </w:tc>
        <w:tc>
          <w:tcPr>
            <w:tcW w:w="7622" w:type="dxa"/>
          </w:tcPr>
          <w:p w14:paraId="0EDD0067" w14:textId="77777777" w:rsidR="00E47AB8" w:rsidRPr="008B2F8A" w:rsidRDefault="00E47AB8" w:rsidP="00422306">
            <w:pPr>
              <w:spacing w:before="40" w:after="80"/>
              <w:rPr>
                <w:rFonts w:ascii="Arial Narrow" w:hAnsi="Arial Narrow" w:cs="Calibri"/>
                <w:b/>
                <w:sz w:val="20"/>
                <w:szCs w:val="20"/>
              </w:rPr>
            </w:pPr>
            <w:r w:rsidRPr="008B2F8A">
              <w:rPr>
                <w:rFonts w:ascii="Arial Narrow" w:hAnsi="Arial Narrow" w:cs="Calibri"/>
                <w:b/>
                <w:sz w:val="20"/>
                <w:szCs w:val="20"/>
              </w:rPr>
              <w:t>Women with a prior history of breast cancer</w:t>
            </w:r>
          </w:p>
        </w:tc>
      </w:tr>
      <w:tr w:rsidR="00E47AB8" w:rsidRPr="008B2F8A" w14:paraId="36D136A6" w14:textId="77777777" w:rsidTr="00422306">
        <w:tc>
          <w:tcPr>
            <w:tcW w:w="1448" w:type="dxa"/>
          </w:tcPr>
          <w:p w14:paraId="77FDE595" w14:textId="37E412C9" w:rsidR="00E47AB8" w:rsidRPr="008B2F8A" w:rsidRDefault="00E47AB8" w:rsidP="00422306">
            <w:pPr>
              <w:pStyle w:val="Tabletext"/>
              <w:spacing w:before="40" w:after="80" w:line="276" w:lineRule="auto"/>
              <w:rPr>
                <w:szCs w:val="20"/>
              </w:rPr>
            </w:pPr>
            <w:r>
              <w:rPr>
                <w:szCs w:val="20"/>
              </w:rPr>
              <w:t>Berg et al, 2012</w:t>
            </w:r>
          </w:p>
        </w:tc>
        <w:tc>
          <w:tcPr>
            <w:tcW w:w="7622" w:type="dxa"/>
          </w:tcPr>
          <w:p w14:paraId="625D77FE" w14:textId="77777777" w:rsidR="00E47AB8" w:rsidRPr="008B2F8A" w:rsidRDefault="00E47AB8" w:rsidP="00426E6B">
            <w:pPr>
              <w:pStyle w:val="Tabletext"/>
              <w:spacing w:before="40" w:after="80" w:line="276" w:lineRule="auto"/>
              <w:rPr>
                <w:color w:val="000000"/>
                <w:szCs w:val="20"/>
                <w:lang w:eastAsia="en-AU"/>
              </w:rPr>
            </w:pPr>
            <w:r w:rsidRPr="008B2F8A">
              <w:rPr>
                <w:szCs w:val="20"/>
              </w:rPr>
              <w:t xml:space="preserve">Berg, WA, Zhang, Z et al, 2012. Detection of breast cancer with addition of annual screening ultrasound or a single screening MRI to mammography in women with elevated breast cancer risk, </w:t>
            </w:r>
            <w:bookmarkStart w:id="544" w:name="OLE_LINK9"/>
            <w:bookmarkStart w:id="545" w:name="OLE_LINK10"/>
            <w:r w:rsidRPr="008B2F8A">
              <w:rPr>
                <w:i/>
                <w:iCs/>
                <w:szCs w:val="20"/>
              </w:rPr>
              <w:t>JAMA</w:t>
            </w:r>
            <w:bookmarkEnd w:id="544"/>
            <w:bookmarkEnd w:id="545"/>
            <w:r w:rsidRPr="008B2F8A">
              <w:rPr>
                <w:szCs w:val="20"/>
              </w:rPr>
              <w:t xml:space="preserve">, 307 (13), 1394–1404. </w:t>
            </w:r>
          </w:p>
        </w:tc>
      </w:tr>
      <w:tr w:rsidR="00E47AB8" w:rsidRPr="008B2F8A" w14:paraId="43E9EC9D" w14:textId="77777777" w:rsidTr="00422306">
        <w:tc>
          <w:tcPr>
            <w:tcW w:w="1448" w:type="dxa"/>
          </w:tcPr>
          <w:p w14:paraId="132A3CF3" w14:textId="43B18050" w:rsidR="00E47AB8" w:rsidRPr="008B2F8A" w:rsidRDefault="00E47AB8" w:rsidP="00422306">
            <w:pPr>
              <w:pStyle w:val="Tabletext"/>
              <w:spacing w:before="40" w:after="80" w:line="276" w:lineRule="auto"/>
              <w:rPr>
                <w:szCs w:val="20"/>
              </w:rPr>
            </w:pPr>
            <w:bookmarkStart w:id="546" w:name="OLE_LINK536"/>
            <w:r>
              <w:rPr>
                <w:szCs w:val="20"/>
              </w:rPr>
              <w:t>Viehweg et al, 2004</w:t>
            </w:r>
          </w:p>
        </w:tc>
        <w:tc>
          <w:tcPr>
            <w:tcW w:w="7622" w:type="dxa"/>
          </w:tcPr>
          <w:p w14:paraId="5670E40F" w14:textId="77777777" w:rsidR="00E47AB8" w:rsidRPr="008B2F8A" w:rsidRDefault="00E47AB8" w:rsidP="00426E6B">
            <w:pPr>
              <w:pStyle w:val="Tabletext"/>
              <w:spacing w:before="40" w:after="80" w:line="276" w:lineRule="auto"/>
              <w:rPr>
                <w:color w:val="000000"/>
                <w:szCs w:val="20"/>
                <w:lang w:eastAsia="en-AU"/>
              </w:rPr>
            </w:pPr>
            <w:r w:rsidRPr="008B2F8A">
              <w:rPr>
                <w:szCs w:val="20"/>
              </w:rPr>
              <w:t xml:space="preserve">Viehweg, P, Rotter, K et al, 2004. MR imaging of the contralateral breast in patients after breast-conserving therapy, </w:t>
            </w:r>
            <w:bookmarkStart w:id="547" w:name="OLE_LINK11"/>
            <w:bookmarkStart w:id="548" w:name="OLE_LINK12"/>
            <w:r w:rsidRPr="008B2F8A">
              <w:rPr>
                <w:i/>
                <w:iCs/>
                <w:szCs w:val="20"/>
              </w:rPr>
              <w:t xml:space="preserve">Eur </w:t>
            </w:r>
            <w:bookmarkEnd w:id="547"/>
            <w:bookmarkEnd w:id="548"/>
            <w:r w:rsidRPr="008B2F8A">
              <w:rPr>
                <w:i/>
                <w:iCs/>
                <w:szCs w:val="20"/>
              </w:rPr>
              <w:t>Radiol</w:t>
            </w:r>
            <w:r w:rsidRPr="008B2F8A">
              <w:rPr>
                <w:szCs w:val="20"/>
              </w:rPr>
              <w:t>, 14 (3), 402–408.</w:t>
            </w:r>
          </w:p>
        </w:tc>
      </w:tr>
      <w:tr w:rsidR="00E47AB8" w:rsidRPr="008B2F8A" w14:paraId="596FDC39" w14:textId="77777777" w:rsidTr="00422306">
        <w:tc>
          <w:tcPr>
            <w:tcW w:w="1448" w:type="dxa"/>
          </w:tcPr>
          <w:p w14:paraId="002722B9" w14:textId="77777777" w:rsidR="00E47AB8" w:rsidRPr="008B2F8A" w:rsidRDefault="00E47AB8" w:rsidP="00422306">
            <w:pPr>
              <w:pStyle w:val="TableText0"/>
              <w:keepNext w:val="0"/>
              <w:spacing w:before="40" w:after="80" w:line="276" w:lineRule="auto"/>
              <w:rPr>
                <w:szCs w:val="20"/>
              </w:rPr>
            </w:pPr>
          </w:p>
        </w:tc>
        <w:tc>
          <w:tcPr>
            <w:tcW w:w="7622" w:type="dxa"/>
          </w:tcPr>
          <w:p w14:paraId="786BC4F5" w14:textId="77777777" w:rsidR="00E47AB8" w:rsidRPr="008B2F8A" w:rsidRDefault="00E47AB8" w:rsidP="00422306">
            <w:pPr>
              <w:spacing w:before="40" w:after="80"/>
              <w:rPr>
                <w:rFonts w:ascii="Arial Narrow" w:hAnsi="Arial Narrow"/>
                <w:b/>
                <w:sz w:val="20"/>
                <w:szCs w:val="20"/>
              </w:rPr>
            </w:pPr>
            <w:r w:rsidRPr="008B2F8A">
              <w:rPr>
                <w:rFonts w:ascii="Arial Narrow" w:hAnsi="Arial Narrow"/>
                <w:b/>
                <w:sz w:val="20"/>
                <w:szCs w:val="20"/>
              </w:rPr>
              <w:t>Women with a prior history of treatment for DCIS or LCIS</w:t>
            </w:r>
          </w:p>
        </w:tc>
      </w:tr>
      <w:tr w:rsidR="00E47AB8" w:rsidRPr="008B2F8A" w14:paraId="6D4467FA" w14:textId="77777777" w:rsidTr="00422306">
        <w:tc>
          <w:tcPr>
            <w:tcW w:w="1448" w:type="dxa"/>
          </w:tcPr>
          <w:p w14:paraId="33604A41" w14:textId="68EC2438" w:rsidR="00E47AB8" w:rsidRPr="008B2F8A" w:rsidRDefault="00E47AB8" w:rsidP="00422306">
            <w:pPr>
              <w:pStyle w:val="TableText0"/>
              <w:keepNext w:val="0"/>
              <w:spacing w:before="40" w:after="80" w:line="276" w:lineRule="auto"/>
              <w:rPr>
                <w:szCs w:val="20"/>
              </w:rPr>
            </w:pPr>
            <w:r w:rsidRPr="00E665DB">
              <w:rPr>
                <w:szCs w:val="20"/>
              </w:rPr>
              <w:t>Sung et al, 2011</w:t>
            </w:r>
            <w:r w:rsidR="00003049">
              <w:rPr>
                <w:szCs w:val="20"/>
              </w:rPr>
              <w:t>b</w:t>
            </w:r>
          </w:p>
        </w:tc>
        <w:tc>
          <w:tcPr>
            <w:tcW w:w="7622" w:type="dxa"/>
          </w:tcPr>
          <w:p w14:paraId="100D6766" w14:textId="77777777" w:rsidR="00E47AB8" w:rsidRPr="008B2F8A" w:rsidRDefault="00E47AB8" w:rsidP="00426E6B">
            <w:pPr>
              <w:pStyle w:val="TableText0"/>
              <w:keepNext w:val="0"/>
              <w:spacing w:before="40" w:after="80" w:line="276" w:lineRule="auto"/>
              <w:rPr>
                <w:szCs w:val="20"/>
              </w:rPr>
            </w:pPr>
            <w:r w:rsidRPr="008B2F8A">
              <w:rPr>
                <w:rFonts w:cs="Calibri"/>
                <w:szCs w:val="20"/>
              </w:rPr>
              <w:t xml:space="preserve">Sung, JS, Malak, SF et al, 2011. Screening breast MR imaging in women with a history of lobular carcinoma in situ, </w:t>
            </w:r>
            <w:r w:rsidRPr="008B2F8A">
              <w:rPr>
                <w:rFonts w:cs="Calibri"/>
                <w:i/>
                <w:iCs/>
                <w:szCs w:val="20"/>
              </w:rPr>
              <w:t>Radiology</w:t>
            </w:r>
            <w:r w:rsidRPr="008B2F8A">
              <w:rPr>
                <w:rFonts w:cs="Calibri"/>
                <w:szCs w:val="20"/>
              </w:rPr>
              <w:t>, 261 (2), 414–420.</w:t>
            </w:r>
          </w:p>
        </w:tc>
      </w:tr>
      <w:bookmarkEnd w:id="546"/>
      <w:tr w:rsidR="00E47AB8" w:rsidRPr="008B2F8A" w14:paraId="3247628D" w14:textId="77777777" w:rsidTr="00422306">
        <w:tc>
          <w:tcPr>
            <w:tcW w:w="1448" w:type="dxa"/>
          </w:tcPr>
          <w:p w14:paraId="7455DD4D" w14:textId="77777777" w:rsidR="00E47AB8" w:rsidRPr="008B2F8A" w:rsidRDefault="00E47AB8" w:rsidP="00422306">
            <w:pPr>
              <w:pStyle w:val="TableText0"/>
              <w:keepNext w:val="0"/>
              <w:spacing w:before="40" w:after="80" w:line="276" w:lineRule="auto"/>
              <w:rPr>
                <w:szCs w:val="20"/>
              </w:rPr>
            </w:pPr>
          </w:p>
        </w:tc>
        <w:tc>
          <w:tcPr>
            <w:tcW w:w="7622" w:type="dxa"/>
          </w:tcPr>
          <w:p w14:paraId="1D17BA00" w14:textId="6176F8DC" w:rsidR="00E47AB8" w:rsidRPr="008B2F8A" w:rsidRDefault="00E47AB8" w:rsidP="00426E6B">
            <w:pPr>
              <w:pStyle w:val="TableText0"/>
              <w:keepNext w:val="0"/>
              <w:spacing w:before="40" w:after="80" w:line="276" w:lineRule="auto"/>
              <w:rPr>
                <w:rFonts w:cs="Calibri"/>
                <w:b/>
                <w:szCs w:val="20"/>
              </w:rPr>
            </w:pPr>
            <w:r w:rsidRPr="008B2F8A">
              <w:rPr>
                <w:rFonts w:cs="Calibri"/>
                <w:b/>
                <w:szCs w:val="20"/>
              </w:rPr>
              <w:t>Women with a history of chest irradiation between the ages of 10 and 35 years</w:t>
            </w:r>
          </w:p>
        </w:tc>
      </w:tr>
      <w:tr w:rsidR="00E47AB8" w:rsidRPr="008B2F8A" w14:paraId="7B1075BA" w14:textId="77777777" w:rsidTr="00422306">
        <w:tc>
          <w:tcPr>
            <w:tcW w:w="1448" w:type="dxa"/>
          </w:tcPr>
          <w:p w14:paraId="779C78D0" w14:textId="2C36045D" w:rsidR="00E47AB8" w:rsidRPr="008B2F8A" w:rsidRDefault="00E47AB8" w:rsidP="00422306">
            <w:pPr>
              <w:pStyle w:val="TableText0"/>
              <w:keepNext w:val="0"/>
              <w:spacing w:before="40" w:after="80" w:line="276" w:lineRule="auto"/>
              <w:rPr>
                <w:szCs w:val="20"/>
              </w:rPr>
            </w:pPr>
            <w:r>
              <w:rPr>
                <w:szCs w:val="20"/>
              </w:rPr>
              <w:t>Ng et al, 2013</w:t>
            </w:r>
          </w:p>
        </w:tc>
        <w:tc>
          <w:tcPr>
            <w:tcW w:w="7622" w:type="dxa"/>
          </w:tcPr>
          <w:p w14:paraId="48D3A93D" w14:textId="34675C64" w:rsidR="00E47AB8" w:rsidRPr="008B2F8A" w:rsidRDefault="00E47AB8" w:rsidP="00426E6B">
            <w:pPr>
              <w:pStyle w:val="TableText0"/>
              <w:keepNext w:val="0"/>
              <w:spacing w:before="40" w:after="80" w:line="276" w:lineRule="auto"/>
              <w:rPr>
                <w:rFonts w:cs="Calibri"/>
                <w:szCs w:val="20"/>
              </w:rPr>
            </w:pPr>
            <w:r w:rsidRPr="008B2F8A">
              <w:rPr>
                <w:rFonts w:cs="Calibri"/>
                <w:szCs w:val="20"/>
              </w:rPr>
              <w:t xml:space="preserve">Ng, AK, Garber, JE et al, 2013. Prospective study of the efficacy of breast magnetic resonance imaging and mammographic screening in survivors of Hodgkin lymphoma, </w:t>
            </w:r>
            <w:r w:rsidRPr="008B2F8A">
              <w:rPr>
                <w:rFonts w:cs="Calibri"/>
                <w:i/>
                <w:iCs/>
                <w:szCs w:val="20"/>
              </w:rPr>
              <w:t>J Clin Oncol</w:t>
            </w:r>
            <w:r w:rsidRPr="008B2F8A">
              <w:rPr>
                <w:rFonts w:cs="Calibri"/>
                <w:szCs w:val="20"/>
              </w:rPr>
              <w:t>, 31 (18), 2282–2288.</w:t>
            </w:r>
          </w:p>
        </w:tc>
      </w:tr>
      <w:tr w:rsidR="00E47AB8" w:rsidRPr="008B2F8A" w14:paraId="5C5D7D4A" w14:textId="77777777" w:rsidTr="00422306">
        <w:tc>
          <w:tcPr>
            <w:tcW w:w="1448" w:type="dxa"/>
          </w:tcPr>
          <w:p w14:paraId="41816857" w14:textId="7C5043F6" w:rsidR="00E47AB8" w:rsidRPr="008B2F8A" w:rsidRDefault="00E47AB8" w:rsidP="00422306">
            <w:pPr>
              <w:pStyle w:val="TableText0"/>
              <w:keepNext w:val="0"/>
              <w:spacing w:before="40" w:after="80" w:line="276" w:lineRule="auto"/>
              <w:rPr>
                <w:szCs w:val="20"/>
              </w:rPr>
            </w:pPr>
            <w:r>
              <w:rPr>
                <w:szCs w:val="20"/>
              </w:rPr>
              <w:t>Freitas et al, 2013</w:t>
            </w:r>
          </w:p>
        </w:tc>
        <w:tc>
          <w:tcPr>
            <w:tcW w:w="7622" w:type="dxa"/>
          </w:tcPr>
          <w:p w14:paraId="1C8CB08B" w14:textId="77777777" w:rsidR="00E47AB8" w:rsidRPr="008B2F8A" w:rsidRDefault="00E47AB8" w:rsidP="00426E6B">
            <w:pPr>
              <w:pStyle w:val="TableText0"/>
              <w:keepNext w:val="0"/>
              <w:spacing w:before="40" w:after="80" w:line="276" w:lineRule="auto"/>
              <w:rPr>
                <w:szCs w:val="20"/>
              </w:rPr>
            </w:pPr>
            <w:bookmarkStart w:id="549" w:name="OLE_LINK99"/>
            <w:bookmarkStart w:id="550" w:name="OLE_LINK100"/>
            <w:r w:rsidRPr="008B2F8A">
              <w:rPr>
                <w:rFonts w:cs="Calibri"/>
                <w:szCs w:val="20"/>
              </w:rPr>
              <w:t>Freitas</w:t>
            </w:r>
            <w:bookmarkEnd w:id="549"/>
            <w:bookmarkEnd w:id="550"/>
            <w:r w:rsidRPr="008B2F8A">
              <w:rPr>
                <w:rFonts w:cs="Calibri"/>
                <w:szCs w:val="20"/>
              </w:rPr>
              <w:t xml:space="preserve">, V, </w:t>
            </w:r>
            <w:bookmarkStart w:id="551" w:name="OLE_LINK101"/>
            <w:bookmarkStart w:id="552" w:name="OLE_LINK102"/>
            <w:r w:rsidRPr="008B2F8A">
              <w:rPr>
                <w:rFonts w:cs="Calibri"/>
                <w:szCs w:val="20"/>
              </w:rPr>
              <w:t>Scaranelo</w:t>
            </w:r>
            <w:bookmarkEnd w:id="551"/>
            <w:bookmarkEnd w:id="552"/>
            <w:r w:rsidRPr="008B2F8A">
              <w:rPr>
                <w:rFonts w:cs="Calibri"/>
                <w:szCs w:val="20"/>
              </w:rPr>
              <w:t xml:space="preserve">, A et al, 2013. Added cancer yield of breast magnetic resonance imaging screening in women with a prior history of chest radiation therapy, </w:t>
            </w:r>
            <w:r w:rsidRPr="008B2F8A">
              <w:rPr>
                <w:rFonts w:cs="Calibri"/>
                <w:i/>
                <w:iCs/>
                <w:szCs w:val="20"/>
              </w:rPr>
              <w:t>Cancer</w:t>
            </w:r>
            <w:r w:rsidRPr="008B2F8A">
              <w:rPr>
                <w:rFonts w:cs="Calibri"/>
                <w:szCs w:val="20"/>
              </w:rPr>
              <w:t>, 119 (3), 495–503.</w:t>
            </w:r>
          </w:p>
        </w:tc>
      </w:tr>
      <w:tr w:rsidR="00E47AB8" w:rsidRPr="008B2F8A" w14:paraId="222059DD" w14:textId="77777777" w:rsidTr="00422306">
        <w:tc>
          <w:tcPr>
            <w:tcW w:w="1448" w:type="dxa"/>
          </w:tcPr>
          <w:p w14:paraId="099C73F3" w14:textId="2F62D903" w:rsidR="00E47AB8" w:rsidRPr="008B2F8A" w:rsidRDefault="00E47AB8" w:rsidP="00422306">
            <w:pPr>
              <w:pStyle w:val="TableText0"/>
              <w:keepNext w:val="0"/>
              <w:spacing w:before="40" w:after="80" w:line="276" w:lineRule="auto"/>
              <w:rPr>
                <w:szCs w:val="20"/>
              </w:rPr>
            </w:pPr>
            <w:r w:rsidRPr="00E665DB">
              <w:rPr>
                <w:szCs w:val="20"/>
              </w:rPr>
              <w:t>Sung et al, 2011</w:t>
            </w:r>
            <w:r w:rsidR="00003049">
              <w:rPr>
                <w:szCs w:val="20"/>
              </w:rPr>
              <w:t>a</w:t>
            </w:r>
          </w:p>
        </w:tc>
        <w:tc>
          <w:tcPr>
            <w:tcW w:w="7622" w:type="dxa"/>
          </w:tcPr>
          <w:p w14:paraId="5218F29D" w14:textId="77777777" w:rsidR="00E47AB8" w:rsidRPr="008B2F8A" w:rsidRDefault="00E47AB8" w:rsidP="00426E6B">
            <w:pPr>
              <w:pStyle w:val="TableText0"/>
              <w:keepNext w:val="0"/>
              <w:spacing w:before="40" w:after="80" w:line="276" w:lineRule="auto"/>
              <w:rPr>
                <w:szCs w:val="20"/>
              </w:rPr>
            </w:pPr>
            <w:r w:rsidRPr="008B2F8A">
              <w:rPr>
                <w:rFonts w:cs="Calibri"/>
                <w:szCs w:val="20"/>
              </w:rPr>
              <w:t xml:space="preserve">Sung, JS, Lee, CH et al, 2011. Screening breast MR imaging in women with a history of chest irradiation, </w:t>
            </w:r>
            <w:r w:rsidRPr="008B2F8A">
              <w:rPr>
                <w:rFonts w:cs="Calibri"/>
                <w:i/>
                <w:iCs/>
                <w:szCs w:val="20"/>
              </w:rPr>
              <w:t>Radiology</w:t>
            </w:r>
            <w:r w:rsidRPr="008B2F8A">
              <w:rPr>
                <w:rFonts w:cs="Calibri"/>
                <w:szCs w:val="20"/>
              </w:rPr>
              <w:t>, 259 (1), 65–71.</w:t>
            </w:r>
          </w:p>
        </w:tc>
      </w:tr>
    </w:tbl>
    <w:p w14:paraId="4E242B2E" w14:textId="52E91616" w:rsidR="00E47AB8" w:rsidRPr="008B2F8A" w:rsidRDefault="00E47AB8" w:rsidP="00426E6B">
      <w:pPr>
        <w:pStyle w:val="TableNotesLast"/>
      </w:pPr>
      <w:r w:rsidRPr="008B2F8A">
        <w:t>DCIS = ductal carcinoma in situ; LCIS = lobular carcinoma in situ.</w:t>
      </w:r>
    </w:p>
    <w:bookmarkEnd w:id="521"/>
    <w:bookmarkEnd w:id="522"/>
    <w:p w14:paraId="5C9970E1" w14:textId="3BB5979F" w:rsidR="00E47AB8" w:rsidRPr="008B2F8A" w:rsidRDefault="00E47AB8" w:rsidP="00422306">
      <w:r w:rsidRPr="008B2F8A">
        <w:fldChar w:fldCharType="begin"/>
      </w:r>
      <w:r w:rsidRPr="008B2F8A">
        <w:instrText xml:space="preserve"> REF _Ref373401753 \h </w:instrText>
      </w:r>
      <w:r w:rsidRPr="008B2F8A">
        <w:fldChar w:fldCharType="separate"/>
      </w:r>
      <w:r w:rsidR="00B81273" w:rsidRPr="008B2F8A">
        <w:t xml:space="preserve">Appendix </w:t>
      </w:r>
      <w:r w:rsidR="00B81273">
        <w:rPr>
          <w:noProof/>
        </w:rPr>
        <w:t>2</w:t>
      </w:r>
      <w:r w:rsidRPr="008B2F8A">
        <w:fldChar w:fldCharType="end"/>
      </w:r>
      <w:r w:rsidRPr="008B2F8A">
        <w:t xml:space="preserve"> list</w:t>
      </w:r>
      <w:r>
        <w:t>s</w:t>
      </w:r>
      <w:r w:rsidRPr="008B2F8A">
        <w:t xml:space="preserve"> potentially eligible studies and the reason</w:t>
      </w:r>
      <w:r>
        <w:t>s</w:t>
      </w:r>
      <w:r w:rsidRPr="008B2F8A">
        <w:t xml:space="preserve"> for their exclusion.</w:t>
      </w:r>
    </w:p>
    <w:p w14:paraId="058C5A88" w14:textId="77777777" w:rsidR="00E47AB8" w:rsidRPr="008B2F8A" w:rsidRDefault="00E47AB8" w:rsidP="00E47AB8">
      <w:pPr>
        <w:pStyle w:val="Heading2"/>
      </w:pPr>
      <w:bookmarkStart w:id="553" w:name="_Toc365552164"/>
      <w:bookmarkStart w:id="554" w:name="_Ref256236312"/>
      <w:bookmarkStart w:id="555" w:name="_Toc383424458"/>
      <w:r w:rsidRPr="008B2F8A">
        <w:t>Assessment of included studies (quality appraisal)</w:t>
      </w:r>
      <w:bookmarkEnd w:id="553"/>
      <w:bookmarkEnd w:id="554"/>
      <w:bookmarkEnd w:id="555"/>
    </w:p>
    <w:p w14:paraId="7479D15E" w14:textId="78FB9F95" w:rsidR="00E47AB8" w:rsidRPr="008B2F8A" w:rsidRDefault="00E47AB8" w:rsidP="00E47AB8">
      <w:pPr>
        <w:pStyle w:val="Heading3"/>
        <w:numPr>
          <w:ilvl w:val="2"/>
          <w:numId w:val="42"/>
        </w:numPr>
      </w:pPr>
      <w:bookmarkStart w:id="556" w:name="_Toc383424459"/>
      <w:r w:rsidRPr="008B2F8A">
        <w:t>Asymptomatic, high-risk women: MBS interim-funded item</w:t>
      </w:r>
      <w:bookmarkEnd w:id="556"/>
    </w:p>
    <w:p w14:paraId="00620BAC" w14:textId="77777777" w:rsidR="00E47AB8" w:rsidRPr="008B2F8A" w:rsidRDefault="00E47AB8" w:rsidP="00422306">
      <w:pPr>
        <w:pStyle w:val="Heading4"/>
      </w:pPr>
      <w:r w:rsidRPr="008B2F8A">
        <w:t>HTAs and systematic reviews</w:t>
      </w:r>
    </w:p>
    <w:p w14:paraId="4C667729" w14:textId="5D83D5BE" w:rsidR="00E47AB8" w:rsidRPr="008B2F8A" w:rsidRDefault="00E47AB8" w:rsidP="00422306">
      <w:r w:rsidRPr="008B2F8A">
        <w:t>Two systematic reviews evaluated the accuracy of breast MRI in addition to mammography as a surveillance test for high-risk populations (</w:t>
      </w:r>
      <w:bookmarkStart w:id="557" w:name="OLE_LINK707"/>
      <w:bookmarkStart w:id="558" w:name="OLE_LINK708"/>
      <w:r w:rsidRPr="008B2F8A">
        <w:rPr>
          <w:noProof/>
        </w:rPr>
        <w:t>HIQA, 2013; NICE, 2013</w:t>
      </w:r>
      <w:bookmarkEnd w:id="557"/>
      <w:bookmarkEnd w:id="558"/>
      <w:r w:rsidRPr="008B2F8A">
        <w:rPr>
          <w:noProof/>
        </w:rPr>
        <w:t>)</w:t>
      </w:r>
      <w:r w:rsidRPr="008B2F8A">
        <w:t>. The two systematic reviews met prespecified criteria for high-quality systematic reviews (</w:t>
      </w:r>
      <w:r w:rsidRPr="008B2F8A">
        <w:fldChar w:fldCharType="begin"/>
      </w:r>
      <w:r w:rsidRPr="008B2F8A">
        <w:instrText xml:space="preserve"> REF _Ref368062434 \h </w:instrText>
      </w:r>
      <w:r w:rsidRPr="008B2F8A">
        <w:fldChar w:fldCharType="separate"/>
      </w:r>
      <w:r w:rsidR="00B81273" w:rsidRPr="008B2F8A">
        <w:t xml:space="preserve">Table </w:t>
      </w:r>
      <w:r w:rsidR="00B81273">
        <w:rPr>
          <w:noProof/>
        </w:rPr>
        <w:t>B</w:t>
      </w:r>
      <w:r w:rsidR="00B81273" w:rsidRPr="008B2F8A">
        <w:t>.</w:t>
      </w:r>
      <w:r w:rsidR="00B81273">
        <w:rPr>
          <w:noProof/>
        </w:rPr>
        <w:t>7</w:t>
      </w:r>
      <w:r w:rsidRPr="008B2F8A">
        <w:fldChar w:fldCharType="end"/>
      </w:r>
      <w:r w:rsidRPr="008B2F8A">
        <w:t>). The clinical questions and inclusion/exclusion criteria applied in the Irish review</w:t>
      </w:r>
      <w:r w:rsidR="008C4340">
        <w:t xml:space="preserve"> (HIQA, 2013)</w:t>
      </w:r>
      <w:r w:rsidRPr="008B2F8A">
        <w:t xml:space="preserve"> matched the current review. The current review therefore updates and broadens the scope of the Irish review. It also updates the MSAC </w:t>
      </w:r>
      <w:r>
        <w:t>(</w:t>
      </w:r>
      <w:r w:rsidRPr="008B2F8A">
        <w:t>2006</w:t>
      </w:r>
      <w:r>
        <w:t>)</w:t>
      </w:r>
      <w:r w:rsidRPr="008B2F8A">
        <w:t xml:space="preserve"> review and takes into consideration the NICE</w:t>
      </w:r>
      <w:r w:rsidRPr="00670739">
        <w:t xml:space="preserve"> </w:t>
      </w:r>
      <w:r>
        <w:t xml:space="preserve">(2013) </w:t>
      </w:r>
      <w:r w:rsidRPr="008B2F8A">
        <w:t>review.</w:t>
      </w:r>
    </w:p>
    <w:p w14:paraId="11F64A26" w14:textId="77777777" w:rsidR="00E47AB8" w:rsidRPr="008B2F8A" w:rsidRDefault="00E47AB8" w:rsidP="00422306">
      <w:pPr>
        <w:pStyle w:val="Caption"/>
      </w:pPr>
      <w:bookmarkStart w:id="559" w:name="_Ref368062434"/>
      <w:bookmarkStart w:id="560" w:name="_Toc383424573"/>
      <w:r w:rsidRPr="008B2F8A">
        <w:t xml:space="preserve">Table </w:t>
      </w:r>
      <w:fldSimple w:instr=" STYLEREF 1 \s ">
        <w:r w:rsidR="00B81273">
          <w:rPr>
            <w:noProof/>
          </w:rPr>
          <w:t>B</w:t>
        </w:r>
      </w:fldSimple>
      <w:r w:rsidRPr="008B2F8A">
        <w:t>.</w:t>
      </w:r>
      <w:fldSimple w:instr=" SEQ Table \* ARABIC \s 1 ">
        <w:r w:rsidR="00B81273">
          <w:rPr>
            <w:noProof/>
          </w:rPr>
          <w:t>7</w:t>
        </w:r>
      </w:fldSimple>
      <w:bookmarkEnd w:id="559"/>
      <w:r w:rsidRPr="008B2F8A">
        <w:tab/>
      </w:r>
      <w:bookmarkStart w:id="561" w:name="OLE_LINK992"/>
      <w:bookmarkStart w:id="562" w:name="OLE_LINK993"/>
      <w:r w:rsidRPr="008B2F8A">
        <w:t>Quality assessment of included systematic reviews</w:t>
      </w:r>
      <w:bookmarkEnd w:id="561"/>
      <w:bookmarkEnd w:id="562"/>
      <w:r w:rsidRPr="008B2F8A">
        <w:t>.</w:t>
      </w:r>
      <w:bookmarkEnd w:id="560"/>
    </w:p>
    <w:tbl>
      <w:tblPr>
        <w:tblStyle w:val="TableGrid"/>
        <w:tblW w:w="6134" w:type="dxa"/>
        <w:tblCellMar>
          <w:left w:w="28" w:type="dxa"/>
          <w:right w:w="28" w:type="dxa"/>
        </w:tblCellMar>
        <w:tblLook w:val="04A0" w:firstRow="1" w:lastRow="0" w:firstColumn="1" w:lastColumn="0" w:noHBand="0" w:noVBand="1"/>
        <w:tblCaption w:val="Quality assessment of included systematic reviews"/>
      </w:tblPr>
      <w:tblGrid>
        <w:gridCol w:w="3862"/>
        <w:gridCol w:w="1136"/>
        <w:gridCol w:w="1136"/>
      </w:tblGrid>
      <w:tr w:rsidR="00E47AB8" w:rsidRPr="008B2F8A" w14:paraId="35E879ED" w14:textId="77777777" w:rsidTr="00422306">
        <w:trPr>
          <w:tblHeader/>
        </w:trPr>
        <w:tc>
          <w:tcPr>
            <w:tcW w:w="3862" w:type="dxa"/>
          </w:tcPr>
          <w:p w14:paraId="30874509" w14:textId="77777777" w:rsidR="00E47AB8" w:rsidRPr="008B2F8A" w:rsidRDefault="00E47AB8" w:rsidP="00422306">
            <w:pPr>
              <w:spacing w:before="40" w:after="80"/>
              <w:rPr>
                <w:rFonts w:ascii="Arial Narrow" w:hAnsi="Arial Narrow"/>
                <w:b/>
              </w:rPr>
            </w:pPr>
            <w:r w:rsidRPr="008B2F8A">
              <w:rPr>
                <w:rFonts w:ascii="Arial Narrow" w:hAnsi="Arial Narrow"/>
                <w:b/>
              </w:rPr>
              <w:t xml:space="preserve">Study </w:t>
            </w:r>
          </w:p>
        </w:tc>
        <w:tc>
          <w:tcPr>
            <w:tcW w:w="1136" w:type="dxa"/>
          </w:tcPr>
          <w:p w14:paraId="50702AB5" w14:textId="5113DC3F" w:rsidR="00E47AB8" w:rsidRPr="008B2F8A" w:rsidRDefault="00E47AB8" w:rsidP="00422306">
            <w:pPr>
              <w:spacing w:before="40" w:after="80"/>
              <w:rPr>
                <w:rFonts w:ascii="Arial Narrow" w:hAnsi="Arial Narrow"/>
                <w:b/>
              </w:rPr>
            </w:pPr>
            <w:r>
              <w:rPr>
                <w:rFonts w:ascii="Arial Narrow" w:hAnsi="Arial Narrow"/>
                <w:b/>
              </w:rPr>
              <w:t>NICE, 2013</w:t>
            </w:r>
          </w:p>
        </w:tc>
        <w:tc>
          <w:tcPr>
            <w:tcW w:w="1136" w:type="dxa"/>
          </w:tcPr>
          <w:p w14:paraId="7A2343AF" w14:textId="3794AB7E" w:rsidR="00E47AB8" w:rsidRPr="008B2F8A" w:rsidRDefault="00E47AB8" w:rsidP="00422306">
            <w:pPr>
              <w:spacing w:before="40" w:after="80"/>
              <w:rPr>
                <w:rFonts w:ascii="Arial Narrow" w:hAnsi="Arial Narrow"/>
                <w:b/>
              </w:rPr>
            </w:pPr>
            <w:r>
              <w:rPr>
                <w:rFonts w:ascii="Arial Narrow" w:hAnsi="Arial Narrow"/>
                <w:b/>
              </w:rPr>
              <w:t>HIQA, 2013</w:t>
            </w:r>
          </w:p>
        </w:tc>
      </w:tr>
      <w:tr w:rsidR="00E47AB8" w:rsidRPr="008B2F8A" w14:paraId="7ACA9B05" w14:textId="77777777" w:rsidTr="00422306">
        <w:tc>
          <w:tcPr>
            <w:tcW w:w="3862" w:type="dxa"/>
          </w:tcPr>
          <w:p w14:paraId="329A3B8F" w14:textId="77777777" w:rsidR="00E47AB8" w:rsidRPr="008B2F8A" w:rsidRDefault="00E47AB8" w:rsidP="00422306">
            <w:pPr>
              <w:spacing w:before="40" w:after="80"/>
              <w:rPr>
                <w:rFonts w:ascii="Arial Narrow" w:hAnsi="Arial Narrow"/>
              </w:rPr>
            </w:pPr>
            <w:r w:rsidRPr="008B2F8A">
              <w:rPr>
                <w:rFonts w:ascii="Arial Narrow" w:hAnsi="Arial Narrow"/>
              </w:rPr>
              <w:t>Explicit review questions?</w:t>
            </w:r>
          </w:p>
        </w:tc>
        <w:tc>
          <w:tcPr>
            <w:tcW w:w="1136" w:type="dxa"/>
          </w:tcPr>
          <w:p w14:paraId="61EBBB35"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136" w:type="dxa"/>
          </w:tcPr>
          <w:p w14:paraId="2B79CD6D"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7B5CB4F9" w14:textId="77777777" w:rsidTr="00422306">
        <w:tc>
          <w:tcPr>
            <w:tcW w:w="3862" w:type="dxa"/>
          </w:tcPr>
          <w:p w14:paraId="49AA1982" w14:textId="77777777" w:rsidR="00E47AB8" w:rsidRPr="008B2F8A" w:rsidRDefault="00E47AB8" w:rsidP="00422306">
            <w:pPr>
              <w:spacing w:before="40" w:after="80"/>
              <w:rPr>
                <w:rFonts w:ascii="Arial Narrow" w:hAnsi="Arial Narrow"/>
              </w:rPr>
            </w:pPr>
            <w:r w:rsidRPr="008B2F8A">
              <w:rPr>
                <w:rFonts w:ascii="Arial Narrow" w:hAnsi="Arial Narrow"/>
              </w:rPr>
              <w:t>Explicit and appropriate eligibility criteria?</w:t>
            </w:r>
          </w:p>
        </w:tc>
        <w:tc>
          <w:tcPr>
            <w:tcW w:w="1136" w:type="dxa"/>
          </w:tcPr>
          <w:p w14:paraId="1DA17276"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136" w:type="dxa"/>
          </w:tcPr>
          <w:p w14:paraId="55B0D15D"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36AD4535" w14:textId="77777777" w:rsidTr="00422306">
        <w:tc>
          <w:tcPr>
            <w:tcW w:w="3862" w:type="dxa"/>
          </w:tcPr>
          <w:p w14:paraId="2E97ACA5" w14:textId="77777777" w:rsidR="00E47AB8" w:rsidRPr="008B2F8A" w:rsidRDefault="00E47AB8" w:rsidP="00422306">
            <w:pPr>
              <w:spacing w:before="40" w:after="80"/>
              <w:rPr>
                <w:rFonts w:ascii="Arial Narrow" w:hAnsi="Arial Narrow"/>
              </w:rPr>
            </w:pPr>
            <w:r w:rsidRPr="008B2F8A">
              <w:rPr>
                <w:rFonts w:ascii="Arial Narrow" w:hAnsi="Arial Narrow"/>
              </w:rPr>
              <w:t>Explicit and comprehensive search strategy?</w:t>
            </w:r>
          </w:p>
        </w:tc>
        <w:tc>
          <w:tcPr>
            <w:tcW w:w="1136" w:type="dxa"/>
          </w:tcPr>
          <w:p w14:paraId="0BC6F6E8"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136" w:type="dxa"/>
          </w:tcPr>
          <w:p w14:paraId="6AFAE843"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06612FB4" w14:textId="77777777" w:rsidTr="00422306">
        <w:tc>
          <w:tcPr>
            <w:tcW w:w="3862" w:type="dxa"/>
          </w:tcPr>
          <w:p w14:paraId="3044C744" w14:textId="77777777" w:rsidR="00E47AB8" w:rsidRPr="008B2F8A" w:rsidRDefault="00E47AB8" w:rsidP="00422306">
            <w:pPr>
              <w:spacing w:before="40" w:after="80"/>
              <w:rPr>
                <w:rFonts w:ascii="Arial Narrow" w:hAnsi="Arial Narrow"/>
              </w:rPr>
            </w:pPr>
            <w:r w:rsidRPr="008B2F8A">
              <w:rPr>
                <w:rFonts w:ascii="Arial Narrow" w:hAnsi="Arial Narrow"/>
              </w:rPr>
              <w:t>Quality of included studies appraised?</w:t>
            </w:r>
          </w:p>
        </w:tc>
        <w:tc>
          <w:tcPr>
            <w:tcW w:w="1136" w:type="dxa"/>
          </w:tcPr>
          <w:p w14:paraId="599D3A58"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136" w:type="dxa"/>
          </w:tcPr>
          <w:p w14:paraId="7FD4161C"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77147B28" w14:textId="77777777" w:rsidTr="00422306">
        <w:tc>
          <w:tcPr>
            <w:tcW w:w="3862" w:type="dxa"/>
          </w:tcPr>
          <w:p w14:paraId="596FC5DC" w14:textId="77777777" w:rsidR="00E47AB8" w:rsidRPr="008B2F8A" w:rsidRDefault="00E47AB8" w:rsidP="00422306">
            <w:pPr>
              <w:spacing w:before="40" w:after="80"/>
              <w:rPr>
                <w:rFonts w:ascii="Arial Narrow" w:hAnsi="Arial Narrow"/>
              </w:rPr>
            </w:pPr>
            <w:r w:rsidRPr="008B2F8A">
              <w:rPr>
                <w:rFonts w:ascii="Arial Narrow" w:hAnsi="Arial Narrow"/>
              </w:rPr>
              <w:t>Methods of study appraisal reproducible?</w:t>
            </w:r>
          </w:p>
        </w:tc>
        <w:tc>
          <w:tcPr>
            <w:tcW w:w="1136" w:type="dxa"/>
          </w:tcPr>
          <w:p w14:paraId="30066EFA"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136" w:type="dxa"/>
          </w:tcPr>
          <w:p w14:paraId="01DC2F70"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5CA772E6" w14:textId="77777777" w:rsidTr="00422306">
        <w:tc>
          <w:tcPr>
            <w:tcW w:w="3862" w:type="dxa"/>
          </w:tcPr>
          <w:p w14:paraId="67C59276" w14:textId="77777777" w:rsidR="00E47AB8" w:rsidRPr="008B2F8A" w:rsidRDefault="00E47AB8" w:rsidP="00422306">
            <w:pPr>
              <w:spacing w:before="40" w:after="80"/>
              <w:rPr>
                <w:rFonts w:ascii="Arial Narrow" w:hAnsi="Arial Narrow"/>
              </w:rPr>
            </w:pPr>
            <w:r w:rsidRPr="008B2F8A">
              <w:rPr>
                <w:rFonts w:ascii="Arial Narrow" w:hAnsi="Arial Narrow"/>
              </w:rPr>
              <w:t>Heterogeneity between studies assessed?</w:t>
            </w:r>
          </w:p>
        </w:tc>
        <w:tc>
          <w:tcPr>
            <w:tcW w:w="1136" w:type="dxa"/>
          </w:tcPr>
          <w:p w14:paraId="21909D0C" w14:textId="77777777" w:rsidR="00E47AB8" w:rsidRPr="008B2F8A" w:rsidRDefault="00E47AB8" w:rsidP="00422306">
            <w:pPr>
              <w:spacing w:before="40" w:after="80"/>
              <w:rPr>
                <w:rFonts w:ascii="Arial Narrow" w:hAnsi="Arial Narrow"/>
              </w:rPr>
            </w:pPr>
            <w:r w:rsidRPr="008B2F8A">
              <w:rPr>
                <w:rFonts w:ascii="Arial Narrow" w:hAnsi="Arial Narrow"/>
              </w:rPr>
              <w:t>NA</w:t>
            </w:r>
          </w:p>
        </w:tc>
        <w:tc>
          <w:tcPr>
            <w:tcW w:w="1136" w:type="dxa"/>
          </w:tcPr>
          <w:p w14:paraId="43E5A994" w14:textId="77777777" w:rsidR="00E47AB8" w:rsidRPr="008B2F8A" w:rsidRDefault="00E47AB8" w:rsidP="00422306">
            <w:pPr>
              <w:spacing w:before="40" w:after="80"/>
              <w:rPr>
                <w:rFonts w:ascii="Arial Narrow" w:hAnsi="Arial Narrow"/>
              </w:rPr>
            </w:pPr>
            <w:r w:rsidRPr="008B2F8A">
              <w:rPr>
                <w:rFonts w:ascii="Arial Narrow" w:hAnsi="Arial Narrow"/>
              </w:rPr>
              <w:t>No</w:t>
            </w:r>
          </w:p>
        </w:tc>
      </w:tr>
      <w:tr w:rsidR="00E47AB8" w:rsidRPr="008B2F8A" w14:paraId="375D013D" w14:textId="77777777" w:rsidTr="00422306">
        <w:tc>
          <w:tcPr>
            <w:tcW w:w="3862" w:type="dxa"/>
          </w:tcPr>
          <w:p w14:paraId="1EEFBD1F" w14:textId="77777777" w:rsidR="00E47AB8" w:rsidRPr="008B2F8A" w:rsidRDefault="00E47AB8" w:rsidP="00422306">
            <w:pPr>
              <w:spacing w:before="40" w:after="80"/>
              <w:rPr>
                <w:rFonts w:ascii="Arial Narrow" w:hAnsi="Arial Narrow"/>
              </w:rPr>
            </w:pPr>
            <w:r w:rsidRPr="008B2F8A">
              <w:rPr>
                <w:rFonts w:ascii="Arial Narrow" w:hAnsi="Arial Narrow"/>
              </w:rPr>
              <w:t>Summary of main results clear and appropriate?</w:t>
            </w:r>
          </w:p>
        </w:tc>
        <w:tc>
          <w:tcPr>
            <w:tcW w:w="1136" w:type="dxa"/>
          </w:tcPr>
          <w:p w14:paraId="6E370063"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136" w:type="dxa"/>
          </w:tcPr>
          <w:p w14:paraId="4F16C3A9"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7C5740EB" w14:textId="77777777" w:rsidTr="00422306">
        <w:tc>
          <w:tcPr>
            <w:tcW w:w="3862" w:type="dxa"/>
          </w:tcPr>
          <w:p w14:paraId="060548A5" w14:textId="77777777" w:rsidR="00E47AB8" w:rsidRPr="008B2F8A" w:rsidRDefault="00E47AB8" w:rsidP="00422306">
            <w:pPr>
              <w:spacing w:before="40" w:after="80"/>
              <w:rPr>
                <w:rFonts w:ascii="Arial Narrow" w:hAnsi="Arial Narrow"/>
              </w:rPr>
            </w:pPr>
            <w:r w:rsidRPr="008B2F8A">
              <w:rPr>
                <w:rFonts w:ascii="Arial Narrow" w:hAnsi="Arial Narrow"/>
              </w:rPr>
              <w:t>Applicability</w:t>
            </w:r>
          </w:p>
        </w:tc>
        <w:tc>
          <w:tcPr>
            <w:tcW w:w="1136" w:type="dxa"/>
          </w:tcPr>
          <w:p w14:paraId="13C0A05C" w14:textId="77777777" w:rsidR="00E47AB8" w:rsidRPr="008B2F8A" w:rsidRDefault="00E47AB8" w:rsidP="00422306">
            <w:pPr>
              <w:spacing w:before="40" w:after="80"/>
              <w:rPr>
                <w:rFonts w:ascii="Arial Narrow" w:hAnsi="Arial Narrow"/>
              </w:rPr>
            </w:pPr>
            <w:r w:rsidRPr="008B2F8A">
              <w:rPr>
                <w:rFonts w:ascii="Arial Narrow" w:hAnsi="Arial Narrow"/>
              </w:rPr>
              <w:t>High</w:t>
            </w:r>
          </w:p>
        </w:tc>
        <w:tc>
          <w:tcPr>
            <w:tcW w:w="1136" w:type="dxa"/>
          </w:tcPr>
          <w:p w14:paraId="5FD4A8A9" w14:textId="77777777" w:rsidR="00E47AB8" w:rsidRPr="008B2F8A" w:rsidRDefault="00E47AB8" w:rsidP="00422306">
            <w:pPr>
              <w:spacing w:before="40" w:after="80"/>
              <w:rPr>
                <w:rFonts w:ascii="Arial Narrow" w:hAnsi="Arial Narrow"/>
              </w:rPr>
            </w:pPr>
            <w:r w:rsidRPr="008B2F8A">
              <w:rPr>
                <w:rFonts w:ascii="Arial Narrow" w:hAnsi="Arial Narrow"/>
              </w:rPr>
              <w:t>High</w:t>
            </w:r>
          </w:p>
        </w:tc>
      </w:tr>
    </w:tbl>
    <w:p w14:paraId="3A627C4B" w14:textId="77777777" w:rsidR="00E47AB8" w:rsidRPr="008B2F8A" w:rsidRDefault="00E47AB8" w:rsidP="00422306"/>
    <w:p w14:paraId="6F472C13" w14:textId="77777777" w:rsidR="00E47AB8" w:rsidRPr="008B2F8A" w:rsidRDefault="00E47AB8" w:rsidP="00422306">
      <w:pPr>
        <w:pStyle w:val="Heading4"/>
      </w:pPr>
      <w:r w:rsidRPr="008B2F8A">
        <w:lastRenderedPageBreak/>
        <w:t>Primary studies: diagnostic accuracy</w:t>
      </w:r>
    </w:p>
    <w:p w14:paraId="1872C526" w14:textId="4164A7E8" w:rsidR="00E47AB8" w:rsidRPr="008B2F8A" w:rsidRDefault="00E47AB8" w:rsidP="00422306">
      <w:r w:rsidRPr="008B2F8A">
        <w:t>The five primary studies of diagnostic test accuracy (</w:t>
      </w:r>
      <w:bookmarkStart w:id="563" w:name="OLE_LINK709"/>
      <w:bookmarkStart w:id="564" w:name="OLE_LINK710"/>
      <w:r w:rsidRPr="008B2F8A">
        <w:rPr>
          <w:noProof/>
        </w:rPr>
        <w:t>Warner et al, 2004</w:t>
      </w:r>
      <w:r>
        <w:rPr>
          <w:noProof/>
        </w:rPr>
        <w:t>;</w:t>
      </w:r>
      <w:r w:rsidRPr="008B2F8A">
        <w:rPr>
          <w:noProof/>
        </w:rPr>
        <w:t xml:space="preserve"> Kuhl et al, 2005; </w:t>
      </w:r>
      <w:r>
        <w:rPr>
          <w:noProof/>
        </w:rPr>
        <w:t>Leach, 2005</w:t>
      </w:r>
      <w:r w:rsidRPr="008B2F8A">
        <w:rPr>
          <w:noProof/>
        </w:rPr>
        <w:t>; Kriege et al, 2006b; Sardanelli et al, 2011</w:t>
      </w:r>
      <w:bookmarkEnd w:id="563"/>
      <w:bookmarkEnd w:id="564"/>
      <w:r w:rsidRPr="008B2F8A">
        <w:rPr>
          <w:noProof/>
        </w:rPr>
        <w:t>)</w:t>
      </w:r>
      <w:r w:rsidRPr="008B2F8A">
        <w:t xml:space="preserve"> all used a prospective design</w:t>
      </w:r>
      <w:r>
        <w:t>,</w:t>
      </w:r>
      <w:r w:rsidRPr="008B2F8A">
        <w:t xml:space="preserve"> but none reported that a consecutive sample of patients was tested. Studies presented results only for the subset of eligible patients who received both tests. The range of excluded patients was 9% to 21%</w:t>
      </w:r>
      <w:r>
        <w:t>;</w:t>
      </w:r>
      <w:r w:rsidRPr="008B2F8A">
        <w:t xml:space="preserve"> reasons for withdrawal included subsequent negative gene test, prophylactic mastectomy, development of breast cancer, loss to follow-up, claustrophobia or MRI refusal.</w:t>
      </w:r>
    </w:p>
    <w:p w14:paraId="0601FA2E" w14:textId="1B532FBC" w:rsidR="00E47AB8" w:rsidRPr="008B2F8A" w:rsidRDefault="00E47AB8" w:rsidP="00422306">
      <w:r w:rsidRPr="008B2F8A">
        <w:t>All studies had a high risk of bias associated with the reference standard</w:t>
      </w:r>
      <w:r>
        <w:t>,</w:t>
      </w:r>
      <w:r w:rsidRPr="008B2F8A">
        <w:t xml:space="preserve"> which was differentially applied on the basis of the test result (positive tests underwent histopathology and negative tests </w:t>
      </w:r>
      <w:r>
        <w:t xml:space="preserve">were </w:t>
      </w:r>
      <w:r w:rsidRPr="008B2F8A">
        <w:t>followed</w:t>
      </w:r>
      <w:r>
        <w:t xml:space="preserve"> </w:t>
      </w:r>
      <w:r w:rsidRPr="008B2F8A">
        <w:t>up for interval cancers)</w:t>
      </w:r>
      <w:r>
        <w:t>,</w:t>
      </w:r>
      <w:r w:rsidRPr="008B2F8A">
        <w:t xml:space="preserve"> leading to verification bias (see </w:t>
      </w:r>
      <w:r w:rsidRPr="008B2F8A">
        <w:fldChar w:fldCharType="begin"/>
      </w:r>
      <w:r w:rsidRPr="008B2F8A">
        <w:instrText xml:space="preserve"> REF _Ref368233905 \h </w:instrText>
      </w:r>
      <w:r w:rsidRPr="008B2F8A">
        <w:fldChar w:fldCharType="separate"/>
      </w:r>
      <w:r w:rsidR="00B81273" w:rsidRPr="008B2F8A">
        <w:t xml:space="preserve">Table </w:t>
      </w:r>
      <w:r w:rsidR="00B81273">
        <w:rPr>
          <w:noProof/>
        </w:rPr>
        <w:t>B</w:t>
      </w:r>
      <w:r w:rsidR="00B81273" w:rsidRPr="008B2F8A">
        <w:t>.</w:t>
      </w:r>
      <w:r w:rsidR="00B81273">
        <w:rPr>
          <w:noProof/>
        </w:rPr>
        <w:t>16</w:t>
      </w:r>
      <w:r w:rsidRPr="008B2F8A">
        <w:fldChar w:fldCharType="end"/>
      </w:r>
      <w:r w:rsidRPr="008B2F8A">
        <w:t xml:space="preserve">). Furthermore, the biopsy was directed on the basis </w:t>
      </w:r>
      <w:r>
        <w:t>that</w:t>
      </w:r>
      <w:r w:rsidRPr="008B2F8A">
        <w:t xml:space="preserve"> the positive test result led to incorporation bias. Two of the studies used histopathology to verify only positive tests after review of all imaging tests (</w:t>
      </w:r>
      <w:bookmarkStart w:id="565" w:name="OLE_LINK711"/>
      <w:bookmarkStart w:id="566" w:name="OLE_LINK712"/>
      <w:r>
        <w:rPr>
          <w:noProof/>
        </w:rPr>
        <w:t>Leach, 2005</w:t>
      </w:r>
      <w:r w:rsidRPr="008B2F8A">
        <w:rPr>
          <w:noProof/>
        </w:rPr>
        <w:t>; Warner et al, 2004</w:t>
      </w:r>
      <w:bookmarkEnd w:id="565"/>
      <w:bookmarkEnd w:id="566"/>
      <w:r w:rsidRPr="008B2F8A">
        <w:rPr>
          <w:noProof/>
        </w:rPr>
        <w:t>)</w:t>
      </w:r>
      <w:r w:rsidRPr="008B2F8A">
        <w:t>. Three studies did not report whether interval cancers</w:t>
      </w:r>
      <w:r>
        <w:t>,</w:t>
      </w:r>
      <w:r w:rsidRPr="008B2F8A">
        <w:t xml:space="preserve"> which were identified as false-positives</w:t>
      </w:r>
      <w:r>
        <w:t>,</w:t>
      </w:r>
      <w:r w:rsidRPr="008B2F8A">
        <w:t xml:space="preserve"> were assessed on the basis of a review of films (</w:t>
      </w:r>
      <w:bookmarkStart w:id="567" w:name="OLE_LINK713"/>
      <w:bookmarkStart w:id="568" w:name="OLE_LINK714"/>
      <w:r w:rsidRPr="008B2F8A">
        <w:rPr>
          <w:noProof/>
        </w:rPr>
        <w:t xml:space="preserve">Kriege et al, 2006b; </w:t>
      </w:r>
      <w:r>
        <w:rPr>
          <w:noProof/>
        </w:rPr>
        <w:t>Leach, 2005</w:t>
      </w:r>
      <w:r w:rsidRPr="008B2F8A">
        <w:rPr>
          <w:noProof/>
        </w:rPr>
        <w:t>; Sardanelli et al, 2011</w:t>
      </w:r>
      <w:bookmarkEnd w:id="567"/>
      <w:bookmarkEnd w:id="568"/>
      <w:r w:rsidRPr="008B2F8A">
        <w:rPr>
          <w:noProof/>
        </w:rPr>
        <w:t>)</w:t>
      </w:r>
      <w:r w:rsidRPr="008B2F8A">
        <w:t>.</w:t>
      </w:r>
    </w:p>
    <w:p w14:paraId="14E7731B" w14:textId="5C061FFA" w:rsidR="00E47AB8" w:rsidRPr="008B2F8A" w:rsidRDefault="00E47AB8" w:rsidP="00422306">
      <w:bookmarkStart w:id="569" w:name="OLE_LINK715"/>
      <w:bookmarkStart w:id="570" w:name="OLE_LINK716"/>
      <w:r w:rsidRPr="008B2F8A">
        <w:t>Kuhl</w:t>
      </w:r>
      <w:r w:rsidRPr="008B2F8A">
        <w:rPr>
          <w:noProof/>
        </w:rPr>
        <w:t xml:space="preserve"> et al (2005</w:t>
      </w:r>
      <w:bookmarkEnd w:id="569"/>
      <w:bookmarkEnd w:id="570"/>
      <w:r w:rsidRPr="008B2F8A">
        <w:rPr>
          <w:noProof/>
        </w:rPr>
        <w:t>)</w:t>
      </w:r>
      <w:r w:rsidRPr="008B2F8A">
        <w:t xml:space="preserve"> included results from tests performed &gt;1 month apart in </w:t>
      </w:r>
      <w:r>
        <w:t>its</w:t>
      </w:r>
      <w:r w:rsidRPr="008B2F8A">
        <w:t xml:space="preserve"> assessment of test accuracy and therefore has a higher risk of bias in terms of flow and timing than the other studies</w:t>
      </w:r>
      <w:r>
        <w:t>,</w:t>
      </w:r>
      <w:r w:rsidRPr="008B2F8A">
        <w:t xml:space="preserve"> in which all tests were conducted within </w:t>
      </w:r>
      <w:r>
        <w:t>2</w:t>
      </w:r>
      <w:r w:rsidRPr="008B2F8A">
        <w:t xml:space="preserve"> weeks of each other and interpreted blind to the results of the reference standard and comparator test, using prespecified criteria. The timing of the index test was not reported in </w:t>
      </w:r>
      <w:bookmarkStart w:id="571" w:name="OLE_LINK717"/>
      <w:bookmarkStart w:id="572" w:name="OLE_LINK718"/>
      <w:r w:rsidRPr="008B2F8A">
        <w:t xml:space="preserve">Sardanelli </w:t>
      </w:r>
      <w:r>
        <w:t xml:space="preserve">et al </w:t>
      </w:r>
      <w:r w:rsidRPr="008B2F8A">
        <w:rPr>
          <w:noProof/>
        </w:rPr>
        <w:t>(2011</w:t>
      </w:r>
      <w:bookmarkEnd w:id="571"/>
      <w:bookmarkEnd w:id="572"/>
      <w:r w:rsidRPr="008B2F8A">
        <w:rPr>
          <w:noProof/>
        </w:rPr>
        <w:t>)</w:t>
      </w:r>
      <w:r w:rsidRPr="008B2F8A">
        <w:t>.</w:t>
      </w:r>
    </w:p>
    <w:p w14:paraId="0E3795B9" w14:textId="5A3B14DC" w:rsidR="00E47AB8" w:rsidRPr="008B2F8A" w:rsidRDefault="00E47AB8" w:rsidP="00422306">
      <w:r w:rsidRPr="008B2F8A">
        <w:t xml:space="preserve">Quality was assessed using </w:t>
      </w:r>
      <w:bookmarkStart w:id="573" w:name="OLE_LINK308"/>
      <w:bookmarkStart w:id="574" w:name="OLE_LINK309"/>
      <w:r w:rsidRPr="008B2F8A">
        <w:t>the QUADAS</w:t>
      </w:r>
      <w:bookmarkEnd w:id="573"/>
      <w:bookmarkEnd w:id="574"/>
      <w:r w:rsidRPr="008B2F8A">
        <w:t xml:space="preserve">-2 tool </w:t>
      </w:r>
      <w:r w:rsidRPr="008B2F8A">
        <w:rPr>
          <w:noProof/>
        </w:rPr>
        <w:t>(</w:t>
      </w:r>
      <w:bookmarkStart w:id="575" w:name="OLE_LINK719"/>
      <w:bookmarkStart w:id="576" w:name="OLE_LINK720"/>
      <w:r w:rsidRPr="008B2F8A">
        <w:rPr>
          <w:noProof/>
        </w:rPr>
        <w:t>Whiting et al, 2011</w:t>
      </w:r>
      <w:bookmarkEnd w:id="575"/>
      <w:bookmarkEnd w:id="576"/>
      <w:r w:rsidRPr="008B2F8A">
        <w:rPr>
          <w:noProof/>
        </w:rPr>
        <w:t>)</w:t>
      </w:r>
      <w:r w:rsidRPr="008B2F8A">
        <w:t xml:space="preserve"> </w:t>
      </w:r>
      <w:r>
        <w:t>(</w:t>
      </w:r>
      <w:r w:rsidRPr="008B2F8A">
        <w:fldChar w:fldCharType="begin"/>
      </w:r>
      <w:r w:rsidRPr="008B2F8A">
        <w:instrText xml:space="preserve"> REF _Ref368231182 \h </w:instrText>
      </w:r>
      <w:r w:rsidRPr="008B2F8A">
        <w:fldChar w:fldCharType="separate"/>
      </w:r>
      <w:r w:rsidR="00B81273" w:rsidRPr="008B2F8A">
        <w:t xml:space="preserve">Table </w:t>
      </w:r>
      <w:r w:rsidR="00B81273">
        <w:rPr>
          <w:noProof/>
        </w:rPr>
        <w:t>B</w:t>
      </w:r>
      <w:r w:rsidR="00B81273" w:rsidRPr="008B2F8A">
        <w:t>.</w:t>
      </w:r>
      <w:r w:rsidR="00B81273">
        <w:rPr>
          <w:noProof/>
        </w:rPr>
        <w:t>8</w:t>
      </w:r>
      <w:r w:rsidRPr="008B2F8A">
        <w:fldChar w:fldCharType="end"/>
      </w:r>
      <w:r>
        <w:t>)</w:t>
      </w:r>
      <w:r w:rsidRPr="008B2F8A">
        <w:t>.</w:t>
      </w:r>
    </w:p>
    <w:p w14:paraId="0577958E" w14:textId="5C2475DE" w:rsidR="00E47AB8" w:rsidRPr="008B2F8A" w:rsidRDefault="00E47AB8" w:rsidP="00422306">
      <w:r w:rsidRPr="008B2F8A">
        <w:t xml:space="preserve">Applicability is discussed in greater detail in section </w:t>
      </w:r>
      <w:r>
        <w:fldChar w:fldCharType="begin"/>
      </w:r>
      <w:r>
        <w:instrText xml:space="preserve"> REF _Ref368231227 \r \h </w:instrText>
      </w:r>
      <w:r>
        <w:fldChar w:fldCharType="separate"/>
      </w:r>
      <w:r w:rsidR="00B81273">
        <w:t>B.5</w:t>
      </w:r>
      <w:r>
        <w:fldChar w:fldCharType="end"/>
      </w:r>
      <w:r w:rsidRPr="008B2F8A">
        <w:t xml:space="preserve">. </w:t>
      </w:r>
      <w:r>
        <w:t xml:space="preserve">In </w:t>
      </w:r>
      <w:r w:rsidRPr="008B2F8A">
        <w:t xml:space="preserve">brief, all studies compared MRI </w:t>
      </w:r>
      <w:r>
        <w:t>+</w:t>
      </w:r>
      <w:r w:rsidRPr="008B2F8A">
        <w:t xml:space="preserve"> mammography with mammography alone and considered women at high risk of breast cancer aged &lt;65 years</w:t>
      </w:r>
      <w:r>
        <w:t>,</w:t>
      </w:r>
      <w:r w:rsidRPr="008B2F8A">
        <w:t xml:space="preserve"> who generally represent the proposed population for breast MRI screening in Australia.</w:t>
      </w:r>
    </w:p>
    <w:p w14:paraId="57B116AA" w14:textId="77777777" w:rsidR="00E47AB8" w:rsidRPr="008B2F8A" w:rsidRDefault="00E47AB8" w:rsidP="00422306">
      <w:pPr>
        <w:pStyle w:val="Caption"/>
        <w:ind w:left="1440" w:hanging="1440"/>
      </w:pPr>
      <w:bookmarkStart w:id="577" w:name="_Ref368231182"/>
      <w:bookmarkStart w:id="578" w:name="_Toc383424574"/>
      <w:r w:rsidRPr="008B2F8A">
        <w:t xml:space="preserve">Table </w:t>
      </w:r>
      <w:fldSimple w:instr=" STYLEREF 1 \s ">
        <w:r w:rsidR="00B81273">
          <w:rPr>
            <w:noProof/>
          </w:rPr>
          <w:t>B</w:t>
        </w:r>
      </w:fldSimple>
      <w:r w:rsidRPr="008B2F8A">
        <w:t>.</w:t>
      </w:r>
      <w:fldSimple w:instr=" SEQ Table \* ARABIC \s 1 ">
        <w:r w:rsidR="00B81273">
          <w:rPr>
            <w:noProof/>
          </w:rPr>
          <w:t>8</w:t>
        </w:r>
      </w:fldSimple>
      <w:bookmarkEnd w:id="577"/>
      <w:r w:rsidRPr="008B2F8A">
        <w:tab/>
      </w:r>
      <w:bookmarkStart w:id="579" w:name="OLE_LINK994"/>
      <w:bookmarkStart w:id="580" w:name="OLE_LINK995"/>
      <w:bookmarkStart w:id="581" w:name="OLE_LINK996"/>
      <w:r w:rsidRPr="008B2F8A">
        <w:t>Quality assessment of included primary diagnostic accuracy studies: asymptomatic, high-risk women</w:t>
      </w:r>
      <w:bookmarkEnd w:id="579"/>
      <w:bookmarkEnd w:id="580"/>
      <w:bookmarkEnd w:id="581"/>
      <w:r>
        <w:t>.</w:t>
      </w:r>
      <w:bookmarkEnd w:id="578"/>
    </w:p>
    <w:p w14:paraId="3FBF6CCC" w14:textId="77777777" w:rsidR="00E47AB8" w:rsidRPr="008B2F8A" w:rsidRDefault="00E47AB8" w:rsidP="008C4340">
      <w:pPr>
        <w:jc w:val="center"/>
      </w:pPr>
      <w:r w:rsidRPr="008B2F8A">
        <w:rPr>
          <w:noProof/>
          <w:lang w:eastAsia="en-AU"/>
        </w:rPr>
        <w:drawing>
          <wp:inline distT="0" distB="0" distL="0" distR="0" wp14:anchorId="55E1877B" wp14:editId="48175E89">
            <wp:extent cx="4246880" cy="3129280"/>
            <wp:effectExtent l="0" t="0" r="0" b="0"/>
            <wp:docPr id="9" name="Picture 9" descr="Colour-coded table of criteria along the top and studies down the side" title="Quality assessment of included primary diagnostic accuracy studies: asymptomatic, high-risk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ological quality summary.png"/>
                    <pic:cNvPicPr/>
                  </pic:nvPicPr>
                  <pic:blipFill rotWithShape="1">
                    <a:blip r:embed="rId33">
                      <a:extLst>
                        <a:ext uri="{28A0092B-C50C-407E-A947-70E740481C1C}">
                          <a14:useLocalDpi xmlns:a14="http://schemas.microsoft.com/office/drawing/2010/main" val="0"/>
                        </a:ext>
                      </a:extLst>
                    </a:blip>
                    <a:srcRect l="1624" t="3021" r="1449" b="3909"/>
                    <a:stretch/>
                  </pic:blipFill>
                  <pic:spPr bwMode="auto">
                    <a:xfrm>
                      <a:off x="0" y="0"/>
                      <a:ext cx="4246880" cy="3129280"/>
                    </a:xfrm>
                    <a:prstGeom prst="rect">
                      <a:avLst/>
                    </a:prstGeom>
                    <a:ln>
                      <a:noFill/>
                    </a:ln>
                    <a:extLst>
                      <a:ext uri="{53640926-AAD7-44D8-BBD7-CCE9431645EC}">
                        <a14:shadowObscured xmlns:a14="http://schemas.microsoft.com/office/drawing/2010/main"/>
                      </a:ext>
                    </a:extLst>
                  </pic:spPr>
                </pic:pic>
              </a:graphicData>
            </a:graphic>
          </wp:inline>
        </w:drawing>
      </w:r>
    </w:p>
    <w:p w14:paraId="2DBD9D4F" w14:textId="77777777" w:rsidR="00E47AB8" w:rsidRPr="008B2F8A" w:rsidRDefault="00E47AB8" w:rsidP="00422306">
      <w:pPr>
        <w:pStyle w:val="Heading4"/>
      </w:pPr>
      <w:r w:rsidRPr="008B2F8A">
        <w:lastRenderedPageBreak/>
        <w:t>Primary studies: patient outcomes</w:t>
      </w:r>
    </w:p>
    <w:p w14:paraId="5E48B950" w14:textId="67DC67F4" w:rsidR="00E47AB8" w:rsidRPr="008B2F8A" w:rsidRDefault="00E47AB8" w:rsidP="00422306">
      <w:bookmarkStart w:id="582" w:name="OLE_LINK721"/>
      <w:bookmarkStart w:id="583" w:name="OLE_LINK722"/>
      <w:r w:rsidRPr="008B2F8A">
        <w:t>Br</w:t>
      </w:r>
      <w:r>
        <w:t>é</w:t>
      </w:r>
      <w:r w:rsidRPr="008B2F8A">
        <w:t xml:space="preserve">dart </w:t>
      </w:r>
      <w:r>
        <w:t xml:space="preserve">et al </w:t>
      </w:r>
      <w:r w:rsidRPr="008B2F8A">
        <w:t>(</w:t>
      </w:r>
      <w:r w:rsidRPr="008B2F8A">
        <w:rPr>
          <w:noProof/>
        </w:rPr>
        <w:t>2012a, b</w:t>
      </w:r>
      <w:bookmarkEnd w:id="582"/>
      <w:bookmarkEnd w:id="583"/>
      <w:r w:rsidRPr="008B2F8A">
        <w:t xml:space="preserve">) was a non-randomised, prospective, multicentre study. </w:t>
      </w:r>
      <w:r>
        <w:t>It</w:t>
      </w:r>
      <w:r w:rsidRPr="008B2F8A">
        <w:t xml:space="preserve"> used validated psychological scales to measure anxiety and distress in women undergoing MRI </w:t>
      </w:r>
      <w:r>
        <w:t>+</w:t>
      </w:r>
      <w:r w:rsidRPr="008B2F8A">
        <w:t xml:space="preserve"> mammography compared with mammography alone. Although </w:t>
      </w:r>
      <w:r>
        <w:t>it</w:t>
      </w:r>
      <w:r w:rsidRPr="008B2F8A">
        <w:t xml:space="preserve"> had explicit and appropriate inclusion and exclusion criteria, these differed </w:t>
      </w:r>
      <w:r>
        <w:t>between</w:t>
      </w:r>
      <w:r w:rsidRPr="008B2F8A">
        <w:t xml:space="preserve"> the group eligible for MRI and </w:t>
      </w:r>
      <w:r>
        <w:t>that</w:t>
      </w:r>
      <w:r w:rsidRPr="008B2F8A">
        <w:t xml:space="preserve"> eligible for mammography</w:t>
      </w:r>
      <w:r w:rsidRPr="00731EB3">
        <w:t xml:space="preserve"> </w:t>
      </w:r>
      <w:r w:rsidRPr="008B2F8A">
        <w:t xml:space="preserve">only, </w:t>
      </w:r>
      <w:r>
        <w:t xml:space="preserve">and </w:t>
      </w:r>
      <w:r w:rsidRPr="008B2F8A">
        <w:t>therefore there are significant differences in the patient characteristics of the women who received the intervention compared with the comparator. This is the key risk of bias</w:t>
      </w:r>
      <w:r>
        <w:t>,</w:t>
      </w:r>
      <w:r w:rsidRPr="008B2F8A">
        <w:t xml:space="preserve"> and the study was otherwise considered high quality (</w:t>
      </w:r>
      <w:r w:rsidRPr="008B2F8A">
        <w:fldChar w:fldCharType="begin"/>
      </w:r>
      <w:r w:rsidRPr="008B2F8A">
        <w:instrText xml:space="preserve"> REF _Ref368576747 \h  \* MERGEFORMAT </w:instrText>
      </w:r>
      <w:r w:rsidRPr="008B2F8A">
        <w:fldChar w:fldCharType="separate"/>
      </w:r>
      <w:r w:rsidR="00B81273" w:rsidRPr="008B2F8A">
        <w:t xml:space="preserve">Table </w:t>
      </w:r>
      <w:r w:rsidR="00B81273">
        <w:rPr>
          <w:noProof/>
        </w:rPr>
        <w:t>B</w:t>
      </w:r>
      <w:r w:rsidR="00B81273" w:rsidRPr="008B2F8A">
        <w:rPr>
          <w:noProof/>
        </w:rPr>
        <w:t>.</w:t>
      </w:r>
      <w:r w:rsidR="00B81273">
        <w:rPr>
          <w:noProof/>
        </w:rPr>
        <w:t>9</w:t>
      </w:r>
      <w:r w:rsidRPr="008B2F8A">
        <w:fldChar w:fldCharType="end"/>
      </w:r>
      <w:r w:rsidRPr="008B2F8A">
        <w:t>).</w:t>
      </w:r>
    </w:p>
    <w:p w14:paraId="26FA1532" w14:textId="01047841" w:rsidR="00E47AB8" w:rsidRPr="008B2F8A" w:rsidRDefault="00E47AB8" w:rsidP="00422306">
      <w:r w:rsidRPr="008B2F8A">
        <w:t>The patient population included women aged 20</w:t>
      </w:r>
      <w:r>
        <w:t xml:space="preserve"> to </w:t>
      </w:r>
      <w:r w:rsidRPr="008B2F8A">
        <w:t>70 and was therefore older than the population under review</w:t>
      </w:r>
      <w:r>
        <w:t>,</w:t>
      </w:r>
      <w:r w:rsidRPr="008B2F8A">
        <w:t xml:space="preserve"> limiting the applicability of the study, but the intervention and comparator were highly applicable.</w:t>
      </w:r>
    </w:p>
    <w:p w14:paraId="630BDE8D" w14:textId="77777777" w:rsidR="00E47AB8" w:rsidRPr="008B2F8A" w:rsidRDefault="00E47AB8" w:rsidP="00422306">
      <w:pPr>
        <w:pStyle w:val="Caption"/>
      </w:pPr>
      <w:bookmarkStart w:id="584" w:name="_Ref368576747"/>
      <w:bookmarkStart w:id="585" w:name="_Toc383424575"/>
      <w:r w:rsidRPr="008B2F8A">
        <w:t xml:space="preserve">Table </w:t>
      </w:r>
      <w:fldSimple w:instr=" STYLEREF 1 \s ">
        <w:r w:rsidR="00B81273">
          <w:rPr>
            <w:noProof/>
          </w:rPr>
          <w:t>B</w:t>
        </w:r>
      </w:fldSimple>
      <w:r w:rsidRPr="008B2F8A">
        <w:t>.</w:t>
      </w:r>
      <w:fldSimple w:instr=" SEQ Table \* ARABIC \s 1 ">
        <w:r w:rsidR="00B81273">
          <w:rPr>
            <w:noProof/>
          </w:rPr>
          <w:t>9</w:t>
        </w:r>
      </w:fldSimple>
      <w:bookmarkEnd w:id="584"/>
      <w:r w:rsidRPr="008B2F8A">
        <w:rPr>
          <w:noProof/>
        </w:rPr>
        <w:tab/>
      </w:r>
      <w:bookmarkStart w:id="586" w:name="OLE_LINK997"/>
      <w:bookmarkStart w:id="587" w:name="OLE_LINK998"/>
      <w:r w:rsidRPr="008B2F8A">
        <w:rPr>
          <w:noProof/>
        </w:rPr>
        <w:t>Quality assessment of included primary patient outcomes studies</w:t>
      </w:r>
      <w:bookmarkEnd w:id="586"/>
      <w:bookmarkEnd w:id="587"/>
      <w:r w:rsidRPr="008B2F8A">
        <w:rPr>
          <w:noProof/>
        </w:rPr>
        <w:t>.</w:t>
      </w:r>
      <w:bookmarkEnd w:id="585"/>
    </w:p>
    <w:tbl>
      <w:tblPr>
        <w:tblStyle w:val="TableGrid"/>
        <w:tblW w:w="9070" w:type="dxa"/>
        <w:tblCellMar>
          <w:left w:w="28" w:type="dxa"/>
          <w:right w:w="28" w:type="dxa"/>
        </w:tblCellMar>
        <w:tblLook w:val="04A0" w:firstRow="1" w:lastRow="0" w:firstColumn="1" w:lastColumn="0" w:noHBand="0" w:noVBand="1"/>
        <w:tblCaption w:val="Quality assessment of included primary patient outcomes studies"/>
      </w:tblPr>
      <w:tblGrid>
        <w:gridCol w:w="7402"/>
        <w:gridCol w:w="1668"/>
      </w:tblGrid>
      <w:tr w:rsidR="00E47AB8" w:rsidRPr="008B2F8A" w14:paraId="5B8A490B" w14:textId="77777777" w:rsidTr="00422306">
        <w:trPr>
          <w:tblHeader/>
        </w:trPr>
        <w:tc>
          <w:tcPr>
            <w:tcW w:w="0" w:type="auto"/>
          </w:tcPr>
          <w:p w14:paraId="5965BAB0" w14:textId="77777777" w:rsidR="00E47AB8" w:rsidRPr="008B2F8A" w:rsidRDefault="00E47AB8" w:rsidP="00422306">
            <w:pPr>
              <w:spacing w:before="40" w:after="80"/>
              <w:rPr>
                <w:rFonts w:ascii="Arial Narrow" w:hAnsi="Arial Narrow"/>
                <w:b/>
              </w:rPr>
            </w:pPr>
          </w:p>
        </w:tc>
        <w:tc>
          <w:tcPr>
            <w:tcW w:w="0" w:type="auto"/>
          </w:tcPr>
          <w:p w14:paraId="2EB7C842" w14:textId="23860B30" w:rsidR="00E47AB8" w:rsidRPr="008B2F8A" w:rsidRDefault="00E47AB8" w:rsidP="00422306">
            <w:pPr>
              <w:spacing w:before="40" w:after="80"/>
              <w:rPr>
                <w:rFonts w:ascii="Arial Narrow" w:hAnsi="Arial Narrow"/>
                <w:b/>
              </w:rPr>
            </w:pPr>
            <w:r w:rsidRPr="008B2F8A">
              <w:rPr>
                <w:rFonts w:ascii="Arial Narrow" w:hAnsi="Arial Narrow"/>
                <w:b/>
              </w:rPr>
              <w:t>Br</w:t>
            </w:r>
            <w:r>
              <w:rPr>
                <w:rFonts w:ascii="Arial Narrow" w:hAnsi="Arial Narrow"/>
                <w:b/>
              </w:rPr>
              <w:t>é</w:t>
            </w:r>
            <w:r w:rsidRPr="008B2F8A">
              <w:rPr>
                <w:rFonts w:ascii="Arial Narrow" w:hAnsi="Arial Narrow"/>
                <w:b/>
              </w:rPr>
              <w:t xml:space="preserve">dart </w:t>
            </w:r>
            <w:r>
              <w:rPr>
                <w:rFonts w:ascii="Arial Narrow" w:hAnsi="Arial Narrow"/>
                <w:b/>
              </w:rPr>
              <w:t xml:space="preserve">et al </w:t>
            </w:r>
            <w:r w:rsidRPr="008B2F8A">
              <w:rPr>
                <w:rFonts w:ascii="Arial Narrow" w:hAnsi="Arial Narrow"/>
                <w:b/>
              </w:rPr>
              <w:t>2012</w:t>
            </w:r>
          </w:p>
        </w:tc>
      </w:tr>
      <w:tr w:rsidR="00E47AB8" w:rsidRPr="008B2F8A" w14:paraId="043732D3" w14:textId="77777777" w:rsidTr="00422306">
        <w:tc>
          <w:tcPr>
            <w:tcW w:w="0" w:type="auto"/>
          </w:tcPr>
          <w:p w14:paraId="63210642" w14:textId="77777777" w:rsidR="00E47AB8" w:rsidRPr="008B2F8A" w:rsidRDefault="00E47AB8" w:rsidP="00422306">
            <w:pPr>
              <w:spacing w:before="40" w:after="80"/>
              <w:rPr>
                <w:rFonts w:ascii="Arial Narrow" w:hAnsi="Arial Narrow"/>
              </w:rPr>
            </w:pPr>
            <w:r w:rsidRPr="008B2F8A">
              <w:rPr>
                <w:rFonts w:ascii="Arial Narrow" w:hAnsi="Arial Narrow"/>
              </w:rPr>
              <w:t>Was the study based on a representative sample selected from a relevant population?</w:t>
            </w:r>
          </w:p>
        </w:tc>
        <w:tc>
          <w:tcPr>
            <w:tcW w:w="0" w:type="auto"/>
          </w:tcPr>
          <w:p w14:paraId="04F9F4F6"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61858E58" w14:textId="77777777" w:rsidTr="00422306">
        <w:tc>
          <w:tcPr>
            <w:tcW w:w="0" w:type="auto"/>
          </w:tcPr>
          <w:p w14:paraId="54A577A2" w14:textId="77777777" w:rsidR="00E47AB8" w:rsidRPr="008B2F8A" w:rsidRDefault="00E47AB8" w:rsidP="00422306">
            <w:pPr>
              <w:spacing w:before="40" w:after="80"/>
              <w:rPr>
                <w:rFonts w:ascii="Arial Narrow" w:hAnsi="Arial Narrow"/>
              </w:rPr>
            </w:pPr>
            <w:r w:rsidRPr="008B2F8A">
              <w:rPr>
                <w:rFonts w:ascii="Arial Narrow" w:hAnsi="Arial Narrow"/>
              </w:rPr>
              <w:t>Were the criteria for inclusion and exclusion explicit?</w:t>
            </w:r>
          </w:p>
        </w:tc>
        <w:tc>
          <w:tcPr>
            <w:tcW w:w="0" w:type="auto"/>
          </w:tcPr>
          <w:p w14:paraId="6AEB576B"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7774D70E" w14:textId="77777777" w:rsidTr="00422306">
        <w:tc>
          <w:tcPr>
            <w:tcW w:w="0" w:type="auto"/>
          </w:tcPr>
          <w:p w14:paraId="5BB2A427" w14:textId="77777777" w:rsidR="00E47AB8" w:rsidRPr="008B2F8A" w:rsidRDefault="00E47AB8" w:rsidP="00422306">
            <w:pPr>
              <w:spacing w:before="40" w:after="80"/>
              <w:rPr>
                <w:rFonts w:ascii="Arial Narrow" w:hAnsi="Arial Narrow"/>
              </w:rPr>
            </w:pPr>
            <w:r w:rsidRPr="008B2F8A">
              <w:rPr>
                <w:rFonts w:ascii="Arial Narrow" w:hAnsi="Arial Narrow"/>
              </w:rPr>
              <w:t>Were the data collection methods used adequately described?</w:t>
            </w:r>
          </w:p>
        </w:tc>
        <w:tc>
          <w:tcPr>
            <w:tcW w:w="0" w:type="auto"/>
          </w:tcPr>
          <w:p w14:paraId="6F50525E"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723C5DF9" w14:textId="77777777" w:rsidTr="00422306">
        <w:tc>
          <w:tcPr>
            <w:tcW w:w="0" w:type="auto"/>
          </w:tcPr>
          <w:p w14:paraId="586B3E7A" w14:textId="77777777" w:rsidR="00E47AB8" w:rsidRPr="008B2F8A" w:rsidRDefault="00E47AB8" w:rsidP="00422306">
            <w:pPr>
              <w:spacing w:before="40" w:after="80"/>
              <w:rPr>
                <w:rFonts w:ascii="Arial Narrow" w:hAnsi="Arial Narrow"/>
              </w:rPr>
            </w:pPr>
            <w:r w:rsidRPr="008B2F8A">
              <w:rPr>
                <w:rFonts w:ascii="Arial Narrow" w:hAnsi="Arial Narrow"/>
              </w:rPr>
              <w:t>Were outcomes assessed using valid and reliable instruments?</w:t>
            </w:r>
          </w:p>
        </w:tc>
        <w:tc>
          <w:tcPr>
            <w:tcW w:w="0" w:type="auto"/>
          </w:tcPr>
          <w:p w14:paraId="2548BB0B"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bl>
    <w:p w14:paraId="18E27F93" w14:textId="499BEB0F" w:rsidR="00E47AB8" w:rsidRPr="008B2F8A" w:rsidRDefault="00E47AB8" w:rsidP="00E47AB8">
      <w:pPr>
        <w:pStyle w:val="Heading3"/>
        <w:numPr>
          <w:ilvl w:val="2"/>
          <w:numId w:val="42"/>
        </w:numPr>
      </w:pPr>
      <w:bookmarkStart w:id="588" w:name="_Toc383424460"/>
      <w:bookmarkStart w:id="589" w:name="_Toc365552165"/>
      <w:r w:rsidRPr="008B2F8A">
        <w:t>Additional high-risk groups</w:t>
      </w:r>
      <w:bookmarkEnd w:id="588"/>
    </w:p>
    <w:p w14:paraId="4444F807" w14:textId="77777777" w:rsidR="00E47AB8" w:rsidRPr="008B2F8A" w:rsidRDefault="00E47AB8" w:rsidP="00422306">
      <w:pPr>
        <w:pStyle w:val="Heading4"/>
      </w:pPr>
      <w:r w:rsidRPr="008B2F8A">
        <w:t>Women with a history of treatment for invasive breast cancer</w:t>
      </w:r>
    </w:p>
    <w:p w14:paraId="24EC0547" w14:textId="1B57601B" w:rsidR="00E47AB8" w:rsidRPr="008B2F8A" w:rsidRDefault="00E47AB8" w:rsidP="00422306">
      <w:r w:rsidRPr="008B2F8A">
        <w:t>Two HTAs evaluated the accuracy of breast MRI in comparison with mammography as a surveillance test for women with a history of treatment for invasive breast cancer</w:t>
      </w:r>
      <w:r>
        <w:t xml:space="preserve"> (</w:t>
      </w:r>
      <w:r>
        <w:fldChar w:fldCharType="begin"/>
      </w:r>
      <w:r>
        <w:instrText xml:space="preserve"> REF _Ref256409131 \h </w:instrText>
      </w:r>
      <w:r>
        <w:fldChar w:fldCharType="separate"/>
      </w:r>
      <w:r w:rsidR="00B81273" w:rsidRPr="008B2F8A">
        <w:t xml:space="preserve">Table </w:t>
      </w:r>
      <w:r w:rsidR="00B81273">
        <w:rPr>
          <w:noProof/>
        </w:rPr>
        <w:t>B</w:t>
      </w:r>
      <w:r w:rsidR="00B81273" w:rsidRPr="008B2F8A">
        <w:t>.</w:t>
      </w:r>
      <w:r w:rsidR="00B81273">
        <w:rPr>
          <w:noProof/>
        </w:rPr>
        <w:t>10</w:t>
      </w:r>
      <w:r>
        <w:fldChar w:fldCharType="end"/>
      </w:r>
      <w:r>
        <w:t>)</w:t>
      </w:r>
      <w:r w:rsidRPr="008B2F8A">
        <w:t xml:space="preserve">. The NICE </w:t>
      </w:r>
      <w:r>
        <w:t xml:space="preserve">(2013) </w:t>
      </w:r>
      <w:r w:rsidRPr="008B2F8A">
        <w:t xml:space="preserve">review met prespecified criteria for a high-quality systematic review, but </w:t>
      </w:r>
      <w:r>
        <w:t>its</w:t>
      </w:r>
      <w:r w:rsidRPr="008B2F8A">
        <w:t xml:space="preserve"> applicability is judged to be moderate, rather than high, because its population of women who have both a personal history of breast cancer and familial risk differs from the present review. The </w:t>
      </w:r>
      <w:bookmarkStart w:id="590" w:name="OLE_LINK723"/>
      <w:r w:rsidRPr="008B2F8A">
        <w:t xml:space="preserve">Robertson </w:t>
      </w:r>
      <w:r>
        <w:t>et al (2011a</w:t>
      </w:r>
      <w:bookmarkEnd w:id="590"/>
      <w:r>
        <w:t xml:space="preserve">) </w:t>
      </w:r>
      <w:r w:rsidRPr="008B2F8A">
        <w:t xml:space="preserve">review for the UK HTA Programme also met prespecified criteria for a high-quality review and was not judged to be superseded by the NICE </w:t>
      </w:r>
      <w:r>
        <w:t xml:space="preserve">(2013) </w:t>
      </w:r>
      <w:r w:rsidRPr="008B2F8A">
        <w:t>review</w:t>
      </w:r>
      <w:r>
        <w:t>,</w:t>
      </w:r>
      <w:r w:rsidRPr="008B2F8A">
        <w:t xml:space="preserve"> as it had a higher level of applicability.</w:t>
      </w:r>
    </w:p>
    <w:p w14:paraId="0D933B61" w14:textId="77777777" w:rsidR="00E47AB8" w:rsidRPr="008B2F8A" w:rsidRDefault="00E47AB8" w:rsidP="00422306">
      <w:pPr>
        <w:pStyle w:val="Caption"/>
      </w:pPr>
      <w:bookmarkStart w:id="591" w:name="_Ref256409131"/>
      <w:bookmarkStart w:id="592" w:name="_Toc383424576"/>
      <w:r w:rsidRPr="008B2F8A">
        <w:t xml:space="preserve">Table </w:t>
      </w:r>
      <w:fldSimple w:instr=" STYLEREF 1 \s ">
        <w:r w:rsidR="00B81273">
          <w:rPr>
            <w:noProof/>
          </w:rPr>
          <w:t>B</w:t>
        </w:r>
      </w:fldSimple>
      <w:r w:rsidRPr="008B2F8A">
        <w:t>.</w:t>
      </w:r>
      <w:fldSimple w:instr=" SEQ Table \* ARABIC \s 1 ">
        <w:r w:rsidR="00B81273">
          <w:rPr>
            <w:noProof/>
          </w:rPr>
          <w:t>10</w:t>
        </w:r>
      </w:fldSimple>
      <w:bookmarkEnd w:id="591"/>
      <w:r w:rsidRPr="008B2F8A">
        <w:tab/>
      </w:r>
      <w:bookmarkStart w:id="593" w:name="OLE_LINK999"/>
      <w:bookmarkStart w:id="594" w:name="OLE_LINK1000"/>
      <w:r w:rsidRPr="008B2F8A">
        <w:t>Quality assessment of included systematic reviews</w:t>
      </w:r>
      <w:bookmarkEnd w:id="593"/>
      <w:bookmarkEnd w:id="594"/>
      <w:r w:rsidRPr="008B2F8A">
        <w:t>.</w:t>
      </w:r>
      <w:bookmarkEnd w:id="592"/>
    </w:p>
    <w:tbl>
      <w:tblPr>
        <w:tblStyle w:val="TableGrid"/>
        <w:tblW w:w="7412" w:type="dxa"/>
        <w:tblCellMar>
          <w:left w:w="28" w:type="dxa"/>
          <w:right w:w="28" w:type="dxa"/>
        </w:tblCellMar>
        <w:tblLook w:val="04A0" w:firstRow="1" w:lastRow="0" w:firstColumn="1" w:lastColumn="0" w:noHBand="0" w:noVBand="1"/>
        <w:tblCaption w:val="Quality assessment of included systematic reviews"/>
      </w:tblPr>
      <w:tblGrid>
        <w:gridCol w:w="4146"/>
        <w:gridCol w:w="1366"/>
        <w:gridCol w:w="1900"/>
      </w:tblGrid>
      <w:tr w:rsidR="00E47AB8" w:rsidRPr="008B2F8A" w14:paraId="28027920" w14:textId="77777777" w:rsidTr="00E665DB">
        <w:trPr>
          <w:tblHeader/>
        </w:trPr>
        <w:tc>
          <w:tcPr>
            <w:tcW w:w="4146" w:type="dxa"/>
          </w:tcPr>
          <w:p w14:paraId="6459AFC2" w14:textId="77777777" w:rsidR="00E47AB8" w:rsidRPr="008B2F8A" w:rsidRDefault="00E47AB8" w:rsidP="00422306">
            <w:pPr>
              <w:spacing w:before="40" w:after="80"/>
              <w:rPr>
                <w:rFonts w:ascii="Arial Narrow" w:hAnsi="Arial Narrow"/>
                <w:b/>
              </w:rPr>
            </w:pPr>
            <w:r w:rsidRPr="008B2F8A">
              <w:rPr>
                <w:rFonts w:ascii="Arial Narrow" w:hAnsi="Arial Narrow"/>
                <w:b/>
              </w:rPr>
              <w:t xml:space="preserve">Study </w:t>
            </w:r>
          </w:p>
        </w:tc>
        <w:tc>
          <w:tcPr>
            <w:tcW w:w="0" w:type="auto"/>
          </w:tcPr>
          <w:p w14:paraId="5FB8962B" w14:textId="4B995EF2" w:rsidR="00E47AB8" w:rsidRPr="008B2F8A" w:rsidRDefault="00E47AB8" w:rsidP="00422306">
            <w:pPr>
              <w:spacing w:before="40" w:after="80"/>
              <w:rPr>
                <w:rFonts w:ascii="Arial Narrow" w:hAnsi="Arial Narrow"/>
                <w:b/>
              </w:rPr>
            </w:pPr>
            <w:r>
              <w:rPr>
                <w:rFonts w:ascii="Arial Narrow" w:hAnsi="Arial Narrow"/>
                <w:b/>
              </w:rPr>
              <w:t>NICE, 2013</w:t>
            </w:r>
          </w:p>
        </w:tc>
        <w:tc>
          <w:tcPr>
            <w:tcW w:w="1900" w:type="dxa"/>
          </w:tcPr>
          <w:p w14:paraId="4765D0A7" w14:textId="46366870" w:rsidR="00E47AB8" w:rsidRPr="008B2F8A" w:rsidRDefault="00E47AB8" w:rsidP="00422306">
            <w:pPr>
              <w:spacing w:before="40" w:after="80"/>
              <w:rPr>
                <w:rFonts w:ascii="Arial Narrow" w:hAnsi="Arial Narrow"/>
                <w:b/>
              </w:rPr>
            </w:pPr>
            <w:r>
              <w:rPr>
                <w:rFonts w:ascii="Arial Narrow" w:hAnsi="Arial Narrow"/>
                <w:b/>
              </w:rPr>
              <w:t>Robertson et al, 2011</w:t>
            </w:r>
            <w:r w:rsidR="00003049">
              <w:rPr>
                <w:rFonts w:ascii="Arial Narrow" w:hAnsi="Arial Narrow"/>
                <w:b/>
              </w:rPr>
              <w:t>a</w:t>
            </w:r>
          </w:p>
        </w:tc>
      </w:tr>
      <w:tr w:rsidR="00E47AB8" w:rsidRPr="008B2F8A" w14:paraId="41174D45" w14:textId="77777777" w:rsidTr="00E665DB">
        <w:tc>
          <w:tcPr>
            <w:tcW w:w="4146" w:type="dxa"/>
          </w:tcPr>
          <w:p w14:paraId="01ED8E08" w14:textId="77777777" w:rsidR="00E47AB8" w:rsidRPr="008B2F8A" w:rsidRDefault="00E47AB8" w:rsidP="00422306">
            <w:pPr>
              <w:spacing w:before="40" w:after="80"/>
              <w:rPr>
                <w:rFonts w:ascii="Arial Narrow" w:hAnsi="Arial Narrow"/>
              </w:rPr>
            </w:pPr>
            <w:r w:rsidRPr="008B2F8A">
              <w:rPr>
                <w:rFonts w:ascii="Arial Narrow" w:hAnsi="Arial Narrow"/>
              </w:rPr>
              <w:t>Explicit review questions?</w:t>
            </w:r>
          </w:p>
        </w:tc>
        <w:tc>
          <w:tcPr>
            <w:tcW w:w="0" w:type="auto"/>
          </w:tcPr>
          <w:p w14:paraId="116E6E60"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900" w:type="dxa"/>
          </w:tcPr>
          <w:p w14:paraId="548D0575"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6650B736" w14:textId="77777777" w:rsidTr="00E665DB">
        <w:tc>
          <w:tcPr>
            <w:tcW w:w="4146" w:type="dxa"/>
          </w:tcPr>
          <w:p w14:paraId="35FC1BE5" w14:textId="77777777" w:rsidR="00E47AB8" w:rsidRPr="008B2F8A" w:rsidRDefault="00E47AB8" w:rsidP="00422306">
            <w:pPr>
              <w:spacing w:before="40" w:after="80"/>
              <w:rPr>
                <w:rFonts w:ascii="Arial Narrow" w:hAnsi="Arial Narrow"/>
              </w:rPr>
            </w:pPr>
            <w:r w:rsidRPr="008B2F8A">
              <w:rPr>
                <w:rFonts w:ascii="Arial Narrow" w:hAnsi="Arial Narrow"/>
              </w:rPr>
              <w:t>Explicit and appropriate eligibility criteria?</w:t>
            </w:r>
          </w:p>
        </w:tc>
        <w:tc>
          <w:tcPr>
            <w:tcW w:w="0" w:type="auto"/>
          </w:tcPr>
          <w:p w14:paraId="23C6F324"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900" w:type="dxa"/>
          </w:tcPr>
          <w:p w14:paraId="226A627A"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601AE4D1" w14:textId="77777777" w:rsidTr="00E665DB">
        <w:tc>
          <w:tcPr>
            <w:tcW w:w="4146" w:type="dxa"/>
          </w:tcPr>
          <w:p w14:paraId="41918B1A" w14:textId="77777777" w:rsidR="00E47AB8" w:rsidRPr="008B2F8A" w:rsidRDefault="00E47AB8" w:rsidP="00422306">
            <w:pPr>
              <w:spacing w:before="40" w:after="80"/>
              <w:rPr>
                <w:rFonts w:ascii="Arial Narrow" w:hAnsi="Arial Narrow"/>
              </w:rPr>
            </w:pPr>
            <w:r w:rsidRPr="008B2F8A">
              <w:rPr>
                <w:rFonts w:ascii="Arial Narrow" w:hAnsi="Arial Narrow"/>
              </w:rPr>
              <w:t>Explicit and comprehensive search strategy?</w:t>
            </w:r>
          </w:p>
        </w:tc>
        <w:tc>
          <w:tcPr>
            <w:tcW w:w="0" w:type="auto"/>
          </w:tcPr>
          <w:p w14:paraId="07924149" w14:textId="77777777" w:rsidR="00E47AB8" w:rsidRPr="008B2F8A" w:rsidRDefault="00E47AB8" w:rsidP="00422306">
            <w:pPr>
              <w:spacing w:before="40" w:after="80"/>
              <w:rPr>
                <w:rFonts w:ascii="Arial Narrow" w:hAnsi="Arial Narrow"/>
              </w:rPr>
            </w:pPr>
            <w:r w:rsidRPr="008B2F8A">
              <w:rPr>
                <w:rFonts w:ascii="Arial Narrow" w:hAnsi="Arial Narrow"/>
              </w:rPr>
              <w:t>Yes</w:t>
            </w:r>
          </w:p>
        </w:tc>
        <w:tc>
          <w:tcPr>
            <w:tcW w:w="1900" w:type="dxa"/>
          </w:tcPr>
          <w:p w14:paraId="10DF4306" w14:textId="77777777" w:rsidR="00E47AB8" w:rsidRPr="008B2F8A" w:rsidRDefault="00E47AB8" w:rsidP="00422306">
            <w:pPr>
              <w:spacing w:before="40" w:after="80"/>
              <w:rPr>
                <w:rFonts w:ascii="Arial Narrow" w:hAnsi="Arial Narrow"/>
              </w:rPr>
            </w:pPr>
            <w:r w:rsidRPr="008B2F8A">
              <w:rPr>
                <w:rFonts w:ascii="Arial Narrow" w:hAnsi="Arial Narrow"/>
              </w:rPr>
              <w:t>Yes</w:t>
            </w:r>
          </w:p>
        </w:tc>
      </w:tr>
      <w:tr w:rsidR="00E47AB8" w:rsidRPr="008B2F8A" w14:paraId="7EE18AA1" w14:textId="77777777" w:rsidTr="00E665DB">
        <w:tc>
          <w:tcPr>
            <w:tcW w:w="4146" w:type="dxa"/>
          </w:tcPr>
          <w:p w14:paraId="02C90324" w14:textId="77777777" w:rsidR="00E47AB8" w:rsidRPr="008B2F8A" w:rsidRDefault="00E47AB8" w:rsidP="00422306">
            <w:pPr>
              <w:spacing w:before="40" w:after="80"/>
              <w:rPr>
                <w:rFonts w:ascii="Arial Narrow" w:hAnsi="Arial Narrow"/>
              </w:rPr>
            </w:pPr>
            <w:r w:rsidRPr="008B2F8A">
              <w:rPr>
                <w:rFonts w:ascii="Arial Narrow" w:hAnsi="Arial Narrow"/>
              </w:rPr>
              <w:t>Quality of included studies appraised?</w:t>
            </w:r>
          </w:p>
        </w:tc>
        <w:tc>
          <w:tcPr>
            <w:tcW w:w="0" w:type="auto"/>
          </w:tcPr>
          <w:p w14:paraId="748A2E0D" w14:textId="77777777" w:rsidR="00E47AB8" w:rsidRPr="00E665DB" w:rsidRDefault="00E47AB8" w:rsidP="00E665DB">
            <w:pPr>
              <w:spacing w:before="40" w:after="80"/>
              <w:rPr>
                <w:rFonts w:ascii="Arial Narrow" w:hAnsi="Arial Narrow"/>
                <w:sz w:val="20"/>
                <w:szCs w:val="20"/>
              </w:rPr>
            </w:pPr>
            <w:r w:rsidRPr="008B2F8A">
              <w:rPr>
                <w:rFonts w:ascii="Arial Narrow" w:hAnsi="Arial Narrow"/>
              </w:rPr>
              <w:t>Yes</w:t>
            </w:r>
          </w:p>
        </w:tc>
        <w:tc>
          <w:tcPr>
            <w:tcW w:w="1900" w:type="dxa"/>
          </w:tcPr>
          <w:p w14:paraId="7415AED8" w14:textId="77777777" w:rsidR="00E47AB8" w:rsidRPr="00E665DB" w:rsidRDefault="00E47AB8" w:rsidP="00E665DB">
            <w:pPr>
              <w:spacing w:before="40" w:after="80"/>
              <w:rPr>
                <w:rFonts w:ascii="Arial Narrow" w:hAnsi="Arial Narrow"/>
                <w:sz w:val="20"/>
                <w:szCs w:val="20"/>
              </w:rPr>
            </w:pPr>
            <w:r w:rsidRPr="008B2F8A">
              <w:rPr>
                <w:rFonts w:ascii="Arial Narrow" w:hAnsi="Arial Narrow"/>
              </w:rPr>
              <w:t>Yes</w:t>
            </w:r>
          </w:p>
        </w:tc>
      </w:tr>
      <w:tr w:rsidR="00E47AB8" w:rsidRPr="008B2F8A" w14:paraId="7E31E1C4" w14:textId="77777777" w:rsidTr="00E665DB">
        <w:tc>
          <w:tcPr>
            <w:tcW w:w="4146" w:type="dxa"/>
          </w:tcPr>
          <w:p w14:paraId="2D902D90" w14:textId="77777777" w:rsidR="00E47AB8" w:rsidRPr="008B2F8A" w:rsidRDefault="00E47AB8" w:rsidP="00422306">
            <w:pPr>
              <w:spacing w:before="40" w:after="80"/>
              <w:rPr>
                <w:rFonts w:ascii="Arial Narrow" w:hAnsi="Arial Narrow"/>
              </w:rPr>
            </w:pPr>
            <w:r w:rsidRPr="008B2F8A">
              <w:rPr>
                <w:rFonts w:ascii="Arial Narrow" w:hAnsi="Arial Narrow"/>
              </w:rPr>
              <w:t>Methods of study appraisal reproducible?</w:t>
            </w:r>
          </w:p>
        </w:tc>
        <w:tc>
          <w:tcPr>
            <w:tcW w:w="0" w:type="auto"/>
          </w:tcPr>
          <w:p w14:paraId="0F30B685" w14:textId="77777777" w:rsidR="00E47AB8" w:rsidRPr="00E665DB" w:rsidRDefault="00E47AB8" w:rsidP="00E665DB">
            <w:pPr>
              <w:spacing w:before="40" w:after="80"/>
              <w:rPr>
                <w:rFonts w:ascii="Arial Narrow" w:hAnsi="Arial Narrow"/>
                <w:sz w:val="20"/>
                <w:szCs w:val="20"/>
              </w:rPr>
            </w:pPr>
            <w:r w:rsidRPr="008B2F8A">
              <w:rPr>
                <w:rFonts w:ascii="Arial Narrow" w:hAnsi="Arial Narrow"/>
              </w:rPr>
              <w:t>Yes</w:t>
            </w:r>
          </w:p>
        </w:tc>
        <w:tc>
          <w:tcPr>
            <w:tcW w:w="1900" w:type="dxa"/>
          </w:tcPr>
          <w:p w14:paraId="5AD6D18D" w14:textId="77777777" w:rsidR="00E47AB8" w:rsidRPr="00E665DB" w:rsidRDefault="00E47AB8" w:rsidP="00E665DB">
            <w:pPr>
              <w:spacing w:before="40" w:after="80"/>
              <w:rPr>
                <w:rFonts w:ascii="Arial Narrow" w:hAnsi="Arial Narrow"/>
                <w:sz w:val="20"/>
                <w:szCs w:val="20"/>
              </w:rPr>
            </w:pPr>
            <w:r w:rsidRPr="008B2F8A">
              <w:rPr>
                <w:rFonts w:ascii="Arial Narrow" w:hAnsi="Arial Narrow"/>
              </w:rPr>
              <w:t>Yes</w:t>
            </w:r>
          </w:p>
        </w:tc>
      </w:tr>
      <w:tr w:rsidR="00E47AB8" w:rsidRPr="008B2F8A" w14:paraId="75375C8B" w14:textId="77777777" w:rsidTr="00E665DB">
        <w:tc>
          <w:tcPr>
            <w:tcW w:w="4146" w:type="dxa"/>
          </w:tcPr>
          <w:p w14:paraId="5AAF0A59" w14:textId="77777777" w:rsidR="00E47AB8" w:rsidRPr="008B2F8A" w:rsidRDefault="00E47AB8" w:rsidP="00422306">
            <w:pPr>
              <w:spacing w:before="40" w:after="80"/>
              <w:rPr>
                <w:rFonts w:ascii="Arial Narrow" w:hAnsi="Arial Narrow"/>
              </w:rPr>
            </w:pPr>
            <w:r w:rsidRPr="008B2F8A">
              <w:rPr>
                <w:rFonts w:ascii="Arial Narrow" w:hAnsi="Arial Narrow"/>
              </w:rPr>
              <w:t>Heterogeneity between studies assessed?</w:t>
            </w:r>
          </w:p>
        </w:tc>
        <w:tc>
          <w:tcPr>
            <w:tcW w:w="0" w:type="auto"/>
          </w:tcPr>
          <w:p w14:paraId="082CD2C6" w14:textId="77777777" w:rsidR="00E47AB8" w:rsidRPr="008B2F8A" w:rsidRDefault="00E47AB8" w:rsidP="00422306">
            <w:pPr>
              <w:spacing w:before="40" w:after="80"/>
              <w:rPr>
                <w:rFonts w:ascii="Arial Narrow" w:hAnsi="Arial Narrow"/>
              </w:rPr>
            </w:pPr>
            <w:r w:rsidRPr="008B2F8A">
              <w:rPr>
                <w:rFonts w:ascii="Arial Narrow" w:hAnsi="Arial Narrow"/>
              </w:rPr>
              <w:t>NA</w:t>
            </w:r>
          </w:p>
        </w:tc>
        <w:tc>
          <w:tcPr>
            <w:tcW w:w="1900" w:type="dxa"/>
          </w:tcPr>
          <w:p w14:paraId="3A9EB29F" w14:textId="77777777" w:rsidR="00E47AB8" w:rsidRPr="008B2F8A" w:rsidRDefault="00E47AB8" w:rsidP="00422306">
            <w:pPr>
              <w:spacing w:before="40" w:after="80"/>
              <w:rPr>
                <w:rFonts w:ascii="Arial Narrow" w:hAnsi="Arial Narrow"/>
              </w:rPr>
            </w:pPr>
            <w:r w:rsidRPr="008B2F8A">
              <w:rPr>
                <w:rFonts w:ascii="Arial Narrow" w:hAnsi="Arial Narrow"/>
              </w:rPr>
              <w:t>NA</w:t>
            </w:r>
          </w:p>
        </w:tc>
      </w:tr>
      <w:tr w:rsidR="00E47AB8" w:rsidRPr="008B2F8A" w14:paraId="7C794FC6" w14:textId="77777777" w:rsidTr="00E665DB">
        <w:tc>
          <w:tcPr>
            <w:tcW w:w="4146" w:type="dxa"/>
          </w:tcPr>
          <w:p w14:paraId="67E63814" w14:textId="77777777" w:rsidR="00E47AB8" w:rsidRPr="008B2F8A" w:rsidRDefault="00E47AB8" w:rsidP="00422306">
            <w:pPr>
              <w:spacing w:before="40" w:after="80"/>
              <w:rPr>
                <w:rFonts w:ascii="Arial Narrow" w:hAnsi="Arial Narrow"/>
              </w:rPr>
            </w:pPr>
            <w:r w:rsidRPr="008B2F8A">
              <w:rPr>
                <w:rFonts w:ascii="Arial Narrow" w:hAnsi="Arial Narrow"/>
              </w:rPr>
              <w:t>Summary of main results clear and appropriate?</w:t>
            </w:r>
          </w:p>
        </w:tc>
        <w:tc>
          <w:tcPr>
            <w:tcW w:w="0" w:type="auto"/>
          </w:tcPr>
          <w:p w14:paraId="06025393" w14:textId="77777777" w:rsidR="00E47AB8" w:rsidRPr="00E665DB" w:rsidRDefault="00E47AB8" w:rsidP="00E665DB">
            <w:pPr>
              <w:spacing w:before="40" w:after="80"/>
              <w:rPr>
                <w:rFonts w:ascii="Arial Narrow" w:hAnsi="Arial Narrow"/>
                <w:sz w:val="20"/>
                <w:szCs w:val="20"/>
              </w:rPr>
            </w:pPr>
            <w:r w:rsidRPr="008B2F8A">
              <w:rPr>
                <w:rFonts w:ascii="Arial Narrow" w:hAnsi="Arial Narrow"/>
              </w:rPr>
              <w:t>Yes</w:t>
            </w:r>
          </w:p>
        </w:tc>
        <w:tc>
          <w:tcPr>
            <w:tcW w:w="1900" w:type="dxa"/>
          </w:tcPr>
          <w:p w14:paraId="224CEEFE" w14:textId="77777777" w:rsidR="00E47AB8" w:rsidRPr="00E665DB" w:rsidRDefault="00E47AB8" w:rsidP="00E665DB">
            <w:pPr>
              <w:spacing w:before="40" w:after="80"/>
              <w:rPr>
                <w:rFonts w:ascii="Arial Narrow" w:hAnsi="Arial Narrow"/>
                <w:sz w:val="20"/>
                <w:szCs w:val="20"/>
              </w:rPr>
            </w:pPr>
            <w:r w:rsidRPr="008B2F8A">
              <w:rPr>
                <w:rFonts w:ascii="Arial Narrow" w:hAnsi="Arial Narrow"/>
              </w:rPr>
              <w:t>Yes</w:t>
            </w:r>
          </w:p>
        </w:tc>
      </w:tr>
      <w:tr w:rsidR="00E47AB8" w:rsidRPr="008B2F8A" w14:paraId="3A400AEF" w14:textId="77777777" w:rsidTr="00E665DB">
        <w:tc>
          <w:tcPr>
            <w:tcW w:w="4146" w:type="dxa"/>
          </w:tcPr>
          <w:p w14:paraId="54F66666"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Applicability</w:t>
            </w:r>
          </w:p>
        </w:tc>
        <w:tc>
          <w:tcPr>
            <w:tcW w:w="0" w:type="auto"/>
          </w:tcPr>
          <w:p w14:paraId="0BC3407B" w14:textId="77777777" w:rsidR="00E47AB8" w:rsidRPr="00E665DB" w:rsidRDefault="00E47AB8" w:rsidP="00E665DB">
            <w:pPr>
              <w:spacing w:before="40" w:after="80"/>
              <w:rPr>
                <w:rFonts w:ascii="Arial Narrow" w:hAnsi="Arial Narrow"/>
                <w:sz w:val="20"/>
                <w:szCs w:val="20"/>
              </w:rPr>
            </w:pPr>
            <w:r w:rsidRPr="008B2F8A">
              <w:rPr>
                <w:rFonts w:ascii="Arial Narrow" w:hAnsi="Arial Narrow"/>
              </w:rPr>
              <w:t>Moderate</w:t>
            </w:r>
          </w:p>
        </w:tc>
        <w:tc>
          <w:tcPr>
            <w:tcW w:w="1900" w:type="dxa"/>
          </w:tcPr>
          <w:p w14:paraId="5C8D77F6" w14:textId="77777777" w:rsidR="00E47AB8" w:rsidRPr="00E665DB" w:rsidRDefault="00E47AB8" w:rsidP="00E665DB">
            <w:pPr>
              <w:spacing w:before="40" w:after="80"/>
              <w:rPr>
                <w:rFonts w:ascii="Arial Narrow" w:hAnsi="Arial Narrow"/>
                <w:sz w:val="20"/>
                <w:szCs w:val="20"/>
              </w:rPr>
            </w:pPr>
            <w:r w:rsidRPr="008B2F8A">
              <w:rPr>
                <w:rFonts w:ascii="Arial Narrow" w:hAnsi="Arial Narrow"/>
              </w:rPr>
              <w:t>High</w:t>
            </w:r>
          </w:p>
        </w:tc>
      </w:tr>
    </w:tbl>
    <w:p w14:paraId="2D2A5968" w14:textId="632111BC" w:rsidR="00E47AB8" w:rsidRPr="008B2F8A" w:rsidRDefault="00E47AB8" w:rsidP="00E665DB">
      <w:pPr>
        <w:spacing w:before="240"/>
      </w:pPr>
      <w:r w:rsidRPr="008B2F8A">
        <w:t>Of the two included primary studies (</w:t>
      </w:r>
      <w:bookmarkStart w:id="595" w:name="OLE_LINK724"/>
      <w:bookmarkStart w:id="596" w:name="OLE_LINK725"/>
      <w:r w:rsidRPr="008B2F8A">
        <w:rPr>
          <w:noProof/>
        </w:rPr>
        <w:t>Berg et al, 2012; Viehweg et al, 2004</w:t>
      </w:r>
      <w:bookmarkEnd w:id="595"/>
      <w:bookmarkEnd w:id="596"/>
      <w:r w:rsidRPr="008B2F8A">
        <w:rPr>
          <w:noProof/>
        </w:rPr>
        <w:t>)</w:t>
      </w:r>
      <w:r>
        <w:rPr>
          <w:noProof/>
        </w:rPr>
        <w:t>,</w:t>
      </w:r>
      <w:r w:rsidRPr="008B2F8A">
        <w:t xml:space="preserve"> one used a prospective design </w:t>
      </w:r>
      <w:r w:rsidRPr="008B2F8A">
        <w:rPr>
          <w:noProof/>
        </w:rPr>
        <w:t>(</w:t>
      </w:r>
      <w:bookmarkStart w:id="597" w:name="OLE_LINK726"/>
      <w:bookmarkStart w:id="598" w:name="OLE_LINK727"/>
      <w:r w:rsidRPr="008B2F8A">
        <w:rPr>
          <w:noProof/>
        </w:rPr>
        <w:t>Berg et al, 2012</w:t>
      </w:r>
      <w:bookmarkEnd w:id="597"/>
      <w:bookmarkEnd w:id="598"/>
      <w:r w:rsidRPr="008B2F8A">
        <w:rPr>
          <w:noProof/>
        </w:rPr>
        <w:t>)</w:t>
      </w:r>
      <w:r w:rsidRPr="008B2F8A">
        <w:t>, but it was unclear whether a consecutive sample of patient</w:t>
      </w:r>
      <w:r>
        <w:t>s</w:t>
      </w:r>
      <w:r w:rsidRPr="008B2F8A">
        <w:t xml:space="preserve"> was tested</w:t>
      </w:r>
      <w:r>
        <w:t>.</w:t>
      </w:r>
      <w:r w:rsidRPr="008B2F8A">
        <w:t xml:space="preserve"> The other was a retrospective study</w:t>
      </w:r>
      <w:r>
        <w:t>,</w:t>
      </w:r>
      <w:r w:rsidRPr="008B2F8A">
        <w:t xml:space="preserve"> which therefore had a high risk of bias owing to patient selection </w:t>
      </w:r>
      <w:r w:rsidRPr="008B2F8A">
        <w:rPr>
          <w:noProof/>
        </w:rPr>
        <w:t>(</w:t>
      </w:r>
      <w:bookmarkStart w:id="599" w:name="OLE_LINK728"/>
      <w:bookmarkStart w:id="600" w:name="OLE_LINK729"/>
      <w:r w:rsidRPr="008B2F8A">
        <w:rPr>
          <w:noProof/>
        </w:rPr>
        <w:t>Viehweg et al, 2004</w:t>
      </w:r>
      <w:bookmarkEnd w:id="599"/>
      <w:bookmarkEnd w:id="600"/>
      <w:r w:rsidRPr="008B2F8A">
        <w:rPr>
          <w:noProof/>
        </w:rPr>
        <w:t>)</w:t>
      </w:r>
      <w:r w:rsidRPr="008B2F8A">
        <w:t>.</w:t>
      </w:r>
    </w:p>
    <w:p w14:paraId="4CB4C18C" w14:textId="01D2E42E" w:rsidR="00E47AB8" w:rsidRPr="008B2F8A" w:rsidRDefault="00E47AB8" w:rsidP="00422306">
      <w:r w:rsidRPr="008B2F8A">
        <w:t>Both studies had the same high risks of bias associated with the reference standard as described for the diagnostic accuracy studies assessed for the existing interim item. Neither study reported whether interval cancers</w:t>
      </w:r>
      <w:r>
        <w:t>,</w:t>
      </w:r>
      <w:r w:rsidRPr="008B2F8A">
        <w:t xml:space="preserve"> which were identified as false-positives</w:t>
      </w:r>
      <w:r>
        <w:t>,</w:t>
      </w:r>
      <w:r w:rsidRPr="008B2F8A">
        <w:t xml:space="preserve"> were assessed on the basis of a review of films.</w:t>
      </w:r>
    </w:p>
    <w:p w14:paraId="4D71FEBC" w14:textId="260333A9" w:rsidR="00E47AB8" w:rsidRPr="008B2F8A" w:rsidRDefault="00E47AB8" w:rsidP="00422306">
      <w:r w:rsidRPr="008B2F8A">
        <w:t xml:space="preserve">In the </w:t>
      </w:r>
      <w:bookmarkStart w:id="601" w:name="OLE_LINK730"/>
      <w:bookmarkStart w:id="602" w:name="OLE_LINK731"/>
      <w:r w:rsidRPr="008B2F8A">
        <w:t xml:space="preserve">Berg </w:t>
      </w:r>
      <w:r>
        <w:t xml:space="preserve">et al </w:t>
      </w:r>
      <w:r w:rsidRPr="008B2F8A">
        <w:rPr>
          <w:noProof/>
        </w:rPr>
        <w:t>(2012</w:t>
      </w:r>
      <w:bookmarkEnd w:id="601"/>
      <w:bookmarkEnd w:id="602"/>
      <w:r w:rsidRPr="008B2F8A">
        <w:rPr>
          <w:noProof/>
        </w:rPr>
        <w:t>)</w:t>
      </w:r>
      <w:r w:rsidRPr="004F6674">
        <w:t xml:space="preserve"> </w:t>
      </w:r>
      <w:r w:rsidRPr="008B2F8A">
        <w:t>study, patients underwent three rounds of mammogram and ultrasound screenings (12 months apart); only women who completed all three rounds of screening were eligible to undergo MRI screening. Only 58% of women eligible for MRI screening accepted it</w:t>
      </w:r>
      <w:r>
        <w:t>,</w:t>
      </w:r>
      <w:r w:rsidRPr="008B2F8A">
        <w:t xml:space="preserve"> and these women had </w:t>
      </w:r>
      <w:r>
        <w:t xml:space="preserve">a </w:t>
      </w:r>
      <w:r w:rsidRPr="008B2F8A">
        <w:t>higher risk and were younger than those who declined; 612 (of 2</w:t>
      </w:r>
      <w:r>
        <w:t>,</w:t>
      </w:r>
      <w:r w:rsidRPr="008B2F8A">
        <w:t xml:space="preserve">809 initially enrolled women) were included in the MRI analysis. </w:t>
      </w:r>
      <w:r>
        <w:t xml:space="preserve">In addition, </w:t>
      </w:r>
      <w:r w:rsidRPr="008B2F8A">
        <w:t>13% of patients registered for the were not included in the analysis</w:t>
      </w:r>
      <w:r>
        <w:t>.</w:t>
      </w:r>
      <w:r w:rsidRPr="008B2F8A">
        <w:t xml:space="preserve"> The reasons included withdrawal of consent, failure to undergo MRI and unreadable MRI.</w:t>
      </w:r>
    </w:p>
    <w:p w14:paraId="29465B33" w14:textId="545B28C5" w:rsidR="00E47AB8" w:rsidRPr="008B2F8A" w:rsidRDefault="00E47AB8" w:rsidP="00422306">
      <w:bookmarkStart w:id="603" w:name="OLE_LINK732"/>
      <w:bookmarkStart w:id="604" w:name="OLE_LINK733"/>
      <w:r>
        <w:t>Viehweg et al (2004</w:t>
      </w:r>
      <w:bookmarkEnd w:id="603"/>
      <w:bookmarkEnd w:id="604"/>
      <w:r>
        <w:t>)</w:t>
      </w:r>
      <w:r w:rsidRPr="008B2F8A">
        <w:t xml:space="preserve"> did not report the interval between index tests.</w:t>
      </w:r>
    </w:p>
    <w:p w14:paraId="0B257265" w14:textId="545EF87A" w:rsidR="00E47AB8" w:rsidRPr="008B2F8A" w:rsidRDefault="00E47AB8" w:rsidP="00422306">
      <w:r w:rsidRPr="008B2F8A">
        <w:t xml:space="preserve">Applicability is discussed in greater detail in Section </w:t>
      </w:r>
      <w:r>
        <w:fldChar w:fldCharType="begin"/>
      </w:r>
      <w:r>
        <w:instrText xml:space="preserve"> REF _Ref368231227 \r \h </w:instrText>
      </w:r>
      <w:r>
        <w:fldChar w:fldCharType="separate"/>
      </w:r>
      <w:r w:rsidR="00B81273">
        <w:t>B.5</w:t>
      </w:r>
      <w:r>
        <w:fldChar w:fldCharType="end"/>
      </w:r>
      <w:r w:rsidRPr="008B2F8A">
        <w:t xml:space="preserve">. However, the applicability of </w:t>
      </w:r>
      <w:r w:rsidRPr="00A57EE1">
        <w:t>Berg</w:t>
      </w:r>
      <w:r w:rsidRPr="008B2F8A">
        <w:t xml:space="preserve"> </w:t>
      </w:r>
      <w:r>
        <w:t xml:space="preserve">et al (2012) </w:t>
      </w:r>
      <w:r w:rsidRPr="008B2F8A">
        <w:t xml:space="preserve">was limited because it was a mixed high-risk population which included patients with a personal history of cancer, as well as </w:t>
      </w:r>
      <w:r w:rsidRPr="008B2F8A">
        <w:rPr>
          <w:i/>
        </w:rPr>
        <w:t>BRCA1</w:t>
      </w:r>
      <w:r w:rsidRPr="008B2F8A">
        <w:t>/</w:t>
      </w:r>
      <w:r w:rsidRPr="008B2F8A">
        <w:rPr>
          <w:i/>
        </w:rPr>
        <w:t>2</w:t>
      </w:r>
      <w:r w:rsidRPr="008B2F8A">
        <w:t xml:space="preserve"> mutations, a history of chest irradiation and those at familial risk. Of those in the MRI sub-study, 44.9% had a personal history of breast cancer</w:t>
      </w:r>
      <w:r>
        <w:t>,</w:t>
      </w:r>
      <w:r w:rsidRPr="008B2F8A">
        <w:t xml:space="preserve"> and diagnostic accuracy was presented separately for this subgroup. Both studies included women aged </w:t>
      </w:r>
      <w:r>
        <w:t>&gt;</w:t>
      </w:r>
      <w:r w:rsidRPr="008B2F8A">
        <w:t>50 years (and &gt;65 years</w:t>
      </w:r>
      <w:r>
        <w:t>,</w:t>
      </w:r>
      <w:r w:rsidRPr="008B2F8A">
        <w:t xml:space="preserve"> which is the cut</w:t>
      </w:r>
      <w:r>
        <w:t>-</w:t>
      </w:r>
      <w:r w:rsidRPr="008B2F8A">
        <w:t>off used for inclusion for the interim item indication)</w:t>
      </w:r>
      <w:r>
        <w:t>,</w:t>
      </w:r>
      <w:r w:rsidRPr="008B2F8A">
        <w:t xml:space="preserve"> also limit</w:t>
      </w:r>
      <w:r>
        <w:t>ing</w:t>
      </w:r>
      <w:r w:rsidRPr="008B2F8A">
        <w:t xml:space="preserve"> patient applicability. Twenty-four per cent of patients in </w:t>
      </w:r>
      <w:r>
        <w:t>Viehweg et al (2004)</w:t>
      </w:r>
      <w:r w:rsidRPr="008B2F8A">
        <w:t xml:space="preserve"> were referred for MRI on the basis of suspicion of disease.</w:t>
      </w:r>
    </w:p>
    <w:p w14:paraId="36A24F61" w14:textId="318AD18B" w:rsidR="00E47AB8" w:rsidRPr="008B2F8A" w:rsidRDefault="00E47AB8" w:rsidP="00422306">
      <w:r w:rsidRPr="008B2F8A">
        <w:t xml:space="preserve">Quality was assessed using the QUADAS-2 tool </w:t>
      </w:r>
      <w:r w:rsidRPr="008B2F8A">
        <w:rPr>
          <w:noProof/>
        </w:rPr>
        <w:t>(</w:t>
      </w:r>
      <w:bookmarkStart w:id="605" w:name="OLE_LINK734"/>
      <w:r w:rsidRPr="008B2F8A">
        <w:rPr>
          <w:noProof/>
        </w:rPr>
        <w:t>Whiting et al, 2011</w:t>
      </w:r>
      <w:bookmarkEnd w:id="605"/>
      <w:r w:rsidRPr="008B2F8A">
        <w:rPr>
          <w:noProof/>
        </w:rPr>
        <w:t>)</w:t>
      </w:r>
      <w:r w:rsidRPr="008B2F8A">
        <w:t xml:space="preserve"> </w:t>
      </w:r>
      <w:r>
        <w:t>(</w:t>
      </w:r>
      <w:r w:rsidRPr="008B2F8A">
        <w:fldChar w:fldCharType="begin"/>
      </w:r>
      <w:r w:rsidRPr="008B2F8A">
        <w:instrText xml:space="preserve"> REF _Ref368654012 \h  \* MERGEFORMAT </w:instrText>
      </w:r>
      <w:r w:rsidRPr="008B2F8A">
        <w:fldChar w:fldCharType="separate"/>
      </w:r>
      <w:r w:rsidR="00B81273" w:rsidRPr="008B2F8A">
        <w:t xml:space="preserve">Table </w:t>
      </w:r>
      <w:r w:rsidR="00B81273">
        <w:rPr>
          <w:noProof/>
        </w:rPr>
        <w:t>B</w:t>
      </w:r>
      <w:r w:rsidR="00B81273" w:rsidRPr="008B2F8A">
        <w:rPr>
          <w:noProof/>
        </w:rPr>
        <w:t>.</w:t>
      </w:r>
      <w:r w:rsidR="00B81273">
        <w:rPr>
          <w:noProof/>
        </w:rPr>
        <w:t>11</w:t>
      </w:r>
      <w:r w:rsidRPr="008B2F8A">
        <w:fldChar w:fldCharType="end"/>
      </w:r>
      <w:r>
        <w:t>)</w:t>
      </w:r>
      <w:r w:rsidRPr="008B2F8A">
        <w:t>.</w:t>
      </w:r>
    </w:p>
    <w:p w14:paraId="0BCC090B" w14:textId="5B8D2606" w:rsidR="00E47AB8" w:rsidRPr="008B2F8A" w:rsidRDefault="00E47AB8" w:rsidP="00422306">
      <w:pPr>
        <w:pStyle w:val="Caption"/>
      </w:pPr>
      <w:bookmarkStart w:id="606" w:name="_Ref368654012"/>
      <w:bookmarkStart w:id="607" w:name="_Toc383424577"/>
      <w:r w:rsidRPr="008B2F8A">
        <w:lastRenderedPageBreak/>
        <w:t xml:space="preserve">Table </w:t>
      </w:r>
      <w:fldSimple w:instr=" STYLEREF 1 \s ">
        <w:r w:rsidR="00B81273">
          <w:rPr>
            <w:noProof/>
          </w:rPr>
          <w:t>B</w:t>
        </w:r>
      </w:fldSimple>
      <w:r w:rsidRPr="008B2F8A">
        <w:t>.</w:t>
      </w:r>
      <w:fldSimple w:instr=" SEQ Table \* ARABIC \s 1 ">
        <w:r w:rsidR="00B81273">
          <w:rPr>
            <w:noProof/>
          </w:rPr>
          <w:t>11</w:t>
        </w:r>
      </w:fldSimple>
      <w:bookmarkEnd w:id="606"/>
      <w:r w:rsidRPr="008B2F8A">
        <w:tab/>
      </w:r>
      <w:bookmarkStart w:id="608" w:name="OLE_LINK1001"/>
      <w:bookmarkStart w:id="609" w:name="OLE_LINK1002"/>
      <w:r w:rsidRPr="008B2F8A">
        <w:t>Quality assessment of included primary accuracy studies</w:t>
      </w:r>
      <w:bookmarkEnd w:id="608"/>
      <w:bookmarkEnd w:id="609"/>
      <w:r w:rsidR="00E0615B">
        <w:t>: women with a history of treatment for invasive breast cancer</w:t>
      </w:r>
      <w:r>
        <w:t>.</w:t>
      </w:r>
      <w:bookmarkEnd w:id="607"/>
    </w:p>
    <w:p w14:paraId="2D83A571" w14:textId="77777777" w:rsidR="00E47AB8" w:rsidRPr="008B2F8A" w:rsidRDefault="00E47AB8" w:rsidP="00E0615B">
      <w:pPr>
        <w:jc w:val="center"/>
      </w:pPr>
      <w:r w:rsidRPr="008B2F8A">
        <w:rPr>
          <w:noProof/>
          <w:lang w:eastAsia="en-AU"/>
        </w:rPr>
        <w:drawing>
          <wp:inline distT="0" distB="0" distL="0" distR="0" wp14:anchorId="43929A57" wp14:editId="6A37DD03">
            <wp:extent cx="4257040" cy="2255520"/>
            <wp:effectExtent l="0" t="0" r="10160" b="5080"/>
            <wp:docPr id="12" name="Picture 12" descr="Colour-coded table of criteria along the top and studies down the side" title="Quality assessment of included primary accuracy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ological quality summary.png"/>
                    <pic:cNvPicPr/>
                  </pic:nvPicPr>
                  <pic:blipFill rotWithShape="1">
                    <a:blip r:embed="rId34">
                      <a:extLst>
                        <a:ext uri="{28A0092B-C50C-407E-A947-70E740481C1C}">
                          <a14:useLocalDpi xmlns:a14="http://schemas.microsoft.com/office/drawing/2010/main" val="0"/>
                        </a:ext>
                      </a:extLst>
                    </a:blip>
                    <a:srcRect l="1624" t="4056" r="1217" b="5906"/>
                    <a:stretch/>
                  </pic:blipFill>
                  <pic:spPr bwMode="auto">
                    <a:xfrm>
                      <a:off x="0" y="0"/>
                      <a:ext cx="4257040" cy="2255520"/>
                    </a:xfrm>
                    <a:prstGeom prst="rect">
                      <a:avLst/>
                    </a:prstGeom>
                    <a:ln>
                      <a:noFill/>
                    </a:ln>
                    <a:extLst>
                      <a:ext uri="{53640926-AAD7-44D8-BBD7-CCE9431645EC}">
                        <a14:shadowObscured xmlns:a14="http://schemas.microsoft.com/office/drawing/2010/main"/>
                      </a:ext>
                    </a:extLst>
                  </pic:spPr>
                </pic:pic>
              </a:graphicData>
            </a:graphic>
          </wp:inline>
        </w:drawing>
      </w:r>
    </w:p>
    <w:p w14:paraId="6706C6B5" w14:textId="77777777" w:rsidR="00E47AB8" w:rsidRPr="008B2F8A" w:rsidRDefault="00E47AB8" w:rsidP="00422306">
      <w:pPr>
        <w:pStyle w:val="Heading4"/>
      </w:pPr>
      <w:r w:rsidRPr="008B2F8A">
        <w:t>Women with a history of treatment for DCIS or LCIS</w:t>
      </w:r>
    </w:p>
    <w:p w14:paraId="0A01FED3" w14:textId="432F5498" w:rsidR="00E47AB8" w:rsidRPr="008B2F8A" w:rsidRDefault="00E47AB8" w:rsidP="00422306">
      <w:r w:rsidRPr="008B2F8A">
        <w:t xml:space="preserve">The one primary study of women with a history of treatment for DCIS or LCIS was a retrospective diagnostic accuracy study </w:t>
      </w:r>
      <w:r w:rsidRPr="008B2F8A">
        <w:rPr>
          <w:noProof/>
        </w:rPr>
        <w:t>(Sung et al, 2011b)</w:t>
      </w:r>
      <w:r w:rsidRPr="008B2F8A">
        <w:t>. Owing to the design</w:t>
      </w:r>
      <w:r>
        <w:t>,</w:t>
      </w:r>
      <w:r w:rsidRPr="008B2F8A">
        <w:t xml:space="preserve"> the study had a high risk of bias in the selection of patients and an unclear risk of bias related to flow and timing. Similar to the other included diagnostic accuracy studies, there was also a high risk of bias in application of the reference standard.</w:t>
      </w:r>
    </w:p>
    <w:p w14:paraId="09999BCE" w14:textId="3E7816F1" w:rsidR="00E47AB8" w:rsidRPr="008B2F8A" w:rsidRDefault="00E47AB8" w:rsidP="00422306">
      <w:r w:rsidRPr="008B2F8A">
        <w:t xml:space="preserve">The applicability </w:t>
      </w:r>
      <w:r>
        <w:t xml:space="preserve">of the </w:t>
      </w:r>
      <w:r w:rsidRPr="008B2F8A">
        <w:t xml:space="preserve">patient population was </w:t>
      </w:r>
      <w:r>
        <w:t>problematic,</w:t>
      </w:r>
      <w:r w:rsidRPr="008B2F8A">
        <w:t xml:space="preserve"> as it included women aged 27</w:t>
      </w:r>
      <w:r>
        <w:t xml:space="preserve"> to </w:t>
      </w:r>
      <w:r w:rsidRPr="008B2F8A">
        <w:t>78</w:t>
      </w:r>
      <w:r>
        <w:t xml:space="preserve"> years,</w:t>
      </w:r>
      <w:r w:rsidRPr="008B2F8A">
        <w:t xml:space="preserve"> with a median age of 51 </w:t>
      </w:r>
      <w:r>
        <w:t xml:space="preserve">years </w:t>
      </w:r>
      <w:r w:rsidRPr="008B2F8A">
        <w:t xml:space="preserve">(see </w:t>
      </w:r>
      <w:r w:rsidRPr="008B2F8A">
        <w:fldChar w:fldCharType="begin"/>
      </w:r>
      <w:r w:rsidRPr="008B2F8A">
        <w:instrText xml:space="preserve"> REF _Ref368486517 \h </w:instrText>
      </w:r>
      <w:r w:rsidRPr="008B2F8A">
        <w:fldChar w:fldCharType="separate"/>
      </w:r>
      <w:r w:rsidR="00B81273" w:rsidRPr="008B2F8A">
        <w:t xml:space="preserve">Table </w:t>
      </w:r>
      <w:r w:rsidR="00B81273">
        <w:rPr>
          <w:noProof/>
        </w:rPr>
        <w:t>B</w:t>
      </w:r>
      <w:r w:rsidR="00B81273" w:rsidRPr="008B2F8A">
        <w:t>.</w:t>
      </w:r>
      <w:r w:rsidR="00B81273">
        <w:rPr>
          <w:noProof/>
        </w:rPr>
        <w:t>20</w:t>
      </w:r>
      <w:r w:rsidRPr="008B2F8A">
        <w:fldChar w:fldCharType="end"/>
      </w:r>
      <w:r w:rsidRPr="008B2F8A">
        <w:t xml:space="preserve">), which differs </w:t>
      </w:r>
      <w:r>
        <w:t>from</w:t>
      </w:r>
      <w:r w:rsidRPr="008B2F8A">
        <w:t xml:space="preserve"> the age of the population being considered in this assessment. A summary of the quality assessment using the QUADAS-2 tool </w:t>
      </w:r>
      <w:r w:rsidRPr="008B2F8A">
        <w:rPr>
          <w:noProof/>
        </w:rPr>
        <w:t>(</w:t>
      </w:r>
      <w:bookmarkStart w:id="610" w:name="OLE_LINK735"/>
      <w:bookmarkStart w:id="611" w:name="OLE_LINK736"/>
      <w:r w:rsidRPr="008B2F8A">
        <w:rPr>
          <w:noProof/>
        </w:rPr>
        <w:t>Whiting et al, 2011</w:t>
      </w:r>
      <w:bookmarkEnd w:id="610"/>
      <w:bookmarkEnd w:id="611"/>
      <w:r w:rsidRPr="008B2F8A">
        <w:rPr>
          <w:noProof/>
        </w:rPr>
        <w:t>)</w:t>
      </w:r>
      <w:r w:rsidRPr="008B2F8A">
        <w:t xml:space="preserve"> is presented in </w:t>
      </w:r>
      <w:r w:rsidRPr="008B2F8A">
        <w:fldChar w:fldCharType="begin"/>
      </w:r>
      <w:r w:rsidRPr="008B2F8A">
        <w:instrText xml:space="preserve"> REF _Ref368485078 \h </w:instrText>
      </w:r>
      <w:r w:rsidRPr="008B2F8A">
        <w:fldChar w:fldCharType="separate"/>
      </w:r>
      <w:r w:rsidR="00B81273" w:rsidRPr="008B2F8A">
        <w:t xml:space="preserve">Table </w:t>
      </w:r>
      <w:r w:rsidR="00B81273">
        <w:rPr>
          <w:noProof/>
        </w:rPr>
        <w:t>B</w:t>
      </w:r>
      <w:r w:rsidR="00B81273" w:rsidRPr="008B2F8A">
        <w:t>.</w:t>
      </w:r>
      <w:r w:rsidR="00B81273">
        <w:rPr>
          <w:noProof/>
        </w:rPr>
        <w:t>12</w:t>
      </w:r>
      <w:r w:rsidRPr="008B2F8A">
        <w:fldChar w:fldCharType="end"/>
      </w:r>
      <w:r w:rsidRPr="008B2F8A">
        <w:t>.</w:t>
      </w:r>
    </w:p>
    <w:p w14:paraId="64FAD552" w14:textId="77777777" w:rsidR="00E47AB8" w:rsidRPr="008B2F8A" w:rsidRDefault="00E47AB8" w:rsidP="00422306">
      <w:pPr>
        <w:pStyle w:val="Caption"/>
        <w:ind w:left="1440" w:hanging="1440"/>
      </w:pPr>
      <w:bookmarkStart w:id="612" w:name="_Ref368485078"/>
      <w:bookmarkStart w:id="613" w:name="_Toc383424578"/>
      <w:r w:rsidRPr="008B2F8A">
        <w:t xml:space="preserve">Table </w:t>
      </w:r>
      <w:fldSimple w:instr=" STYLEREF 1 \s ">
        <w:r w:rsidR="00B81273">
          <w:rPr>
            <w:noProof/>
          </w:rPr>
          <w:t>B</w:t>
        </w:r>
      </w:fldSimple>
      <w:r w:rsidRPr="008B2F8A">
        <w:t>.</w:t>
      </w:r>
      <w:fldSimple w:instr=" SEQ Table \* ARABIC \s 1 ">
        <w:r w:rsidR="00B81273">
          <w:rPr>
            <w:noProof/>
          </w:rPr>
          <w:t>12</w:t>
        </w:r>
      </w:fldSimple>
      <w:bookmarkEnd w:id="612"/>
      <w:r w:rsidRPr="008B2F8A">
        <w:tab/>
      </w:r>
      <w:bookmarkStart w:id="614" w:name="OLE_LINK1003"/>
      <w:bookmarkStart w:id="615" w:name="OLE_LINK1004"/>
      <w:r w:rsidRPr="008B2F8A">
        <w:t>Quality assessment of included primary diagnostic accuracy study: women with a history of treatment for DCIS or LCIS</w:t>
      </w:r>
      <w:bookmarkEnd w:id="614"/>
      <w:bookmarkEnd w:id="615"/>
      <w:r w:rsidRPr="008B2F8A">
        <w:t>.</w:t>
      </w:r>
      <w:bookmarkEnd w:id="613"/>
    </w:p>
    <w:p w14:paraId="05D6A06E" w14:textId="77777777" w:rsidR="00E47AB8" w:rsidRPr="008B2F8A" w:rsidRDefault="00E47AB8" w:rsidP="00E0615B">
      <w:pPr>
        <w:spacing w:after="0"/>
        <w:jc w:val="center"/>
      </w:pPr>
      <w:r w:rsidRPr="008B2F8A">
        <w:rPr>
          <w:noProof/>
          <w:lang w:eastAsia="en-AU"/>
        </w:rPr>
        <w:drawing>
          <wp:inline distT="0" distB="0" distL="0" distR="0" wp14:anchorId="7C269B05" wp14:editId="70161456">
            <wp:extent cx="4257040" cy="2052320"/>
            <wp:effectExtent l="0" t="0" r="10160" b="5080"/>
            <wp:docPr id="1" name="Picture 1" descr="Colour-coded table of criteria along the top and studies down the side" title="Quality assessment of included primary diagnostic accuracy study: women with a history of treatment for DCIS or L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ological quality summary.png"/>
                    <pic:cNvPicPr/>
                  </pic:nvPicPr>
                  <pic:blipFill rotWithShape="1">
                    <a:blip r:embed="rId35">
                      <a:extLst>
                        <a:ext uri="{28A0092B-C50C-407E-A947-70E740481C1C}">
                          <a14:useLocalDpi xmlns:a14="http://schemas.microsoft.com/office/drawing/2010/main" val="0"/>
                        </a:ext>
                      </a:extLst>
                    </a:blip>
                    <a:srcRect l="1391" t="3663" r="1450" b="3863"/>
                    <a:stretch/>
                  </pic:blipFill>
                  <pic:spPr bwMode="auto">
                    <a:xfrm>
                      <a:off x="0" y="0"/>
                      <a:ext cx="4257040" cy="2052320"/>
                    </a:xfrm>
                    <a:prstGeom prst="rect">
                      <a:avLst/>
                    </a:prstGeom>
                    <a:ln>
                      <a:noFill/>
                    </a:ln>
                    <a:extLst>
                      <a:ext uri="{53640926-AAD7-44D8-BBD7-CCE9431645EC}">
                        <a14:shadowObscured xmlns:a14="http://schemas.microsoft.com/office/drawing/2010/main"/>
                      </a:ext>
                    </a:extLst>
                  </pic:spPr>
                </pic:pic>
              </a:graphicData>
            </a:graphic>
          </wp:inline>
        </w:drawing>
      </w:r>
    </w:p>
    <w:p w14:paraId="15D5562F" w14:textId="77777777" w:rsidR="00E47AB8" w:rsidRPr="008B2F8A" w:rsidRDefault="00E47AB8" w:rsidP="00E0615B">
      <w:pPr>
        <w:pStyle w:val="TableNotesLast"/>
      </w:pPr>
      <w:r w:rsidRPr="008B2F8A">
        <w:t>DCIS = ductal carcinoma in situ; LCIS = lobular carcinoma in situ.</w:t>
      </w:r>
    </w:p>
    <w:p w14:paraId="345801B9" w14:textId="70881E11" w:rsidR="00E47AB8" w:rsidRPr="008B2F8A" w:rsidRDefault="00E47AB8" w:rsidP="00422306">
      <w:pPr>
        <w:pStyle w:val="Heading4"/>
      </w:pPr>
      <w:r w:rsidRPr="008B2F8A">
        <w:t>Women who have had chest irradiation between the ages of 10 and 35 years</w:t>
      </w:r>
    </w:p>
    <w:p w14:paraId="2F46D5F9" w14:textId="5B3FEA09" w:rsidR="00E47AB8" w:rsidRPr="008B2F8A" w:rsidRDefault="00E47AB8" w:rsidP="00422306">
      <w:r w:rsidRPr="008B2F8A">
        <w:t xml:space="preserve">One primary study of women who have had chest irradiation was prospective but did not report whether a consecutive sample of women </w:t>
      </w:r>
      <w:r>
        <w:t>was</w:t>
      </w:r>
      <w:r w:rsidRPr="008B2F8A">
        <w:t xml:space="preserve"> tested </w:t>
      </w:r>
      <w:r w:rsidRPr="008B2F8A">
        <w:rPr>
          <w:noProof/>
        </w:rPr>
        <w:t>(</w:t>
      </w:r>
      <w:bookmarkStart w:id="616" w:name="OLE_LINK737"/>
      <w:bookmarkStart w:id="617" w:name="OLE_LINK738"/>
      <w:r w:rsidRPr="008B2F8A">
        <w:rPr>
          <w:noProof/>
        </w:rPr>
        <w:t>Ng et al, 2013</w:t>
      </w:r>
      <w:bookmarkEnd w:id="616"/>
      <w:bookmarkEnd w:id="617"/>
      <w:r w:rsidRPr="008B2F8A">
        <w:rPr>
          <w:noProof/>
        </w:rPr>
        <w:t>)</w:t>
      </w:r>
      <w:r w:rsidRPr="008B2F8A">
        <w:t>. The other two included studies were retrospective (</w:t>
      </w:r>
      <w:bookmarkStart w:id="618" w:name="OLE_LINK739"/>
      <w:bookmarkStart w:id="619" w:name="OLE_LINK740"/>
      <w:r w:rsidRPr="008B2F8A">
        <w:rPr>
          <w:noProof/>
        </w:rPr>
        <w:t>Freitas et al, 2013; Sung et al, 2011a</w:t>
      </w:r>
      <w:bookmarkEnd w:id="618"/>
      <w:bookmarkEnd w:id="619"/>
      <w:r w:rsidRPr="008B2F8A">
        <w:rPr>
          <w:noProof/>
        </w:rPr>
        <w:t>)</w:t>
      </w:r>
      <w:r w:rsidRPr="008B2F8A">
        <w:t xml:space="preserve"> and are therefore at high risk of bias regarding patient selection and flow and timing. In all studies, the reference standard had a high risk </w:t>
      </w:r>
      <w:r w:rsidRPr="008B2F8A">
        <w:lastRenderedPageBreak/>
        <w:t>of bias as it was differentially applied on the basis of the index test</w:t>
      </w:r>
      <w:r>
        <w:t>,</w:t>
      </w:r>
      <w:r w:rsidRPr="008B2F8A">
        <w:t xml:space="preserve"> with positive tests </w:t>
      </w:r>
      <w:r>
        <w:t>leading to</w:t>
      </w:r>
      <w:r w:rsidRPr="008B2F8A">
        <w:t xml:space="preserve"> histopathology, indeterminate tests </w:t>
      </w:r>
      <w:r>
        <w:t>leading to</w:t>
      </w:r>
      <w:r w:rsidRPr="008B2F8A">
        <w:t xml:space="preserve"> short-term follow-up and negative tests </w:t>
      </w:r>
      <w:r>
        <w:t>leading to</w:t>
      </w:r>
      <w:r w:rsidRPr="008B2F8A">
        <w:t xml:space="preserve"> regular follow-up.</w:t>
      </w:r>
    </w:p>
    <w:p w14:paraId="4B8B7B09" w14:textId="30576A70" w:rsidR="00E47AB8" w:rsidRPr="008B2F8A" w:rsidRDefault="00E47AB8" w:rsidP="00422306">
      <w:r w:rsidRPr="008B2F8A">
        <w:t xml:space="preserve">The study by </w:t>
      </w:r>
      <w:bookmarkStart w:id="620" w:name="OLE_LINK741"/>
      <w:bookmarkStart w:id="621" w:name="OLE_LINK742"/>
      <w:r>
        <w:t>Freitas et al (2013</w:t>
      </w:r>
      <w:bookmarkEnd w:id="620"/>
      <w:bookmarkEnd w:id="621"/>
      <w:r>
        <w:t>)</w:t>
      </w:r>
      <w:r w:rsidRPr="008B2F8A">
        <w:t xml:space="preserve"> excluded 22 women who had an interval </w:t>
      </w:r>
      <w:r>
        <w:t xml:space="preserve">of </w:t>
      </w:r>
      <w:r w:rsidRPr="008B2F8A">
        <w:t xml:space="preserve">&gt;4 months between MRI and mammography tests, but intervals up to 4 months could still introduce the risk of </w:t>
      </w:r>
      <w:r>
        <w:t xml:space="preserve">development of </w:t>
      </w:r>
      <w:r w:rsidRPr="008B2F8A">
        <w:t xml:space="preserve">new disease between tests. The study by </w:t>
      </w:r>
      <w:bookmarkStart w:id="622" w:name="OLE_LINK743"/>
      <w:bookmarkStart w:id="623" w:name="OLE_LINK744"/>
      <w:bookmarkStart w:id="624" w:name="OLE_LINK944"/>
      <w:r w:rsidRPr="008B2F8A">
        <w:t xml:space="preserve">Sung </w:t>
      </w:r>
      <w:r>
        <w:t xml:space="preserve">et al </w:t>
      </w:r>
      <w:r w:rsidRPr="008B2F8A">
        <w:rPr>
          <w:noProof/>
        </w:rPr>
        <w:t>(2011a</w:t>
      </w:r>
      <w:bookmarkEnd w:id="622"/>
      <w:bookmarkEnd w:id="623"/>
      <w:bookmarkEnd w:id="624"/>
      <w:r w:rsidRPr="008B2F8A">
        <w:rPr>
          <w:noProof/>
        </w:rPr>
        <w:t>)</w:t>
      </w:r>
      <w:r w:rsidRPr="008B2F8A">
        <w:t xml:space="preserve"> included 39 women who had an interval of between 7 and 12 months between MRI and mammography. In contrast, the two screening tests were conducted on the same day in </w:t>
      </w:r>
      <w:bookmarkStart w:id="625" w:name="OLE_LINK745"/>
      <w:bookmarkStart w:id="626" w:name="OLE_LINK746"/>
      <w:r w:rsidRPr="008B2F8A">
        <w:t xml:space="preserve">Ng </w:t>
      </w:r>
      <w:r>
        <w:t xml:space="preserve">et al </w:t>
      </w:r>
      <w:r w:rsidRPr="008B2F8A">
        <w:rPr>
          <w:noProof/>
        </w:rPr>
        <w:t>(2013</w:t>
      </w:r>
      <w:bookmarkEnd w:id="625"/>
      <w:bookmarkEnd w:id="626"/>
      <w:r w:rsidRPr="008B2F8A">
        <w:rPr>
          <w:noProof/>
        </w:rPr>
        <w:t>)</w:t>
      </w:r>
      <w:r w:rsidRPr="008B2F8A">
        <w:t>.</w:t>
      </w:r>
    </w:p>
    <w:p w14:paraId="40FBF058" w14:textId="040AA2A4" w:rsidR="00E47AB8" w:rsidRPr="008B2F8A" w:rsidRDefault="00E47AB8" w:rsidP="00422306">
      <w:r w:rsidRPr="008B2F8A">
        <w:t>All studies were considered broadly applicable</w:t>
      </w:r>
      <w:r>
        <w:t>,</w:t>
      </w:r>
      <w:r w:rsidRPr="008B2F8A">
        <w:t xml:space="preserve"> although </w:t>
      </w:r>
      <w:bookmarkStart w:id="627" w:name="OLE_LINK747"/>
      <w:bookmarkStart w:id="628" w:name="OLE_LINK748"/>
      <w:r>
        <w:t>Freitas et al (2013</w:t>
      </w:r>
      <w:bookmarkEnd w:id="627"/>
      <w:bookmarkEnd w:id="628"/>
      <w:r>
        <w:t>)</w:t>
      </w:r>
      <w:r w:rsidRPr="008B2F8A">
        <w:t xml:space="preserve"> did not report the age of patients at radiotherapy treatment</w:t>
      </w:r>
      <w:r>
        <w:t>,</w:t>
      </w:r>
      <w:r w:rsidRPr="008B2F8A">
        <w:t xml:space="preserve"> and the age range in </w:t>
      </w:r>
      <w:bookmarkStart w:id="629" w:name="OLE_LINK749"/>
      <w:bookmarkStart w:id="630" w:name="OLE_LINK750"/>
      <w:r w:rsidRPr="00EB08D0">
        <w:t xml:space="preserve">Sung </w:t>
      </w:r>
      <w:r w:rsidRPr="00E0615B">
        <w:t xml:space="preserve">et al </w:t>
      </w:r>
      <w:r w:rsidRPr="00EB08D0">
        <w:rPr>
          <w:noProof/>
        </w:rPr>
        <w:t>(2011a</w:t>
      </w:r>
      <w:bookmarkEnd w:id="629"/>
      <w:bookmarkEnd w:id="630"/>
      <w:r w:rsidRPr="008B2F8A">
        <w:rPr>
          <w:noProof/>
        </w:rPr>
        <w:t>)</w:t>
      </w:r>
      <w:r w:rsidRPr="008B2F8A">
        <w:t xml:space="preserve"> was 5 to 54 years</w:t>
      </w:r>
      <w:r>
        <w:t>,</w:t>
      </w:r>
      <w:r w:rsidRPr="008B2F8A">
        <w:t xml:space="preserve"> which is broader than the population being assessed </w:t>
      </w:r>
      <w:r>
        <w:t>(</w:t>
      </w:r>
      <w:r w:rsidRPr="008B2F8A">
        <w:t>women aged 10</w:t>
      </w:r>
      <w:r>
        <w:t>–</w:t>
      </w:r>
      <w:r w:rsidRPr="008B2F8A">
        <w:t>35</w:t>
      </w:r>
      <w:r>
        <w:t>)</w:t>
      </w:r>
      <w:r w:rsidRPr="008B2F8A">
        <w:t xml:space="preserve">; however, the median in </w:t>
      </w:r>
      <w:bookmarkStart w:id="631" w:name="OLE_LINK751"/>
      <w:bookmarkStart w:id="632" w:name="OLE_LINK752"/>
      <w:r w:rsidRPr="008B2F8A">
        <w:t xml:space="preserve">Sung </w:t>
      </w:r>
      <w:r>
        <w:t>et al (2011a</w:t>
      </w:r>
      <w:bookmarkEnd w:id="631"/>
      <w:bookmarkEnd w:id="632"/>
      <w:r>
        <w:t xml:space="preserve">) </w:t>
      </w:r>
      <w:r w:rsidRPr="008B2F8A">
        <w:t>was 24.</w:t>
      </w:r>
    </w:p>
    <w:p w14:paraId="1C404546" w14:textId="19281F56" w:rsidR="00E47AB8" w:rsidRPr="008B2F8A" w:rsidRDefault="00E47AB8" w:rsidP="00422306">
      <w:r w:rsidRPr="008B2F8A">
        <w:t xml:space="preserve">The quality assessment using the QUADAS-2 tool </w:t>
      </w:r>
      <w:r w:rsidRPr="008B2F8A">
        <w:rPr>
          <w:noProof/>
        </w:rPr>
        <w:t>(</w:t>
      </w:r>
      <w:bookmarkStart w:id="633" w:name="OLE_LINK753"/>
      <w:bookmarkStart w:id="634" w:name="OLE_LINK754"/>
      <w:r w:rsidRPr="008B2F8A">
        <w:rPr>
          <w:noProof/>
        </w:rPr>
        <w:t>Whiting et al, 2011</w:t>
      </w:r>
      <w:bookmarkEnd w:id="633"/>
      <w:bookmarkEnd w:id="634"/>
      <w:r w:rsidRPr="008B2F8A">
        <w:rPr>
          <w:noProof/>
        </w:rPr>
        <w:t>)</w:t>
      </w:r>
      <w:r w:rsidRPr="008B2F8A">
        <w:t xml:space="preserve"> is </w:t>
      </w:r>
      <w:r>
        <w:t>summarised</w:t>
      </w:r>
      <w:r w:rsidRPr="008B2F8A">
        <w:t xml:space="preserve"> in </w:t>
      </w:r>
      <w:r w:rsidRPr="008B2F8A">
        <w:fldChar w:fldCharType="begin"/>
      </w:r>
      <w:r w:rsidRPr="008B2F8A">
        <w:instrText xml:space="preserve"> REF _Ref368485667 \h </w:instrText>
      </w:r>
      <w:r w:rsidRPr="008B2F8A">
        <w:fldChar w:fldCharType="separate"/>
      </w:r>
      <w:r w:rsidR="00B81273" w:rsidRPr="008B2F8A">
        <w:t xml:space="preserve">Table </w:t>
      </w:r>
      <w:r w:rsidR="00B81273">
        <w:rPr>
          <w:noProof/>
        </w:rPr>
        <w:t>B</w:t>
      </w:r>
      <w:r w:rsidR="00B81273" w:rsidRPr="008B2F8A">
        <w:t>.</w:t>
      </w:r>
      <w:r w:rsidR="00B81273">
        <w:rPr>
          <w:noProof/>
        </w:rPr>
        <w:t>13</w:t>
      </w:r>
      <w:r w:rsidRPr="008B2F8A">
        <w:fldChar w:fldCharType="end"/>
      </w:r>
      <w:r w:rsidRPr="008B2F8A">
        <w:t>.</w:t>
      </w:r>
    </w:p>
    <w:p w14:paraId="68AE5815" w14:textId="3346F777" w:rsidR="00E47AB8" w:rsidRPr="008B2F8A" w:rsidRDefault="00E47AB8" w:rsidP="00422306">
      <w:pPr>
        <w:pStyle w:val="Caption"/>
        <w:ind w:left="1440" w:hanging="1440"/>
      </w:pPr>
      <w:bookmarkStart w:id="635" w:name="_Ref368485667"/>
      <w:bookmarkStart w:id="636" w:name="_Toc383424579"/>
      <w:r w:rsidRPr="008B2F8A">
        <w:t xml:space="preserve">Table </w:t>
      </w:r>
      <w:fldSimple w:instr=" STYLEREF 1 \s ">
        <w:r w:rsidR="00B81273">
          <w:rPr>
            <w:noProof/>
          </w:rPr>
          <w:t>B</w:t>
        </w:r>
      </w:fldSimple>
      <w:r w:rsidRPr="008B2F8A">
        <w:t>.</w:t>
      </w:r>
      <w:fldSimple w:instr=" SEQ Table \* ARABIC \s 1 ">
        <w:r w:rsidR="00B81273">
          <w:rPr>
            <w:noProof/>
          </w:rPr>
          <w:t>13</w:t>
        </w:r>
      </w:fldSimple>
      <w:bookmarkEnd w:id="635"/>
      <w:r w:rsidRPr="008B2F8A">
        <w:tab/>
      </w:r>
      <w:bookmarkStart w:id="637" w:name="OLE_LINK1005"/>
      <w:bookmarkStart w:id="638" w:name="OLE_LINK1006"/>
      <w:r w:rsidRPr="008B2F8A">
        <w:t>Quality assessment of included primary diagnostic accuracy study: women who have had chest irradiation between the ages of 10 and 35 years</w:t>
      </w:r>
      <w:bookmarkEnd w:id="637"/>
      <w:bookmarkEnd w:id="638"/>
      <w:r w:rsidRPr="008B2F8A">
        <w:t>.</w:t>
      </w:r>
      <w:bookmarkEnd w:id="636"/>
    </w:p>
    <w:p w14:paraId="03760CAD" w14:textId="77777777" w:rsidR="00E47AB8" w:rsidRPr="008B2F8A" w:rsidRDefault="00E47AB8" w:rsidP="00E0615B">
      <w:pPr>
        <w:jc w:val="center"/>
      </w:pPr>
      <w:r w:rsidRPr="008B2F8A">
        <w:rPr>
          <w:noProof/>
          <w:lang w:eastAsia="en-AU"/>
        </w:rPr>
        <w:drawing>
          <wp:inline distT="0" distB="0" distL="0" distR="0" wp14:anchorId="1A171B75" wp14:editId="038526DB">
            <wp:extent cx="4246880" cy="2631440"/>
            <wp:effectExtent l="0" t="0" r="0" b="10160"/>
            <wp:docPr id="7" name="Picture 7" descr="Colour-coded table of criteria along the top and studies down the side" title="Quality assessment of included primary diagnostic accuracy study: women who have had chest irradiation between the ages of 10 and 35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ological quality summary.png"/>
                    <pic:cNvPicPr/>
                  </pic:nvPicPr>
                  <pic:blipFill rotWithShape="1">
                    <a:blip r:embed="rId36">
                      <a:extLst>
                        <a:ext uri="{28A0092B-C50C-407E-A947-70E740481C1C}">
                          <a14:useLocalDpi xmlns:a14="http://schemas.microsoft.com/office/drawing/2010/main" val="0"/>
                        </a:ext>
                      </a:extLst>
                    </a:blip>
                    <a:srcRect l="1624" t="2185" r="1449" b="3526"/>
                    <a:stretch/>
                  </pic:blipFill>
                  <pic:spPr bwMode="auto">
                    <a:xfrm>
                      <a:off x="0" y="0"/>
                      <a:ext cx="4246880" cy="2631440"/>
                    </a:xfrm>
                    <a:prstGeom prst="rect">
                      <a:avLst/>
                    </a:prstGeom>
                    <a:ln>
                      <a:noFill/>
                    </a:ln>
                    <a:extLst>
                      <a:ext uri="{53640926-AAD7-44D8-BBD7-CCE9431645EC}">
                        <a14:shadowObscured xmlns:a14="http://schemas.microsoft.com/office/drawing/2010/main"/>
                      </a:ext>
                    </a:extLst>
                  </pic:spPr>
                </pic:pic>
              </a:graphicData>
            </a:graphic>
          </wp:inline>
        </w:drawing>
      </w:r>
    </w:p>
    <w:p w14:paraId="62D103AA" w14:textId="43FE0A48" w:rsidR="00E47AB8" w:rsidRPr="008B2F8A" w:rsidRDefault="00E47AB8" w:rsidP="00E47AB8">
      <w:pPr>
        <w:pStyle w:val="Heading2"/>
      </w:pPr>
      <w:bookmarkStart w:id="639" w:name="_Ref368231227"/>
      <w:bookmarkStart w:id="640" w:name="_Ref368231236"/>
      <w:bookmarkStart w:id="641" w:name="_Toc383424461"/>
      <w:r w:rsidRPr="008B2F8A">
        <w:t>Characteristics of included studies</w:t>
      </w:r>
      <w:bookmarkEnd w:id="589"/>
      <w:bookmarkEnd w:id="639"/>
      <w:bookmarkEnd w:id="640"/>
      <w:bookmarkEnd w:id="641"/>
    </w:p>
    <w:p w14:paraId="07868127" w14:textId="1933137C" w:rsidR="00E47AB8" w:rsidRPr="008B2F8A" w:rsidRDefault="00E47AB8" w:rsidP="00E47AB8">
      <w:pPr>
        <w:pStyle w:val="Heading3"/>
        <w:numPr>
          <w:ilvl w:val="2"/>
          <w:numId w:val="42"/>
        </w:numPr>
      </w:pPr>
      <w:bookmarkStart w:id="642" w:name="_Toc383424462"/>
      <w:r w:rsidRPr="008B2F8A">
        <w:t>Asymptomatic, high-risk women: MBS interim-funded item</w:t>
      </w:r>
      <w:bookmarkEnd w:id="642"/>
    </w:p>
    <w:p w14:paraId="4E157A54" w14:textId="77777777" w:rsidR="00E47AB8" w:rsidRPr="008B2F8A" w:rsidRDefault="00E47AB8" w:rsidP="00422306">
      <w:pPr>
        <w:pStyle w:val="Heading4"/>
      </w:pPr>
      <w:r w:rsidRPr="008B2F8A">
        <w:t>Systematic reviews and HTAs</w:t>
      </w:r>
    </w:p>
    <w:p w14:paraId="2902B518" w14:textId="12D9A1A6" w:rsidR="00E47AB8" w:rsidRPr="008B2F8A" w:rsidRDefault="00E47AB8" w:rsidP="00422306">
      <w:r w:rsidRPr="008B2F8A">
        <w:t>The characteristics of the included systematic reviews (</w:t>
      </w:r>
      <w:bookmarkStart w:id="643" w:name="OLE_LINK755"/>
      <w:bookmarkStart w:id="644" w:name="OLE_LINK756"/>
      <w:r w:rsidRPr="008B2F8A">
        <w:rPr>
          <w:noProof/>
        </w:rPr>
        <w:t>HIQA, 2013; NICE, 2013</w:t>
      </w:r>
      <w:bookmarkEnd w:id="643"/>
      <w:bookmarkEnd w:id="644"/>
      <w:r w:rsidRPr="008B2F8A">
        <w:rPr>
          <w:noProof/>
        </w:rPr>
        <w:t>)</w:t>
      </w:r>
      <w:r w:rsidRPr="008B2F8A">
        <w:t xml:space="preserve"> plus the MSAC (2006) review are presented in </w:t>
      </w:r>
      <w:r w:rsidRPr="008B2F8A">
        <w:fldChar w:fldCharType="begin"/>
      </w:r>
      <w:r w:rsidRPr="008B2F8A">
        <w:instrText xml:space="preserve"> REF _Ref368227762 \h </w:instrText>
      </w:r>
      <w:r w:rsidRPr="008B2F8A">
        <w:fldChar w:fldCharType="separate"/>
      </w:r>
      <w:r w:rsidR="00B81273" w:rsidRPr="008B2F8A">
        <w:t xml:space="preserve">Table </w:t>
      </w:r>
      <w:r w:rsidR="00B81273">
        <w:rPr>
          <w:noProof/>
        </w:rPr>
        <w:t>B</w:t>
      </w:r>
      <w:r w:rsidR="00B81273" w:rsidRPr="008B2F8A">
        <w:t>.</w:t>
      </w:r>
      <w:r w:rsidR="00B81273">
        <w:rPr>
          <w:noProof/>
        </w:rPr>
        <w:t>14</w:t>
      </w:r>
      <w:r w:rsidRPr="008B2F8A">
        <w:fldChar w:fldCharType="end"/>
      </w:r>
      <w:r w:rsidRPr="008B2F8A">
        <w:t xml:space="preserve">. The UK National Institute for Health and Clinical Excellence </w:t>
      </w:r>
      <w:r>
        <w:t>(</w:t>
      </w:r>
      <w:r w:rsidRPr="008B2F8A">
        <w:rPr>
          <w:noProof/>
        </w:rPr>
        <w:t>NICE</w:t>
      </w:r>
      <w:r>
        <w:rPr>
          <w:noProof/>
        </w:rPr>
        <w:t>,</w:t>
      </w:r>
      <w:r w:rsidRPr="008B2F8A">
        <w:rPr>
          <w:noProof/>
        </w:rPr>
        <w:t xml:space="preserve"> 2013)</w:t>
      </w:r>
      <w:r w:rsidRPr="008B2F8A">
        <w:t xml:space="preserve"> evaluated breast MRI </w:t>
      </w:r>
      <w:r>
        <w:t>in</w:t>
      </w:r>
      <w:r w:rsidRPr="008B2F8A">
        <w:t xml:space="preserve"> the development of clinical guidelines for the classification and care of people at risk of familial breast cancer.</w:t>
      </w:r>
    </w:p>
    <w:p w14:paraId="67EA259E" w14:textId="0E9AC7FF" w:rsidR="00E47AB8" w:rsidRPr="008B2F8A" w:rsidRDefault="00E47AB8" w:rsidP="00422306">
      <w:r w:rsidRPr="008B2F8A">
        <w:t>The studies included in the reviews varied owing to differences in inclusion criteria</w:t>
      </w:r>
      <w:r>
        <w:t>;</w:t>
      </w:r>
      <w:r w:rsidRPr="008B2F8A">
        <w:t xml:space="preserve"> in particular</w:t>
      </w:r>
      <w:r>
        <w:t>,</w:t>
      </w:r>
      <w:r w:rsidRPr="008B2F8A">
        <w:t xml:space="preserve"> the Irish HTA </w:t>
      </w:r>
      <w:r w:rsidRPr="008B2F8A">
        <w:rPr>
          <w:noProof/>
        </w:rPr>
        <w:t>(HIQA, 2013)</w:t>
      </w:r>
      <w:r w:rsidRPr="008B2F8A">
        <w:t xml:space="preserve"> was limited to studies of women younger than 65 years. NICE</w:t>
      </w:r>
      <w:r>
        <w:t xml:space="preserve"> (2013</w:t>
      </w:r>
      <w:r w:rsidRPr="008B2F8A">
        <w:t xml:space="preserve">) updated an existing systematic review </w:t>
      </w:r>
      <w:r w:rsidRPr="008B2F8A">
        <w:rPr>
          <w:noProof/>
        </w:rPr>
        <w:t>(</w:t>
      </w:r>
      <w:bookmarkStart w:id="645" w:name="OLE_LINK757"/>
      <w:bookmarkStart w:id="646" w:name="OLE_LINK758"/>
      <w:r w:rsidRPr="008B2F8A">
        <w:rPr>
          <w:noProof/>
        </w:rPr>
        <w:t>Warner et al, 2008</w:t>
      </w:r>
      <w:bookmarkEnd w:id="645"/>
      <w:bookmarkEnd w:id="646"/>
      <w:r w:rsidRPr="008B2F8A">
        <w:rPr>
          <w:noProof/>
        </w:rPr>
        <w:t>)</w:t>
      </w:r>
      <w:r w:rsidRPr="008B2F8A">
        <w:t xml:space="preserve"> and did not identify any further studies addressing the addition of MRI to mammography.</w:t>
      </w:r>
    </w:p>
    <w:p w14:paraId="1CB21EAE" w14:textId="77777777" w:rsidR="00E47AB8" w:rsidRPr="008B2F8A" w:rsidRDefault="00E47AB8" w:rsidP="00422306">
      <w:pPr>
        <w:pStyle w:val="Caption"/>
      </w:pPr>
      <w:bookmarkStart w:id="647" w:name="_Ref368227762"/>
      <w:bookmarkStart w:id="648" w:name="_Toc383424580"/>
      <w:r w:rsidRPr="008B2F8A">
        <w:lastRenderedPageBreak/>
        <w:t xml:space="preserve">Table </w:t>
      </w:r>
      <w:fldSimple w:instr=" STYLEREF 1 \s ">
        <w:r w:rsidR="00B81273">
          <w:rPr>
            <w:noProof/>
          </w:rPr>
          <w:t>B</w:t>
        </w:r>
      </w:fldSimple>
      <w:r w:rsidRPr="008B2F8A">
        <w:t>.</w:t>
      </w:r>
      <w:fldSimple w:instr=" SEQ Table \* ARABIC \s 1 ">
        <w:r w:rsidR="00B81273">
          <w:rPr>
            <w:noProof/>
          </w:rPr>
          <w:t>14</w:t>
        </w:r>
      </w:fldSimple>
      <w:bookmarkEnd w:id="647"/>
      <w:r w:rsidRPr="008B2F8A">
        <w:tab/>
      </w:r>
      <w:bookmarkStart w:id="649" w:name="OLE_LINK1007"/>
      <w:bookmarkStart w:id="650" w:name="OLE_LINK1008"/>
      <w:r w:rsidRPr="008B2F8A">
        <w:t>Characteristics of included systematic reviews</w:t>
      </w:r>
      <w:bookmarkEnd w:id="649"/>
      <w:bookmarkEnd w:id="650"/>
      <w:r w:rsidRPr="008B2F8A">
        <w:t>.</w:t>
      </w:r>
      <w:bookmarkEnd w:id="648"/>
    </w:p>
    <w:tbl>
      <w:tblPr>
        <w:tblStyle w:val="TableGrid"/>
        <w:tblW w:w="9070" w:type="dxa"/>
        <w:tblLayout w:type="fixed"/>
        <w:tblCellMar>
          <w:left w:w="28" w:type="dxa"/>
          <w:right w:w="28" w:type="dxa"/>
        </w:tblCellMar>
        <w:tblLook w:val="04A0" w:firstRow="1" w:lastRow="0" w:firstColumn="1" w:lastColumn="0" w:noHBand="0" w:noVBand="1"/>
        <w:tblCaption w:val="Characteristics of included systematic reviews"/>
      </w:tblPr>
      <w:tblGrid>
        <w:gridCol w:w="596"/>
        <w:gridCol w:w="1704"/>
        <w:gridCol w:w="2130"/>
        <w:gridCol w:w="1846"/>
        <w:gridCol w:w="852"/>
        <w:gridCol w:w="1942"/>
      </w:tblGrid>
      <w:tr w:rsidR="00E47AB8" w:rsidRPr="008B2F8A" w14:paraId="7EC209FE" w14:textId="77777777" w:rsidTr="00E0615B">
        <w:trPr>
          <w:tblHeader/>
        </w:trPr>
        <w:tc>
          <w:tcPr>
            <w:tcW w:w="596" w:type="dxa"/>
            <w:vAlign w:val="bottom"/>
          </w:tcPr>
          <w:p w14:paraId="784FAB7C" w14:textId="77777777" w:rsidR="00E47AB8" w:rsidRPr="008B2F8A" w:rsidRDefault="00E47AB8" w:rsidP="00422306">
            <w:pPr>
              <w:spacing w:before="40" w:after="80"/>
              <w:rPr>
                <w:rFonts w:ascii="Arial Narrow" w:hAnsi="Arial Narrow"/>
                <w:b/>
              </w:rPr>
            </w:pPr>
          </w:p>
        </w:tc>
        <w:tc>
          <w:tcPr>
            <w:tcW w:w="1704" w:type="dxa"/>
            <w:vAlign w:val="bottom"/>
          </w:tcPr>
          <w:p w14:paraId="2372AFAE" w14:textId="77777777" w:rsidR="00E47AB8" w:rsidRPr="008B2F8A" w:rsidRDefault="00E47AB8" w:rsidP="00422306">
            <w:pPr>
              <w:spacing w:before="40" w:after="80"/>
              <w:rPr>
                <w:rFonts w:ascii="Arial Narrow" w:hAnsi="Arial Narrow"/>
                <w:b/>
              </w:rPr>
            </w:pPr>
            <w:r w:rsidRPr="008B2F8A">
              <w:rPr>
                <w:rFonts w:ascii="Arial Narrow" w:hAnsi="Arial Narrow"/>
                <w:b/>
              </w:rPr>
              <w:t>Report objectives</w:t>
            </w:r>
          </w:p>
        </w:tc>
        <w:tc>
          <w:tcPr>
            <w:tcW w:w="2130" w:type="dxa"/>
            <w:vAlign w:val="bottom"/>
          </w:tcPr>
          <w:p w14:paraId="01CA74F7" w14:textId="77777777" w:rsidR="00E47AB8" w:rsidRPr="008B2F8A" w:rsidRDefault="00E47AB8" w:rsidP="00422306">
            <w:pPr>
              <w:spacing w:before="40" w:after="80"/>
              <w:rPr>
                <w:rFonts w:ascii="Arial Narrow" w:hAnsi="Arial Narrow"/>
                <w:b/>
              </w:rPr>
            </w:pPr>
            <w:r w:rsidRPr="008B2F8A">
              <w:rPr>
                <w:rFonts w:ascii="Arial Narrow" w:hAnsi="Arial Narrow"/>
                <w:b/>
              </w:rPr>
              <w:t>Participants</w:t>
            </w:r>
          </w:p>
        </w:tc>
        <w:tc>
          <w:tcPr>
            <w:tcW w:w="1846" w:type="dxa"/>
            <w:vAlign w:val="bottom"/>
          </w:tcPr>
          <w:p w14:paraId="4EF5D789" w14:textId="77777777" w:rsidR="00E47AB8" w:rsidRPr="008B2F8A" w:rsidRDefault="00E47AB8" w:rsidP="00422306">
            <w:pPr>
              <w:spacing w:before="40" w:after="80"/>
              <w:rPr>
                <w:rFonts w:ascii="Arial Narrow" w:hAnsi="Arial Narrow"/>
                <w:b/>
              </w:rPr>
            </w:pPr>
            <w:r w:rsidRPr="008B2F8A">
              <w:rPr>
                <w:rFonts w:ascii="Arial Narrow" w:hAnsi="Arial Narrow"/>
                <w:b/>
              </w:rPr>
              <w:t>Outcomes</w:t>
            </w:r>
          </w:p>
        </w:tc>
        <w:tc>
          <w:tcPr>
            <w:tcW w:w="852" w:type="dxa"/>
            <w:vAlign w:val="bottom"/>
          </w:tcPr>
          <w:p w14:paraId="485A7844" w14:textId="77777777" w:rsidR="00E47AB8" w:rsidRPr="008B2F8A" w:rsidRDefault="00E47AB8" w:rsidP="00422306">
            <w:pPr>
              <w:spacing w:before="40" w:after="80"/>
              <w:rPr>
                <w:rFonts w:ascii="Arial Narrow" w:hAnsi="Arial Narrow"/>
                <w:b/>
              </w:rPr>
            </w:pPr>
            <w:r w:rsidRPr="008B2F8A">
              <w:rPr>
                <w:rFonts w:ascii="Arial Narrow" w:hAnsi="Arial Narrow"/>
                <w:b/>
              </w:rPr>
              <w:t xml:space="preserve">Search date </w:t>
            </w:r>
          </w:p>
        </w:tc>
        <w:tc>
          <w:tcPr>
            <w:tcW w:w="1942" w:type="dxa"/>
            <w:vAlign w:val="bottom"/>
          </w:tcPr>
          <w:p w14:paraId="51C49CD9" w14:textId="77777777" w:rsidR="00E47AB8" w:rsidRPr="008B2F8A" w:rsidRDefault="00E47AB8" w:rsidP="00422306">
            <w:pPr>
              <w:spacing w:before="40" w:after="80"/>
              <w:rPr>
                <w:rFonts w:ascii="Arial Narrow" w:hAnsi="Arial Narrow"/>
                <w:b/>
              </w:rPr>
            </w:pPr>
            <w:r w:rsidRPr="008B2F8A">
              <w:rPr>
                <w:rFonts w:ascii="Arial Narrow" w:hAnsi="Arial Narrow"/>
                <w:b/>
              </w:rPr>
              <w:t>Type of analysis, No. &amp; date of included studies</w:t>
            </w:r>
          </w:p>
        </w:tc>
      </w:tr>
      <w:tr w:rsidR="00E47AB8" w:rsidRPr="008B2F8A" w14:paraId="7EFF498B" w14:textId="77777777" w:rsidTr="00E0615B">
        <w:tc>
          <w:tcPr>
            <w:tcW w:w="596" w:type="dxa"/>
          </w:tcPr>
          <w:p w14:paraId="75065B51" w14:textId="1E7CA6C5" w:rsidR="00E47AB8" w:rsidRPr="008B2F8A" w:rsidRDefault="00E0615B" w:rsidP="00422306">
            <w:pPr>
              <w:spacing w:before="40" w:after="80"/>
              <w:rPr>
                <w:rFonts w:ascii="Arial Narrow" w:hAnsi="Arial Narrow"/>
              </w:rPr>
            </w:pPr>
            <w:r>
              <w:rPr>
                <w:rFonts w:ascii="Arial Narrow" w:hAnsi="Arial Narrow"/>
              </w:rPr>
              <w:t>MSAC</w:t>
            </w:r>
            <w:r w:rsidR="00E47AB8">
              <w:rPr>
                <w:rFonts w:ascii="Arial Narrow" w:hAnsi="Arial Narrow"/>
              </w:rPr>
              <w:t>, 2006</w:t>
            </w:r>
          </w:p>
        </w:tc>
        <w:tc>
          <w:tcPr>
            <w:tcW w:w="1704" w:type="dxa"/>
          </w:tcPr>
          <w:p w14:paraId="0FEA30FC" w14:textId="40B4CB98" w:rsidR="00E47AB8" w:rsidRPr="008B2F8A" w:rsidRDefault="00E47AB8" w:rsidP="00422306">
            <w:pPr>
              <w:spacing w:before="40" w:after="80"/>
              <w:rPr>
                <w:rFonts w:ascii="Arial Narrow" w:hAnsi="Arial Narrow"/>
              </w:rPr>
            </w:pPr>
            <w:r w:rsidRPr="008B2F8A">
              <w:rPr>
                <w:rFonts w:ascii="Arial Narrow" w:hAnsi="Arial Narrow"/>
              </w:rPr>
              <w:t xml:space="preserve">What </w:t>
            </w:r>
            <w:r>
              <w:rPr>
                <w:rFonts w:ascii="Arial Narrow" w:hAnsi="Arial Narrow"/>
              </w:rPr>
              <w:t>are</w:t>
            </w:r>
            <w:r w:rsidRPr="008B2F8A">
              <w:rPr>
                <w:rFonts w:ascii="Arial Narrow" w:hAnsi="Arial Narrow"/>
              </w:rPr>
              <w:t xml:space="preserve"> the safety, effectiveness and cost-effectiveness of annual breast MRI in addition to annual mammography with or without breast ultrasound for screening asymptomatic high-risk women under the age of 50 years?</w:t>
            </w:r>
          </w:p>
        </w:tc>
        <w:tc>
          <w:tcPr>
            <w:tcW w:w="2130" w:type="dxa"/>
          </w:tcPr>
          <w:p w14:paraId="2665DF15" w14:textId="77777777" w:rsidR="00E47AB8" w:rsidRPr="008B2F8A" w:rsidRDefault="00E47AB8" w:rsidP="00422306">
            <w:pPr>
              <w:spacing w:before="40" w:after="80"/>
              <w:rPr>
                <w:rFonts w:ascii="Arial Narrow" w:hAnsi="Arial Narrow"/>
              </w:rPr>
            </w:pPr>
            <w:r w:rsidRPr="008B2F8A">
              <w:rPr>
                <w:rFonts w:ascii="Arial Narrow" w:hAnsi="Arial Narrow"/>
              </w:rPr>
              <w:t>Population: asymptomatic women at high risk of breast cancer due to family history or genetic predisposition and no prior history of breast cancer, or women with an intact contralateral breast following mastectomy for a primary breast cancer</w:t>
            </w:r>
          </w:p>
          <w:p w14:paraId="2D2BF090" w14:textId="77777777" w:rsidR="00E47AB8" w:rsidRPr="008B2F8A" w:rsidRDefault="00E47AB8" w:rsidP="00422306">
            <w:pPr>
              <w:spacing w:before="40" w:after="80"/>
              <w:rPr>
                <w:rFonts w:ascii="Arial Narrow" w:hAnsi="Arial Narrow"/>
              </w:rPr>
            </w:pPr>
            <w:r w:rsidRPr="008B2F8A">
              <w:rPr>
                <w:rFonts w:ascii="Arial Narrow" w:hAnsi="Arial Narrow"/>
              </w:rPr>
              <w:t>Intervention: MRI with or without mammography and breast ultrasound</w:t>
            </w:r>
          </w:p>
          <w:p w14:paraId="09B8862E" w14:textId="77777777" w:rsidR="00E47AB8" w:rsidRPr="008B2F8A" w:rsidRDefault="00E47AB8" w:rsidP="00422306">
            <w:pPr>
              <w:spacing w:before="40" w:after="80"/>
              <w:rPr>
                <w:rFonts w:ascii="Arial Narrow" w:hAnsi="Arial Narrow"/>
              </w:rPr>
            </w:pPr>
            <w:r w:rsidRPr="008B2F8A">
              <w:rPr>
                <w:rFonts w:ascii="Arial Narrow" w:hAnsi="Arial Narrow"/>
              </w:rPr>
              <w:t>Comparator: mammography</w:t>
            </w:r>
          </w:p>
        </w:tc>
        <w:tc>
          <w:tcPr>
            <w:tcW w:w="1846" w:type="dxa"/>
          </w:tcPr>
          <w:p w14:paraId="0700393A" w14:textId="77777777" w:rsidR="00E47AB8" w:rsidRPr="008B2F8A" w:rsidRDefault="00E47AB8" w:rsidP="00422306">
            <w:pPr>
              <w:spacing w:before="40" w:after="80"/>
              <w:rPr>
                <w:rFonts w:ascii="Arial Narrow" w:hAnsi="Arial Narrow"/>
              </w:rPr>
            </w:pPr>
            <w:r w:rsidRPr="008B2F8A">
              <w:rPr>
                <w:rFonts w:ascii="Arial Narrow" w:hAnsi="Arial Narrow"/>
              </w:rPr>
              <w:t>Test recall rate and/or biopsy rate among non-diseased</w:t>
            </w:r>
          </w:p>
          <w:p w14:paraId="2EA0277C" w14:textId="77777777" w:rsidR="00E47AB8" w:rsidRPr="008B2F8A" w:rsidRDefault="00E47AB8" w:rsidP="00422306">
            <w:pPr>
              <w:spacing w:before="40" w:after="80"/>
              <w:rPr>
                <w:rFonts w:ascii="Arial Narrow" w:hAnsi="Arial Narrow"/>
              </w:rPr>
            </w:pPr>
            <w:r w:rsidRPr="008B2F8A">
              <w:rPr>
                <w:rFonts w:ascii="Arial Narrow" w:hAnsi="Arial Narrow"/>
              </w:rPr>
              <w:t xml:space="preserve">Diagnostic accuracy: </w:t>
            </w:r>
            <w:bookmarkStart w:id="651" w:name="OLE_LINK59"/>
            <w:bookmarkStart w:id="652" w:name="OLE_LINK60"/>
            <w:r w:rsidRPr="008B2F8A">
              <w:rPr>
                <w:rFonts w:ascii="Arial Narrow" w:hAnsi="Arial Narrow"/>
              </w:rPr>
              <w:t>Sens</w:t>
            </w:r>
            <w:bookmarkEnd w:id="651"/>
            <w:bookmarkEnd w:id="652"/>
            <w:r w:rsidRPr="008B2F8A">
              <w:rPr>
                <w:rFonts w:ascii="Arial Narrow" w:hAnsi="Arial Narrow"/>
              </w:rPr>
              <w:t xml:space="preserve">/Spec, </w:t>
            </w:r>
            <w:bookmarkStart w:id="653" w:name="OLE_LINK310"/>
            <w:bookmarkStart w:id="654" w:name="OLE_LINK311"/>
            <w:r w:rsidRPr="008B2F8A">
              <w:rPr>
                <w:rFonts w:ascii="Arial Narrow" w:hAnsi="Arial Narrow"/>
              </w:rPr>
              <w:t>PPV</w:t>
            </w:r>
            <w:bookmarkEnd w:id="653"/>
            <w:bookmarkEnd w:id="654"/>
          </w:p>
          <w:p w14:paraId="5117897A" w14:textId="77777777" w:rsidR="00E47AB8" w:rsidRPr="008B2F8A" w:rsidRDefault="00E47AB8" w:rsidP="00422306">
            <w:pPr>
              <w:spacing w:before="40" w:after="80"/>
              <w:rPr>
                <w:rFonts w:ascii="Arial Narrow" w:hAnsi="Arial Narrow"/>
              </w:rPr>
            </w:pPr>
            <w:r w:rsidRPr="008B2F8A">
              <w:rPr>
                <w:rFonts w:ascii="Arial Narrow" w:hAnsi="Arial Narrow"/>
              </w:rPr>
              <w:t>stage, grade, size and/or nodal status of cancers detected</w:t>
            </w:r>
          </w:p>
          <w:p w14:paraId="0F01E776" w14:textId="77777777" w:rsidR="00E47AB8" w:rsidRPr="008B2F8A" w:rsidRDefault="00E47AB8" w:rsidP="00422306">
            <w:pPr>
              <w:spacing w:before="40" w:after="80"/>
              <w:rPr>
                <w:rFonts w:ascii="Arial Narrow" w:hAnsi="Arial Narrow"/>
              </w:rPr>
            </w:pPr>
            <w:r w:rsidRPr="008B2F8A">
              <w:rPr>
                <w:rFonts w:ascii="Arial Narrow" w:hAnsi="Arial Narrow"/>
              </w:rPr>
              <w:t>interval cancer rate</w:t>
            </w:r>
          </w:p>
          <w:p w14:paraId="5719610C" w14:textId="77777777" w:rsidR="00E47AB8" w:rsidRPr="008B2F8A" w:rsidRDefault="00E47AB8" w:rsidP="00422306">
            <w:pPr>
              <w:spacing w:before="40" w:after="80"/>
              <w:rPr>
                <w:rFonts w:ascii="Arial Narrow" w:hAnsi="Arial Narrow"/>
              </w:rPr>
            </w:pPr>
            <w:r w:rsidRPr="008B2F8A">
              <w:rPr>
                <w:rFonts w:ascii="Arial Narrow" w:hAnsi="Arial Narrow"/>
              </w:rPr>
              <w:t>impact on clinical management</w:t>
            </w:r>
          </w:p>
          <w:p w14:paraId="03ACF8A2" w14:textId="77777777" w:rsidR="00E47AB8" w:rsidRPr="008B2F8A" w:rsidRDefault="00E47AB8" w:rsidP="00422306">
            <w:pPr>
              <w:spacing w:before="40" w:after="80"/>
              <w:rPr>
                <w:rFonts w:ascii="Arial Narrow" w:hAnsi="Arial Narrow"/>
              </w:rPr>
            </w:pPr>
            <w:r w:rsidRPr="008B2F8A">
              <w:rPr>
                <w:rFonts w:ascii="Arial Narrow" w:hAnsi="Arial Narrow"/>
              </w:rPr>
              <w:t>patient outcomes (morbidity, mortality, adverse events, quality of life)</w:t>
            </w:r>
          </w:p>
        </w:tc>
        <w:tc>
          <w:tcPr>
            <w:tcW w:w="852" w:type="dxa"/>
          </w:tcPr>
          <w:p w14:paraId="1DCB0837" w14:textId="72F36BF8" w:rsidR="00E47AB8" w:rsidRPr="008B2F8A" w:rsidRDefault="00E47AB8" w:rsidP="00422306">
            <w:pPr>
              <w:spacing w:before="40" w:after="80"/>
              <w:rPr>
                <w:rFonts w:ascii="Arial Narrow" w:hAnsi="Arial Narrow"/>
              </w:rPr>
            </w:pPr>
            <w:r w:rsidRPr="008B2F8A">
              <w:rPr>
                <w:rFonts w:ascii="Arial Narrow" w:hAnsi="Arial Narrow"/>
              </w:rPr>
              <w:t>To Mar 2006</w:t>
            </w:r>
          </w:p>
        </w:tc>
        <w:tc>
          <w:tcPr>
            <w:tcW w:w="1942" w:type="dxa"/>
          </w:tcPr>
          <w:p w14:paraId="1106E3A6" w14:textId="77777777" w:rsidR="00E47AB8" w:rsidRPr="008B2F8A" w:rsidRDefault="00E47AB8" w:rsidP="00422306">
            <w:pPr>
              <w:spacing w:before="40" w:after="80"/>
              <w:rPr>
                <w:rFonts w:ascii="Arial Narrow" w:hAnsi="Arial Narrow"/>
              </w:rPr>
            </w:pPr>
            <w:r w:rsidRPr="008B2F8A">
              <w:rPr>
                <w:rFonts w:ascii="Arial Narrow" w:hAnsi="Arial Narrow"/>
              </w:rPr>
              <w:t>Narrative synthesis and meta-analysis</w:t>
            </w:r>
          </w:p>
          <w:p w14:paraId="50581D96" w14:textId="77777777" w:rsidR="00E47AB8" w:rsidRPr="008B2F8A" w:rsidRDefault="00E47AB8" w:rsidP="00422306">
            <w:pPr>
              <w:spacing w:before="40" w:after="80"/>
              <w:rPr>
                <w:rFonts w:ascii="Arial Narrow" w:hAnsi="Arial Narrow"/>
              </w:rPr>
            </w:pPr>
            <w:r w:rsidRPr="008B2F8A">
              <w:rPr>
                <w:rFonts w:ascii="Arial Narrow" w:hAnsi="Arial Narrow"/>
              </w:rPr>
              <w:t>26 studies included (9 SR, 10 accuracy studies (15 articles), 2 others)</w:t>
            </w:r>
          </w:p>
          <w:p w14:paraId="5F73EBDE" w14:textId="77777777" w:rsidR="00E47AB8" w:rsidRPr="008B2F8A" w:rsidRDefault="00E47AB8" w:rsidP="00422306">
            <w:pPr>
              <w:spacing w:before="40" w:after="80"/>
              <w:rPr>
                <w:rFonts w:ascii="Arial Narrow" w:hAnsi="Arial Narrow"/>
              </w:rPr>
            </w:pPr>
            <w:r w:rsidRPr="008B2F8A">
              <w:rPr>
                <w:rFonts w:ascii="Arial Narrow" w:hAnsi="Arial Narrow"/>
              </w:rPr>
              <w:t>3 primary studies reporting on MRI + mammography</w:t>
            </w:r>
          </w:p>
          <w:p w14:paraId="7D2C7E75" w14:textId="7F81FC8E" w:rsidR="00E47AB8" w:rsidRPr="008B2F8A" w:rsidRDefault="00E47AB8" w:rsidP="00E47AB8">
            <w:pPr>
              <w:pStyle w:val="ListParagraph"/>
              <w:numPr>
                <w:ilvl w:val="0"/>
                <w:numId w:val="39"/>
              </w:numPr>
              <w:spacing w:before="40" w:after="80"/>
              <w:contextualSpacing w:val="0"/>
              <w:rPr>
                <w:rFonts w:ascii="Arial Narrow" w:hAnsi="Arial Narrow"/>
              </w:rPr>
            </w:pPr>
            <w:r>
              <w:rPr>
                <w:rFonts w:ascii="Arial Narrow" w:hAnsi="Arial Narrow"/>
              </w:rPr>
              <w:t>Kuhl et al, 2005</w:t>
            </w:r>
          </w:p>
          <w:p w14:paraId="2EFC5467" w14:textId="38C2D058" w:rsidR="00E47AB8" w:rsidRPr="008B2F8A" w:rsidRDefault="00E47AB8" w:rsidP="00E47AB8">
            <w:pPr>
              <w:pStyle w:val="ListParagraph"/>
              <w:numPr>
                <w:ilvl w:val="0"/>
                <w:numId w:val="39"/>
              </w:numPr>
              <w:spacing w:before="40" w:after="80"/>
              <w:contextualSpacing w:val="0"/>
              <w:rPr>
                <w:rFonts w:ascii="Arial Narrow" w:hAnsi="Arial Narrow"/>
              </w:rPr>
            </w:pPr>
            <w:bookmarkStart w:id="655" w:name="OLE_LINK759"/>
            <w:r>
              <w:rPr>
                <w:rFonts w:ascii="Arial Narrow" w:hAnsi="Arial Narrow"/>
              </w:rPr>
              <w:t>Leach, 2005</w:t>
            </w:r>
            <w:bookmarkEnd w:id="655"/>
          </w:p>
          <w:p w14:paraId="213EBDAD" w14:textId="24BF8415" w:rsidR="00E47AB8" w:rsidRPr="008B2F8A" w:rsidRDefault="00E47AB8" w:rsidP="00E47AB8">
            <w:pPr>
              <w:pStyle w:val="ListParagraph"/>
              <w:numPr>
                <w:ilvl w:val="0"/>
                <w:numId w:val="39"/>
              </w:numPr>
              <w:spacing w:before="40" w:after="80"/>
              <w:contextualSpacing w:val="0"/>
              <w:rPr>
                <w:rFonts w:ascii="Arial Narrow" w:hAnsi="Arial Narrow"/>
              </w:rPr>
            </w:pPr>
            <w:bookmarkStart w:id="656" w:name="OLE_LINK760"/>
            <w:bookmarkStart w:id="657" w:name="OLE_LINK761"/>
            <w:r>
              <w:rPr>
                <w:rFonts w:ascii="Arial Narrow" w:hAnsi="Arial Narrow"/>
              </w:rPr>
              <w:t>Warner et al, 2004</w:t>
            </w:r>
            <w:bookmarkEnd w:id="656"/>
            <w:bookmarkEnd w:id="657"/>
          </w:p>
        </w:tc>
      </w:tr>
      <w:tr w:rsidR="00E47AB8" w:rsidRPr="008B2F8A" w14:paraId="129488C6" w14:textId="77777777" w:rsidTr="00E0615B">
        <w:tc>
          <w:tcPr>
            <w:tcW w:w="596" w:type="dxa"/>
          </w:tcPr>
          <w:p w14:paraId="22B56670" w14:textId="623AD160" w:rsidR="00E47AB8" w:rsidRPr="008B2F8A" w:rsidRDefault="00E47AB8" w:rsidP="00422306">
            <w:pPr>
              <w:spacing w:before="40" w:after="80"/>
              <w:rPr>
                <w:rFonts w:ascii="Arial Narrow" w:hAnsi="Arial Narrow"/>
              </w:rPr>
            </w:pPr>
            <w:r>
              <w:rPr>
                <w:rFonts w:ascii="Arial Narrow" w:hAnsi="Arial Narrow"/>
              </w:rPr>
              <w:t>NICE, 2013</w:t>
            </w:r>
          </w:p>
        </w:tc>
        <w:tc>
          <w:tcPr>
            <w:tcW w:w="1704" w:type="dxa"/>
          </w:tcPr>
          <w:p w14:paraId="2427A3CA" w14:textId="057F2F1D" w:rsidR="00E47AB8" w:rsidRPr="008B2F8A" w:rsidRDefault="00E47AB8" w:rsidP="00422306">
            <w:pPr>
              <w:spacing w:before="40" w:after="80"/>
              <w:rPr>
                <w:rFonts w:ascii="Arial Narrow" w:hAnsi="Arial Narrow"/>
              </w:rPr>
            </w:pPr>
            <w:r w:rsidRPr="008B2F8A">
              <w:rPr>
                <w:rFonts w:ascii="Arial Narrow" w:hAnsi="Arial Narrow"/>
              </w:rPr>
              <w:t>To update the previous NICE guidelines</w:t>
            </w:r>
          </w:p>
          <w:p w14:paraId="1FC352B4" w14:textId="77777777" w:rsidR="00E47AB8" w:rsidRPr="008B2F8A" w:rsidRDefault="00E47AB8" w:rsidP="00422306">
            <w:pPr>
              <w:spacing w:before="40" w:after="80"/>
              <w:rPr>
                <w:rFonts w:ascii="Arial Narrow" w:hAnsi="Arial Narrow"/>
              </w:rPr>
            </w:pPr>
            <w:r w:rsidRPr="008B2F8A">
              <w:rPr>
                <w:rFonts w:ascii="Arial Narrow" w:hAnsi="Arial Narrow"/>
              </w:rPr>
              <w:t>What are the specific surveillance needs of women with a family history who have no personal history of breast cancer?</w:t>
            </w:r>
          </w:p>
        </w:tc>
        <w:tc>
          <w:tcPr>
            <w:tcW w:w="2130" w:type="dxa"/>
          </w:tcPr>
          <w:p w14:paraId="23488076" w14:textId="77777777" w:rsidR="00E47AB8" w:rsidRPr="008B2F8A" w:rsidRDefault="00E47AB8" w:rsidP="00422306">
            <w:pPr>
              <w:spacing w:before="40" w:after="80"/>
              <w:rPr>
                <w:rFonts w:ascii="Arial Narrow" w:hAnsi="Arial Narrow"/>
              </w:rPr>
            </w:pPr>
            <w:r w:rsidRPr="008B2F8A">
              <w:rPr>
                <w:rFonts w:ascii="Arial Narrow" w:hAnsi="Arial Narrow"/>
              </w:rPr>
              <w:t>Population: women with no personal history of breast cancer aged 18–70+ (analysed by age)</w:t>
            </w:r>
          </w:p>
          <w:p w14:paraId="2F74E3C5" w14:textId="77777777" w:rsidR="00E47AB8" w:rsidRPr="008B2F8A" w:rsidRDefault="00E47AB8" w:rsidP="00422306">
            <w:pPr>
              <w:spacing w:before="40" w:after="80"/>
              <w:rPr>
                <w:rFonts w:ascii="Arial Narrow" w:hAnsi="Arial Narrow"/>
              </w:rPr>
            </w:pPr>
            <w:r w:rsidRPr="008B2F8A">
              <w:rPr>
                <w:rFonts w:ascii="Arial Narrow" w:hAnsi="Arial Narrow"/>
              </w:rPr>
              <w:t>Intervention: mammography, MRI, ultrasound, CBE, any combination of these</w:t>
            </w:r>
          </w:p>
          <w:p w14:paraId="3252B92F" w14:textId="77777777" w:rsidR="00E47AB8" w:rsidRPr="008B2F8A" w:rsidRDefault="00E47AB8" w:rsidP="00422306">
            <w:pPr>
              <w:spacing w:before="40" w:after="80"/>
              <w:rPr>
                <w:rFonts w:ascii="Arial Narrow" w:hAnsi="Arial Narrow"/>
              </w:rPr>
            </w:pPr>
            <w:r w:rsidRPr="008B2F8A">
              <w:rPr>
                <w:rFonts w:ascii="Arial Narrow" w:hAnsi="Arial Narrow"/>
              </w:rPr>
              <w:t>Comparator: each other</w:t>
            </w:r>
          </w:p>
        </w:tc>
        <w:tc>
          <w:tcPr>
            <w:tcW w:w="1846" w:type="dxa"/>
          </w:tcPr>
          <w:p w14:paraId="2A9717E4" w14:textId="77777777" w:rsidR="00E47AB8" w:rsidRPr="008B2F8A" w:rsidRDefault="00E47AB8" w:rsidP="00422306">
            <w:pPr>
              <w:spacing w:before="40" w:after="80"/>
              <w:rPr>
                <w:rFonts w:ascii="Arial Narrow" w:hAnsi="Arial Narrow"/>
              </w:rPr>
            </w:pPr>
            <w:r w:rsidRPr="008B2F8A">
              <w:rPr>
                <w:rFonts w:ascii="Arial Narrow" w:hAnsi="Arial Narrow"/>
              </w:rPr>
              <w:t>Part A: Sens/Spec, PPV/</w:t>
            </w:r>
            <w:bookmarkStart w:id="658" w:name="OLE_LINK312"/>
            <w:bookmarkStart w:id="659" w:name="OLE_LINK313"/>
            <w:r w:rsidRPr="008B2F8A">
              <w:rPr>
                <w:rFonts w:ascii="Arial Narrow" w:hAnsi="Arial Narrow"/>
              </w:rPr>
              <w:t xml:space="preserve">NPV </w:t>
            </w:r>
            <w:bookmarkEnd w:id="658"/>
            <w:bookmarkEnd w:id="659"/>
            <w:r w:rsidRPr="008B2F8A">
              <w:rPr>
                <w:rFonts w:ascii="Arial Narrow" w:hAnsi="Arial Narrow"/>
              </w:rPr>
              <w:t>in different age groups</w:t>
            </w:r>
          </w:p>
          <w:p w14:paraId="017C5B2D" w14:textId="2D8B92DA" w:rsidR="00E47AB8" w:rsidRPr="008B2F8A" w:rsidRDefault="00E47AB8" w:rsidP="00422306">
            <w:pPr>
              <w:spacing w:before="40" w:after="80"/>
              <w:rPr>
                <w:rFonts w:ascii="Arial Narrow" w:hAnsi="Arial Narrow"/>
              </w:rPr>
            </w:pPr>
            <w:r w:rsidRPr="008B2F8A">
              <w:rPr>
                <w:rFonts w:ascii="Arial Narrow" w:hAnsi="Arial Narrow"/>
              </w:rPr>
              <w:t xml:space="preserve">Part B: stage at detection, </w:t>
            </w:r>
            <w:r>
              <w:rPr>
                <w:rFonts w:ascii="Arial Narrow" w:hAnsi="Arial Narrow"/>
              </w:rPr>
              <w:t>disease-specific</w:t>
            </w:r>
            <w:r w:rsidRPr="008B2F8A">
              <w:rPr>
                <w:rFonts w:ascii="Arial Narrow" w:hAnsi="Arial Narrow"/>
              </w:rPr>
              <w:t xml:space="preserve"> survival, incidence of breast cancer, incidence of radiation</w:t>
            </w:r>
            <w:r>
              <w:rPr>
                <w:rFonts w:ascii="Arial Narrow" w:hAnsi="Arial Narrow"/>
              </w:rPr>
              <w:t>-</w:t>
            </w:r>
            <w:r w:rsidRPr="008B2F8A">
              <w:rPr>
                <w:rFonts w:ascii="Arial Narrow" w:hAnsi="Arial Narrow"/>
              </w:rPr>
              <w:t xml:space="preserve">induced cancer, </w:t>
            </w:r>
            <w:bookmarkStart w:id="660" w:name="OLE_LINK13"/>
            <w:bookmarkStart w:id="661" w:name="OLE_LINK180"/>
            <w:bookmarkStart w:id="662" w:name="OLE_LINK314"/>
            <w:r w:rsidRPr="008B2F8A">
              <w:rPr>
                <w:rFonts w:ascii="Arial Narrow" w:hAnsi="Arial Narrow"/>
              </w:rPr>
              <w:t>health-related quality of life</w:t>
            </w:r>
            <w:bookmarkEnd w:id="660"/>
            <w:bookmarkEnd w:id="661"/>
            <w:bookmarkEnd w:id="662"/>
          </w:p>
        </w:tc>
        <w:tc>
          <w:tcPr>
            <w:tcW w:w="852" w:type="dxa"/>
          </w:tcPr>
          <w:p w14:paraId="1AC27C8E" w14:textId="73233293" w:rsidR="00E47AB8" w:rsidRPr="008B2F8A" w:rsidRDefault="00E47AB8" w:rsidP="00422306">
            <w:pPr>
              <w:spacing w:before="40" w:after="80"/>
              <w:rPr>
                <w:rFonts w:ascii="Arial Narrow" w:hAnsi="Arial Narrow"/>
              </w:rPr>
            </w:pPr>
            <w:r w:rsidRPr="008B2F8A">
              <w:rPr>
                <w:rFonts w:ascii="Arial Narrow" w:hAnsi="Arial Narrow"/>
              </w:rPr>
              <w:t>From 2003 to 23 Nov 2011 with update search between 17 and 23 Jul 2012</w:t>
            </w:r>
          </w:p>
        </w:tc>
        <w:tc>
          <w:tcPr>
            <w:tcW w:w="1942" w:type="dxa"/>
          </w:tcPr>
          <w:p w14:paraId="323117B3" w14:textId="77777777" w:rsidR="00E47AB8" w:rsidRPr="008B2F8A" w:rsidRDefault="00E47AB8" w:rsidP="00422306">
            <w:pPr>
              <w:spacing w:before="40" w:after="80"/>
              <w:rPr>
                <w:rFonts w:ascii="Arial Narrow" w:hAnsi="Arial Narrow"/>
              </w:rPr>
            </w:pPr>
            <w:r w:rsidRPr="008B2F8A">
              <w:rPr>
                <w:rFonts w:ascii="Arial Narrow" w:hAnsi="Arial Narrow"/>
              </w:rPr>
              <w:t xml:space="preserve">Narrative synthesis and meta-analysis (from Warner </w:t>
            </w:r>
            <w:r>
              <w:rPr>
                <w:rFonts w:ascii="Arial Narrow" w:hAnsi="Arial Narrow"/>
              </w:rPr>
              <w:t xml:space="preserve">et al </w:t>
            </w:r>
            <w:r w:rsidRPr="008B2F8A">
              <w:rPr>
                <w:rFonts w:ascii="Arial Narrow" w:hAnsi="Arial Narrow"/>
              </w:rPr>
              <w:t>2008)</w:t>
            </w:r>
          </w:p>
          <w:p w14:paraId="2066F147" w14:textId="77777777" w:rsidR="00E47AB8" w:rsidRPr="008B2F8A" w:rsidRDefault="00E47AB8" w:rsidP="00422306">
            <w:pPr>
              <w:spacing w:before="40" w:after="80"/>
              <w:rPr>
                <w:rFonts w:ascii="Arial Narrow" w:hAnsi="Arial Narrow"/>
              </w:rPr>
            </w:pPr>
            <w:r w:rsidRPr="008B2F8A">
              <w:rPr>
                <w:rFonts w:ascii="Arial Narrow" w:hAnsi="Arial Narrow"/>
              </w:rPr>
              <w:t>Part A: 4 included studies (1 SR and 3 diagnostic accuracy)</w:t>
            </w:r>
          </w:p>
          <w:p w14:paraId="2842F850" w14:textId="77777777" w:rsidR="00E47AB8" w:rsidRPr="008B2F8A" w:rsidRDefault="00E47AB8" w:rsidP="00422306">
            <w:pPr>
              <w:spacing w:before="40" w:after="80"/>
              <w:rPr>
                <w:rFonts w:ascii="Arial Narrow" w:hAnsi="Arial Narrow"/>
              </w:rPr>
            </w:pPr>
            <w:r w:rsidRPr="008B2F8A">
              <w:rPr>
                <w:rFonts w:ascii="Arial Narrow" w:hAnsi="Arial Narrow"/>
              </w:rPr>
              <w:t>7 primary studies reporting on MRI + mammography</w:t>
            </w:r>
          </w:p>
          <w:p w14:paraId="2C3CEA25" w14:textId="28582671" w:rsidR="00E47AB8" w:rsidRPr="008B2F8A" w:rsidRDefault="00E47AB8" w:rsidP="00E47AB8">
            <w:pPr>
              <w:pStyle w:val="ListParagraph"/>
              <w:numPr>
                <w:ilvl w:val="0"/>
                <w:numId w:val="32"/>
              </w:numPr>
              <w:spacing w:before="40" w:after="80"/>
              <w:ind w:left="279" w:hanging="279"/>
              <w:contextualSpacing w:val="0"/>
              <w:rPr>
                <w:rFonts w:ascii="Arial Narrow" w:hAnsi="Arial Narrow"/>
              </w:rPr>
            </w:pPr>
            <w:bookmarkStart w:id="663" w:name="OLE_LINK762"/>
            <w:bookmarkStart w:id="664" w:name="OLE_LINK763"/>
            <w:r>
              <w:rPr>
                <w:rFonts w:ascii="Arial Narrow" w:hAnsi="Arial Narrow"/>
              </w:rPr>
              <w:t>Kuhl et al, 2005</w:t>
            </w:r>
          </w:p>
          <w:p w14:paraId="37EF5DCE" w14:textId="58C78C40" w:rsidR="00E47AB8" w:rsidRPr="008B2F8A" w:rsidRDefault="00E47AB8" w:rsidP="00E47AB8">
            <w:pPr>
              <w:pStyle w:val="ListParagraph"/>
              <w:numPr>
                <w:ilvl w:val="0"/>
                <w:numId w:val="32"/>
              </w:numPr>
              <w:spacing w:before="40" w:after="80"/>
              <w:ind w:left="279" w:hanging="279"/>
              <w:contextualSpacing w:val="0"/>
              <w:rPr>
                <w:rFonts w:ascii="Arial Narrow" w:hAnsi="Arial Narrow"/>
              </w:rPr>
            </w:pPr>
            <w:r>
              <w:rPr>
                <w:rFonts w:ascii="Arial Narrow" w:hAnsi="Arial Narrow"/>
              </w:rPr>
              <w:t>Leach, 2005</w:t>
            </w:r>
          </w:p>
          <w:p w14:paraId="74EE672F" w14:textId="41FD9D6A" w:rsidR="00E47AB8" w:rsidRPr="008B2F8A" w:rsidRDefault="00E47AB8" w:rsidP="00E47AB8">
            <w:pPr>
              <w:pStyle w:val="ListParagraph"/>
              <w:numPr>
                <w:ilvl w:val="0"/>
                <w:numId w:val="32"/>
              </w:numPr>
              <w:spacing w:before="40" w:after="80"/>
              <w:ind w:left="279" w:hanging="279"/>
              <w:contextualSpacing w:val="0"/>
              <w:rPr>
                <w:rFonts w:ascii="Arial Narrow" w:hAnsi="Arial Narrow"/>
              </w:rPr>
            </w:pPr>
            <w:r>
              <w:rPr>
                <w:rFonts w:ascii="Arial Narrow" w:hAnsi="Arial Narrow"/>
              </w:rPr>
              <w:t>Lehman et al, 2005</w:t>
            </w:r>
          </w:p>
          <w:p w14:paraId="78F97932" w14:textId="398CD156" w:rsidR="00E47AB8" w:rsidRPr="008B2F8A" w:rsidRDefault="00E47AB8" w:rsidP="00E47AB8">
            <w:pPr>
              <w:pStyle w:val="ListParagraph"/>
              <w:numPr>
                <w:ilvl w:val="0"/>
                <w:numId w:val="32"/>
              </w:numPr>
              <w:spacing w:before="40" w:after="80"/>
              <w:ind w:left="279" w:hanging="279"/>
              <w:contextualSpacing w:val="0"/>
              <w:rPr>
                <w:rFonts w:ascii="Arial Narrow" w:hAnsi="Arial Narrow"/>
              </w:rPr>
            </w:pPr>
            <w:r>
              <w:rPr>
                <w:rFonts w:ascii="Arial Narrow" w:hAnsi="Arial Narrow"/>
              </w:rPr>
              <w:t>Lehman et al, 2007</w:t>
            </w:r>
          </w:p>
          <w:p w14:paraId="15AB6E93" w14:textId="6A47A44F" w:rsidR="00E47AB8" w:rsidRPr="008B2F8A" w:rsidRDefault="00E47AB8" w:rsidP="00E47AB8">
            <w:pPr>
              <w:pStyle w:val="ListParagraph"/>
              <w:numPr>
                <w:ilvl w:val="0"/>
                <w:numId w:val="32"/>
              </w:numPr>
              <w:spacing w:before="40" w:after="80"/>
              <w:ind w:left="279" w:hanging="279"/>
              <w:contextualSpacing w:val="0"/>
              <w:rPr>
                <w:rFonts w:ascii="Arial Narrow" w:hAnsi="Arial Narrow"/>
              </w:rPr>
            </w:pPr>
            <w:r>
              <w:rPr>
                <w:rFonts w:ascii="Arial Narrow" w:hAnsi="Arial Narrow"/>
              </w:rPr>
              <w:t>Trecate et al, 2006</w:t>
            </w:r>
          </w:p>
          <w:p w14:paraId="6CBDB72B" w14:textId="59776342" w:rsidR="00E47AB8" w:rsidRPr="008B2F8A" w:rsidRDefault="00E47AB8" w:rsidP="00E47AB8">
            <w:pPr>
              <w:pStyle w:val="ListParagraph"/>
              <w:numPr>
                <w:ilvl w:val="0"/>
                <w:numId w:val="32"/>
              </w:numPr>
              <w:spacing w:before="40" w:after="80"/>
              <w:ind w:left="279" w:hanging="279"/>
              <w:contextualSpacing w:val="0"/>
              <w:rPr>
                <w:rFonts w:ascii="Arial Narrow" w:hAnsi="Arial Narrow"/>
              </w:rPr>
            </w:pPr>
            <w:r>
              <w:rPr>
                <w:rFonts w:ascii="Arial Narrow" w:hAnsi="Arial Narrow"/>
              </w:rPr>
              <w:t>Warner et al, 2004</w:t>
            </w:r>
          </w:p>
          <w:p w14:paraId="4528EE8C" w14:textId="77777777" w:rsidR="00E47AB8" w:rsidRPr="008B2F8A" w:rsidRDefault="00E47AB8" w:rsidP="00E47AB8">
            <w:pPr>
              <w:pStyle w:val="ListParagraph"/>
              <w:numPr>
                <w:ilvl w:val="0"/>
                <w:numId w:val="32"/>
              </w:numPr>
              <w:spacing w:before="40" w:after="80"/>
              <w:ind w:left="279" w:hanging="279"/>
              <w:contextualSpacing w:val="0"/>
              <w:rPr>
                <w:rFonts w:ascii="Arial Narrow" w:hAnsi="Arial Narrow"/>
              </w:rPr>
            </w:pPr>
            <w:r w:rsidRPr="008B2F8A">
              <w:rPr>
                <w:rFonts w:ascii="Arial Narrow" w:hAnsi="Arial Narrow"/>
              </w:rPr>
              <w:t>Warner 2001</w:t>
            </w:r>
            <w:bookmarkEnd w:id="663"/>
            <w:bookmarkEnd w:id="664"/>
          </w:p>
          <w:p w14:paraId="4E544980" w14:textId="77777777" w:rsidR="00E47AB8" w:rsidRPr="008B2F8A" w:rsidRDefault="00E47AB8" w:rsidP="00422306">
            <w:pPr>
              <w:spacing w:before="40" w:after="80"/>
              <w:rPr>
                <w:rFonts w:ascii="Arial Narrow" w:hAnsi="Arial Narrow"/>
              </w:rPr>
            </w:pPr>
            <w:r w:rsidRPr="008B2F8A">
              <w:rPr>
                <w:rFonts w:ascii="Arial Narrow" w:hAnsi="Arial Narrow"/>
              </w:rPr>
              <w:t>Part B: 5 included studies (1 SR, 3 case series, 1 qualitative study)</w:t>
            </w:r>
          </w:p>
        </w:tc>
      </w:tr>
      <w:tr w:rsidR="00E47AB8" w:rsidRPr="008B2F8A" w14:paraId="2794B18A" w14:textId="77777777" w:rsidTr="00E0615B">
        <w:tc>
          <w:tcPr>
            <w:tcW w:w="596" w:type="dxa"/>
          </w:tcPr>
          <w:p w14:paraId="674FBC2A" w14:textId="5427BEC8" w:rsidR="00E47AB8" w:rsidRPr="008B2F8A" w:rsidRDefault="00E47AB8" w:rsidP="00422306">
            <w:pPr>
              <w:spacing w:before="40" w:after="80"/>
              <w:rPr>
                <w:rFonts w:ascii="Arial Narrow" w:hAnsi="Arial Narrow"/>
              </w:rPr>
            </w:pPr>
            <w:r>
              <w:rPr>
                <w:rFonts w:ascii="Arial Narrow" w:hAnsi="Arial Narrow"/>
              </w:rPr>
              <w:t>HIQA, 2013</w:t>
            </w:r>
          </w:p>
        </w:tc>
        <w:tc>
          <w:tcPr>
            <w:tcW w:w="1704" w:type="dxa"/>
          </w:tcPr>
          <w:p w14:paraId="78F285D9" w14:textId="16B39163" w:rsidR="00E47AB8" w:rsidRPr="008B2F8A" w:rsidRDefault="00E47AB8" w:rsidP="00422306">
            <w:pPr>
              <w:spacing w:before="40" w:after="80"/>
              <w:rPr>
                <w:rFonts w:ascii="Arial Narrow" w:hAnsi="Arial Narrow"/>
              </w:rPr>
            </w:pPr>
            <w:r>
              <w:rPr>
                <w:rFonts w:ascii="Arial Narrow" w:hAnsi="Arial Narrow"/>
              </w:rPr>
              <w:t xml:space="preserve">To </w:t>
            </w:r>
            <w:r w:rsidRPr="008B2F8A">
              <w:rPr>
                <w:rFonts w:ascii="Arial Narrow" w:hAnsi="Arial Narrow"/>
              </w:rPr>
              <w:t xml:space="preserve">review evidence </w:t>
            </w:r>
            <w:r>
              <w:rPr>
                <w:rFonts w:ascii="Arial Narrow" w:hAnsi="Arial Narrow"/>
              </w:rPr>
              <w:t>for</w:t>
            </w:r>
            <w:r w:rsidRPr="008B2F8A">
              <w:rPr>
                <w:rFonts w:ascii="Arial Narrow" w:hAnsi="Arial Narrow"/>
              </w:rPr>
              <w:t xml:space="preserve"> the effectiveness and safety of </w:t>
            </w:r>
            <w:r w:rsidRPr="008B2F8A">
              <w:rPr>
                <w:rFonts w:ascii="Arial Narrow" w:hAnsi="Arial Narrow"/>
              </w:rPr>
              <w:lastRenderedPageBreak/>
              <w:t xml:space="preserve">mammography, MRI surveillance </w:t>
            </w:r>
            <w:r>
              <w:rPr>
                <w:rFonts w:ascii="Arial Narrow" w:hAnsi="Arial Narrow"/>
              </w:rPr>
              <w:t>or both</w:t>
            </w:r>
            <w:r w:rsidRPr="008B2F8A">
              <w:rPr>
                <w:rFonts w:ascii="Arial Narrow" w:hAnsi="Arial Narrow"/>
              </w:rPr>
              <w:t xml:space="preserve"> in the specified populations</w:t>
            </w:r>
            <w:r>
              <w:rPr>
                <w:rFonts w:ascii="Arial Narrow" w:hAnsi="Arial Narrow"/>
              </w:rPr>
              <w:t>,</w:t>
            </w:r>
            <w:r w:rsidRPr="008B2F8A">
              <w:rPr>
                <w:rFonts w:ascii="Arial Narrow" w:hAnsi="Arial Narrow"/>
              </w:rPr>
              <w:t xml:space="preserve"> including different surveillance frequencies and age groups</w:t>
            </w:r>
          </w:p>
        </w:tc>
        <w:tc>
          <w:tcPr>
            <w:tcW w:w="2130" w:type="dxa"/>
          </w:tcPr>
          <w:p w14:paraId="0B05D9EF" w14:textId="20E59A0D" w:rsidR="00E47AB8" w:rsidRPr="008B2F8A" w:rsidRDefault="00E47AB8" w:rsidP="00422306">
            <w:pPr>
              <w:spacing w:before="40" w:after="80"/>
              <w:rPr>
                <w:rFonts w:ascii="Arial Narrow" w:hAnsi="Arial Narrow"/>
              </w:rPr>
            </w:pPr>
            <w:r w:rsidRPr="008B2F8A">
              <w:rPr>
                <w:rFonts w:ascii="Arial Narrow" w:hAnsi="Arial Narrow"/>
              </w:rPr>
              <w:lastRenderedPageBreak/>
              <w:t xml:space="preserve">Population: women </w:t>
            </w:r>
            <w:r>
              <w:rPr>
                <w:rFonts w:ascii="Arial Narrow" w:hAnsi="Arial Narrow"/>
              </w:rPr>
              <w:t>&lt;</w:t>
            </w:r>
            <w:r w:rsidRPr="008B2F8A">
              <w:rPr>
                <w:rFonts w:ascii="Arial Narrow" w:hAnsi="Arial Narrow"/>
              </w:rPr>
              <w:t xml:space="preserve">65 years at an elevated risk of breast cancer through </w:t>
            </w:r>
            <w:r w:rsidRPr="008B2F8A">
              <w:rPr>
                <w:rFonts w:ascii="Arial Narrow" w:hAnsi="Arial Narrow"/>
              </w:rPr>
              <w:lastRenderedPageBreak/>
              <w:t>either genetic factors or family history</w:t>
            </w:r>
          </w:p>
          <w:p w14:paraId="7A86624A" w14:textId="2353B580" w:rsidR="00E47AB8" w:rsidRPr="008B2F8A" w:rsidRDefault="00E47AB8" w:rsidP="00422306">
            <w:pPr>
              <w:spacing w:before="40" w:after="80"/>
              <w:rPr>
                <w:rFonts w:ascii="Arial Narrow" w:hAnsi="Arial Narrow"/>
              </w:rPr>
            </w:pPr>
            <w:r w:rsidRPr="008B2F8A">
              <w:rPr>
                <w:rFonts w:ascii="Arial Narrow" w:hAnsi="Arial Narrow"/>
              </w:rPr>
              <w:t xml:space="preserve">Intervention: MRI, mammography or </w:t>
            </w:r>
            <w:r>
              <w:rPr>
                <w:rFonts w:ascii="Arial Narrow" w:hAnsi="Arial Narrow"/>
              </w:rPr>
              <w:t>both</w:t>
            </w:r>
          </w:p>
          <w:p w14:paraId="1075A121" w14:textId="5D66B2A2" w:rsidR="00E47AB8" w:rsidRPr="008B2F8A" w:rsidRDefault="00E47AB8" w:rsidP="00422306">
            <w:pPr>
              <w:spacing w:before="40" w:after="80"/>
              <w:rPr>
                <w:rFonts w:ascii="Arial Narrow" w:hAnsi="Arial Narrow"/>
              </w:rPr>
            </w:pPr>
            <w:r w:rsidRPr="008B2F8A">
              <w:rPr>
                <w:rFonts w:ascii="Arial Narrow" w:hAnsi="Arial Narrow"/>
              </w:rPr>
              <w:t xml:space="preserve">Comparator: MRI, mammography or </w:t>
            </w:r>
            <w:r>
              <w:rPr>
                <w:rFonts w:ascii="Arial Narrow" w:hAnsi="Arial Narrow"/>
              </w:rPr>
              <w:t>both</w:t>
            </w:r>
          </w:p>
        </w:tc>
        <w:tc>
          <w:tcPr>
            <w:tcW w:w="1846" w:type="dxa"/>
          </w:tcPr>
          <w:p w14:paraId="0BB3265D"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Sens and Spec of each diagnostic test</w:t>
            </w:r>
          </w:p>
        </w:tc>
        <w:tc>
          <w:tcPr>
            <w:tcW w:w="852" w:type="dxa"/>
          </w:tcPr>
          <w:p w14:paraId="72D37A2D" w14:textId="73BF884F" w:rsidR="00E47AB8" w:rsidRPr="008B2F8A" w:rsidRDefault="00E47AB8" w:rsidP="00422306">
            <w:pPr>
              <w:spacing w:before="40" w:after="80"/>
              <w:rPr>
                <w:rFonts w:ascii="Arial Narrow" w:hAnsi="Arial Narrow"/>
              </w:rPr>
            </w:pPr>
            <w:r w:rsidRPr="008B2F8A">
              <w:rPr>
                <w:rFonts w:ascii="Arial Narrow" w:hAnsi="Arial Narrow"/>
              </w:rPr>
              <w:t xml:space="preserve">To 7 Nov 2011 and updated </w:t>
            </w:r>
            <w:r w:rsidRPr="008B2F8A">
              <w:rPr>
                <w:rFonts w:ascii="Arial Narrow" w:hAnsi="Arial Narrow"/>
              </w:rPr>
              <w:lastRenderedPageBreak/>
              <w:t>18 Dec 2012</w:t>
            </w:r>
          </w:p>
        </w:tc>
        <w:tc>
          <w:tcPr>
            <w:tcW w:w="1942" w:type="dxa"/>
          </w:tcPr>
          <w:p w14:paraId="3602F99F"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Narrative synthesis and meta-analysis</w:t>
            </w:r>
          </w:p>
          <w:p w14:paraId="2B2F2A8B"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5 included studies</w:t>
            </w:r>
            <w:r>
              <w:rPr>
                <w:rFonts w:ascii="Arial Narrow" w:hAnsi="Arial Narrow"/>
              </w:rPr>
              <w:t>,</w:t>
            </w:r>
            <w:r w:rsidRPr="008B2F8A">
              <w:rPr>
                <w:rFonts w:ascii="Arial Narrow" w:hAnsi="Arial Narrow"/>
              </w:rPr>
              <w:t xml:space="preserve"> of which 3 report on MRI + mammography</w:t>
            </w:r>
          </w:p>
          <w:p w14:paraId="4B7FF1E9" w14:textId="15DD34DD" w:rsidR="00E47AB8" w:rsidRPr="008B2F8A" w:rsidRDefault="00E47AB8" w:rsidP="00E47AB8">
            <w:pPr>
              <w:pStyle w:val="ListParagraph"/>
              <w:numPr>
                <w:ilvl w:val="0"/>
                <w:numId w:val="40"/>
              </w:numPr>
              <w:spacing w:before="40" w:after="80"/>
              <w:ind w:left="357" w:hanging="357"/>
              <w:contextualSpacing w:val="0"/>
              <w:rPr>
                <w:rFonts w:ascii="Arial Narrow" w:hAnsi="Arial Narrow"/>
              </w:rPr>
            </w:pPr>
            <w:bookmarkStart w:id="665" w:name="OLE_LINK764"/>
            <w:bookmarkStart w:id="666" w:name="OLE_LINK765"/>
            <w:r>
              <w:rPr>
                <w:rFonts w:ascii="Arial Narrow" w:hAnsi="Arial Narrow"/>
              </w:rPr>
              <w:t>Kriege et al, 2006</w:t>
            </w:r>
          </w:p>
          <w:p w14:paraId="06704234" w14:textId="6241C6FE" w:rsidR="00E47AB8" w:rsidRPr="008B2F8A" w:rsidRDefault="00E47AB8" w:rsidP="00E47AB8">
            <w:pPr>
              <w:pStyle w:val="ListParagraph"/>
              <w:numPr>
                <w:ilvl w:val="0"/>
                <w:numId w:val="40"/>
              </w:numPr>
              <w:spacing w:before="40" w:after="80"/>
              <w:ind w:left="357" w:hanging="357"/>
              <w:contextualSpacing w:val="0"/>
              <w:rPr>
                <w:rFonts w:ascii="Arial Narrow" w:hAnsi="Arial Narrow"/>
              </w:rPr>
            </w:pPr>
            <w:r>
              <w:rPr>
                <w:rFonts w:ascii="Arial Narrow" w:hAnsi="Arial Narrow"/>
              </w:rPr>
              <w:t>Kuhl et al, 2005</w:t>
            </w:r>
          </w:p>
          <w:p w14:paraId="1BA86E1B" w14:textId="107BEDC5" w:rsidR="00E47AB8" w:rsidRPr="008B2F8A" w:rsidRDefault="00E47AB8" w:rsidP="00E47AB8">
            <w:pPr>
              <w:pStyle w:val="ListParagraph"/>
              <w:numPr>
                <w:ilvl w:val="0"/>
                <w:numId w:val="40"/>
              </w:numPr>
              <w:spacing w:before="40" w:after="80"/>
              <w:ind w:left="357" w:hanging="357"/>
              <w:contextualSpacing w:val="0"/>
              <w:rPr>
                <w:rFonts w:ascii="Arial Narrow" w:hAnsi="Arial Narrow"/>
                <w:lang w:eastAsia="en-US"/>
              </w:rPr>
            </w:pPr>
            <w:r>
              <w:rPr>
                <w:rFonts w:ascii="Arial Narrow" w:hAnsi="Arial Narrow"/>
              </w:rPr>
              <w:t>Leach, 2005</w:t>
            </w:r>
            <w:bookmarkEnd w:id="665"/>
            <w:bookmarkEnd w:id="666"/>
          </w:p>
        </w:tc>
      </w:tr>
    </w:tbl>
    <w:p w14:paraId="0E6BC9A9" w14:textId="2F168B04" w:rsidR="00E47AB8" w:rsidRPr="008B2F8A" w:rsidRDefault="00E47AB8" w:rsidP="00E0615B">
      <w:pPr>
        <w:pStyle w:val="TableNotesLast"/>
      </w:pPr>
      <w:r w:rsidRPr="008B2F8A">
        <w:lastRenderedPageBreak/>
        <w:t xml:space="preserve">MRI = magnetic resonance imaging; Sens = sensitivity; Spec = specificity; PPV = positive predictive value; NPV = negative predictive value; </w:t>
      </w:r>
      <w:bookmarkStart w:id="667" w:name="OLE_LINK330"/>
      <w:bookmarkStart w:id="668" w:name="OLE_LINK331"/>
      <w:r w:rsidRPr="008B2F8A">
        <w:t xml:space="preserve">SR </w:t>
      </w:r>
      <w:bookmarkEnd w:id="667"/>
      <w:bookmarkEnd w:id="668"/>
      <w:r w:rsidRPr="008B2F8A">
        <w:t xml:space="preserve">= </w:t>
      </w:r>
      <w:bookmarkStart w:id="669" w:name="OLE_LINK497"/>
      <w:bookmarkStart w:id="670" w:name="OLE_LINK498"/>
      <w:r w:rsidRPr="008B2F8A">
        <w:t>systematic review</w:t>
      </w:r>
      <w:bookmarkEnd w:id="669"/>
      <w:bookmarkEnd w:id="670"/>
      <w:r w:rsidRPr="008B2F8A">
        <w:t>; CBE = clinical breast examination.</w:t>
      </w:r>
    </w:p>
    <w:p w14:paraId="582419A8" w14:textId="77777777" w:rsidR="00E47AB8" w:rsidRPr="008B2F8A" w:rsidRDefault="00E47AB8" w:rsidP="00422306">
      <w:pPr>
        <w:pStyle w:val="Heading4"/>
      </w:pPr>
      <w:r w:rsidRPr="008B2F8A">
        <w:t>Primary studies</w:t>
      </w:r>
    </w:p>
    <w:p w14:paraId="7BF923E2" w14:textId="38EEB62E" w:rsidR="00E47AB8" w:rsidRPr="008B2F8A" w:rsidRDefault="00E47AB8" w:rsidP="00422306">
      <w:r w:rsidRPr="008B2F8A">
        <w:t>Five eligible studies of diagnostic test accuracy were identified (reported in 24 publications). Study size ranged from 496 to 1,909 women (reporting on a total of 10,941 MRI scans) (</w:t>
      </w:r>
      <w:r w:rsidRPr="008B2F8A">
        <w:fldChar w:fldCharType="begin"/>
      </w:r>
      <w:r w:rsidRPr="008B2F8A">
        <w:instrText xml:space="preserve"> REF _Ref368232816 \h </w:instrText>
      </w:r>
      <w:r w:rsidRPr="008B2F8A">
        <w:fldChar w:fldCharType="separate"/>
      </w:r>
      <w:r w:rsidR="00B81273" w:rsidRPr="008B2F8A">
        <w:t xml:space="preserve">Table </w:t>
      </w:r>
      <w:r w:rsidR="00B81273">
        <w:rPr>
          <w:noProof/>
        </w:rPr>
        <w:t>B</w:t>
      </w:r>
      <w:r w:rsidR="00B81273" w:rsidRPr="008B2F8A">
        <w:t>.</w:t>
      </w:r>
      <w:r w:rsidR="00B81273">
        <w:rPr>
          <w:noProof/>
        </w:rPr>
        <w:t>15</w:t>
      </w:r>
      <w:r w:rsidRPr="008B2F8A">
        <w:fldChar w:fldCharType="end"/>
      </w:r>
      <w:r w:rsidRPr="008B2F8A">
        <w:t xml:space="preserve">). All of these studies included data from more than one screening round. All studies enrolled asymptomatic women with a known family history </w:t>
      </w:r>
      <w:r>
        <w:t xml:space="preserve">of </w:t>
      </w:r>
      <w:r w:rsidRPr="008B2F8A">
        <w:t xml:space="preserve">or genetic predisposition </w:t>
      </w:r>
      <w:r>
        <w:t>to</w:t>
      </w:r>
      <w:r w:rsidRPr="008B2F8A">
        <w:t xml:space="preserve"> breast cancer. The risk criteria used to select patients differed between studies</w:t>
      </w:r>
      <w:r>
        <w:t>,</w:t>
      </w:r>
      <w:r w:rsidRPr="008B2F8A">
        <w:t xml:space="preserve"> as reflected in the number of women with known mutations</w:t>
      </w:r>
      <w:r>
        <w:t>,</w:t>
      </w:r>
      <w:r w:rsidRPr="008B2F8A">
        <w:t xml:space="preserve"> which ranged from 8% </w:t>
      </w:r>
      <w:r w:rsidRPr="008B2F8A">
        <w:rPr>
          <w:noProof/>
        </w:rPr>
        <w:t>(</w:t>
      </w:r>
      <w:bookmarkStart w:id="671" w:name="OLE_LINK766"/>
      <w:bookmarkStart w:id="672" w:name="OLE_LINK767"/>
      <w:r w:rsidRPr="008B2F8A">
        <w:rPr>
          <w:noProof/>
        </w:rPr>
        <w:t>Kuhl et al, 2005</w:t>
      </w:r>
      <w:bookmarkEnd w:id="671"/>
      <w:bookmarkEnd w:id="672"/>
      <w:r w:rsidRPr="008B2F8A">
        <w:rPr>
          <w:noProof/>
        </w:rPr>
        <w:t>)</w:t>
      </w:r>
      <w:r w:rsidRPr="008B2F8A">
        <w:t xml:space="preserve"> to 100% </w:t>
      </w:r>
      <w:r w:rsidRPr="008B2F8A">
        <w:rPr>
          <w:noProof/>
        </w:rPr>
        <w:t>(</w:t>
      </w:r>
      <w:bookmarkStart w:id="673" w:name="OLE_LINK768"/>
      <w:bookmarkStart w:id="674" w:name="OLE_LINK769"/>
      <w:r w:rsidRPr="008B2F8A">
        <w:rPr>
          <w:noProof/>
        </w:rPr>
        <w:t>Warner et al, 2004</w:t>
      </w:r>
      <w:bookmarkEnd w:id="673"/>
      <w:bookmarkEnd w:id="674"/>
      <w:r w:rsidRPr="008B2F8A">
        <w:rPr>
          <w:noProof/>
        </w:rPr>
        <w:t>)</w:t>
      </w:r>
      <w:r w:rsidRPr="008B2F8A">
        <w:t>. Three studies included women with both high familial risk and a personal history of breast cancer</w:t>
      </w:r>
      <w:r w:rsidRPr="008B2F8A">
        <w:rPr>
          <w:noProof/>
        </w:rPr>
        <w:t xml:space="preserve"> (Kuhl et al, 2005</w:t>
      </w:r>
      <w:r>
        <w:rPr>
          <w:noProof/>
        </w:rPr>
        <w:t>, 18%</w:t>
      </w:r>
      <w:r w:rsidRPr="008B2F8A">
        <w:rPr>
          <w:noProof/>
        </w:rPr>
        <w:t>; Sardanelli et al, 2011</w:t>
      </w:r>
      <w:r>
        <w:rPr>
          <w:noProof/>
        </w:rPr>
        <w:t>, 26%</w:t>
      </w:r>
      <w:r w:rsidRPr="008B2F8A">
        <w:rPr>
          <w:noProof/>
        </w:rPr>
        <w:t>; Warner et al, 2004</w:t>
      </w:r>
      <w:r>
        <w:rPr>
          <w:noProof/>
        </w:rPr>
        <w:t>, 44%</w:t>
      </w:r>
      <w:r w:rsidRPr="008B2F8A">
        <w:rPr>
          <w:noProof/>
        </w:rPr>
        <w:t>)</w:t>
      </w:r>
      <w:r w:rsidRPr="008B2F8A">
        <w:t>.</w:t>
      </w:r>
    </w:p>
    <w:p w14:paraId="1FE29DD9" w14:textId="38503A6A" w:rsidR="00E47AB8" w:rsidRPr="008B2F8A" w:rsidRDefault="00E47AB8" w:rsidP="00422306">
      <w:r w:rsidRPr="008B2F8A">
        <w:t>No diagnostic accuracy study included only women aged ≤50 years, but the mean or median age was &lt;50 years in all studies</w:t>
      </w:r>
      <w:r>
        <w:t>,</w:t>
      </w:r>
      <w:r w:rsidRPr="008B2F8A">
        <w:t xml:space="preserve"> or data </w:t>
      </w:r>
      <w:r>
        <w:t>were</w:t>
      </w:r>
      <w:r w:rsidRPr="008B2F8A">
        <w:t xml:space="preserve"> reported for this subgroup (</w:t>
      </w:r>
      <w:r w:rsidRPr="008B2F8A">
        <w:fldChar w:fldCharType="begin"/>
      </w:r>
      <w:r w:rsidRPr="008B2F8A">
        <w:instrText xml:space="preserve"> REF _Ref368232816 \h </w:instrText>
      </w:r>
      <w:r w:rsidRPr="008B2F8A">
        <w:fldChar w:fldCharType="separate"/>
      </w:r>
      <w:r w:rsidR="00B81273" w:rsidRPr="008B2F8A">
        <w:t xml:space="preserve">Table </w:t>
      </w:r>
      <w:r w:rsidR="00B81273">
        <w:rPr>
          <w:noProof/>
        </w:rPr>
        <w:t>B</w:t>
      </w:r>
      <w:r w:rsidR="00B81273" w:rsidRPr="008B2F8A">
        <w:t>.</w:t>
      </w:r>
      <w:r w:rsidR="00B81273">
        <w:rPr>
          <w:noProof/>
        </w:rPr>
        <w:t>15</w:t>
      </w:r>
      <w:r w:rsidRPr="008B2F8A">
        <w:fldChar w:fldCharType="end"/>
      </w:r>
      <w:r w:rsidRPr="008B2F8A">
        <w:t xml:space="preserve">). The study by </w:t>
      </w:r>
      <w:bookmarkStart w:id="675" w:name="OLE_LINK770"/>
      <w:bookmarkStart w:id="676" w:name="OLE_LINK771"/>
      <w:r>
        <w:t>Kriege et al (</w:t>
      </w:r>
      <w:r w:rsidRPr="008B2F8A">
        <w:rPr>
          <w:noProof/>
        </w:rPr>
        <w:t>2006b</w:t>
      </w:r>
      <w:bookmarkEnd w:id="675"/>
      <w:bookmarkEnd w:id="676"/>
      <w:r w:rsidRPr="008B2F8A">
        <w:rPr>
          <w:noProof/>
        </w:rPr>
        <w:t>)</w:t>
      </w:r>
      <w:r w:rsidRPr="008B2F8A">
        <w:t xml:space="preserve"> included women aged up to 70 years but enabled calculation of sensitivity and specificity for a subset of pre-menopausal women</w:t>
      </w:r>
      <w:r>
        <w:t>;</w:t>
      </w:r>
      <w:r w:rsidRPr="008B2F8A">
        <w:t xml:space="preserve"> these data </w:t>
      </w:r>
      <w:r>
        <w:t xml:space="preserve">are </w:t>
      </w:r>
      <w:r w:rsidRPr="008B2F8A">
        <w:t xml:space="preserve">used in this report. The study by </w:t>
      </w:r>
      <w:r>
        <w:t>Sardanelli et al (2011)</w:t>
      </w:r>
      <w:r w:rsidRPr="008B2F8A">
        <w:t xml:space="preserve"> included women aged up to 79 years but included diagnostic accuracy results for women aged &lt;50 years</w:t>
      </w:r>
      <w:r>
        <w:t>;</w:t>
      </w:r>
      <w:r w:rsidRPr="008B2F8A">
        <w:t xml:space="preserve"> these data are used in this report, </w:t>
      </w:r>
      <w:r>
        <w:t xml:space="preserve">but </w:t>
      </w:r>
      <w:r w:rsidRPr="008B2F8A">
        <w:t xml:space="preserve">data for this subgroup were not available for breast MRI </w:t>
      </w:r>
      <w:r>
        <w:t>+</w:t>
      </w:r>
      <w:r w:rsidRPr="008B2F8A">
        <w:t xml:space="preserve"> mammography.</w:t>
      </w:r>
    </w:p>
    <w:p w14:paraId="53CE5457" w14:textId="6CE9648A" w:rsidR="00E47AB8" w:rsidRPr="008B2F8A" w:rsidRDefault="00E47AB8" w:rsidP="00422306">
      <w:r w:rsidRPr="008B2F8A">
        <w:t xml:space="preserve">The one patient outcomes study </w:t>
      </w:r>
      <w:r w:rsidRPr="008B2F8A">
        <w:rPr>
          <w:noProof/>
        </w:rPr>
        <w:t>(</w:t>
      </w:r>
      <w:bookmarkStart w:id="677" w:name="OLE_LINK772"/>
      <w:bookmarkStart w:id="678" w:name="OLE_LINK773"/>
      <w:r w:rsidRPr="008B2F8A">
        <w:rPr>
          <w:noProof/>
        </w:rPr>
        <w:t>Br</w:t>
      </w:r>
      <w:r>
        <w:rPr>
          <w:noProof/>
        </w:rPr>
        <w:t>é</w:t>
      </w:r>
      <w:r w:rsidRPr="008B2F8A">
        <w:rPr>
          <w:noProof/>
        </w:rPr>
        <w:t>dart et al, 2012a</w:t>
      </w:r>
      <w:bookmarkEnd w:id="677"/>
      <w:bookmarkEnd w:id="678"/>
      <w:r w:rsidRPr="008B2F8A">
        <w:rPr>
          <w:noProof/>
        </w:rPr>
        <w:t>)</w:t>
      </w:r>
      <w:r w:rsidRPr="008B2F8A">
        <w:t xml:space="preserve"> included 1,561 women aged 20 to 70 years. It enrolled asymptomatic women with either a known genetic mutation or a high risk of having a genetic mutation for screening by MRI </w:t>
      </w:r>
      <w:r>
        <w:t>+</w:t>
      </w:r>
      <w:r w:rsidRPr="008B2F8A">
        <w:t xml:space="preserve"> mammography, whereas women who had a personal history of breast cancer or pathological breast lesion between the age of 40 and 50 years were enrolled for mammography only.</w:t>
      </w:r>
    </w:p>
    <w:p w14:paraId="2D866486" w14:textId="77777777" w:rsidR="00E47AB8" w:rsidRPr="008B2F8A" w:rsidRDefault="00E47AB8" w:rsidP="00422306">
      <w:pPr>
        <w:pStyle w:val="Caption"/>
        <w:ind w:left="1440" w:hanging="1440"/>
      </w:pPr>
      <w:bookmarkStart w:id="679" w:name="_Ref368232816"/>
      <w:bookmarkStart w:id="680" w:name="_Ref373913456"/>
      <w:bookmarkStart w:id="681" w:name="_Toc383424581"/>
      <w:r w:rsidRPr="008B2F8A">
        <w:t xml:space="preserve">Table </w:t>
      </w:r>
      <w:fldSimple w:instr=" STYLEREF 1 \s ">
        <w:r w:rsidR="00B81273">
          <w:rPr>
            <w:noProof/>
          </w:rPr>
          <w:t>B</w:t>
        </w:r>
      </w:fldSimple>
      <w:r w:rsidRPr="008B2F8A">
        <w:t>.</w:t>
      </w:r>
      <w:fldSimple w:instr=" SEQ Table \* ARABIC \s 1 ">
        <w:r w:rsidR="00B81273">
          <w:rPr>
            <w:noProof/>
          </w:rPr>
          <w:t>15</w:t>
        </w:r>
      </w:fldSimple>
      <w:bookmarkEnd w:id="679"/>
      <w:r w:rsidRPr="008B2F8A">
        <w:tab/>
      </w:r>
      <w:bookmarkStart w:id="682" w:name="OLE_LINK1009"/>
      <w:bookmarkStart w:id="683" w:name="OLE_LINK1010"/>
      <w:r w:rsidRPr="008B2F8A">
        <w:t>Characteristics of included primary diagnostic accuracy studies—study setting and participants</w:t>
      </w:r>
      <w:bookmarkEnd w:id="680"/>
      <w:bookmarkEnd w:id="682"/>
      <w:bookmarkEnd w:id="683"/>
      <w:r w:rsidRPr="008B2F8A">
        <w:t>.</w:t>
      </w:r>
      <w:bookmarkEnd w:id="681"/>
    </w:p>
    <w:tbl>
      <w:tblPr>
        <w:tblStyle w:val="TableGrid"/>
        <w:tblW w:w="9070" w:type="dxa"/>
        <w:tblLayout w:type="fixed"/>
        <w:tblCellMar>
          <w:left w:w="28" w:type="dxa"/>
          <w:right w:w="28" w:type="dxa"/>
        </w:tblCellMar>
        <w:tblLook w:val="04A0" w:firstRow="1" w:lastRow="0" w:firstColumn="1" w:lastColumn="0" w:noHBand="0" w:noVBand="1"/>
        <w:tblCaption w:val="Characteristics of included primary diagnostic accuracy studies—study setting and participants"/>
      </w:tblPr>
      <w:tblGrid>
        <w:gridCol w:w="880"/>
        <w:gridCol w:w="1136"/>
        <w:gridCol w:w="994"/>
        <w:gridCol w:w="2698"/>
        <w:gridCol w:w="1136"/>
        <w:gridCol w:w="1158"/>
        <w:gridCol w:w="1068"/>
      </w:tblGrid>
      <w:tr w:rsidR="00E47AB8" w:rsidRPr="008B2F8A" w14:paraId="146AFFC3" w14:textId="77777777" w:rsidTr="00E0615B">
        <w:trPr>
          <w:tblHeader/>
        </w:trPr>
        <w:tc>
          <w:tcPr>
            <w:tcW w:w="880" w:type="dxa"/>
            <w:vAlign w:val="bottom"/>
          </w:tcPr>
          <w:p w14:paraId="17CB3722"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136" w:type="dxa"/>
            <w:vAlign w:val="bottom"/>
          </w:tcPr>
          <w:p w14:paraId="6A0ECDA5" w14:textId="77777777" w:rsidR="00E47AB8" w:rsidRPr="008B2F8A" w:rsidRDefault="00E47AB8" w:rsidP="00422306">
            <w:pPr>
              <w:spacing w:before="40" w:after="80"/>
              <w:rPr>
                <w:rFonts w:ascii="Arial Narrow" w:hAnsi="Arial Narrow"/>
                <w:b/>
              </w:rPr>
            </w:pPr>
            <w:r w:rsidRPr="008B2F8A">
              <w:rPr>
                <w:rFonts w:ascii="Arial Narrow" w:hAnsi="Arial Narrow"/>
                <w:b/>
              </w:rPr>
              <w:t>Country</w:t>
            </w:r>
          </w:p>
          <w:p w14:paraId="54F418EB" w14:textId="77777777" w:rsidR="00E47AB8" w:rsidRPr="008B2F8A" w:rsidRDefault="00E47AB8" w:rsidP="00422306">
            <w:pPr>
              <w:spacing w:before="40" w:after="80"/>
              <w:rPr>
                <w:rFonts w:ascii="Arial Narrow" w:hAnsi="Arial Narrow"/>
                <w:b/>
              </w:rPr>
            </w:pPr>
            <w:r w:rsidRPr="008B2F8A">
              <w:rPr>
                <w:rFonts w:ascii="Arial Narrow" w:hAnsi="Arial Narrow"/>
                <w:b/>
              </w:rPr>
              <w:t>Setting</w:t>
            </w:r>
          </w:p>
          <w:p w14:paraId="336CD161" w14:textId="77777777" w:rsidR="00E47AB8" w:rsidRPr="008B2F8A" w:rsidRDefault="00E47AB8" w:rsidP="00422306">
            <w:pPr>
              <w:spacing w:before="40" w:after="80"/>
              <w:rPr>
                <w:rFonts w:ascii="Arial Narrow" w:hAnsi="Arial Narrow"/>
                <w:b/>
              </w:rPr>
            </w:pPr>
            <w:r w:rsidRPr="008B2F8A">
              <w:rPr>
                <w:rFonts w:ascii="Arial Narrow" w:hAnsi="Arial Narrow"/>
                <w:b/>
              </w:rPr>
              <w:t>Recruitment period</w:t>
            </w:r>
          </w:p>
        </w:tc>
        <w:tc>
          <w:tcPr>
            <w:tcW w:w="994" w:type="dxa"/>
            <w:vAlign w:val="bottom"/>
          </w:tcPr>
          <w:p w14:paraId="70A94031" w14:textId="77777777" w:rsidR="00E47AB8" w:rsidRPr="008B2F8A" w:rsidRDefault="00E47AB8" w:rsidP="00422306">
            <w:pPr>
              <w:spacing w:before="40" w:after="80"/>
              <w:rPr>
                <w:rFonts w:ascii="Arial Narrow" w:hAnsi="Arial Narrow"/>
                <w:b/>
              </w:rPr>
            </w:pPr>
            <w:r w:rsidRPr="008B2F8A">
              <w:rPr>
                <w:rFonts w:ascii="Arial Narrow" w:hAnsi="Arial Narrow"/>
                <w:b/>
                <w:i/>
              </w:rPr>
              <w:t>n</w:t>
            </w:r>
            <w:r w:rsidRPr="008B2F8A">
              <w:rPr>
                <w:rFonts w:ascii="Arial Narrow" w:hAnsi="Arial Narrow"/>
                <w:b/>
              </w:rPr>
              <w:t xml:space="preserve"> women (</w:t>
            </w:r>
            <w:r w:rsidRPr="008B2F8A">
              <w:rPr>
                <w:rFonts w:ascii="Arial Narrow" w:hAnsi="Arial Narrow"/>
                <w:b/>
                <w:i/>
              </w:rPr>
              <w:t>n</w:t>
            </w:r>
            <w:r w:rsidRPr="008B2F8A">
              <w:rPr>
                <w:rFonts w:ascii="Arial Narrow" w:hAnsi="Arial Narrow"/>
                <w:b/>
              </w:rPr>
              <w:t xml:space="preserve"> tests)</w:t>
            </w:r>
          </w:p>
        </w:tc>
        <w:tc>
          <w:tcPr>
            <w:tcW w:w="2698" w:type="dxa"/>
            <w:vAlign w:val="bottom"/>
          </w:tcPr>
          <w:p w14:paraId="28107C5B" w14:textId="77777777" w:rsidR="00E47AB8" w:rsidRPr="008B2F8A" w:rsidRDefault="00E47AB8" w:rsidP="00422306">
            <w:pPr>
              <w:spacing w:before="40" w:after="80"/>
              <w:rPr>
                <w:rFonts w:ascii="Arial Narrow" w:hAnsi="Arial Narrow"/>
                <w:b/>
              </w:rPr>
            </w:pPr>
            <w:r w:rsidRPr="008B2F8A">
              <w:rPr>
                <w:rFonts w:ascii="Arial Narrow" w:hAnsi="Arial Narrow"/>
                <w:b/>
              </w:rPr>
              <w:t>Inclusion/exclusion criteria</w:t>
            </w:r>
          </w:p>
        </w:tc>
        <w:tc>
          <w:tcPr>
            <w:tcW w:w="1136" w:type="dxa"/>
            <w:vAlign w:val="bottom"/>
          </w:tcPr>
          <w:p w14:paraId="1B7F7FE9" w14:textId="77777777" w:rsidR="00E47AB8" w:rsidRPr="008B2F8A" w:rsidRDefault="00E47AB8" w:rsidP="00422306">
            <w:pPr>
              <w:spacing w:before="40" w:after="80"/>
              <w:rPr>
                <w:rFonts w:ascii="Arial Narrow" w:hAnsi="Arial Narrow"/>
                <w:b/>
              </w:rPr>
            </w:pPr>
            <w:r w:rsidRPr="008B2F8A">
              <w:rPr>
                <w:rFonts w:ascii="Arial Narrow" w:hAnsi="Arial Narrow"/>
                <w:b/>
              </w:rPr>
              <w:t>Population—age range (years)</w:t>
            </w:r>
          </w:p>
        </w:tc>
        <w:tc>
          <w:tcPr>
            <w:tcW w:w="1158" w:type="dxa"/>
            <w:vAlign w:val="bottom"/>
          </w:tcPr>
          <w:p w14:paraId="055AC0C0" w14:textId="6979C3A4" w:rsidR="00E47AB8" w:rsidRPr="008B2F8A" w:rsidRDefault="00E47AB8" w:rsidP="008016EF">
            <w:pPr>
              <w:spacing w:before="40" w:after="80"/>
              <w:rPr>
                <w:rFonts w:ascii="Arial Narrow" w:hAnsi="Arial Narrow"/>
                <w:b/>
              </w:rPr>
            </w:pPr>
            <w:r w:rsidRPr="008B2F8A">
              <w:rPr>
                <w:rFonts w:ascii="Arial Narrow" w:hAnsi="Arial Narrow"/>
                <w:b/>
              </w:rPr>
              <w:t>Popul</w:t>
            </w:r>
            <w:r w:rsidR="008016EF">
              <w:rPr>
                <w:rFonts w:ascii="Arial Narrow" w:hAnsi="Arial Narrow"/>
                <w:b/>
              </w:rPr>
              <w:t>.</w:t>
            </w:r>
            <w:r w:rsidRPr="008B2F8A">
              <w:rPr>
                <w:rFonts w:ascii="Arial Narrow" w:hAnsi="Arial Narrow"/>
                <w:b/>
              </w:rPr>
              <w:t>—pers. history of breast cancer (%)</w:t>
            </w:r>
          </w:p>
        </w:tc>
        <w:tc>
          <w:tcPr>
            <w:tcW w:w="1068" w:type="dxa"/>
            <w:vAlign w:val="bottom"/>
          </w:tcPr>
          <w:p w14:paraId="05A13496" w14:textId="77777777" w:rsidR="00E47AB8" w:rsidRPr="008B2F8A" w:rsidRDefault="00E47AB8" w:rsidP="00422306">
            <w:pPr>
              <w:spacing w:before="40" w:after="80"/>
              <w:rPr>
                <w:rFonts w:ascii="Arial Narrow" w:hAnsi="Arial Narrow"/>
                <w:b/>
              </w:rPr>
            </w:pPr>
            <w:r w:rsidRPr="008B2F8A">
              <w:rPr>
                <w:rFonts w:ascii="Arial Narrow" w:hAnsi="Arial Narrow"/>
                <w:b/>
              </w:rPr>
              <w:t>Population—mutation carriers (%)</w:t>
            </w:r>
          </w:p>
        </w:tc>
      </w:tr>
      <w:tr w:rsidR="00E47AB8" w:rsidRPr="008B2F8A" w14:paraId="3A2EF855" w14:textId="77777777" w:rsidTr="00E0615B">
        <w:tc>
          <w:tcPr>
            <w:tcW w:w="880" w:type="dxa"/>
          </w:tcPr>
          <w:p w14:paraId="67E2A831" w14:textId="643D6EFD" w:rsidR="00E47AB8" w:rsidRPr="008B2F8A" w:rsidRDefault="00E47AB8" w:rsidP="00E0615B">
            <w:pPr>
              <w:spacing w:before="40" w:after="80"/>
              <w:rPr>
                <w:rFonts w:ascii="Arial Narrow" w:hAnsi="Arial Narrow"/>
                <w:lang w:eastAsia="en-US"/>
              </w:rPr>
            </w:pPr>
            <w:r>
              <w:rPr>
                <w:rFonts w:ascii="Arial Narrow" w:hAnsi="Arial Narrow"/>
              </w:rPr>
              <w:t>Leach, 2005</w:t>
            </w:r>
            <w:r w:rsidRPr="008B2F8A">
              <w:rPr>
                <w:rFonts w:ascii="Arial Narrow" w:hAnsi="Arial Narrow"/>
              </w:rPr>
              <w:t xml:space="preserve"> </w:t>
            </w:r>
            <w:r w:rsidRPr="008B2F8A">
              <w:rPr>
                <w:rFonts w:ascii="Arial Narrow" w:hAnsi="Arial Narrow"/>
              </w:rPr>
              <w:lastRenderedPageBreak/>
              <w:t>(MARIBS)</w:t>
            </w:r>
          </w:p>
        </w:tc>
        <w:tc>
          <w:tcPr>
            <w:tcW w:w="1136" w:type="dxa"/>
          </w:tcPr>
          <w:p w14:paraId="7D5B3D28"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UK</w:t>
            </w:r>
          </w:p>
          <w:p w14:paraId="3046342C"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22 sites</w:t>
            </w:r>
          </w:p>
          <w:p w14:paraId="104C5394" w14:textId="77777777" w:rsidR="00E47AB8" w:rsidRPr="008B2F8A" w:rsidRDefault="00E47AB8" w:rsidP="00422306">
            <w:pPr>
              <w:spacing w:before="40" w:after="80"/>
              <w:rPr>
                <w:rFonts w:ascii="Arial Narrow" w:hAnsi="Arial Narrow"/>
              </w:rPr>
            </w:pPr>
            <w:r w:rsidRPr="008B2F8A">
              <w:rPr>
                <w:rFonts w:ascii="Arial Narrow" w:hAnsi="Arial Narrow"/>
              </w:rPr>
              <w:t>1997–2004</w:t>
            </w:r>
          </w:p>
        </w:tc>
        <w:tc>
          <w:tcPr>
            <w:tcW w:w="994" w:type="dxa"/>
          </w:tcPr>
          <w:p w14:paraId="5B2F1534"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649 (1</w:t>
            </w:r>
            <w:r>
              <w:rPr>
                <w:rFonts w:ascii="Arial Narrow" w:hAnsi="Arial Narrow"/>
              </w:rPr>
              <w:t>,</w:t>
            </w:r>
            <w:r w:rsidRPr="008B2F8A">
              <w:rPr>
                <w:rFonts w:ascii="Arial Narrow" w:hAnsi="Arial Narrow"/>
              </w:rPr>
              <w:t>881)</w:t>
            </w:r>
          </w:p>
        </w:tc>
        <w:tc>
          <w:tcPr>
            <w:tcW w:w="2698" w:type="dxa"/>
          </w:tcPr>
          <w:p w14:paraId="384D4DD3" w14:textId="77777777" w:rsidR="00E47AB8" w:rsidRPr="008B2F8A" w:rsidRDefault="00E47AB8" w:rsidP="00422306">
            <w:pPr>
              <w:spacing w:before="40" w:after="80"/>
              <w:rPr>
                <w:rFonts w:ascii="Arial Narrow" w:hAnsi="Arial Narrow"/>
              </w:rPr>
            </w:pPr>
            <w:r w:rsidRPr="008B2F8A">
              <w:rPr>
                <w:rFonts w:ascii="Arial Narrow" w:hAnsi="Arial Narrow"/>
              </w:rPr>
              <w:t>Age 35–49</w:t>
            </w:r>
          </w:p>
          <w:p w14:paraId="08AF5AA4" w14:textId="0E86211D" w:rsidR="00E47AB8" w:rsidRPr="008B2F8A" w:rsidRDefault="00E47AB8" w:rsidP="00422306">
            <w:pPr>
              <w:spacing w:before="40" w:after="80"/>
              <w:rPr>
                <w:rFonts w:ascii="Arial Narrow" w:hAnsi="Arial Narrow"/>
              </w:rPr>
            </w:pPr>
            <w:r w:rsidRPr="008B2F8A">
              <w:rPr>
                <w:rFonts w:ascii="Arial Narrow" w:hAnsi="Arial Narrow"/>
              </w:rPr>
              <w:t xml:space="preserve">Asymptomatic women at high </w:t>
            </w:r>
            <w:r w:rsidRPr="008B2F8A">
              <w:rPr>
                <w:rFonts w:ascii="Arial Narrow" w:hAnsi="Arial Narrow"/>
              </w:rPr>
              <w:lastRenderedPageBreak/>
              <w:t xml:space="preserve">risk (known </w:t>
            </w:r>
            <w:r w:rsidRPr="008B2F8A">
              <w:rPr>
                <w:rFonts w:ascii="Arial Narrow" w:hAnsi="Arial Narrow"/>
                <w:i/>
              </w:rPr>
              <w:t>BRCA1</w:t>
            </w:r>
            <w:r w:rsidRPr="008B2F8A">
              <w:rPr>
                <w:rFonts w:ascii="Arial Narrow" w:hAnsi="Arial Narrow"/>
              </w:rPr>
              <w:t xml:space="preserve">/2 or </w:t>
            </w:r>
            <w:r w:rsidRPr="008B2F8A">
              <w:rPr>
                <w:rFonts w:ascii="Arial Narrow" w:hAnsi="Arial Narrow"/>
                <w:i/>
              </w:rPr>
              <w:t>TP53</w:t>
            </w:r>
            <w:r w:rsidRPr="008B2F8A">
              <w:rPr>
                <w:rFonts w:ascii="Arial Narrow" w:hAnsi="Arial Narrow"/>
              </w:rPr>
              <w:t xml:space="preserve"> mutation; </w:t>
            </w:r>
            <w:r>
              <w:rPr>
                <w:rFonts w:ascii="Arial Narrow" w:hAnsi="Arial Narrow"/>
              </w:rPr>
              <w:t>fir</w:t>
            </w:r>
            <w:r w:rsidRPr="008B2F8A">
              <w:rPr>
                <w:rFonts w:ascii="Arial Narrow" w:hAnsi="Arial Narrow"/>
              </w:rPr>
              <w:t>st</w:t>
            </w:r>
            <w:r>
              <w:rPr>
                <w:rFonts w:ascii="Arial Narrow" w:hAnsi="Arial Narrow"/>
              </w:rPr>
              <w:t>-</w:t>
            </w:r>
            <w:r w:rsidRPr="008B2F8A">
              <w:rPr>
                <w:rFonts w:ascii="Arial Narrow" w:hAnsi="Arial Narrow"/>
              </w:rPr>
              <w:t>degree relative with known mutation; strong family history)</w:t>
            </w:r>
          </w:p>
          <w:p w14:paraId="4A3507E4" w14:textId="77777777" w:rsidR="00E47AB8" w:rsidRPr="008B2F8A" w:rsidRDefault="00E47AB8" w:rsidP="00422306">
            <w:pPr>
              <w:spacing w:before="40" w:after="80"/>
              <w:rPr>
                <w:rFonts w:ascii="Arial Narrow" w:hAnsi="Arial Narrow"/>
              </w:rPr>
            </w:pPr>
            <w:r w:rsidRPr="008B2F8A">
              <w:rPr>
                <w:rFonts w:ascii="Arial Narrow" w:hAnsi="Arial Narrow"/>
              </w:rPr>
              <w:t>Excluded if had a prior history of breast cancer or tested negative to genetic test during study</w:t>
            </w:r>
          </w:p>
        </w:tc>
        <w:tc>
          <w:tcPr>
            <w:tcW w:w="1136" w:type="dxa"/>
          </w:tcPr>
          <w:p w14:paraId="6F7C8626" w14:textId="4AB11DFE" w:rsidR="00E47AB8" w:rsidRPr="008B2F8A" w:rsidRDefault="00E47AB8" w:rsidP="00422306">
            <w:pPr>
              <w:spacing w:before="40" w:after="80"/>
              <w:rPr>
                <w:rFonts w:ascii="Arial Narrow" w:hAnsi="Arial Narrow"/>
              </w:rPr>
            </w:pPr>
            <w:r w:rsidRPr="008B2F8A">
              <w:rPr>
                <w:rFonts w:ascii="Arial Narrow" w:hAnsi="Arial Narrow"/>
              </w:rPr>
              <w:lastRenderedPageBreak/>
              <w:t>31–55 (median 40)</w:t>
            </w:r>
          </w:p>
          <w:p w14:paraId="17335538" w14:textId="07D8658E" w:rsidR="00E47AB8" w:rsidRPr="008B2F8A" w:rsidRDefault="00E47AB8" w:rsidP="00422306">
            <w:pPr>
              <w:spacing w:before="40" w:after="80"/>
              <w:rPr>
                <w:rFonts w:ascii="Arial Narrow" w:hAnsi="Arial Narrow"/>
              </w:rPr>
            </w:pPr>
            <w:r w:rsidRPr="008B2F8A">
              <w:rPr>
                <w:rFonts w:ascii="Arial Narrow" w:hAnsi="Arial Narrow"/>
              </w:rPr>
              <w:lastRenderedPageBreak/>
              <w:t>99% ≤50</w:t>
            </w:r>
          </w:p>
        </w:tc>
        <w:tc>
          <w:tcPr>
            <w:tcW w:w="1158" w:type="dxa"/>
          </w:tcPr>
          <w:p w14:paraId="27591119"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0%</w:t>
            </w:r>
          </w:p>
        </w:tc>
        <w:tc>
          <w:tcPr>
            <w:tcW w:w="1068" w:type="dxa"/>
          </w:tcPr>
          <w:p w14:paraId="1EF1B810" w14:textId="77777777" w:rsidR="00E47AB8" w:rsidRPr="008B2F8A" w:rsidRDefault="00E47AB8" w:rsidP="00422306">
            <w:pPr>
              <w:spacing w:before="40" w:after="80"/>
              <w:rPr>
                <w:rFonts w:ascii="Arial Narrow" w:hAnsi="Arial Narrow"/>
              </w:rPr>
            </w:pPr>
            <w:r w:rsidRPr="008B2F8A">
              <w:rPr>
                <w:rFonts w:ascii="Arial Narrow" w:hAnsi="Arial Narrow"/>
              </w:rPr>
              <w:t>18%</w:t>
            </w:r>
          </w:p>
        </w:tc>
      </w:tr>
      <w:tr w:rsidR="00E47AB8" w:rsidRPr="008B2F8A" w14:paraId="4FE6ECF2" w14:textId="77777777" w:rsidTr="00E0615B">
        <w:tc>
          <w:tcPr>
            <w:tcW w:w="880" w:type="dxa"/>
          </w:tcPr>
          <w:p w14:paraId="36F9A966" w14:textId="13BCA89E" w:rsidR="00E47AB8" w:rsidRPr="008B2F8A" w:rsidRDefault="00E47AB8" w:rsidP="00422306">
            <w:pPr>
              <w:spacing w:before="40" w:after="80"/>
              <w:rPr>
                <w:rFonts w:ascii="Arial Narrow" w:hAnsi="Arial Narrow"/>
              </w:rPr>
            </w:pPr>
            <w:r>
              <w:rPr>
                <w:rFonts w:ascii="Arial Narrow" w:hAnsi="Arial Narrow"/>
              </w:rPr>
              <w:lastRenderedPageBreak/>
              <w:t>Kuhl et al, 2005</w:t>
            </w:r>
          </w:p>
        </w:tc>
        <w:tc>
          <w:tcPr>
            <w:tcW w:w="1136" w:type="dxa"/>
          </w:tcPr>
          <w:p w14:paraId="22E483B3" w14:textId="77777777" w:rsidR="00E47AB8" w:rsidRPr="008B2F8A" w:rsidRDefault="00E47AB8" w:rsidP="00422306">
            <w:pPr>
              <w:spacing w:before="40" w:after="80"/>
              <w:rPr>
                <w:rFonts w:ascii="Arial Narrow" w:hAnsi="Arial Narrow"/>
              </w:rPr>
            </w:pPr>
            <w:r w:rsidRPr="008B2F8A">
              <w:rPr>
                <w:rFonts w:ascii="Arial Narrow" w:hAnsi="Arial Narrow"/>
              </w:rPr>
              <w:t>Germany</w:t>
            </w:r>
          </w:p>
          <w:p w14:paraId="339D351B" w14:textId="77777777" w:rsidR="00E47AB8" w:rsidRPr="008B2F8A" w:rsidRDefault="00E47AB8" w:rsidP="00422306">
            <w:pPr>
              <w:spacing w:before="40" w:after="80"/>
              <w:rPr>
                <w:rFonts w:ascii="Arial Narrow" w:hAnsi="Arial Narrow"/>
              </w:rPr>
            </w:pPr>
            <w:r w:rsidRPr="008B2F8A">
              <w:rPr>
                <w:rFonts w:ascii="Arial Narrow" w:hAnsi="Arial Narrow"/>
              </w:rPr>
              <w:t>Single centre</w:t>
            </w:r>
          </w:p>
          <w:p w14:paraId="310B26CC" w14:textId="77777777" w:rsidR="00E47AB8" w:rsidRPr="008B2F8A" w:rsidRDefault="00E47AB8" w:rsidP="00422306">
            <w:pPr>
              <w:spacing w:before="40" w:after="80"/>
              <w:rPr>
                <w:rFonts w:ascii="Arial Narrow" w:hAnsi="Arial Narrow"/>
              </w:rPr>
            </w:pPr>
            <w:r w:rsidRPr="008B2F8A">
              <w:rPr>
                <w:rFonts w:ascii="Arial Narrow" w:hAnsi="Arial Narrow"/>
              </w:rPr>
              <w:t>1996–2001</w:t>
            </w:r>
          </w:p>
        </w:tc>
        <w:tc>
          <w:tcPr>
            <w:tcW w:w="994" w:type="dxa"/>
          </w:tcPr>
          <w:p w14:paraId="13DC3FB9" w14:textId="77777777" w:rsidR="00E47AB8" w:rsidRPr="008B2F8A" w:rsidRDefault="00E47AB8" w:rsidP="00422306">
            <w:pPr>
              <w:spacing w:before="40" w:after="80"/>
              <w:rPr>
                <w:rFonts w:ascii="Arial Narrow" w:hAnsi="Arial Narrow"/>
              </w:rPr>
            </w:pPr>
            <w:r w:rsidRPr="008B2F8A">
              <w:rPr>
                <w:rFonts w:ascii="Arial Narrow" w:hAnsi="Arial Narrow"/>
              </w:rPr>
              <w:t>529 (1,452)</w:t>
            </w:r>
          </w:p>
        </w:tc>
        <w:tc>
          <w:tcPr>
            <w:tcW w:w="2698" w:type="dxa"/>
          </w:tcPr>
          <w:p w14:paraId="038546FF" w14:textId="77777777" w:rsidR="00E47AB8" w:rsidRPr="008B2F8A" w:rsidRDefault="00E47AB8" w:rsidP="00422306">
            <w:pPr>
              <w:spacing w:before="40" w:after="80"/>
              <w:rPr>
                <w:rFonts w:ascii="Arial Narrow" w:hAnsi="Arial Narrow"/>
              </w:rPr>
            </w:pPr>
            <w:r w:rsidRPr="008B2F8A">
              <w:rPr>
                <w:rFonts w:ascii="Arial Narrow" w:hAnsi="Arial Narrow"/>
              </w:rPr>
              <w:t>Asymptomatic, high risk (≥20% cumulative lifetime risk using Claus model)</w:t>
            </w:r>
          </w:p>
          <w:p w14:paraId="2B014D40" w14:textId="7F486E76" w:rsidR="00E47AB8" w:rsidRPr="008B2F8A" w:rsidRDefault="00E47AB8" w:rsidP="00422306">
            <w:pPr>
              <w:spacing w:before="40" w:after="80"/>
              <w:rPr>
                <w:rFonts w:ascii="Arial Narrow" w:hAnsi="Arial Narrow"/>
              </w:rPr>
            </w:pPr>
            <w:r w:rsidRPr="008B2F8A">
              <w:rPr>
                <w:rFonts w:ascii="Arial Narrow" w:hAnsi="Arial Narrow"/>
              </w:rPr>
              <w:t>Starting at age 30 or 5 years before youngest family member affected by breast cancer</w:t>
            </w:r>
          </w:p>
        </w:tc>
        <w:tc>
          <w:tcPr>
            <w:tcW w:w="1136" w:type="dxa"/>
          </w:tcPr>
          <w:p w14:paraId="6BFD54F5" w14:textId="18C2AE97" w:rsidR="00E47AB8" w:rsidRPr="008B2F8A" w:rsidRDefault="00E47AB8" w:rsidP="00422306">
            <w:pPr>
              <w:spacing w:before="40" w:after="80"/>
              <w:rPr>
                <w:rFonts w:ascii="Arial Narrow" w:hAnsi="Arial Narrow"/>
              </w:rPr>
            </w:pPr>
            <w:r w:rsidRPr="008B2F8A">
              <w:rPr>
                <w:rFonts w:ascii="Arial Narrow" w:hAnsi="Arial Narrow"/>
              </w:rPr>
              <w:t>27–59 (median 40)</w:t>
            </w:r>
          </w:p>
        </w:tc>
        <w:tc>
          <w:tcPr>
            <w:tcW w:w="1158" w:type="dxa"/>
          </w:tcPr>
          <w:p w14:paraId="70B12A7F" w14:textId="77777777" w:rsidR="00E47AB8" w:rsidRPr="008B2F8A" w:rsidRDefault="00E47AB8" w:rsidP="00422306">
            <w:pPr>
              <w:spacing w:before="40" w:after="80"/>
              <w:rPr>
                <w:rFonts w:ascii="Arial Narrow" w:hAnsi="Arial Narrow"/>
              </w:rPr>
            </w:pPr>
            <w:r w:rsidRPr="008B2F8A">
              <w:rPr>
                <w:rFonts w:ascii="Arial Narrow" w:hAnsi="Arial Narrow"/>
              </w:rPr>
              <w:t>26%</w:t>
            </w:r>
          </w:p>
        </w:tc>
        <w:tc>
          <w:tcPr>
            <w:tcW w:w="1068" w:type="dxa"/>
          </w:tcPr>
          <w:p w14:paraId="57B82EC4" w14:textId="77777777" w:rsidR="00E47AB8" w:rsidRPr="008B2F8A" w:rsidRDefault="00E47AB8" w:rsidP="00422306">
            <w:pPr>
              <w:spacing w:before="40" w:after="80"/>
              <w:rPr>
                <w:rFonts w:ascii="Arial Narrow" w:hAnsi="Arial Narrow"/>
              </w:rPr>
            </w:pPr>
            <w:r w:rsidRPr="008B2F8A">
              <w:rPr>
                <w:rFonts w:ascii="Arial Narrow" w:hAnsi="Arial Narrow"/>
              </w:rPr>
              <w:t>8%</w:t>
            </w:r>
          </w:p>
        </w:tc>
      </w:tr>
      <w:tr w:rsidR="00E47AB8" w:rsidRPr="008B2F8A" w14:paraId="1B2102A7" w14:textId="77777777" w:rsidTr="00E0615B">
        <w:tc>
          <w:tcPr>
            <w:tcW w:w="880" w:type="dxa"/>
          </w:tcPr>
          <w:p w14:paraId="691CCE49" w14:textId="7FB084C8" w:rsidR="00E47AB8" w:rsidRPr="008B2F8A" w:rsidRDefault="00E47AB8" w:rsidP="00422306">
            <w:pPr>
              <w:spacing w:before="40" w:after="80"/>
              <w:rPr>
                <w:rFonts w:ascii="Arial Narrow" w:hAnsi="Arial Narrow"/>
              </w:rPr>
            </w:pPr>
            <w:r>
              <w:rPr>
                <w:rFonts w:ascii="Arial Narrow" w:hAnsi="Arial Narrow"/>
              </w:rPr>
              <w:t>Warner et al, 2004</w:t>
            </w:r>
          </w:p>
        </w:tc>
        <w:tc>
          <w:tcPr>
            <w:tcW w:w="1136" w:type="dxa"/>
          </w:tcPr>
          <w:p w14:paraId="1122C693" w14:textId="77777777" w:rsidR="00E47AB8" w:rsidRPr="008B2F8A" w:rsidRDefault="00E47AB8" w:rsidP="00422306">
            <w:pPr>
              <w:spacing w:before="40" w:after="80"/>
              <w:rPr>
                <w:rFonts w:ascii="Arial Narrow" w:hAnsi="Arial Narrow"/>
              </w:rPr>
            </w:pPr>
            <w:r w:rsidRPr="008B2F8A">
              <w:rPr>
                <w:rFonts w:ascii="Arial Narrow" w:hAnsi="Arial Narrow"/>
              </w:rPr>
              <w:t>Canada</w:t>
            </w:r>
          </w:p>
          <w:p w14:paraId="7E28B922" w14:textId="77777777" w:rsidR="00E47AB8" w:rsidRPr="008B2F8A" w:rsidRDefault="00E47AB8" w:rsidP="00422306">
            <w:pPr>
              <w:spacing w:before="40" w:after="80"/>
              <w:rPr>
                <w:rFonts w:ascii="Arial Narrow" w:hAnsi="Arial Narrow"/>
              </w:rPr>
            </w:pPr>
            <w:r w:rsidRPr="008B2F8A">
              <w:rPr>
                <w:rFonts w:ascii="Arial Narrow" w:hAnsi="Arial Narrow"/>
              </w:rPr>
              <w:t>Single centre</w:t>
            </w:r>
          </w:p>
          <w:p w14:paraId="7B535558" w14:textId="77777777" w:rsidR="00E47AB8" w:rsidRPr="008B2F8A" w:rsidRDefault="00E47AB8" w:rsidP="00422306">
            <w:pPr>
              <w:spacing w:before="40" w:after="80"/>
              <w:rPr>
                <w:rFonts w:ascii="Arial Narrow" w:hAnsi="Arial Narrow"/>
              </w:rPr>
            </w:pPr>
            <w:r w:rsidRPr="008B2F8A">
              <w:rPr>
                <w:rFonts w:ascii="Arial Narrow" w:hAnsi="Arial Narrow"/>
              </w:rPr>
              <w:t>1997–2009</w:t>
            </w:r>
          </w:p>
        </w:tc>
        <w:tc>
          <w:tcPr>
            <w:tcW w:w="994" w:type="dxa"/>
          </w:tcPr>
          <w:p w14:paraId="46FE04E2" w14:textId="77777777" w:rsidR="00E47AB8" w:rsidRPr="008B2F8A" w:rsidRDefault="00E47AB8" w:rsidP="00422306">
            <w:pPr>
              <w:spacing w:before="40" w:after="80"/>
              <w:rPr>
                <w:rFonts w:ascii="Arial Narrow" w:hAnsi="Arial Narrow"/>
              </w:rPr>
            </w:pPr>
            <w:r w:rsidRPr="008B2F8A">
              <w:rPr>
                <w:rFonts w:ascii="Arial Narrow" w:hAnsi="Arial Narrow"/>
              </w:rPr>
              <w:t>496 (1</w:t>
            </w:r>
            <w:r>
              <w:rPr>
                <w:rFonts w:ascii="Arial Narrow" w:hAnsi="Arial Narrow"/>
              </w:rPr>
              <w:t>,</w:t>
            </w:r>
            <w:r w:rsidRPr="008B2F8A">
              <w:rPr>
                <w:rFonts w:ascii="Arial Narrow" w:hAnsi="Arial Narrow"/>
              </w:rPr>
              <w:t>847)</w:t>
            </w:r>
          </w:p>
        </w:tc>
        <w:tc>
          <w:tcPr>
            <w:tcW w:w="2698" w:type="dxa"/>
          </w:tcPr>
          <w:p w14:paraId="1A0E2BF1" w14:textId="31E2FA1F" w:rsidR="00E47AB8" w:rsidRPr="008B2F8A" w:rsidRDefault="00E47AB8" w:rsidP="00422306">
            <w:pPr>
              <w:spacing w:before="40" w:after="80"/>
              <w:rPr>
                <w:rFonts w:ascii="Arial Narrow" w:hAnsi="Arial Narrow"/>
              </w:rPr>
            </w:pPr>
            <w:r w:rsidRPr="008B2F8A">
              <w:rPr>
                <w:rFonts w:ascii="Arial Narrow" w:hAnsi="Arial Narrow"/>
              </w:rPr>
              <w:t>Asymptomatic (?), high risk (</w:t>
            </w:r>
            <w:r w:rsidRPr="008B2F8A">
              <w:rPr>
                <w:rFonts w:ascii="Arial Narrow" w:hAnsi="Arial Narrow"/>
                <w:i/>
              </w:rPr>
              <w:t>BRCA1</w:t>
            </w:r>
            <w:r w:rsidRPr="008B2F8A">
              <w:rPr>
                <w:rFonts w:ascii="Arial Narrow" w:hAnsi="Arial Narrow"/>
              </w:rPr>
              <w:t>/2 mutation carriers) or prior history of breast cancer (until 2004). Age 25–65 years</w:t>
            </w:r>
          </w:p>
          <w:p w14:paraId="2CB88E39" w14:textId="69BF2FC9" w:rsidR="00E47AB8" w:rsidRPr="008B2F8A" w:rsidRDefault="00E47AB8" w:rsidP="00422306">
            <w:pPr>
              <w:spacing w:before="40" w:after="80"/>
              <w:rPr>
                <w:rFonts w:ascii="Arial Narrow" w:hAnsi="Arial Narrow"/>
              </w:rPr>
            </w:pPr>
            <w:r w:rsidRPr="008B2F8A">
              <w:rPr>
                <w:rFonts w:ascii="Arial Narrow" w:hAnsi="Arial Narrow"/>
              </w:rPr>
              <w:t>Excluded if history of bilateral breast cancer and undergoing chemotherapy, or ha</w:t>
            </w:r>
            <w:r>
              <w:rPr>
                <w:rFonts w:ascii="Arial Narrow" w:hAnsi="Arial Narrow"/>
              </w:rPr>
              <w:t>d</w:t>
            </w:r>
            <w:r w:rsidRPr="008B2F8A">
              <w:rPr>
                <w:rFonts w:ascii="Arial Narrow" w:hAnsi="Arial Narrow"/>
              </w:rPr>
              <w:t xml:space="preserve"> metastatic disease, or &gt;91 kg</w:t>
            </w:r>
          </w:p>
        </w:tc>
        <w:tc>
          <w:tcPr>
            <w:tcW w:w="1136" w:type="dxa"/>
          </w:tcPr>
          <w:p w14:paraId="3F34FA19" w14:textId="66991A9E" w:rsidR="00E47AB8" w:rsidRPr="008B2F8A" w:rsidRDefault="00E47AB8" w:rsidP="00422306">
            <w:pPr>
              <w:spacing w:before="40" w:after="80"/>
              <w:rPr>
                <w:rFonts w:ascii="Arial Narrow" w:hAnsi="Arial Narrow"/>
              </w:rPr>
            </w:pPr>
            <w:r w:rsidRPr="008B2F8A">
              <w:rPr>
                <w:rFonts w:ascii="Arial Narrow" w:hAnsi="Arial Narrow"/>
              </w:rPr>
              <w:t>25–66 (median 44)</w:t>
            </w:r>
          </w:p>
        </w:tc>
        <w:tc>
          <w:tcPr>
            <w:tcW w:w="1158" w:type="dxa"/>
          </w:tcPr>
          <w:p w14:paraId="6E6B5F4E" w14:textId="77777777" w:rsidR="00E47AB8" w:rsidRPr="008B2F8A" w:rsidRDefault="00E47AB8" w:rsidP="00422306">
            <w:pPr>
              <w:spacing w:before="40" w:after="80"/>
              <w:rPr>
                <w:rFonts w:ascii="Arial Narrow" w:hAnsi="Arial Narrow"/>
              </w:rPr>
            </w:pPr>
            <w:r w:rsidRPr="008B2F8A">
              <w:rPr>
                <w:rFonts w:ascii="Arial Narrow" w:hAnsi="Arial Narrow"/>
              </w:rPr>
              <w:t>18%</w:t>
            </w:r>
          </w:p>
          <w:p w14:paraId="28342574" w14:textId="77777777" w:rsidR="00E47AB8" w:rsidRPr="008B2F8A" w:rsidRDefault="00E47AB8" w:rsidP="00422306">
            <w:pPr>
              <w:spacing w:before="40" w:after="80"/>
              <w:rPr>
                <w:rFonts w:ascii="Arial Narrow" w:hAnsi="Arial Narrow"/>
              </w:rPr>
            </w:pPr>
            <w:r w:rsidRPr="008B2F8A">
              <w:rPr>
                <w:rFonts w:ascii="Arial Narrow" w:hAnsi="Arial Narrow"/>
              </w:rPr>
              <w:t>(23% breast or ovarian)</w:t>
            </w:r>
          </w:p>
        </w:tc>
        <w:tc>
          <w:tcPr>
            <w:tcW w:w="1068" w:type="dxa"/>
          </w:tcPr>
          <w:p w14:paraId="738D9F31" w14:textId="77777777" w:rsidR="00E47AB8" w:rsidRPr="008B2F8A" w:rsidRDefault="00E47AB8" w:rsidP="00422306">
            <w:pPr>
              <w:spacing w:before="40" w:after="80"/>
              <w:rPr>
                <w:rFonts w:ascii="Arial Narrow" w:hAnsi="Arial Narrow"/>
              </w:rPr>
            </w:pPr>
            <w:r w:rsidRPr="008B2F8A">
              <w:rPr>
                <w:rFonts w:ascii="Arial Narrow" w:hAnsi="Arial Narrow"/>
              </w:rPr>
              <w:t>100%</w:t>
            </w:r>
          </w:p>
        </w:tc>
      </w:tr>
      <w:tr w:rsidR="00E47AB8" w:rsidRPr="008B2F8A" w14:paraId="77301A0C" w14:textId="77777777" w:rsidTr="00E0615B">
        <w:tc>
          <w:tcPr>
            <w:tcW w:w="880" w:type="dxa"/>
          </w:tcPr>
          <w:p w14:paraId="5C6F9137" w14:textId="06B848E8" w:rsidR="00E47AB8" w:rsidRPr="008B2F8A" w:rsidRDefault="00E47AB8" w:rsidP="00422306">
            <w:pPr>
              <w:spacing w:before="40" w:after="80"/>
              <w:rPr>
                <w:rFonts w:ascii="Arial Narrow" w:hAnsi="Arial Narrow"/>
              </w:rPr>
            </w:pPr>
            <w:r>
              <w:rPr>
                <w:rFonts w:ascii="Arial Narrow" w:hAnsi="Arial Narrow"/>
              </w:rPr>
              <w:t>Kriege et al, 2006</w:t>
            </w:r>
            <w:r w:rsidR="00503CE9">
              <w:rPr>
                <w:rFonts w:ascii="Arial Narrow" w:hAnsi="Arial Narrow"/>
              </w:rPr>
              <w:t>b</w:t>
            </w:r>
            <w:r w:rsidRPr="008B2F8A">
              <w:rPr>
                <w:rFonts w:ascii="Arial Narrow" w:hAnsi="Arial Narrow"/>
              </w:rPr>
              <w:t xml:space="preserve"> (MRISC)</w:t>
            </w:r>
          </w:p>
        </w:tc>
        <w:tc>
          <w:tcPr>
            <w:tcW w:w="1136" w:type="dxa"/>
          </w:tcPr>
          <w:p w14:paraId="3F22CEEF" w14:textId="77777777" w:rsidR="00E47AB8" w:rsidRPr="008B2F8A" w:rsidRDefault="00E47AB8" w:rsidP="00422306">
            <w:pPr>
              <w:spacing w:before="40" w:after="80"/>
              <w:rPr>
                <w:rFonts w:ascii="Arial Narrow" w:hAnsi="Arial Narrow"/>
              </w:rPr>
            </w:pPr>
            <w:r w:rsidRPr="008B2F8A">
              <w:rPr>
                <w:rFonts w:ascii="Arial Narrow" w:hAnsi="Arial Narrow"/>
              </w:rPr>
              <w:t>Netherlands</w:t>
            </w:r>
          </w:p>
          <w:p w14:paraId="35698C81" w14:textId="77777777" w:rsidR="00E47AB8" w:rsidRPr="008B2F8A" w:rsidRDefault="00E47AB8" w:rsidP="00422306">
            <w:pPr>
              <w:spacing w:before="40" w:after="80"/>
              <w:rPr>
                <w:rFonts w:ascii="Arial Narrow" w:hAnsi="Arial Narrow"/>
              </w:rPr>
            </w:pPr>
            <w:r w:rsidRPr="008B2F8A">
              <w:rPr>
                <w:rFonts w:ascii="Arial Narrow" w:hAnsi="Arial Narrow"/>
              </w:rPr>
              <w:t>Six sites</w:t>
            </w:r>
          </w:p>
          <w:p w14:paraId="2D3FF6FF" w14:textId="77777777" w:rsidR="00E47AB8" w:rsidRPr="008B2F8A" w:rsidRDefault="00E47AB8" w:rsidP="00422306">
            <w:pPr>
              <w:spacing w:before="40" w:after="80"/>
              <w:rPr>
                <w:rFonts w:ascii="Arial Narrow" w:hAnsi="Arial Narrow"/>
              </w:rPr>
            </w:pPr>
            <w:r w:rsidRPr="008B2F8A">
              <w:rPr>
                <w:rFonts w:ascii="Arial Narrow" w:hAnsi="Arial Narrow"/>
              </w:rPr>
              <w:t>1999–2006</w:t>
            </w:r>
          </w:p>
        </w:tc>
        <w:tc>
          <w:tcPr>
            <w:tcW w:w="994" w:type="dxa"/>
          </w:tcPr>
          <w:p w14:paraId="09F36F14" w14:textId="1A523D01" w:rsidR="00E47AB8" w:rsidRPr="008B2F8A" w:rsidRDefault="00E47AB8" w:rsidP="00422306">
            <w:pPr>
              <w:spacing w:before="40" w:after="80"/>
              <w:rPr>
                <w:rFonts w:ascii="Arial Narrow" w:hAnsi="Arial Narrow"/>
              </w:rPr>
            </w:pPr>
            <w:r w:rsidRPr="008B2F8A">
              <w:rPr>
                <w:rFonts w:ascii="Arial Narrow" w:hAnsi="Arial Narrow"/>
              </w:rPr>
              <w:t>1,909 (4,169</w:t>
            </w:r>
            <w:r>
              <w:rPr>
                <w:rFonts w:ascii="Arial Narrow" w:hAnsi="Arial Narrow"/>
              </w:rPr>
              <w:t>:</w:t>
            </w:r>
            <w:r w:rsidRPr="008B2F8A">
              <w:rPr>
                <w:rFonts w:ascii="Arial Narrow" w:hAnsi="Arial Narrow"/>
              </w:rPr>
              <w:t xml:space="preserve"> 3,075 in pre-menopausal women) (2006 analysis)</w:t>
            </w:r>
          </w:p>
          <w:p w14:paraId="5AF90EF5" w14:textId="77777777" w:rsidR="00E47AB8" w:rsidRPr="008B2F8A" w:rsidRDefault="00E47AB8" w:rsidP="00422306">
            <w:pPr>
              <w:spacing w:before="40" w:after="80"/>
              <w:rPr>
                <w:rFonts w:ascii="Arial Narrow" w:hAnsi="Arial Narrow"/>
              </w:rPr>
            </w:pPr>
            <w:r w:rsidRPr="008B2F8A">
              <w:rPr>
                <w:rFonts w:ascii="Arial Narrow" w:hAnsi="Arial Narrow"/>
              </w:rPr>
              <w:t>2,275 (2010 analysis)</w:t>
            </w:r>
          </w:p>
        </w:tc>
        <w:tc>
          <w:tcPr>
            <w:tcW w:w="2698" w:type="dxa"/>
          </w:tcPr>
          <w:p w14:paraId="1FBFABCA" w14:textId="3AABCF29" w:rsidR="00E47AB8" w:rsidRPr="008B2F8A" w:rsidRDefault="00E47AB8" w:rsidP="00422306">
            <w:pPr>
              <w:spacing w:before="40" w:after="80"/>
              <w:rPr>
                <w:rFonts w:ascii="Arial Narrow" w:hAnsi="Arial Narrow"/>
              </w:rPr>
            </w:pPr>
            <w:r w:rsidRPr="008B2F8A">
              <w:rPr>
                <w:rFonts w:ascii="Arial Narrow" w:hAnsi="Arial Narrow"/>
              </w:rPr>
              <w:t>Asymptomatic, high risk (</w:t>
            </w:r>
            <w:r w:rsidRPr="008B2F8A">
              <w:rPr>
                <w:rFonts w:ascii="Arial Narrow" w:hAnsi="Arial Narrow"/>
                <w:i/>
              </w:rPr>
              <w:t>BRCA1</w:t>
            </w:r>
            <w:r w:rsidRPr="008B2F8A">
              <w:rPr>
                <w:rFonts w:ascii="Arial Narrow" w:hAnsi="Arial Narrow"/>
              </w:rPr>
              <w:t xml:space="preserve">/2 or other mutations, or </w:t>
            </w:r>
            <w:bookmarkStart w:id="684" w:name="OLE_LINK315"/>
            <w:bookmarkStart w:id="685" w:name="OLE_LINK316"/>
            <w:bookmarkStart w:id="686" w:name="OLE_LINK105"/>
            <w:bookmarkStart w:id="687" w:name="OLE_LINK106"/>
            <w:r w:rsidRPr="008B2F8A">
              <w:rPr>
                <w:rFonts w:ascii="Arial Narrow" w:hAnsi="Arial Narrow"/>
              </w:rPr>
              <w:t>cumulative lifetime risk</w:t>
            </w:r>
            <w:r w:rsidRPr="008B2F8A" w:rsidDel="003C6BC8">
              <w:rPr>
                <w:rFonts w:ascii="Arial Narrow" w:hAnsi="Arial Narrow"/>
              </w:rPr>
              <w:t xml:space="preserve"> </w:t>
            </w:r>
            <w:bookmarkEnd w:id="684"/>
            <w:bookmarkEnd w:id="685"/>
            <w:bookmarkEnd w:id="686"/>
            <w:bookmarkEnd w:id="687"/>
            <w:r w:rsidRPr="008B2F8A">
              <w:rPr>
                <w:rFonts w:ascii="Arial Narrow" w:hAnsi="Arial Narrow"/>
              </w:rPr>
              <w:t>≥15%)</w:t>
            </w:r>
          </w:p>
          <w:p w14:paraId="172E359C" w14:textId="77777777" w:rsidR="00E47AB8" w:rsidRPr="008B2F8A" w:rsidRDefault="00E47AB8" w:rsidP="00422306">
            <w:pPr>
              <w:spacing w:before="40" w:after="80"/>
              <w:rPr>
                <w:rFonts w:ascii="Arial Narrow" w:hAnsi="Arial Narrow"/>
              </w:rPr>
            </w:pPr>
            <w:r w:rsidRPr="008B2F8A">
              <w:rPr>
                <w:rFonts w:ascii="Arial Narrow" w:hAnsi="Arial Narrow"/>
              </w:rPr>
              <w:t>Age 25–70 years</w:t>
            </w:r>
          </w:p>
        </w:tc>
        <w:tc>
          <w:tcPr>
            <w:tcW w:w="1136" w:type="dxa"/>
          </w:tcPr>
          <w:p w14:paraId="62CB5140" w14:textId="6C371C4D" w:rsidR="00E47AB8" w:rsidRPr="008B2F8A" w:rsidRDefault="00E47AB8" w:rsidP="00422306">
            <w:pPr>
              <w:spacing w:before="40" w:after="80"/>
              <w:rPr>
                <w:rFonts w:ascii="Arial Narrow" w:hAnsi="Arial Narrow"/>
              </w:rPr>
            </w:pPr>
            <w:r w:rsidRPr="008B2F8A">
              <w:rPr>
                <w:rFonts w:ascii="Arial Narrow" w:hAnsi="Arial Narrow"/>
              </w:rPr>
              <w:t>19–75 (mean 40.1)</w:t>
            </w:r>
          </w:p>
          <w:p w14:paraId="2CF8EB34" w14:textId="77777777" w:rsidR="00E47AB8" w:rsidRPr="008B2F8A" w:rsidRDefault="00E47AB8" w:rsidP="00422306">
            <w:pPr>
              <w:spacing w:before="40" w:after="80"/>
              <w:rPr>
                <w:rFonts w:ascii="Arial Narrow" w:hAnsi="Arial Narrow"/>
              </w:rPr>
            </w:pPr>
            <w:r w:rsidRPr="008B2F8A">
              <w:rPr>
                <w:rFonts w:ascii="Arial Narrow" w:hAnsi="Arial Narrow"/>
              </w:rPr>
              <w:t>NB: pre-menopausal women used for diagnostic accuracy</w:t>
            </w:r>
          </w:p>
        </w:tc>
        <w:tc>
          <w:tcPr>
            <w:tcW w:w="1158" w:type="dxa"/>
          </w:tcPr>
          <w:p w14:paraId="6463F365" w14:textId="77777777" w:rsidR="00E47AB8" w:rsidRPr="008B2F8A" w:rsidRDefault="00E47AB8" w:rsidP="00422306">
            <w:pPr>
              <w:spacing w:before="40" w:after="80"/>
              <w:rPr>
                <w:rFonts w:ascii="Arial Narrow" w:hAnsi="Arial Narrow"/>
              </w:rPr>
            </w:pPr>
            <w:r w:rsidRPr="008B2F8A">
              <w:rPr>
                <w:rFonts w:ascii="Arial Narrow" w:hAnsi="Arial Narrow"/>
              </w:rPr>
              <w:t>0%</w:t>
            </w:r>
          </w:p>
        </w:tc>
        <w:tc>
          <w:tcPr>
            <w:tcW w:w="1068" w:type="dxa"/>
          </w:tcPr>
          <w:p w14:paraId="697D4ACC" w14:textId="77777777" w:rsidR="00E47AB8" w:rsidRPr="008B2F8A" w:rsidRDefault="00E47AB8" w:rsidP="00422306">
            <w:pPr>
              <w:spacing w:before="40" w:after="80"/>
              <w:rPr>
                <w:rFonts w:ascii="Arial Narrow" w:hAnsi="Arial Narrow"/>
              </w:rPr>
            </w:pPr>
            <w:r w:rsidRPr="008B2F8A">
              <w:rPr>
                <w:rFonts w:ascii="Arial Narrow" w:hAnsi="Arial Narrow"/>
              </w:rPr>
              <w:t>19% (2006 analysis)</w:t>
            </w:r>
          </w:p>
          <w:p w14:paraId="06AB5D8A" w14:textId="77777777" w:rsidR="00E47AB8" w:rsidRPr="008B2F8A" w:rsidRDefault="00E47AB8" w:rsidP="00422306">
            <w:pPr>
              <w:spacing w:before="40" w:after="80"/>
              <w:rPr>
                <w:rFonts w:ascii="Arial Narrow" w:hAnsi="Arial Narrow"/>
              </w:rPr>
            </w:pPr>
            <w:r w:rsidRPr="008B2F8A">
              <w:rPr>
                <w:rFonts w:ascii="Arial Narrow" w:hAnsi="Arial Narrow"/>
              </w:rPr>
              <w:t>28% (2010 analysis)</w:t>
            </w:r>
          </w:p>
        </w:tc>
      </w:tr>
      <w:tr w:rsidR="00E47AB8" w:rsidRPr="008B2F8A" w14:paraId="2D9B1142" w14:textId="77777777" w:rsidTr="00E0615B">
        <w:tc>
          <w:tcPr>
            <w:tcW w:w="880" w:type="dxa"/>
          </w:tcPr>
          <w:p w14:paraId="0B6430EE" w14:textId="1945AFF5" w:rsidR="00E47AB8" w:rsidRPr="008B2F8A" w:rsidRDefault="00E47AB8" w:rsidP="00422306">
            <w:pPr>
              <w:spacing w:before="40" w:after="80"/>
              <w:rPr>
                <w:rFonts w:ascii="Arial Narrow" w:hAnsi="Arial Narrow"/>
              </w:rPr>
            </w:pPr>
            <w:r>
              <w:rPr>
                <w:rFonts w:ascii="Arial Narrow" w:hAnsi="Arial Narrow"/>
              </w:rPr>
              <w:t>Sardanelli et al, 2011</w:t>
            </w:r>
          </w:p>
        </w:tc>
        <w:tc>
          <w:tcPr>
            <w:tcW w:w="1136" w:type="dxa"/>
          </w:tcPr>
          <w:p w14:paraId="1DB5C399" w14:textId="77777777" w:rsidR="00E47AB8" w:rsidRPr="008B2F8A" w:rsidRDefault="00E47AB8" w:rsidP="00422306">
            <w:pPr>
              <w:spacing w:before="40" w:after="80"/>
              <w:rPr>
                <w:rFonts w:ascii="Arial Narrow" w:hAnsi="Arial Narrow"/>
              </w:rPr>
            </w:pPr>
            <w:r w:rsidRPr="008B2F8A">
              <w:rPr>
                <w:rFonts w:ascii="Arial Narrow" w:hAnsi="Arial Narrow"/>
              </w:rPr>
              <w:t>Italy</w:t>
            </w:r>
          </w:p>
          <w:p w14:paraId="611D93B4" w14:textId="77777777" w:rsidR="00E47AB8" w:rsidRPr="008B2F8A" w:rsidRDefault="00E47AB8" w:rsidP="00422306">
            <w:pPr>
              <w:spacing w:before="40" w:after="80"/>
              <w:rPr>
                <w:rFonts w:ascii="Arial Narrow" w:hAnsi="Arial Narrow"/>
              </w:rPr>
            </w:pPr>
            <w:r w:rsidRPr="008B2F8A">
              <w:rPr>
                <w:rFonts w:ascii="Arial Narrow" w:hAnsi="Arial Narrow"/>
              </w:rPr>
              <w:t>18 centres (14 towns)</w:t>
            </w:r>
          </w:p>
          <w:p w14:paraId="46B85966" w14:textId="77777777" w:rsidR="00E47AB8" w:rsidRPr="008B2F8A" w:rsidRDefault="00E47AB8" w:rsidP="00422306">
            <w:pPr>
              <w:spacing w:before="40" w:after="80"/>
              <w:rPr>
                <w:rFonts w:ascii="Arial Narrow" w:hAnsi="Arial Narrow"/>
              </w:rPr>
            </w:pPr>
            <w:r w:rsidRPr="008B2F8A">
              <w:rPr>
                <w:rFonts w:ascii="Arial Narrow" w:hAnsi="Arial Narrow"/>
              </w:rPr>
              <w:t>2000–2007</w:t>
            </w:r>
          </w:p>
        </w:tc>
        <w:tc>
          <w:tcPr>
            <w:tcW w:w="994" w:type="dxa"/>
          </w:tcPr>
          <w:p w14:paraId="294A854F" w14:textId="30CE7A48" w:rsidR="00E47AB8" w:rsidRPr="008B2F8A" w:rsidRDefault="00E47AB8" w:rsidP="00422306">
            <w:pPr>
              <w:spacing w:before="40" w:after="80"/>
              <w:rPr>
                <w:rFonts w:ascii="Arial Narrow" w:hAnsi="Arial Narrow"/>
              </w:rPr>
            </w:pPr>
            <w:r w:rsidRPr="008B2F8A">
              <w:rPr>
                <w:rFonts w:ascii="Arial Narrow" w:hAnsi="Arial Narrow"/>
              </w:rPr>
              <w:t>501 (1,592</w:t>
            </w:r>
            <w:r>
              <w:rPr>
                <w:rFonts w:ascii="Arial Narrow" w:hAnsi="Arial Narrow"/>
              </w:rPr>
              <w:t>:</w:t>
            </w:r>
            <w:r w:rsidRPr="008B2F8A">
              <w:rPr>
                <w:rFonts w:ascii="Arial Narrow" w:hAnsi="Arial Narrow"/>
              </w:rPr>
              <w:t xml:space="preserve"> 941 in women aged &lt;50 years)</w:t>
            </w:r>
          </w:p>
        </w:tc>
        <w:tc>
          <w:tcPr>
            <w:tcW w:w="2698" w:type="dxa"/>
          </w:tcPr>
          <w:p w14:paraId="43E7CB1A" w14:textId="75249185" w:rsidR="00E47AB8" w:rsidRPr="008B2F8A" w:rsidRDefault="00E47AB8" w:rsidP="00422306">
            <w:pPr>
              <w:pStyle w:val="NoSpacing"/>
              <w:spacing w:before="40" w:after="80" w:line="276" w:lineRule="auto"/>
              <w:rPr>
                <w:rFonts w:ascii="Arial Narrow" w:hAnsi="Arial Narrow"/>
                <w:lang w:val="en-AU"/>
              </w:rPr>
            </w:pPr>
            <w:r w:rsidRPr="008B2F8A">
              <w:rPr>
                <w:rFonts w:ascii="Arial Narrow" w:hAnsi="Arial Narrow"/>
                <w:lang w:val="en-AU"/>
              </w:rPr>
              <w:t>Inclusion: asymptomatic women, at high risk for breast cancer, ≥25</w:t>
            </w:r>
            <w:r>
              <w:rPr>
                <w:rFonts w:ascii="Arial Narrow" w:hAnsi="Arial Narrow"/>
                <w:lang w:val="en-AU"/>
              </w:rPr>
              <w:t>;</w:t>
            </w:r>
            <w:r w:rsidRPr="008B2F8A">
              <w:rPr>
                <w:rFonts w:ascii="Arial Narrow" w:hAnsi="Arial Narrow"/>
                <w:lang w:val="en-AU"/>
              </w:rPr>
              <w:t xml:space="preserve"> </w:t>
            </w:r>
            <w:r>
              <w:rPr>
                <w:rFonts w:ascii="Arial Narrow" w:hAnsi="Arial Narrow"/>
                <w:lang w:val="en-AU"/>
              </w:rPr>
              <w:t xml:space="preserve">and </w:t>
            </w:r>
            <w:r w:rsidRPr="008B2F8A">
              <w:rPr>
                <w:rFonts w:ascii="Arial Narrow" w:hAnsi="Arial Narrow"/>
                <w:lang w:val="en-AU"/>
              </w:rPr>
              <w:t>either</w:t>
            </w:r>
            <w:r>
              <w:rPr>
                <w:rFonts w:ascii="Arial Narrow" w:hAnsi="Arial Narrow"/>
                <w:lang w:val="en-AU"/>
              </w:rPr>
              <w:t xml:space="preserve"> </w:t>
            </w:r>
            <w:r w:rsidRPr="008B2F8A">
              <w:rPr>
                <w:rFonts w:ascii="Arial Narrow" w:hAnsi="Arial Narrow"/>
                <w:i/>
                <w:lang w:val="en-AU"/>
              </w:rPr>
              <w:t>BRCA1</w:t>
            </w:r>
            <w:r>
              <w:rPr>
                <w:rFonts w:ascii="Arial Narrow" w:hAnsi="Arial Narrow"/>
                <w:lang w:val="en-AU"/>
              </w:rPr>
              <w:t>/</w:t>
            </w:r>
            <w:r w:rsidRPr="008B2F8A">
              <w:rPr>
                <w:rFonts w:ascii="Arial Narrow" w:hAnsi="Arial Narrow"/>
                <w:i/>
                <w:lang w:val="en-AU"/>
              </w:rPr>
              <w:t>2</w:t>
            </w:r>
            <w:r w:rsidRPr="008B2F8A">
              <w:rPr>
                <w:rFonts w:ascii="Arial Narrow" w:hAnsi="Arial Narrow"/>
                <w:lang w:val="en-AU"/>
              </w:rPr>
              <w:t xml:space="preserve"> or untested first-degree relatives of </w:t>
            </w:r>
            <w:r w:rsidRPr="008B2F8A">
              <w:rPr>
                <w:rFonts w:ascii="Arial Narrow" w:hAnsi="Arial Narrow"/>
                <w:i/>
                <w:lang w:val="en-AU"/>
              </w:rPr>
              <w:t>BRCA1</w:t>
            </w:r>
            <w:r>
              <w:rPr>
                <w:rFonts w:ascii="Arial Narrow" w:hAnsi="Arial Narrow"/>
                <w:lang w:val="en-AU"/>
              </w:rPr>
              <w:t>/</w:t>
            </w:r>
            <w:r w:rsidRPr="008B2F8A">
              <w:rPr>
                <w:rFonts w:ascii="Arial Narrow" w:hAnsi="Arial Narrow"/>
                <w:i/>
                <w:lang w:val="en-AU"/>
              </w:rPr>
              <w:t>2</w:t>
            </w:r>
            <w:r w:rsidRPr="008B2F8A">
              <w:rPr>
                <w:rFonts w:ascii="Arial Narrow" w:hAnsi="Arial Narrow"/>
                <w:lang w:val="en-AU"/>
              </w:rPr>
              <w:t xml:space="preserve"> mutation carriers</w:t>
            </w:r>
            <w:r>
              <w:rPr>
                <w:rFonts w:ascii="Arial Narrow" w:hAnsi="Arial Narrow"/>
                <w:lang w:val="en-AU"/>
              </w:rPr>
              <w:t>’</w:t>
            </w:r>
            <w:r w:rsidRPr="008B2F8A">
              <w:rPr>
                <w:rFonts w:ascii="Arial Narrow" w:hAnsi="Arial Narrow"/>
                <w:lang w:val="en-AU"/>
              </w:rPr>
              <w:t xml:space="preserve"> or strong family history of breast or ovarian cancer with ≥3 events in </w:t>
            </w:r>
            <w:r w:rsidRPr="008B2F8A">
              <w:rPr>
                <w:rFonts w:ascii="Arial Narrow" w:hAnsi="Arial Narrow"/>
                <w:lang w:val="en-AU"/>
              </w:rPr>
              <w:lastRenderedPageBreak/>
              <w:t>first- or second-degree relatives</w:t>
            </w:r>
          </w:p>
          <w:p w14:paraId="2E678F5F" w14:textId="16EF869E" w:rsidR="00E47AB8" w:rsidRPr="008B2F8A" w:rsidRDefault="00E47AB8" w:rsidP="00422306">
            <w:pPr>
              <w:spacing w:before="40" w:after="80"/>
              <w:rPr>
                <w:rFonts w:ascii="Arial Narrow" w:hAnsi="Arial Narrow"/>
              </w:rPr>
            </w:pPr>
            <w:r w:rsidRPr="008B2F8A">
              <w:rPr>
                <w:rFonts w:ascii="Arial Narrow" w:hAnsi="Arial Narrow"/>
              </w:rPr>
              <w:t>Exclusion: pregnancy, breast-feeding, current chemotherapy, terminal illness, contraindications to MRI or gadolinium-based contrast agent administration</w:t>
            </w:r>
          </w:p>
        </w:tc>
        <w:tc>
          <w:tcPr>
            <w:tcW w:w="1136" w:type="dxa"/>
          </w:tcPr>
          <w:p w14:paraId="55F3EAB4" w14:textId="7E0C1311" w:rsidR="00E47AB8" w:rsidRPr="008B2F8A" w:rsidRDefault="00E47AB8" w:rsidP="00422306">
            <w:pPr>
              <w:spacing w:before="40" w:after="80"/>
              <w:rPr>
                <w:rFonts w:ascii="Arial Narrow" w:hAnsi="Arial Narrow"/>
              </w:rPr>
            </w:pPr>
            <w:r w:rsidRPr="008B2F8A">
              <w:rPr>
                <w:rFonts w:ascii="Arial Narrow" w:hAnsi="Arial Narrow"/>
              </w:rPr>
              <w:lastRenderedPageBreak/>
              <w:t>Age 22–79 (mean 46)</w:t>
            </w:r>
          </w:p>
          <w:p w14:paraId="097FE844" w14:textId="77777777" w:rsidR="00E47AB8" w:rsidRPr="008B2F8A" w:rsidRDefault="00E47AB8" w:rsidP="00422306">
            <w:pPr>
              <w:spacing w:before="40" w:after="80"/>
              <w:rPr>
                <w:rFonts w:ascii="Arial Narrow" w:hAnsi="Arial Narrow"/>
              </w:rPr>
            </w:pPr>
            <w:r w:rsidRPr="008B2F8A">
              <w:rPr>
                <w:rFonts w:ascii="Arial Narrow" w:hAnsi="Arial Narrow"/>
              </w:rPr>
              <w:t>NB: women aged &lt;50 used for diagnostic accuracy</w:t>
            </w:r>
          </w:p>
        </w:tc>
        <w:tc>
          <w:tcPr>
            <w:tcW w:w="1158" w:type="dxa"/>
          </w:tcPr>
          <w:p w14:paraId="0AFE2943" w14:textId="77777777" w:rsidR="00E47AB8" w:rsidRPr="008B2F8A" w:rsidRDefault="00E47AB8" w:rsidP="00422306">
            <w:pPr>
              <w:spacing w:before="40" w:after="80"/>
              <w:rPr>
                <w:rFonts w:ascii="Arial Narrow" w:hAnsi="Arial Narrow"/>
              </w:rPr>
            </w:pPr>
            <w:r w:rsidRPr="008B2F8A">
              <w:rPr>
                <w:rFonts w:ascii="Arial Narrow" w:hAnsi="Arial Narrow"/>
              </w:rPr>
              <w:t>44%</w:t>
            </w:r>
          </w:p>
        </w:tc>
        <w:tc>
          <w:tcPr>
            <w:tcW w:w="1068" w:type="dxa"/>
          </w:tcPr>
          <w:p w14:paraId="5381976D" w14:textId="77777777" w:rsidR="00E47AB8" w:rsidRPr="008B2F8A" w:rsidRDefault="00E47AB8" w:rsidP="00422306">
            <w:pPr>
              <w:spacing w:before="40" w:after="80"/>
              <w:rPr>
                <w:rFonts w:ascii="Arial Narrow" w:hAnsi="Arial Narrow"/>
              </w:rPr>
            </w:pPr>
            <w:r w:rsidRPr="008B2F8A">
              <w:rPr>
                <w:rFonts w:ascii="Arial Narrow" w:hAnsi="Arial Narrow"/>
              </w:rPr>
              <w:t>63%</w:t>
            </w:r>
          </w:p>
        </w:tc>
      </w:tr>
      <w:tr w:rsidR="00E47AB8" w:rsidRPr="008B2F8A" w14:paraId="57CA3371" w14:textId="77777777" w:rsidTr="00E0615B">
        <w:tc>
          <w:tcPr>
            <w:tcW w:w="880" w:type="dxa"/>
          </w:tcPr>
          <w:p w14:paraId="30F1D098" w14:textId="304471CE" w:rsidR="00E47AB8" w:rsidRPr="008B2F8A" w:rsidRDefault="00E47AB8" w:rsidP="00422306">
            <w:pPr>
              <w:spacing w:before="40" w:after="80"/>
              <w:rPr>
                <w:rFonts w:ascii="Arial Narrow" w:hAnsi="Arial Narrow"/>
              </w:rPr>
            </w:pPr>
            <w:r w:rsidRPr="008B2F8A">
              <w:rPr>
                <w:rFonts w:ascii="Arial Narrow" w:hAnsi="Arial Narrow"/>
              </w:rPr>
              <w:lastRenderedPageBreak/>
              <w:t>Br</w:t>
            </w:r>
            <w:r>
              <w:rPr>
                <w:rFonts w:ascii="Arial Narrow" w:hAnsi="Arial Narrow"/>
              </w:rPr>
              <w:t>é</w:t>
            </w:r>
            <w:r w:rsidRPr="008B2F8A">
              <w:rPr>
                <w:rFonts w:ascii="Arial Narrow" w:hAnsi="Arial Narrow"/>
              </w:rPr>
              <w:t xml:space="preserve">dart </w:t>
            </w:r>
            <w:r>
              <w:rPr>
                <w:rFonts w:ascii="Arial Narrow" w:hAnsi="Arial Narrow"/>
              </w:rPr>
              <w:t xml:space="preserve">et al, </w:t>
            </w:r>
            <w:r w:rsidRPr="008B2F8A">
              <w:rPr>
                <w:rFonts w:ascii="Arial Narrow" w:hAnsi="Arial Narrow"/>
              </w:rPr>
              <w:t>2012</w:t>
            </w:r>
          </w:p>
        </w:tc>
        <w:tc>
          <w:tcPr>
            <w:tcW w:w="1136" w:type="dxa"/>
          </w:tcPr>
          <w:p w14:paraId="47DC12DD" w14:textId="77777777" w:rsidR="00E47AB8" w:rsidRPr="008B2F8A" w:rsidRDefault="00E47AB8" w:rsidP="00422306">
            <w:pPr>
              <w:spacing w:before="40" w:after="80"/>
              <w:rPr>
                <w:rFonts w:ascii="Arial Narrow" w:hAnsi="Arial Narrow"/>
              </w:rPr>
            </w:pPr>
            <w:r w:rsidRPr="008B2F8A">
              <w:rPr>
                <w:rFonts w:ascii="Arial Narrow" w:hAnsi="Arial Narrow"/>
              </w:rPr>
              <w:t>France</w:t>
            </w:r>
          </w:p>
          <w:p w14:paraId="60CC723D" w14:textId="77777777" w:rsidR="00E47AB8" w:rsidRPr="008B2F8A" w:rsidRDefault="00E47AB8" w:rsidP="00422306">
            <w:pPr>
              <w:spacing w:before="40" w:after="80"/>
              <w:rPr>
                <w:rFonts w:ascii="Arial Narrow" w:hAnsi="Arial Narrow"/>
              </w:rPr>
            </w:pPr>
            <w:r w:rsidRPr="008B2F8A">
              <w:rPr>
                <w:rFonts w:ascii="Arial Narrow" w:hAnsi="Arial Narrow"/>
              </w:rPr>
              <w:t>21 centres</w:t>
            </w:r>
          </w:p>
          <w:p w14:paraId="1E4772B7" w14:textId="77777777" w:rsidR="00E47AB8" w:rsidRPr="008B2F8A" w:rsidRDefault="00E47AB8" w:rsidP="00422306">
            <w:pPr>
              <w:spacing w:before="40" w:after="80"/>
              <w:rPr>
                <w:rFonts w:ascii="Arial Narrow" w:hAnsi="Arial Narrow"/>
              </w:rPr>
            </w:pPr>
            <w:r w:rsidRPr="008B2F8A">
              <w:rPr>
                <w:rFonts w:ascii="Arial Narrow" w:hAnsi="Arial Narrow"/>
              </w:rPr>
              <w:t>2006–2008</w:t>
            </w:r>
          </w:p>
        </w:tc>
        <w:tc>
          <w:tcPr>
            <w:tcW w:w="994" w:type="dxa"/>
          </w:tcPr>
          <w:p w14:paraId="3608A72E" w14:textId="77777777" w:rsidR="00E47AB8" w:rsidRPr="008B2F8A" w:rsidRDefault="00E47AB8" w:rsidP="00422306">
            <w:pPr>
              <w:spacing w:before="40" w:after="80"/>
              <w:rPr>
                <w:rFonts w:ascii="Arial Narrow" w:hAnsi="Arial Narrow"/>
              </w:rPr>
            </w:pPr>
            <w:r w:rsidRPr="008B2F8A">
              <w:rPr>
                <w:rFonts w:ascii="Arial Narrow" w:hAnsi="Arial Narrow"/>
              </w:rPr>
              <w:t>1</w:t>
            </w:r>
            <w:r>
              <w:rPr>
                <w:rFonts w:ascii="Arial Narrow" w:hAnsi="Arial Narrow"/>
              </w:rPr>
              <w:t>,</w:t>
            </w:r>
            <w:r w:rsidRPr="008B2F8A">
              <w:rPr>
                <w:rFonts w:ascii="Arial Narrow" w:hAnsi="Arial Narrow"/>
              </w:rPr>
              <w:t>561</w:t>
            </w:r>
          </w:p>
          <w:p w14:paraId="05025B3E" w14:textId="77777777" w:rsidR="00E47AB8" w:rsidRPr="008B2F8A" w:rsidRDefault="00E47AB8" w:rsidP="00422306">
            <w:pPr>
              <w:spacing w:before="40" w:after="80"/>
              <w:rPr>
                <w:rFonts w:ascii="Arial Narrow" w:hAnsi="Arial Narrow"/>
              </w:rPr>
            </w:pPr>
            <w:r w:rsidRPr="008B2F8A">
              <w:rPr>
                <w:rFonts w:ascii="Arial Narrow" w:hAnsi="Arial Narrow"/>
              </w:rPr>
              <w:t>900 in MRI group</w:t>
            </w:r>
          </w:p>
          <w:p w14:paraId="46731098" w14:textId="77777777" w:rsidR="00E47AB8" w:rsidRPr="008B2F8A" w:rsidRDefault="00E47AB8" w:rsidP="00422306">
            <w:pPr>
              <w:spacing w:before="40" w:after="80"/>
              <w:rPr>
                <w:rFonts w:ascii="Arial Narrow" w:hAnsi="Arial Narrow"/>
              </w:rPr>
            </w:pPr>
            <w:r w:rsidRPr="008B2F8A">
              <w:rPr>
                <w:rFonts w:ascii="Arial Narrow" w:hAnsi="Arial Narrow"/>
              </w:rPr>
              <w:t>661 in mammo</w:t>
            </w:r>
            <w:r>
              <w:rPr>
                <w:rFonts w:ascii="Arial Narrow" w:hAnsi="Arial Narrow"/>
              </w:rPr>
              <w:softHyphen/>
            </w:r>
            <w:r w:rsidRPr="008B2F8A">
              <w:rPr>
                <w:rFonts w:ascii="Arial Narrow" w:hAnsi="Arial Narrow"/>
              </w:rPr>
              <w:t>graphy group</w:t>
            </w:r>
          </w:p>
        </w:tc>
        <w:tc>
          <w:tcPr>
            <w:tcW w:w="2698" w:type="dxa"/>
          </w:tcPr>
          <w:p w14:paraId="47508477" w14:textId="77777777" w:rsidR="00E47AB8" w:rsidRPr="008B2F8A" w:rsidRDefault="00E47AB8" w:rsidP="00422306">
            <w:pPr>
              <w:spacing w:before="40" w:after="80"/>
              <w:rPr>
                <w:rFonts w:ascii="Arial Narrow" w:hAnsi="Arial Narrow"/>
              </w:rPr>
            </w:pPr>
            <w:r w:rsidRPr="008B2F8A">
              <w:rPr>
                <w:rFonts w:ascii="Arial Narrow" w:hAnsi="Arial Narrow"/>
              </w:rPr>
              <w:t>Age 20–70</w:t>
            </w:r>
            <w:r>
              <w:rPr>
                <w:rFonts w:ascii="Arial Narrow" w:hAnsi="Arial Narrow"/>
              </w:rPr>
              <w:t xml:space="preserve"> years</w:t>
            </w:r>
          </w:p>
          <w:p w14:paraId="76F69C9F" w14:textId="2157B03D" w:rsidR="00E47AB8" w:rsidRPr="008B2F8A" w:rsidRDefault="00E47AB8" w:rsidP="00422306">
            <w:pPr>
              <w:spacing w:before="40" w:after="80"/>
              <w:rPr>
                <w:rFonts w:ascii="Arial Narrow" w:hAnsi="Arial Narrow"/>
              </w:rPr>
            </w:pPr>
            <w:r w:rsidRPr="008B2F8A">
              <w:rPr>
                <w:rFonts w:ascii="Arial Narrow" w:hAnsi="Arial Narrow"/>
              </w:rPr>
              <w:t>MRI eligible: asymptomatic</w:t>
            </w:r>
            <w:r>
              <w:rPr>
                <w:rFonts w:ascii="Arial Narrow" w:hAnsi="Arial Narrow"/>
              </w:rPr>
              <w:t>,</w:t>
            </w:r>
            <w:r w:rsidRPr="008B2F8A">
              <w:rPr>
                <w:rFonts w:ascii="Arial Narrow" w:hAnsi="Arial Narrow"/>
              </w:rPr>
              <w:t xml:space="preserve"> no ongoing treatment, no metastasis, no bilateral mastectomy. Women with a demonstrated mutation, </w:t>
            </w:r>
            <w:r>
              <w:rPr>
                <w:rFonts w:ascii="Arial Narrow" w:hAnsi="Arial Narrow"/>
              </w:rPr>
              <w:t>un</w:t>
            </w:r>
            <w:r w:rsidRPr="008B2F8A">
              <w:rPr>
                <w:rFonts w:ascii="Arial Narrow" w:hAnsi="Arial Narrow"/>
              </w:rPr>
              <w:t>tested women with a first-degree relative with a demonstrated mutation, women with a prob</w:t>
            </w:r>
            <w:r>
              <w:rPr>
                <w:rFonts w:ascii="Arial Narrow" w:hAnsi="Arial Narrow"/>
              </w:rPr>
              <w:t>.</w:t>
            </w:r>
            <w:r w:rsidRPr="008B2F8A">
              <w:rPr>
                <w:rFonts w:ascii="Arial Narrow" w:hAnsi="Arial Narrow"/>
              </w:rPr>
              <w:t xml:space="preserve"> of a mutation of at least 40% or women with a first-degree relative with a prob</w:t>
            </w:r>
            <w:r>
              <w:rPr>
                <w:rFonts w:ascii="Arial Narrow" w:hAnsi="Arial Narrow"/>
              </w:rPr>
              <w:t>.</w:t>
            </w:r>
            <w:r w:rsidRPr="008B2F8A">
              <w:rPr>
                <w:rFonts w:ascii="Arial Narrow" w:hAnsi="Arial Narrow"/>
              </w:rPr>
              <w:t xml:space="preserve"> of a mutation of at least 80%</w:t>
            </w:r>
          </w:p>
          <w:p w14:paraId="6DE38655" w14:textId="3C10DD24" w:rsidR="00E47AB8" w:rsidRPr="008B2F8A" w:rsidRDefault="00E47AB8" w:rsidP="00E0615B">
            <w:pPr>
              <w:spacing w:before="40" w:after="80"/>
              <w:rPr>
                <w:rFonts w:ascii="Arial Narrow" w:hAnsi="Arial Narrow"/>
                <w:color w:val="000000"/>
                <w:lang w:eastAsia="en-US"/>
              </w:rPr>
            </w:pPr>
            <w:r w:rsidRPr="008B2F8A">
              <w:rPr>
                <w:rFonts w:ascii="Arial Narrow" w:hAnsi="Arial Narrow"/>
              </w:rPr>
              <w:t>Mammography eligible: personal history of breast cancer or pathological breast lesion between 40 and 50 years without family history or with only one first-degree relative, or women in whom MRI was contraindicated</w:t>
            </w:r>
          </w:p>
        </w:tc>
        <w:tc>
          <w:tcPr>
            <w:tcW w:w="1136" w:type="dxa"/>
          </w:tcPr>
          <w:p w14:paraId="4CA54D69" w14:textId="77777777" w:rsidR="00E47AB8" w:rsidRPr="008B2F8A" w:rsidRDefault="00E47AB8" w:rsidP="00422306">
            <w:pPr>
              <w:spacing w:before="40" w:after="80"/>
              <w:rPr>
                <w:rFonts w:ascii="Arial Narrow" w:hAnsi="Arial Narrow"/>
              </w:rPr>
            </w:pPr>
            <w:r w:rsidRPr="008B2F8A">
              <w:rPr>
                <w:rFonts w:ascii="Arial Narrow" w:hAnsi="Arial Narrow"/>
              </w:rPr>
              <w:t>MRI group: mean 47.7 (SD 10.3)</w:t>
            </w:r>
          </w:p>
          <w:p w14:paraId="7C978996" w14:textId="77777777" w:rsidR="00E47AB8" w:rsidRPr="008B2F8A" w:rsidRDefault="00E47AB8" w:rsidP="00422306">
            <w:pPr>
              <w:spacing w:before="40" w:after="80"/>
              <w:rPr>
                <w:rFonts w:ascii="Arial Narrow" w:hAnsi="Arial Narrow"/>
              </w:rPr>
            </w:pPr>
            <w:r w:rsidRPr="008B2F8A">
              <w:rPr>
                <w:rFonts w:ascii="Arial Narrow" w:hAnsi="Arial Narrow"/>
              </w:rPr>
              <w:t>Mammo</w:t>
            </w:r>
            <w:r>
              <w:rPr>
                <w:rFonts w:ascii="Arial Narrow" w:hAnsi="Arial Narrow"/>
              </w:rPr>
              <w:softHyphen/>
            </w:r>
            <w:r w:rsidRPr="008B2F8A">
              <w:rPr>
                <w:rFonts w:ascii="Arial Narrow" w:hAnsi="Arial Narrow"/>
              </w:rPr>
              <w:t>graphy group: mean 53.2 (SD 6.7)</w:t>
            </w:r>
          </w:p>
        </w:tc>
        <w:tc>
          <w:tcPr>
            <w:tcW w:w="1158" w:type="dxa"/>
          </w:tcPr>
          <w:p w14:paraId="5C863487" w14:textId="77777777" w:rsidR="00E47AB8" w:rsidRPr="008B2F8A" w:rsidRDefault="00E47AB8" w:rsidP="00422306">
            <w:pPr>
              <w:spacing w:before="40" w:after="80"/>
              <w:rPr>
                <w:rFonts w:ascii="Arial Narrow" w:hAnsi="Arial Narrow"/>
              </w:rPr>
            </w:pPr>
            <w:r w:rsidRPr="008B2F8A">
              <w:rPr>
                <w:rFonts w:ascii="Arial Narrow" w:hAnsi="Arial Narrow"/>
              </w:rPr>
              <w:t>MRI: 51.6%</w:t>
            </w:r>
          </w:p>
          <w:p w14:paraId="239A14C2" w14:textId="77777777" w:rsidR="00E47AB8" w:rsidRPr="008B2F8A" w:rsidRDefault="00E47AB8" w:rsidP="00422306">
            <w:pPr>
              <w:spacing w:before="40" w:after="80"/>
              <w:rPr>
                <w:rFonts w:ascii="Arial Narrow" w:hAnsi="Arial Narrow"/>
              </w:rPr>
            </w:pPr>
            <w:r w:rsidRPr="008B2F8A">
              <w:rPr>
                <w:rFonts w:ascii="Arial Narrow" w:hAnsi="Arial Narrow"/>
              </w:rPr>
              <w:t>Mammo</w:t>
            </w:r>
            <w:r>
              <w:rPr>
                <w:rFonts w:ascii="Arial Narrow" w:hAnsi="Arial Narrow"/>
              </w:rPr>
              <w:softHyphen/>
            </w:r>
            <w:r w:rsidRPr="008B2F8A">
              <w:rPr>
                <w:rFonts w:ascii="Arial Narrow" w:hAnsi="Arial Narrow"/>
              </w:rPr>
              <w:t>graphy: 69.1%</w:t>
            </w:r>
          </w:p>
        </w:tc>
        <w:tc>
          <w:tcPr>
            <w:tcW w:w="1068" w:type="dxa"/>
          </w:tcPr>
          <w:p w14:paraId="691B17A9" w14:textId="77777777" w:rsidR="00E47AB8" w:rsidRPr="008B2F8A" w:rsidRDefault="00E47AB8" w:rsidP="00422306">
            <w:pPr>
              <w:spacing w:before="40" w:after="80"/>
              <w:rPr>
                <w:rFonts w:ascii="Arial Narrow" w:hAnsi="Arial Narrow"/>
              </w:rPr>
            </w:pPr>
            <w:r w:rsidRPr="008B2F8A">
              <w:rPr>
                <w:rFonts w:ascii="Arial Narrow" w:hAnsi="Arial Narrow"/>
              </w:rPr>
              <w:t>MRI: 74.4%</w:t>
            </w:r>
          </w:p>
          <w:p w14:paraId="4F67AFA5" w14:textId="77777777" w:rsidR="00E47AB8" w:rsidRPr="008B2F8A" w:rsidRDefault="00E47AB8" w:rsidP="00422306">
            <w:pPr>
              <w:spacing w:before="40" w:after="80"/>
              <w:rPr>
                <w:rFonts w:ascii="Arial Narrow" w:hAnsi="Arial Narrow"/>
              </w:rPr>
            </w:pPr>
          </w:p>
        </w:tc>
      </w:tr>
    </w:tbl>
    <w:p w14:paraId="0324627A" w14:textId="005F63FB" w:rsidR="00E47AB8" w:rsidRPr="008B2F8A" w:rsidRDefault="00E47AB8" w:rsidP="00E0615B">
      <w:pPr>
        <w:pStyle w:val="TableNotesLast"/>
      </w:pPr>
      <w:r w:rsidRPr="008B2F8A">
        <w:rPr>
          <w:i/>
        </w:rPr>
        <w:t>n</w:t>
      </w:r>
      <w:r w:rsidRPr="008B2F8A">
        <w:t xml:space="preserve"> = number; MRI = magnetic resonance imaging; </w:t>
      </w:r>
      <w:r w:rsidRPr="008B2F8A">
        <w:rPr>
          <w:i/>
        </w:rPr>
        <w:t>BRCA1/2</w:t>
      </w:r>
      <w:r w:rsidRPr="008B2F8A">
        <w:t xml:space="preserve"> = breast cancer 1 or 2 gene; </w:t>
      </w:r>
      <w:r w:rsidRPr="008B2F8A">
        <w:rPr>
          <w:i/>
        </w:rPr>
        <w:t>TP53</w:t>
      </w:r>
      <w:r w:rsidRPr="008B2F8A">
        <w:t xml:space="preserve"> = tumour protein p53 gene.</w:t>
      </w:r>
    </w:p>
    <w:p w14:paraId="25E28F6E" w14:textId="1949C003" w:rsidR="00E47AB8" w:rsidRPr="008B2F8A" w:rsidRDefault="00E47AB8" w:rsidP="00422306">
      <w:r w:rsidRPr="008B2F8A">
        <w:t>Most studies were performed using MRI machines with ≥1.5 T magnets (</w:t>
      </w:r>
      <w:r w:rsidRPr="008B2F8A">
        <w:fldChar w:fldCharType="begin"/>
      </w:r>
      <w:r w:rsidRPr="008B2F8A">
        <w:instrText xml:space="preserve"> REF _Ref368233905 \h </w:instrText>
      </w:r>
      <w:r w:rsidRPr="008B2F8A">
        <w:fldChar w:fldCharType="separate"/>
      </w:r>
      <w:r w:rsidR="00B81273" w:rsidRPr="008B2F8A">
        <w:t xml:space="preserve">Table </w:t>
      </w:r>
      <w:r w:rsidR="00B81273">
        <w:rPr>
          <w:noProof/>
        </w:rPr>
        <w:t>B</w:t>
      </w:r>
      <w:r w:rsidR="00B81273" w:rsidRPr="008B2F8A">
        <w:t>.</w:t>
      </w:r>
      <w:r w:rsidR="00B81273">
        <w:rPr>
          <w:noProof/>
        </w:rPr>
        <w:t>16</w:t>
      </w:r>
      <w:r w:rsidRPr="008B2F8A">
        <w:fldChar w:fldCharType="end"/>
      </w:r>
      <w:r w:rsidRPr="008B2F8A">
        <w:t>). Two studies (</w:t>
      </w:r>
      <w:r>
        <w:rPr>
          <w:noProof/>
        </w:rPr>
        <w:t>Leach, 2005</w:t>
      </w:r>
      <w:r w:rsidRPr="008B2F8A">
        <w:rPr>
          <w:noProof/>
        </w:rPr>
        <w:t>; Sardanelli et al, 2011)</w:t>
      </w:r>
      <w:r w:rsidRPr="008B2F8A">
        <w:t xml:space="preserve"> included tests performed on MRI machines with 1.0–1.5 T magnets, which may compromise test performance. Ultrasound was included routinely in the comparator tests in three studies (</w:t>
      </w:r>
      <w:r w:rsidRPr="008B2F8A">
        <w:rPr>
          <w:noProof/>
        </w:rPr>
        <w:t>Kuhl et al, 2005; Sardanelli et al, 2011; Warner et al, 2004)</w:t>
      </w:r>
      <w:r w:rsidRPr="008B2F8A">
        <w:t xml:space="preserve"> and was used at the discretion of the clinical team in a </w:t>
      </w:r>
      <w:r>
        <w:t>fourth</w:t>
      </w:r>
      <w:r w:rsidRPr="008B2F8A">
        <w:t xml:space="preserve"> </w:t>
      </w:r>
      <w:r w:rsidRPr="008B2F8A">
        <w:rPr>
          <w:noProof/>
        </w:rPr>
        <w:t>(Br</w:t>
      </w:r>
      <w:r>
        <w:rPr>
          <w:noProof/>
        </w:rPr>
        <w:t>é</w:t>
      </w:r>
      <w:r w:rsidRPr="008B2F8A">
        <w:rPr>
          <w:noProof/>
        </w:rPr>
        <w:t>dart et al, 2012a)</w:t>
      </w:r>
      <w:r w:rsidRPr="008B2F8A">
        <w:t>.</w:t>
      </w:r>
    </w:p>
    <w:p w14:paraId="7FA52FC6" w14:textId="77777777" w:rsidR="00E47AB8" w:rsidRPr="008B2F8A" w:rsidRDefault="00E47AB8" w:rsidP="00422306">
      <w:pPr>
        <w:pStyle w:val="Caption"/>
      </w:pPr>
      <w:bookmarkStart w:id="688" w:name="_Ref368233905"/>
      <w:bookmarkStart w:id="689" w:name="_Toc383424582"/>
      <w:r w:rsidRPr="008B2F8A">
        <w:t xml:space="preserve">Table </w:t>
      </w:r>
      <w:fldSimple w:instr=" STYLEREF 1 \s ">
        <w:r w:rsidR="00B81273">
          <w:rPr>
            <w:noProof/>
          </w:rPr>
          <w:t>B</w:t>
        </w:r>
      </w:fldSimple>
      <w:r w:rsidRPr="008B2F8A">
        <w:t>.</w:t>
      </w:r>
      <w:fldSimple w:instr=" SEQ Table \* ARABIC \s 1 ">
        <w:r w:rsidR="00B81273">
          <w:rPr>
            <w:noProof/>
          </w:rPr>
          <w:t>16</w:t>
        </w:r>
      </w:fldSimple>
      <w:bookmarkEnd w:id="688"/>
      <w:r w:rsidRPr="008B2F8A">
        <w:tab/>
      </w:r>
      <w:bookmarkStart w:id="690" w:name="OLE_LINK1011"/>
      <w:bookmarkStart w:id="691" w:name="OLE_LINK1012"/>
      <w:r w:rsidRPr="008B2F8A">
        <w:t>Characteristics of included primary diagnostic accuracy studies—study design and outcomes</w:t>
      </w:r>
      <w:bookmarkEnd w:id="690"/>
      <w:bookmarkEnd w:id="691"/>
      <w:r w:rsidRPr="008B2F8A">
        <w:t>.</w:t>
      </w:r>
      <w:bookmarkEnd w:id="689"/>
    </w:p>
    <w:tbl>
      <w:tblPr>
        <w:tblStyle w:val="TableGrid"/>
        <w:tblW w:w="0" w:type="auto"/>
        <w:tblCellMar>
          <w:left w:w="28" w:type="dxa"/>
          <w:right w:w="28" w:type="dxa"/>
        </w:tblCellMar>
        <w:tblLook w:val="04A0" w:firstRow="1" w:lastRow="0" w:firstColumn="1" w:lastColumn="0" w:noHBand="0" w:noVBand="1"/>
        <w:tblCaption w:val="Characteristics of included primary diagnostic accuracy studies—study design and outcomes"/>
      </w:tblPr>
      <w:tblGrid>
        <w:gridCol w:w="1011"/>
        <w:gridCol w:w="1410"/>
        <w:gridCol w:w="1004"/>
        <w:gridCol w:w="1741"/>
        <w:gridCol w:w="2165"/>
        <w:gridCol w:w="1795"/>
      </w:tblGrid>
      <w:tr w:rsidR="00E47AB8" w:rsidRPr="008B2F8A" w14:paraId="0D5ECEE6" w14:textId="77777777" w:rsidTr="00B17898">
        <w:trPr>
          <w:tblHeader/>
        </w:trPr>
        <w:tc>
          <w:tcPr>
            <w:tcW w:w="0" w:type="auto"/>
            <w:vAlign w:val="bottom"/>
          </w:tcPr>
          <w:p w14:paraId="7F26B457"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0" w:type="auto"/>
            <w:vAlign w:val="bottom"/>
          </w:tcPr>
          <w:p w14:paraId="0AE15FBA" w14:textId="77777777" w:rsidR="00E47AB8" w:rsidRPr="008B2F8A" w:rsidRDefault="00E47AB8" w:rsidP="00422306">
            <w:pPr>
              <w:spacing w:before="40" w:after="80"/>
              <w:rPr>
                <w:rFonts w:ascii="Arial Narrow" w:hAnsi="Arial Narrow"/>
                <w:b/>
              </w:rPr>
            </w:pPr>
            <w:r w:rsidRPr="008B2F8A">
              <w:rPr>
                <w:rFonts w:ascii="Arial Narrow" w:hAnsi="Arial Narrow"/>
                <w:b/>
              </w:rPr>
              <w:t>Study design (prospective, consecutive)</w:t>
            </w:r>
          </w:p>
        </w:tc>
        <w:tc>
          <w:tcPr>
            <w:tcW w:w="0" w:type="auto"/>
            <w:vAlign w:val="bottom"/>
          </w:tcPr>
          <w:p w14:paraId="03220843" w14:textId="77777777" w:rsidR="00E47AB8" w:rsidRPr="008B2F8A" w:rsidRDefault="00E47AB8" w:rsidP="00422306">
            <w:pPr>
              <w:spacing w:before="40" w:after="80"/>
              <w:rPr>
                <w:rFonts w:ascii="Arial Narrow" w:hAnsi="Arial Narrow"/>
                <w:b/>
              </w:rPr>
            </w:pPr>
            <w:r w:rsidRPr="008B2F8A">
              <w:rPr>
                <w:rFonts w:ascii="Arial Narrow" w:hAnsi="Arial Narrow"/>
                <w:b/>
              </w:rPr>
              <w:t>Index test</w:t>
            </w:r>
          </w:p>
        </w:tc>
        <w:tc>
          <w:tcPr>
            <w:tcW w:w="0" w:type="auto"/>
            <w:vAlign w:val="bottom"/>
          </w:tcPr>
          <w:p w14:paraId="4BA3B3D4" w14:textId="77777777" w:rsidR="00E47AB8" w:rsidRPr="008B2F8A" w:rsidRDefault="00E47AB8" w:rsidP="00422306">
            <w:pPr>
              <w:spacing w:before="40" w:after="80"/>
              <w:rPr>
                <w:rFonts w:ascii="Arial Narrow" w:hAnsi="Arial Narrow"/>
                <w:b/>
              </w:rPr>
            </w:pPr>
            <w:r w:rsidRPr="008B2F8A">
              <w:rPr>
                <w:rFonts w:ascii="Arial Narrow" w:hAnsi="Arial Narrow"/>
                <w:b/>
              </w:rPr>
              <w:t>Comparator tests</w:t>
            </w:r>
          </w:p>
        </w:tc>
        <w:tc>
          <w:tcPr>
            <w:tcW w:w="0" w:type="auto"/>
            <w:vAlign w:val="bottom"/>
          </w:tcPr>
          <w:p w14:paraId="62369C6A" w14:textId="77777777" w:rsidR="00E47AB8" w:rsidRPr="008B2F8A" w:rsidRDefault="00E47AB8" w:rsidP="00422306">
            <w:pPr>
              <w:spacing w:before="40" w:after="80"/>
              <w:rPr>
                <w:rFonts w:ascii="Arial Narrow" w:hAnsi="Arial Narrow"/>
                <w:b/>
              </w:rPr>
            </w:pPr>
            <w:r w:rsidRPr="008B2F8A">
              <w:rPr>
                <w:rFonts w:ascii="Arial Narrow" w:hAnsi="Arial Narrow"/>
                <w:b/>
              </w:rPr>
              <w:t>Reference standard</w:t>
            </w:r>
          </w:p>
        </w:tc>
        <w:tc>
          <w:tcPr>
            <w:tcW w:w="0" w:type="auto"/>
            <w:vAlign w:val="bottom"/>
          </w:tcPr>
          <w:p w14:paraId="641B7B87" w14:textId="77777777" w:rsidR="00E47AB8" w:rsidRPr="008B2F8A" w:rsidRDefault="00E47AB8" w:rsidP="00422306">
            <w:pPr>
              <w:spacing w:before="40" w:after="80"/>
              <w:rPr>
                <w:rFonts w:ascii="Arial Narrow" w:hAnsi="Arial Narrow"/>
                <w:b/>
              </w:rPr>
            </w:pPr>
            <w:r w:rsidRPr="008B2F8A">
              <w:rPr>
                <w:rFonts w:ascii="Arial Narrow" w:hAnsi="Arial Narrow"/>
                <w:b/>
              </w:rPr>
              <w:t>Outcomes</w:t>
            </w:r>
          </w:p>
        </w:tc>
      </w:tr>
      <w:tr w:rsidR="00E47AB8" w:rsidRPr="008B2F8A" w14:paraId="7F935E16" w14:textId="77777777" w:rsidTr="00B17898">
        <w:tc>
          <w:tcPr>
            <w:tcW w:w="0" w:type="auto"/>
          </w:tcPr>
          <w:p w14:paraId="093413C4" w14:textId="73FAEEE4" w:rsidR="00E47AB8" w:rsidRPr="008B2F8A" w:rsidRDefault="00E47AB8" w:rsidP="00E0615B">
            <w:pPr>
              <w:spacing w:before="40" w:after="80"/>
              <w:rPr>
                <w:rFonts w:ascii="Arial Narrow" w:hAnsi="Arial Narrow"/>
                <w:lang w:eastAsia="en-US"/>
              </w:rPr>
            </w:pPr>
            <w:r>
              <w:rPr>
                <w:rFonts w:ascii="Arial Narrow" w:hAnsi="Arial Narrow"/>
              </w:rPr>
              <w:lastRenderedPageBreak/>
              <w:t>Leach, 2005</w:t>
            </w:r>
            <w:r w:rsidRPr="008B2F8A">
              <w:rPr>
                <w:rFonts w:ascii="Arial Narrow" w:hAnsi="Arial Narrow"/>
              </w:rPr>
              <w:t xml:space="preserve"> (MARIBS)</w:t>
            </w:r>
          </w:p>
        </w:tc>
        <w:tc>
          <w:tcPr>
            <w:tcW w:w="0" w:type="auto"/>
          </w:tcPr>
          <w:p w14:paraId="2DE70140"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1227ACD3" w14:textId="77777777" w:rsidR="00E47AB8" w:rsidRPr="008B2F8A" w:rsidRDefault="00E47AB8" w:rsidP="00422306">
            <w:pPr>
              <w:spacing w:before="40" w:after="80"/>
              <w:rPr>
                <w:rFonts w:ascii="Arial Narrow" w:hAnsi="Arial Narrow"/>
              </w:rPr>
            </w:pPr>
            <w:r w:rsidRPr="008B2F8A">
              <w:rPr>
                <w:rFonts w:ascii="Arial Narrow" w:hAnsi="Arial Narrow"/>
              </w:rPr>
              <w:t>Prospective</w:t>
            </w:r>
          </w:p>
          <w:p w14:paraId="171DD373"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6E45B07A"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0" w:type="auto"/>
          </w:tcPr>
          <w:p w14:paraId="02902006" w14:textId="77777777" w:rsidR="00E47AB8" w:rsidRPr="008B2F8A" w:rsidRDefault="00E47AB8" w:rsidP="00422306">
            <w:pPr>
              <w:spacing w:before="40" w:after="80"/>
              <w:rPr>
                <w:rFonts w:ascii="Arial Narrow" w:hAnsi="Arial Narrow"/>
              </w:rPr>
            </w:pPr>
            <w:r w:rsidRPr="008B2F8A">
              <w:rPr>
                <w:rFonts w:ascii="Arial Narrow" w:hAnsi="Arial Narrow"/>
              </w:rPr>
              <w:t>Annual MRI with contrast</w:t>
            </w:r>
          </w:p>
          <w:p w14:paraId="6E2948A3" w14:textId="7CAB9CFB" w:rsidR="00E47AB8" w:rsidRPr="008B2F8A" w:rsidRDefault="00E47AB8" w:rsidP="00422306">
            <w:pPr>
              <w:spacing w:before="40" w:after="80"/>
              <w:rPr>
                <w:rFonts w:ascii="Arial Narrow" w:hAnsi="Arial Narrow"/>
              </w:rPr>
            </w:pPr>
            <w:r w:rsidRPr="008B2F8A">
              <w:rPr>
                <w:rFonts w:ascii="Arial Narrow" w:hAnsi="Arial Narrow"/>
              </w:rPr>
              <w:t>1.0–1.5 T magnet</w:t>
            </w:r>
          </w:p>
        </w:tc>
        <w:tc>
          <w:tcPr>
            <w:tcW w:w="0" w:type="auto"/>
          </w:tcPr>
          <w:p w14:paraId="40D499D7" w14:textId="77777777" w:rsidR="00E47AB8" w:rsidRPr="008B2F8A" w:rsidRDefault="00E47AB8" w:rsidP="00422306">
            <w:pPr>
              <w:spacing w:before="40" w:after="80"/>
              <w:rPr>
                <w:rFonts w:ascii="Arial Narrow" w:hAnsi="Arial Narrow"/>
              </w:rPr>
            </w:pPr>
            <w:r w:rsidRPr="008B2F8A">
              <w:rPr>
                <w:rFonts w:ascii="Arial Narrow" w:hAnsi="Arial Narrow"/>
              </w:rPr>
              <w:t>Annual film mammography (1 or 2 views)</w:t>
            </w:r>
          </w:p>
        </w:tc>
        <w:tc>
          <w:tcPr>
            <w:tcW w:w="0" w:type="auto"/>
          </w:tcPr>
          <w:p w14:paraId="371EAAFE" w14:textId="311DFF92" w:rsidR="00E47AB8" w:rsidRPr="008B2F8A" w:rsidRDefault="00E47AB8" w:rsidP="00422306">
            <w:pPr>
              <w:spacing w:before="40" w:after="80"/>
              <w:rPr>
                <w:rFonts w:ascii="Arial Narrow" w:hAnsi="Arial Narrow"/>
              </w:rPr>
            </w:pPr>
            <w:r w:rsidRPr="008B2F8A">
              <w:rPr>
                <w:rFonts w:ascii="Arial Narrow" w:hAnsi="Arial Narrow"/>
              </w:rPr>
              <w:t>Histopathology not performed for all test positives, on the basis of combination of all tests</w:t>
            </w:r>
          </w:p>
          <w:p w14:paraId="2E929C9B" w14:textId="77777777" w:rsidR="00E47AB8" w:rsidRPr="008B2F8A" w:rsidRDefault="00E47AB8" w:rsidP="00422306">
            <w:pPr>
              <w:spacing w:before="40" w:after="80"/>
              <w:rPr>
                <w:rFonts w:ascii="Arial Narrow" w:hAnsi="Arial Narrow"/>
              </w:rPr>
            </w:pPr>
            <w:r w:rsidRPr="008B2F8A">
              <w:rPr>
                <w:rFonts w:ascii="Arial Narrow" w:hAnsi="Arial Narrow"/>
              </w:rPr>
              <w:t>No film review for interval cancers</w:t>
            </w:r>
          </w:p>
        </w:tc>
        <w:tc>
          <w:tcPr>
            <w:tcW w:w="0" w:type="auto"/>
          </w:tcPr>
          <w:p w14:paraId="498EA0FA" w14:textId="77777777" w:rsidR="00E47AB8" w:rsidRPr="008B2F8A" w:rsidRDefault="00E47AB8" w:rsidP="00422306">
            <w:pPr>
              <w:spacing w:before="40" w:after="80"/>
              <w:rPr>
                <w:rFonts w:ascii="Arial Narrow" w:hAnsi="Arial Narrow"/>
              </w:rPr>
            </w:pPr>
            <w:r w:rsidRPr="008B2F8A">
              <w:rPr>
                <w:rFonts w:ascii="Arial Narrow" w:hAnsi="Arial Narrow"/>
              </w:rPr>
              <w:t>Sens, Spec, AUC</w:t>
            </w:r>
          </w:p>
          <w:p w14:paraId="7FC27946" w14:textId="124CF40A" w:rsidR="00E47AB8" w:rsidRPr="008B2F8A" w:rsidRDefault="00E47AB8" w:rsidP="00422306">
            <w:pPr>
              <w:spacing w:before="40" w:after="80"/>
              <w:rPr>
                <w:rFonts w:ascii="Arial Narrow" w:hAnsi="Arial Narrow"/>
              </w:rPr>
            </w:pPr>
            <w:r w:rsidRPr="008B2F8A">
              <w:rPr>
                <w:rFonts w:ascii="Arial Narrow" w:hAnsi="Arial Narrow"/>
              </w:rPr>
              <w:t xml:space="preserve">Subgroup analysis: </w:t>
            </w:r>
            <w:r>
              <w:rPr>
                <w:rFonts w:ascii="Arial Narrow" w:hAnsi="Arial Narrow"/>
              </w:rPr>
              <w:t>fir</w:t>
            </w:r>
            <w:r w:rsidRPr="008B2F8A">
              <w:rPr>
                <w:rFonts w:ascii="Arial Narrow" w:hAnsi="Arial Narrow"/>
              </w:rPr>
              <w:t>st vs subsequent screening rounds</w:t>
            </w:r>
          </w:p>
          <w:p w14:paraId="62B36631" w14:textId="77777777" w:rsidR="00E47AB8" w:rsidRPr="008B2F8A" w:rsidRDefault="00E47AB8" w:rsidP="00422306">
            <w:pPr>
              <w:spacing w:before="40" w:after="80"/>
              <w:rPr>
                <w:rFonts w:ascii="Arial Narrow" w:hAnsi="Arial Narrow"/>
              </w:rPr>
            </w:pPr>
            <w:r w:rsidRPr="008B2F8A">
              <w:rPr>
                <w:rFonts w:ascii="Arial Narrow" w:hAnsi="Arial Narrow"/>
              </w:rPr>
              <w:t>Recall rate, biopsy rate</w:t>
            </w:r>
          </w:p>
          <w:p w14:paraId="17645812" w14:textId="77777777" w:rsidR="00E47AB8" w:rsidRPr="008B2F8A" w:rsidRDefault="00E47AB8" w:rsidP="00422306">
            <w:pPr>
              <w:spacing w:before="40" w:after="80"/>
              <w:rPr>
                <w:rFonts w:ascii="Arial Narrow" w:hAnsi="Arial Narrow"/>
              </w:rPr>
            </w:pPr>
            <w:r w:rsidRPr="008B2F8A">
              <w:rPr>
                <w:rFonts w:ascii="Arial Narrow" w:hAnsi="Arial Narrow"/>
              </w:rPr>
              <w:t>Cancer size, grade and lymph node status</w:t>
            </w:r>
          </w:p>
        </w:tc>
      </w:tr>
      <w:tr w:rsidR="00E47AB8" w:rsidRPr="008B2F8A" w14:paraId="4C04FB25" w14:textId="77777777" w:rsidTr="00B17898">
        <w:tc>
          <w:tcPr>
            <w:tcW w:w="0" w:type="auto"/>
          </w:tcPr>
          <w:p w14:paraId="538D70FF" w14:textId="2D3AD3F7" w:rsidR="00E47AB8" w:rsidRPr="008B2F8A" w:rsidRDefault="00E47AB8" w:rsidP="00422306">
            <w:pPr>
              <w:spacing w:before="40" w:after="80"/>
              <w:rPr>
                <w:rFonts w:ascii="Arial Narrow" w:hAnsi="Arial Narrow"/>
              </w:rPr>
            </w:pPr>
            <w:r>
              <w:rPr>
                <w:rFonts w:ascii="Arial Narrow" w:hAnsi="Arial Narrow"/>
              </w:rPr>
              <w:t>Kuhl et al, 2005</w:t>
            </w:r>
          </w:p>
        </w:tc>
        <w:tc>
          <w:tcPr>
            <w:tcW w:w="0" w:type="auto"/>
          </w:tcPr>
          <w:p w14:paraId="7434BBFA"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261C61C1" w14:textId="77777777" w:rsidR="00E47AB8" w:rsidRPr="008B2F8A" w:rsidRDefault="00E47AB8" w:rsidP="00422306">
            <w:pPr>
              <w:spacing w:before="40" w:after="80"/>
              <w:rPr>
                <w:rFonts w:ascii="Arial Narrow" w:hAnsi="Arial Narrow"/>
              </w:rPr>
            </w:pPr>
            <w:r w:rsidRPr="008B2F8A">
              <w:rPr>
                <w:rFonts w:ascii="Arial Narrow" w:hAnsi="Arial Narrow"/>
              </w:rPr>
              <w:t>Prospective</w:t>
            </w:r>
          </w:p>
          <w:p w14:paraId="29DEED60"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6845418E" w14:textId="77777777" w:rsidR="00E47AB8" w:rsidRPr="008B2F8A" w:rsidRDefault="00E47AB8" w:rsidP="00422306">
            <w:pPr>
              <w:spacing w:before="40" w:after="80"/>
              <w:rPr>
                <w:rFonts w:ascii="Arial Narrow" w:hAnsi="Arial Narrow"/>
              </w:rPr>
            </w:pPr>
            <w:r w:rsidRPr="008B2F8A">
              <w:rPr>
                <w:rFonts w:ascii="Arial Narrow" w:hAnsi="Arial Narrow"/>
              </w:rPr>
              <w:t>Level III-1</w:t>
            </w:r>
          </w:p>
        </w:tc>
        <w:tc>
          <w:tcPr>
            <w:tcW w:w="0" w:type="auto"/>
          </w:tcPr>
          <w:p w14:paraId="43F0E1F1" w14:textId="77777777" w:rsidR="00E47AB8" w:rsidRPr="008B2F8A" w:rsidRDefault="00E47AB8" w:rsidP="00422306">
            <w:pPr>
              <w:spacing w:before="40" w:after="80"/>
              <w:rPr>
                <w:rFonts w:ascii="Arial Narrow" w:hAnsi="Arial Narrow"/>
              </w:rPr>
            </w:pPr>
            <w:r w:rsidRPr="008B2F8A">
              <w:rPr>
                <w:rFonts w:ascii="Arial Narrow" w:hAnsi="Arial Narrow"/>
              </w:rPr>
              <w:t>Annual MRI with contrast</w:t>
            </w:r>
          </w:p>
          <w:p w14:paraId="0B18AFF9" w14:textId="44E26447" w:rsidR="00E47AB8" w:rsidRPr="008B2F8A" w:rsidRDefault="00E47AB8" w:rsidP="00422306">
            <w:pPr>
              <w:spacing w:before="40" w:after="80"/>
              <w:rPr>
                <w:rFonts w:ascii="Arial Narrow" w:hAnsi="Arial Narrow"/>
              </w:rPr>
            </w:pPr>
            <w:r w:rsidRPr="008B2F8A">
              <w:rPr>
                <w:rFonts w:ascii="Arial Narrow" w:hAnsi="Arial Narrow"/>
              </w:rPr>
              <w:t>1.5 T magnet</w:t>
            </w:r>
          </w:p>
        </w:tc>
        <w:tc>
          <w:tcPr>
            <w:tcW w:w="0" w:type="auto"/>
          </w:tcPr>
          <w:p w14:paraId="4D2399A1" w14:textId="3C2DBE73" w:rsidR="00E47AB8" w:rsidRPr="008B2F8A" w:rsidRDefault="00E47AB8" w:rsidP="00422306">
            <w:pPr>
              <w:spacing w:before="40" w:after="80"/>
              <w:rPr>
                <w:rFonts w:ascii="Arial Narrow" w:hAnsi="Arial Narrow"/>
              </w:rPr>
            </w:pPr>
            <w:r w:rsidRPr="008B2F8A">
              <w:rPr>
                <w:rFonts w:ascii="Arial Narrow" w:hAnsi="Arial Narrow"/>
              </w:rPr>
              <w:t xml:space="preserve">Annual film mammography (2 views), biannual </w:t>
            </w:r>
            <w:r>
              <w:rPr>
                <w:rFonts w:ascii="Arial Narrow" w:hAnsi="Arial Narrow"/>
              </w:rPr>
              <w:t>U/S</w:t>
            </w:r>
          </w:p>
        </w:tc>
        <w:tc>
          <w:tcPr>
            <w:tcW w:w="0" w:type="auto"/>
          </w:tcPr>
          <w:p w14:paraId="69C99BD7" w14:textId="77777777" w:rsidR="00E47AB8" w:rsidRPr="008B2F8A" w:rsidRDefault="00E47AB8" w:rsidP="00422306">
            <w:pPr>
              <w:spacing w:before="40" w:after="80"/>
              <w:rPr>
                <w:rFonts w:ascii="Arial Narrow" w:hAnsi="Arial Narrow"/>
              </w:rPr>
            </w:pPr>
            <w:r w:rsidRPr="008B2F8A">
              <w:rPr>
                <w:rFonts w:ascii="Arial Narrow" w:hAnsi="Arial Narrow"/>
              </w:rPr>
              <w:t>Histopathology for all test positives, 6-month follow-up for indeterminate findings</w:t>
            </w:r>
          </w:p>
          <w:p w14:paraId="766C6596" w14:textId="77777777" w:rsidR="00E47AB8" w:rsidRPr="008B2F8A" w:rsidRDefault="00E47AB8" w:rsidP="00422306">
            <w:pPr>
              <w:spacing w:before="40" w:after="80"/>
              <w:rPr>
                <w:rFonts w:ascii="Arial Narrow" w:hAnsi="Arial Narrow"/>
              </w:rPr>
            </w:pPr>
            <w:r w:rsidRPr="008B2F8A">
              <w:rPr>
                <w:rFonts w:ascii="Arial Narrow" w:hAnsi="Arial Narrow"/>
              </w:rPr>
              <w:t>No film review for interval cancers</w:t>
            </w:r>
          </w:p>
        </w:tc>
        <w:tc>
          <w:tcPr>
            <w:tcW w:w="0" w:type="auto"/>
          </w:tcPr>
          <w:p w14:paraId="37822D92" w14:textId="77777777" w:rsidR="00E47AB8" w:rsidRPr="008B2F8A" w:rsidRDefault="00E47AB8" w:rsidP="00422306">
            <w:pPr>
              <w:spacing w:before="40" w:after="80"/>
              <w:rPr>
                <w:rFonts w:ascii="Arial Narrow" w:hAnsi="Arial Narrow"/>
              </w:rPr>
            </w:pPr>
            <w:r w:rsidRPr="008B2F8A">
              <w:rPr>
                <w:rFonts w:ascii="Arial Narrow" w:hAnsi="Arial Narrow"/>
              </w:rPr>
              <w:t>Sens, Spec</w:t>
            </w:r>
          </w:p>
          <w:p w14:paraId="181AFA1B" w14:textId="77777777" w:rsidR="00E47AB8" w:rsidRPr="008B2F8A" w:rsidRDefault="00E47AB8" w:rsidP="00422306">
            <w:pPr>
              <w:spacing w:before="40" w:after="80"/>
              <w:rPr>
                <w:rFonts w:ascii="Arial Narrow" w:hAnsi="Arial Narrow"/>
              </w:rPr>
            </w:pPr>
            <w:r w:rsidRPr="008B2F8A">
              <w:rPr>
                <w:rFonts w:ascii="Arial Narrow" w:hAnsi="Arial Narrow"/>
              </w:rPr>
              <w:t>Cancer stage, size, lymph node status &amp; grade in women with no prior history of breast cancer</w:t>
            </w:r>
          </w:p>
          <w:p w14:paraId="5DF99CE6" w14:textId="77777777" w:rsidR="00E47AB8" w:rsidRPr="008B2F8A" w:rsidRDefault="00E47AB8" w:rsidP="00422306">
            <w:pPr>
              <w:spacing w:before="40" w:after="80"/>
              <w:rPr>
                <w:rFonts w:ascii="Arial Narrow" w:hAnsi="Arial Narrow"/>
              </w:rPr>
            </w:pPr>
            <w:r w:rsidRPr="008B2F8A">
              <w:rPr>
                <w:rFonts w:ascii="Arial Narrow" w:hAnsi="Arial Narrow"/>
              </w:rPr>
              <w:t>Subgroup analysis by risk group, mutation status, prior history of breast cancer</w:t>
            </w:r>
          </w:p>
        </w:tc>
      </w:tr>
      <w:tr w:rsidR="00E47AB8" w:rsidRPr="008B2F8A" w14:paraId="56AAB392" w14:textId="77777777" w:rsidTr="00B17898">
        <w:tc>
          <w:tcPr>
            <w:tcW w:w="0" w:type="auto"/>
          </w:tcPr>
          <w:p w14:paraId="7623A13D" w14:textId="41F026A2" w:rsidR="00E47AB8" w:rsidRPr="008B2F8A" w:rsidRDefault="00E47AB8" w:rsidP="00422306">
            <w:pPr>
              <w:spacing w:before="40" w:after="80"/>
              <w:rPr>
                <w:rFonts w:ascii="Arial Narrow" w:hAnsi="Arial Narrow"/>
              </w:rPr>
            </w:pPr>
            <w:r>
              <w:rPr>
                <w:rFonts w:ascii="Arial Narrow" w:hAnsi="Arial Narrow"/>
              </w:rPr>
              <w:t>Warner et al, 2004</w:t>
            </w:r>
          </w:p>
        </w:tc>
        <w:tc>
          <w:tcPr>
            <w:tcW w:w="0" w:type="auto"/>
          </w:tcPr>
          <w:p w14:paraId="4FEDA974"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6B8AB090" w14:textId="77777777" w:rsidR="00E47AB8" w:rsidRPr="008B2F8A" w:rsidRDefault="00E47AB8" w:rsidP="00422306">
            <w:pPr>
              <w:spacing w:before="40" w:after="80"/>
              <w:rPr>
                <w:rFonts w:ascii="Arial Narrow" w:hAnsi="Arial Narrow"/>
              </w:rPr>
            </w:pPr>
            <w:r w:rsidRPr="008B2F8A">
              <w:rPr>
                <w:rFonts w:ascii="Arial Narrow" w:hAnsi="Arial Narrow"/>
              </w:rPr>
              <w:t>Prospective</w:t>
            </w:r>
          </w:p>
          <w:p w14:paraId="42A473F5"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3A014A5B"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0" w:type="auto"/>
          </w:tcPr>
          <w:p w14:paraId="5E8E626B" w14:textId="77777777" w:rsidR="00E47AB8" w:rsidRPr="008B2F8A" w:rsidRDefault="00E47AB8" w:rsidP="00422306">
            <w:pPr>
              <w:spacing w:before="40" w:after="80"/>
              <w:rPr>
                <w:rFonts w:ascii="Arial Narrow" w:hAnsi="Arial Narrow"/>
              </w:rPr>
            </w:pPr>
            <w:r w:rsidRPr="008B2F8A">
              <w:rPr>
                <w:rFonts w:ascii="Arial Narrow" w:hAnsi="Arial Narrow"/>
              </w:rPr>
              <w:t>Annual MRI with contrast</w:t>
            </w:r>
          </w:p>
          <w:p w14:paraId="17628927" w14:textId="3506DB0F" w:rsidR="00E47AB8" w:rsidRPr="008B2F8A" w:rsidRDefault="00E47AB8" w:rsidP="00422306">
            <w:pPr>
              <w:spacing w:before="40" w:after="80"/>
              <w:rPr>
                <w:rFonts w:ascii="Arial Narrow" w:hAnsi="Arial Narrow"/>
              </w:rPr>
            </w:pPr>
            <w:r w:rsidRPr="008B2F8A">
              <w:rPr>
                <w:rFonts w:ascii="Arial Narrow" w:hAnsi="Arial Narrow"/>
              </w:rPr>
              <w:t>1.5 T magnet</w:t>
            </w:r>
          </w:p>
        </w:tc>
        <w:tc>
          <w:tcPr>
            <w:tcW w:w="0" w:type="auto"/>
          </w:tcPr>
          <w:p w14:paraId="3A344E52" w14:textId="630EAFDB" w:rsidR="00E47AB8" w:rsidRPr="008B2F8A" w:rsidRDefault="00E47AB8" w:rsidP="00422306">
            <w:pPr>
              <w:spacing w:before="40" w:after="80"/>
              <w:rPr>
                <w:rFonts w:ascii="Arial Narrow" w:hAnsi="Arial Narrow"/>
              </w:rPr>
            </w:pPr>
            <w:r w:rsidRPr="008B2F8A">
              <w:rPr>
                <w:rFonts w:ascii="Arial Narrow" w:hAnsi="Arial Narrow"/>
              </w:rPr>
              <w:t xml:space="preserve">Annual film mammography (4 views), annual </w:t>
            </w:r>
            <w:r>
              <w:rPr>
                <w:rFonts w:ascii="Arial Narrow" w:hAnsi="Arial Narrow"/>
              </w:rPr>
              <w:t>U/S</w:t>
            </w:r>
            <w:r w:rsidRPr="008B2F8A">
              <w:rPr>
                <w:rFonts w:ascii="Arial Narrow" w:hAnsi="Arial Narrow"/>
              </w:rPr>
              <w:t xml:space="preserve"> and biannual CBE</w:t>
            </w:r>
          </w:p>
        </w:tc>
        <w:tc>
          <w:tcPr>
            <w:tcW w:w="0" w:type="auto"/>
          </w:tcPr>
          <w:p w14:paraId="03AD7FA0" w14:textId="77777777" w:rsidR="00E47AB8" w:rsidRPr="008B2F8A" w:rsidRDefault="00E47AB8" w:rsidP="00422306">
            <w:pPr>
              <w:spacing w:before="40" w:after="80"/>
              <w:rPr>
                <w:rFonts w:ascii="Arial Narrow" w:hAnsi="Arial Narrow"/>
              </w:rPr>
            </w:pPr>
            <w:r w:rsidRPr="008B2F8A">
              <w:rPr>
                <w:rFonts w:ascii="Arial Narrow" w:hAnsi="Arial Narrow"/>
              </w:rPr>
              <w:t>Histopathology not performed for all positive tests. If MRI finding positive and discordant with other tests, MRI repeated in 1 month</w:t>
            </w:r>
          </w:p>
          <w:p w14:paraId="3205DCD1" w14:textId="77777777" w:rsidR="00E47AB8" w:rsidRPr="008B2F8A" w:rsidRDefault="00E47AB8" w:rsidP="00422306">
            <w:pPr>
              <w:spacing w:before="40" w:after="80"/>
              <w:rPr>
                <w:rFonts w:ascii="Arial Narrow" w:hAnsi="Arial Narrow"/>
              </w:rPr>
            </w:pPr>
            <w:r w:rsidRPr="008B2F8A">
              <w:rPr>
                <w:rFonts w:ascii="Arial Narrow" w:hAnsi="Arial Narrow"/>
              </w:rPr>
              <w:t xml:space="preserve">Film review for interval cancers </w:t>
            </w:r>
          </w:p>
        </w:tc>
        <w:tc>
          <w:tcPr>
            <w:tcW w:w="0" w:type="auto"/>
          </w:tcPr>
          <w:p w14:paraId="25F5008A" w14:textId="77777777" w:rsidR="00E47AB8" w:rsidRPr="008B2F8A" w:rsidRDefault="00E47AB8" w:rsidP="00422306">
            <w:pPr>
              <w:spacing w:before="40" w:after="80"/>
              <w:rPr>
                <w:rFonts w:ascii="Arial Narrow" w:hAnsi="Arial Narrow"/>
              </w:rPr>
            </w:pPr>
            <w:r w:rsidRPr="008B2F8A">
              <w:rPr>
                <w:rFonts w:ascii="Arial Narrow" w:hAnsi="Arial Narrow"/>
              </w:rPr>
              <w:t>Sens, Spec</w:t>
            </w:r>
          </w:p>
          <w:p w14:paraId="432273F7" w14:textId="719317EE" w:rsidR="00E47AB8" w:rsidRPr="008B2F8A" w:rsidRDefault="00E47AB8" w:rsidP="00422306">
            <w:pPr>
              <w:spacing w:before="40" w:after="80"/>
              <w:rPr>
                <w:rFonts w:ascii="Arial Narrow" w:hAnsi="Arial Narrow"/>
              </w:rPr>
            </w:pPr>
            <w:r w:rsidRPr="008B2F8A">
              <w:rPr>
                <w:rFonts w:ascii="Arial Narrow" w:hAnsi="Arial Narrow"/>
              </w:rPr>
              <w:t xml:space="preserve">Subgroup analysis for </w:t>
            </w:r>
            <w:r>
              <w:rPr>
                <w:rFonts w:ascii="Arial Narrow" w:hAnsi="Arial Narrow"/>
              </w:rPr>
              <w:t>fir</w:t>
            </w:r>
            <w:r w:rsidRPr="008B2F8A">
              <w:rPr>
                <w:rFonts w:ascii="Arial Narrow" w:hAnsi="Arial Narrow"/>
              </w:rPr>
              <w:t>st vs subsequent screening rounds</w:t>
            </w:r>
          </w:p>
          <w:p w14:paraId="1BC7AFA9" w14:textId="77777777" w:rsidR="00E47AB8" w:rsidRPr="008B2F8A" w:rsidRDefault="00E47AB8" w:rsidP="00422306">
            <w:pPr>
              <w:spacing w:before="40" w:after="80"/>
              <w:rPr>
                <w:rFonts w:ascii="Arial Narrow" w:hAnsi="Arial Narrow"/>
              </w:rPr>
            </w:pPr>
            <w:r w:rsidRPr="008B2F8A">
              <w:rPr>
                <w:rFonts w:ascii="Arial Narrow" w:hAnsi="Arial Narrow"/>
              </w:rPr>
              <w:t>Cancer size &amp; lymph node status</w:t>
            </w:r>
          </w:p>
        </w:tc>
      </w:tr>
      <w:tr w:rsidR="00E47AB8" w:rsidRPr="008B2F8A" w14:paraId="05681ECD" w14:textId="77777777" w:rsidTr="00B17898">
        <w:tc>
          <w:tcPr>
            <w:tcW w:w="0" w:type="auto"/>
          </w:tcPr>
          <w:p w14:paraId="6DB7C553" w14:textId="5B8F586E" w:rsidR="00E47AB8" w:rsidRPr="008B2F8A" w:rsidRDefault="00E47AB8" w:rsidP="00422306">
            <w:pPr>
              <w:spacing w:before="40" w:after="80"/>
              <w:rPr>
                <w:rFonts w:ascii="Arial Narrow" w:hAnsi="Arial Narrow"/>
              </w:rPr>
            </w:pPr>
            <w:r>
              <w:rPr>
                <w:rFonts w:ascii="Arial Narrow" w:hAnsi="Arial Narrow"/>
              </w:rPr>
              <w:t>Kriege et al, 2006</w:t>
            </w:r>
            <w:r w:rsidR="00503CE9">
              <w:rPr>
                <w:rFonts w:ascii="Arial Narrow" w:hAnsi="Arial Narrow"/>
              </w:rPr>
              <w:t>b</w:t>
            </w:r>
            <w:r w:rsidRPr="008B2F8A">
              <w:rPr>
                <w:rFonts w:ascii="Arial Narrow" w:hAnsi="Arial Narrow"/>
              </w:rPr>
              <w:t xml:space="preserve"> (MRISC)</w:t>
            </w:r>
          </w:p>
        </w:tc>
        <w:tc>
          <w:tcPr>
            <w:tcW w:w="0" w:type="auto"/>
          </w:tcPr>
          <w:p w14:paraId="3E19E076"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01C4EA82" w14:textId="77777777" w:rsidR="00E47AB8" w:rsidRPr="008B2F8A" w:rsidRDefault="00E47AB8" w:rsidP="00422306">
            <w:pPr>
              <w:spacing w:before="40" w:after="80"/>
              <w:rPr>
                <w:rFonts w:ascii="Arial Narrow" w:hAnsi="Arial Narrow"/>
              </w:rPr>
            </w:pPr>
            <w:r w:rsidRPr="008B2F8A">
              <w:rPr>
                <w:rFonts w:ascii="Arial Narrow" w:hAnsi="Arial Narrow"/>
              </w:rPr>
              <w:t>Prospective</w:t>
            </w:r>
          </w:p>
          <w:p w14:paraId="7A653652"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17E1D15E" w14:textId="77777777" w:rsidR="00E47AB8" w:rsidRPr="008B2F8A" w:rsidRDefault="00E47AB8" w:rsidP="00422306">
            <w:pPr>
              <w:spacing w:before="40" w:after="80"/>
              <w:rPr>
                <w:rFonts w:ascii="Arial Narrow" w:hAnsi="Arial Narrow"/>
              </w:rPr>
            </w:pPr>
            <w:r w:rsidRPr="008B2F8A">
              <w:rPr>
                <w:rFonts w:ascii="Arial Narrow" w:hAnsi="Arial Narrow"/>
              </w:rPr>
              <w:t>Level III-1</w:t>
            </w:r>
          </w:p>
        </w:tc>
        <w:tc>
          <w:tcPr>
            <w:tcW w:w="0" w:type="auto"/>
          </w:tcPr>
          <w:p w14:paraId="4D29CB01" w14:textId="77777777" w:rsidR="00E47AB8" w:rsidRPr="008B2F8A" w:rsidRDefault="00E47AB8" w:rsidP="00422306">
            <w:pPr>
              <w:spacing w:before="40" w:after="80"/>
              <w:rPr>
                <w:rFonts w:ascii="Arial Narrow" w:hAnsi="Arial Narrow"/>
              </w:rPr>
            </w:pPr>
            <w:r w:rsidRPr="008B2F8A">
              <w:rPr>
                <w:rFonts w:ascii="Arial Narrow" w:hAnsi="Arial Narrow"/>
              </w:rPr>
              <w:t>Annual MRI with contrast</w:t>
            </w:r>
          </w:p>
          <w:p w14:paraId="575DC69E" w14:textId="77777777" w:rsidR="00E47AB8" w:rsidRPr="008B2F8A" w:rsidRDefault="00E47AB8" w:rsidP="00422306">
            <w:pPr>
              <w:spacing w:before="40" w:after="80"/>
              <w:rPr>
                <w:rFonts w:ascii="Arial Narrow" w:hAnsi="Arial Narrow"/>
              </w:rPr>
            </w:pPr>
            <w:r w:rsidRPr="008B2F8A">
              <w:rPr>
                <w:rFonts w:ascii="Arial Narrow" w:hAnsi="Arial Narrow"/>
              </w:rPr>
              <w:t>Magnet strength NR</w:t>
            </w:r>
          </w:p>
        </w:tc>
        <w:tc>
          <w:tcPr>
            <w:tcW w:w="0" w:type="auto"/>
          </w:tcPr>
          <w:p w14:paraId="439992C2" w14:textId="77777777" w:rsidR="00E47AB8" w:rsidRPr="008B2F8A" w:rsidRDefault="00E47AB8" w:rsidP="00422306">
            <w:pPr>
              <w:spacing w:before="40" w:after="80"/>
              <w:rPr>
                <w:rFonts w:ascii="Arial Narrow" w:hAnsi="Arial Narrow"/>
              </w:rPr>
            </w:pPr>
            <w:r w:rsidRPr="008B2F8A">
              <w:rPr>
                <w:rFonts w:ascii="Arial Narrow" w:hAnsi="Arial Narrow"/>
              </w:rPr>
              <w:t>Annual film mammography and biannual CBE</w:t>
            </w:r>
          </w:p>
        </w:tc>
        <w:tc>
          <w:tcPr>
            <w:tcW w:w="0" w:type="auto"/>
          </w:tcPr>
          <w:p w14:paraId="75A003E0" w14:textId="77777777" w:rsidR="00E47AB8" w:rsidRPr="008B2F8A" w:rsidRDefault="00E47AB8" w:rsidP="00422306">
            <w:pPr>
              <w:spacing w:before="40" w:after="80"/>
              <w:rPr>
                <w:rFonts w:ascii="Arial Narrow" w:hAnsi="Arial Narrow"/>
              </w:rPr>
            </w:pPr>
            <w:r w:rsidRPr="008B2F8A">
              <w:rPr>
                <w:rFonts w:ascii="Arial Narrow" w:hAnsi="Arial Narrow"/>
              </w:rPr>
              <w:t>Histopathology for all test positives</w:t>
            </w:r>
          </w:p>
          <w:p w14:paraId="16C19BB1" w14:textId="77777777" w:rsidR="00E47AB8" w:rsidRPr="008B2F8A" w:rsidRDefault="00E47AB8" w:rsidP="00422306">
            <w:pPr>
              <w:spacing w:before="40" w:after="80"/>
              <w:rPr>
                <w:rFonts w:ascii="Arial Narrow" w:hAnsi="Arial Narrow"/>
              </w:rPr>
            </w:pPr>
            <w:r w:rsidRPr="008B2F8A">
              <w:rPr>
                <w:rFonts w:ascii="Arial Narrow" w:hAnsi="Arial Narrow"/>
              </w:rPr>
              <w:t>Indeterminate finding for MRI or mammography verified by U/S ± biopsy or repeated test</w:t>
            </w:r>
          </w:p>
          <w:p w14:paraId="1C7E9DC2" w14:textId="77777777" w:rsidR="00E47AB8" w:rsidRPr="008B2F8A" w:rsidRDefault="00E47AB8" w:rsidP="00422306">
            <w:pPr>
              <w:spacing w:before="40" w:after="80"/>
              <w:rPr>
                <w:rFonts w:ascii="Arial Narrow" w:hAnsi="Arial Narrow"/>
              </w:rPr>
            </w:pPr>
            <w:r w:rsidRPr="008B2F8A">
              <w:rPr>
                <w:rFonts w:ascii="Arial Narrow" w:hAnsi="Arial Narrow"/>
              </w:rPr>
              <w:t>Film review of interval cancers NR</w:t>
            </w:r>
          </w:p>
        </w:tc>
        <w:tc>
          <w:tcPr>
            <w:tcW w:w="0" w:type="auto"/>
          </w:tcPr>
          <w:p w14:paraId="4076E7C1" w14:textId="77777777" w:rsidR="00E47AB8" w:rsidRPr="008B2F8A" w:rsidRDefault="00E47AB8" w:rsidP="00422306">
            <w:pPr>
              <w:spacing w:before="40" w:after="80"/>
              <w:rPr>
                <w:rFonts w:ascii="Arial Narrow" w:hAnsi="Arial Narrow"/>
              </w:rPr>
            </w:pPr>
            <w:r w:rsidRPr="008B2F8A">
              <w:rPr>
                <w:rFonts w:ascii="Arial Narrow" w:hAnsi="Arial Narrow"/>
              </w:rPr>
              <w:t>Sens, Spec, AUC</w:t>
            </w:r>
          </w:p>
          <w:p w14:paraId="2CA5AD82" w14:textId="77777777" w:rsidR="00E47AB8" w:rsidRPr="008B2F8A" w:rsidRDefault="00E47AB8" w:rsidP="00422306">
            <w:pPr>
              <w:spacing w:before="40" w:after="80"/>
              <w:rPr>
                <w:rFonts w:ascii="Arial Narrow" w:hAnsi="Arial Narrow"/>
              </w:rPr>
            </w:pPr>
            <w:r w:rsidRPr="008B2F8A">
              <w:rPr>
                <w:rFonts w:ascii="Arial Narrow" w:hAnsi="Arial Narrow"/>
              </w:rPr>
              <w:t>Biopsy rate</w:t>
            </w:r>
          </w:p>
          <w:p w14:paraId="6AFE1842" w14:textId="77777777" w:rsidR="00E47AB8" w:rsidRPr="008B2F8A" w:rsidRDefault="00E47AB8" w:rsidP="00422306">
            <w:pPr>
              <w:spacing w:before="40" w:after="80"/>
              <w:rPr>
                <w:rFonts w:ascii="Arial Narrow" w:hAnsi="Arial Narrow"/>
              </w:rPr>
            </w:pPr>
            <w:r w:rsidRPr="008B2F8A">
              <w:rPr>
                <w:rFonts w:ascii="Arial Narrow" w:hAnsi="Arial Narrow"/>
              </w:rPr>
              <w:t>Rate of cancer detection</w:t>
            </w:r>
          </w:p>
          <w:p w14:paraId="30F5997C" w14:textId="77777777" w:rsidR="00E47AB8" w:rsidRPr="008B2F8A" w:rsidRDefault="00E47AB8" w:rsidP="00422306">
            <w:pPr>
              <w:spacing w:before="40" w:after="80"/>
              <w:rPr>
                <w:rFonts w:ascii="Arial Narrow" w:hAnsi="Arial Narrow"/>
              </w:rPr>
            </w:pPr>
            <w:r w:rsidRPr="008B2F8A">
              <w:rPr>
                <w:rFonts w:ascii="Arial Narrow" w:hAnsi="Arial Narrow"/>
              </w:rPr>
              <w:t>Mortality</w:t>
            </w:r>
          </w:p>
          <w:p w14:paraId="590DE71D" w14:textId="77777777" w:rsidR="00E47AB8" w:rsidRPr="008B2F8A" w:rsidRDefault="00E47AB8" w:rsidP="00422306">
            <w:pPr>
              <w:spacing w:before="40" w:after="80"/>
              <w:rPr>
                <w:rFonts w:ascii="Arial Narrow" w:hAnsi="Arial Narrow"/>
              </w:rPr>
            </w:pPr>
            <w:r w:rsidRPr="008B2F8A">
              <w:rPr>
                <w:rFonts w:ascii="Arial Narrow" w:hAnsi="Arial Narrow"/>
              </w:rPr>
              <w:t>Subgroup analysis for 1 vs subsequent screening rounds</w:t>
            </w:r>
          </w:p>
        </w:tc>
      </w:tr>
      <w:tr w:rsidR="00E47AB8" w:rsidRPr="008B2F8A" w14:paraId="6BE0AAF9" w14:textId="77777777" w:rsidTr="00B17898">
        <w:trPr>
          <w:cantSplit/>
        </w:trPr>
        <w:tc>
          <w:tcPr>
            <w:tcW w:w="0" w:type="auto"/>
          </w:tcPr>
          <w:p w14:paraId="06725B18" w14:textId="20B67175" w:rsidR="00E47AB8" w:rsidRPr="008B2F8A" w:rsidRDefault="00E47AB8" w:rsidP="00422306">
            <w:pPr>
              <w:spacing w:before="40" w:after="80"/>
              <w:rPr>
                <w:rFonts w:ascii="Arial Narrow" w:hAnsi="Arial Narrow"/>
              </w:rPr>
            </w:pPr>
            <w:r>
              <w:rPr>
                <w:rFonts w:ascii="Arial Narrow" w:hAnsi="Arial Narrow"/>
              </w:rPr>
              <w:lastRenderedPageBreak/>
              <w:t>Sardanelli et al, 2011</w:t>
            </w:r>
          </w:p>
        </w:tc>
        <w:tc>
          <w:tcPr>
            <w:tcW w:w="0" w:type="auto"/>
          </w:tcPr>
          <w:p w14:paraId="6C1D592B"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3CF2C254" w14:textId="77777777" w:rsidR="00E47AB8" w:rsidRPr="008B2F8A" w:rsidRDefault="00E47AB8" w:rsidP="00422306">
            <w:pPr>
              <w:spacing w:before="40" w:after="80"/>
              <w:rPr>
                <w:rFonts w:ascii="Arial Narrow" w:hAnsi="Arial Narrow"/>
              </w:rPr>
            </w:pPr>
            <w:r w:rsidRPr="008B2F8A">
              <w:rPr>
                <w:rFonts w:ascii="Arial Narrow" w:hAnsi="Arial Narrow"/>
              </w:rPr>
              <w:t>Prospective</w:t>
            </w:r>
          </w:p>
          <w:p w14:paraId="4815E629"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0B2B7DFA"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0" w:type="auto"/>
          </w:tcPr>
          <w:p w14:paraId="1E8C9373" w14:textId="77777777" w:rsidR="00E47AB8" w:rsidRPr="008B2F8A" w:rsidRDefault="00E47AB8" w:rsidP="00422306">
            <w:pPr>
              <w:spacing w:before="40" w:after="80"/>
              <w:rPr>
                <w:rFonts w:ascii="Arial Narrow" w:hAnsi="Arial Narrow"/>
              </w:rPr>
            </w:pPr>
            <w:r w:rsidRPr="008B2F8A">
              <w:rPr>
                <w:rFonts w:ascii="Arial Narrow" w:hAnsi="Arial Narrow"/>
              </w:rPr>
              <w:t>Annual MRI with contrast</w:t>
            </w:r>
          </w:p>
          <w:p w14:paraId="12015C07" w14:textId="24E5D0F7" w:rsidR="00E47AB8" w:rsidRPr="008B2F8A" w:rsidRDefault="00E47AB8" w:rsidP="00422306">
            <w:pPr>
              <w:spacing w:before="40" w:after="80"/>
              <w:rPr>
                <w:rFonts w:ascii="Arial Narrow" w:hAnsi="Arial Narrow"/>
              </w:rPr>
            </w:pPr>
            <w:r w:rsidRPr="008B2F8A">
              <w:rPr>
                <w:rFonts w:ascii="Arial Narrow" w:hAnsi="Arial Narrow"/>
              </w:rPr>
              <w:t>1.5 T magnet in 14 centres, 1.0 T in 4 centres</w:t>
            </w:r>
          </w:p>
        </w:tc>
        <w:tc>
          <w:tcPr>
            <w:tcW w:w="0" w:type="auto"/>
          </w:tcPr>
          <w:p w14:paraId="59342353" w14:textId="33428BEA" w:rsidR="00E47AB8" w:rsidRPr="00B17898" w:rsidRDefault="00E47AB8" w:rsidP="00B17898">
            <w:pPr>
              <w:spacing w:before="40" w:after="80"/>
              <w:rPr>
                <w:rFonts w:ascii="Arial Narrow" w:hAnsi="Arial Narrow"/>
                <w:sz w:val="20"/>
                <w:szCs w:val="20"/>
              </w:rPr>
            </w:pPr>
            <w:r w:rsidRPr="008B2F8A">
              <w:rPr>
                <w:rFonts w:ascii="Arial Narrow" w:hAnsi="Arial Narrow"/>
              </w:rPr>
              <w:t xml:space="preserve">Annual clinical breast exam (CBE), mammography (film and digital) and </w:t>
            </w:r>
            <w:r>
              <w:rPr>
                <w:rFonts w:ascii="Arial Narrow" w:hAnsi="Arial Narrow"/>
              </w:rPr>
              <w:t>U/S</w:t>
            </w:r>
          </w:p>
        </w:tc>
        <w:tc>
          <w:tcPr>
            <w:tcW w:w="0" w:type="auto"/>
          </w:tcPr>
          <w:p w14:paraId="403C1C7E" w14:textId="77777777" w:rsidR="00E47AB8" w:rsidRPr="008B2F8A" w:rsidRDefault="00E47AB8" w:rsidP="00422306">
            <w:pPr>
              <w:spacing w:before="40" w:after="80"/>
              <w:rPr>
                <w:rFonts w:ascii="Arial Narrow" w:hAnsi="Arial Narrow"/>
              </w:rPr>
            </w:pPr>
            <w:r w:rsidRPr="008B2F8A">
              <w:rPr>
                <w:rFonts w:ascii="Arial Narrow" w:hAnsi="Arial Narrow"/>
              </w:rPr>
              <w:t>Histopathology for all test positives, 6-month follow-up for indeterminate findings</w:t>
            </w:r>
          </w:p>
          <w:p w14:paraId="5D1DD27B"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Film review for interval cancers NR</w:t>
            </w:r>
          </w:p>
        </w:tc>
        <w:tc>
          <w:tcPr>
            <w:tcW w:w="0" w:type="auto"/>
          </w:tcPr>
          <w:p w14:paraId="5C20A82D" w14:textId="2BAB6CF7" w:rsidR="00E47AB8" w:rsidRPr="008B2F8A" w:rsidRDefault="00E47AB8" w:rsidP="00422306">
            <w:pPr>
              <w:spacing w:before="40" w:after="80"/>
              <w:rPr>
                <w:rFonts w:ascii="Arial Narrow" w:hAnsi="Arial Narrow"/>
              </w:rPr>
            </w:pPr>
            <w:r w:rsidRPr="008B2F8A">
              <w:rPr>
                <w:rFonts w:ascii="Arial Narrow" w:hAnsi="Arial Narrow"/>
              </w:rPr>
              <w:t>Sens, Spec, PPV, NPV, LR+, LR–, ROC</w:t>
            </w:r>
          </w:p>
        </w:tc>
      </w:tr>
      <w:tr w:rsidR="00E47AB8" w:rsidRPr="008B2F8A" w14:paraId="365C5F61" w14:textId="77777777" w:rsidTr="00B17898">
        <w:tc>
          <w:tcPr>
            <w:tcW w:w="0" w:type="auto"/>
          </w:tcPr>
          <w:p w14:paraId="250C107D" w14:textId="25406B40" w:rsidR="00E47AB8" w:rsidRPr="008B2F8A" w:rsidRDefault="00E47AB8" w:rsidP="00422306">
            <w:pPr>
              <w:spacing w:before="40" w:after="80"/>
              <w:rPr>
                <w:rFonts w:ascii="Arial Narrow" w:hAnsi="Arial Narrow"/>
              </w:rPr>
            </w:pPr>
            <w:r w:rsidRPr="008B2F8A">
              <w:rPr>
                <w:rFonts w:ascii="Arial Narrow" w:hAnsi="Arial Narrow"/>
              </w:rPr>
              <w:t>Br</w:t>
            </w:r>
            <w:r>
              <w:rPr>
                <w:rFonts w:ascii="Arial Narrow" w:hAnsi="Arial Narrow"/>
              </w:rPr>
              <w:t>é</w:t>
            </w:r>
            <w:r w:rsidRPr="008B2F8A">
              <w:rPr>
                <w:rFonts w:ascii="Arial Narrow" w:hAnsi="Arial Narrow"/>
              </w:rPr>
              <w:t xml:space="preserve">dart </w:t>
            </w:r>
            <w:r>
              <w:rPr>
                <w:rFonts w:ascii="Arial Narrow" w:hAnsi="Arial Narrow"/>
              </w:rPr>
              <w:t xml:space="preserve">et al, </w:t>
            </w:r>
            <w:r w:rsidRPr="008B2F8A">
              <w:rPr>
                <w:rFonts w:ascii="Arial Narrow" w:hAnsi="Arial Narrow"/>
              </w:rPr>
              <w:t>2012</w:t>
            </w:r>
            <w:r w:rsidR="00503CE9">
              <w:rPr>
                <w:rFonts w:ascii="Arial Narrow" w:hAnsi="Arial Narrow"/>
              </w:rPr>
              <w:t>a</w:t>
            </w:r>
          </w:p>
        </w:tc>
        <w:tc>
          <w:tcPr>
            <w:tcW w:w="0" w:type="auto"/>
          </w:tcPr>
          <w:p w14:paraId="5AE152F7" w14:textId="77777777" w:rsidR="00E47AB8" w:rsidRPr="008B2F8A" w:rsidRDefault="00E47AB8" w:rsidP="00422306">
            <w:pPr>
              <w:spacing w:before="40" w:after="80"/>
              <w:rPr>
                <w:rFonts w:ascii="Arial Narrow" w:hAnsi="Arial Narrow"/>
              </w:rPr>
            </w:pPr>
            <w:r w:rsidRPr="008B2F8A">
              <w:rPr>
                <w:rFonts w:ascii="Arial Narrow" w:hAnsi="Arial Narrow"/>
              </w:rPr>
              <w:t>Screening intervention</w:t>
            </w:r>
          </w:p>
          <w:p w14:paraId="1138B97B" w14:textId="77777777" w:rsidR="00E47AB8" w:rsidRPr="008B2F8A" w:rsidRDefault="00E47AB8" w:rsidP="00422306">
            <w:pPr>
              <w:spacing w:before="40" w:after="80"/>
              <w:rPr>
                <w:rFonts w:ascii="Arial Narrow" w:hAnsi="Arial Narrow"/>
              </w:rPr>
            </w:pPr>
            <w:r w:rsidRPr="008B2F8A">
              <w:rPr>
                <w:rFonts w:ascii="Arial Narrow" w:hAnsi="Arial Narrow"/>
              </w:rPr>
              <w:t>Prospective</w:t>
            </w:r>
          </w:p>
          <w:p w14:paraId="48305ECD"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02B1C461"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0" w:type="auto"/>
          </w:tcPr>
          <w:p w14:paraId="78C771E9" w14:textId="77777777" w:rsidR="00E47AB8" w:rsidRPr="008B2F8A" w:rsidRDefault="00E47AB8" w:rsidP="00422306">
            <w:pPr>
              <w:spacing w:before="40" w:after="80"/>
              <w:rPr>
                <w:rFonts w:ascii="Arial Narrow" w:hAnsi="Arial Narrow"/>
              </w:rPr>
            </w:pPr>
            <w:r w:rsidRPr="008B2F8A">
              <w:rPr>
                <w:rFonts w:ascii="Arial Narrow" w:hAnsi="Arial Narrow"/>
              </w:rPr>
              <w:t>MRI with contrast</w:t>
            </w:r>
          </w:p>
          <w:p w14:paraId="1669EC17" w14:textId="77777777" w:rsidR="00E47AB8" w:rsidRPr="008B2F8A" w:rsidRDefault="00E47AB8" w:rsidP="00422306">
            <w:pPr>
              <w:spacing w:before="40" w:after="80"/>
              <w:rPr>
                <w:rFonts w:ascii="Arial Narrow" w:hAnsi="Arial Narrow"/>
              </w:rPr>
            </w:pPr>
            <w:r w:rsidRPr="008B2F8A">
              <w:rPr>
                <w:rFonts w:ascii="Arial Narrow" w:hAnsi="Arial Narrow"/>
              </w:rPr>
              <w:t>Magnet strength NR</w:t>
            </w:r>
          </w:p>
        </w:tc>
        <w:tc>
          <w:tcPr>
            <w:tcW w:w="0" w:type="auto"/>
          </w:tcPr>
          <w:p w14:paraId="7892DCE2" w14:textId="4C738977" w:rsidR="00E47AB8" w:rsidRPr="008B2F8A" w:rsidRDefault="00E47AB8" w:rsidP="00422306">
            <w:pPr>
              <w:spacing w:before="40" w:after="80"/>
              <w:rPr>
                <w:rFonts w:ascii="Arial Narrow" w:hAnsi="Arial Narrow"/>
              </w:rPr>
            </w:pPr>
            <w:r w:rsidRPr="008B2F8A">
              <w:rPr>
                <w:rFonts w:ascii="Arial Narrow" w:hAnsi="Arial Narrow"/>
              </w:rPr>
              <w:t xml:space="preserve">Film/digital mammography ± </w:t>
            </w:r>
            <w:r>
              <w:rPr>
                <w:rFonts w:ascii="Arial Narrow" w:hAnsi="Arial Narrow"/>
              </w:rPr>
              <w:t>U/S</w:t>
            </w:r>
          </w:p>
        </w:tc>
        <w:tc>
          <w:tcPr>
            <w:tcW w:w="0" w:type="auto"/>
          </w:tcPr>
          <w:p w14:paraId="3530C296" w14:textId="77777777" w:rsidR="00E47AB8" w:rsidRPr="008B2F8A" w:rsidRDefault="00E47AB8" w:rsidP="00422306">
            <w:pPr>
              <w:spacing w:before="40" w:after="80"/>
              <w:rPr>
                <w:rFonts w:ascii="Arial Narrow" w:hAnsi="Arial Narrow"/>
              </w:rPr>
            </w:pPr>
            <w:r w:rsidRPr="008B2F8A">
              <w:rPr>
                <w:rFonts w:ascii="Arial Narrow" w:hAnsi="Arial Narrow"/>
              </w:rPr>
              <w:t>NA</w:t>
            </w:r>
          </w:p>
        </w:tc>
        <w:tc>
          <w:tcPr>
            <w:tcW w:w="0" w:type="auto"/>
          </w:tcPr>
          <w:p w14:paraId="2AA5D154" w14:textId="77777777" w:rsidR="00E47AB8" w:rsidRPr="008B2F8A" w:rsidRDefault="00E47AB8" w:rsidP="00422306">
            <w:pPr>
              <w:spacing w:before="40" w:after="80"/>
              <w:rPr>
                <w:rFonts w:ascii="Arial Narrow" w:hAnsi="Arial Narrow"/>
              </w:rPr>
            </w:pPr>
            <w:r w:rsidRPr="008B2F8A">
              <w:rPr>
                <w:rFonts w:ascii="Arial Narrow" w:hAnsi="Arial Narrow"/>
              </w:rPr>
              <w:t>Psychological outcomes, perception of care and experience of examination</w:t>
            </w:r>
          </w:p>
        </w:tc>
      </w:tr>
    </w:tbl>
    <w:p w14:paraId="10C3DA3E" w14:textId="77777777" w:rsidR="00E47AB8" w:rsidRPr="008B2F8A" w:rsidRDefault="00E47AB8" w:rsidP="00B17898">
      <w:pPr>
        <w:pStyle w:val="TableNotesLast"/>
      </w:pPr>
      <w:bookmarkStart w:id="692" w:name="_Toc365552166"/>
      <w:r w:rsidRPr="008B2F8A">
        <w:t xml:space="preserve">NR = not reported; MRI = magnetic resonance imaging; U/S = ultrasound; CBE = clinical breast examination; Sens = sensitivity; Spec = specificity; LR+ = positive likelihood ratio; LR– = negative likelihood ratio; </w:t>
      </w:r>
      <w:bookmarkStart w:id="693" w:name="OLE_LINK317"/>
      <w:bookmarkStart w:id="694" w:name="OLE_LINK318"/>
      <w:r w:rsidRPr="008B2F8A">
        <w:t xml:space="preserve">ROC </w:t>
      </w:r>
      <w:bookmarkEnd w:id="693"/>
      <w:bookmarkEnd w:id="694"/>
      <w:r w:rsidRPr="008B2F8A">
        <w:t xml:space="preserve">= receiver operating characteristic; </w:t>
      </w:r>
      <w:bookmarkStart w:id="695" w:name="OLE_LINK319"/>
      <w:bookmarkStart w:id="696" w:name="OLE_LINK320"/>
      <w:r w:rsidRPr="008B2F8A">
        <w:t xml:space="preserve">AUC </w:t>
      </w:r>
      <w:bookmarkEnd w:id="695"/>
      <w:bookmarkEnd w:id="696"/>
      <w:r w:rsidRPr="008B2F8A">
        <w:t>= area under curve; NPV = negative predictive value; PPV = positive predictive value.</w:t>
      </w:r>
    </w:p>
    <w:p w14:paraId="4498335F" w14:textId="076D750C" w:rsidR="00E47AB8" w:rsidRPr="008B2F8A" w:rsidRDefault="00E47AB8" w:rsidP="00E47AB8">
      <w:pPr>
        <w:pStyle w:val="Heading3"/>
        <w:numPr>
          <w:ilvl w:val="2"/>
          <w:numId w:val="42"/>
        </w:numPr>
      </w:pPr>
      <w:bookmarkStart w:id="697" w:name="_Toc383424463"/>
      <w:r w:rsidRPr="008B2F8A">
        <w:t>Additional high-risk groups</w:t>
      </w:r>
      <w:bookmarkEnd w:id="697"/>
    </w:p>
    <w:p w14:paraId="1DF79BDB" w14:textId="77777777" w:rsidR="00E47AB8" w:rsidRPr="008B2F8A" w:rsidRDefault="00E47AB8" w:rsidP="00422306">
      <w:pPr>
        <w:pStyle w:val="Heading4"/>
      </w:pPr>
      <w:r w:rsidRPr="008B2F8A">
        <w:t>Women with a history of treatment for invasive breast cancer</w:t>
      </w:r>
    </w:p>
    <w:p w14:paraId="3F22D9F4" w14:textId="53F38C55" w:rsidR="00E47AB8" w:rsidRPr="008B2F8A" w:rsidRDefault="00E47AB8" w:rsidP="00422306">
      <w:r w:rsidRPr="008B2F8A">
        <w:t>The characteristics of the included systematic reviews (</w:t>
      </w:r>
      <w:r w:rsidRPr="008B2F8A">
        <w:rPr>
          <w:noProof/>
        </w:rPr>
        <w:t xml:space="preserve">NICE, 2013; </w:t>
      </w:r>
      <w:bookmarkStart w:id="698" w:name="OLE_LINK774"/>
      <w:bookmarkStart w:id="699" w:name="OLE_LINK775"/>
      <w:r w:rsidRPr="008B2F8A">
        <w:rPr>
          <w:noProof/>
        </w:rPr>
        <w:t>Robertson et al, 2011a</w:t>
      </w:r>
      <w:bookmarkEnd w:id="698"/>
      <w:bookmarkEnd w:id="699"/>
      <w:r w:rsidRPr="008B2F8A">
        <w:rPr>
          <w:noProof/>
        </w:rPr>
        <w:t>)</w:t>
      </w:r>
      <w:r w:rsidRPr="008B2F8A">
        <w:t xml:space="preserve"> are presented </w:t>
      </w:r>
      <w:r>
        <w:t>in</w:t>
      </w:r>
      <w:r w:rsidRPr="008B2F8A">
        <w:t xml:space="preserve"> </w:t>
      </w:r>
      <w:r w:rsidRPr="008B2F8A">
        <w:fldChar w:fldCharType="begin"/>
      </w:r>
      <w:r w:rsidRPr="008B2F8A">
        <w:instrText xml:space="preserve"> REF _Ref373500376 \h </w:instrText>
      </w:r>
      <w:r w:rsidRPr="008B2F8A">
        <w:fldChar w:fldCharType="separate"/>
      </w:r>
      <w:r w:rsidR="00B81273" w:rsidRPr="008B2F8A">
        <w:t xml:space="preserve">Table </w:t>
      </w:r>
      <w:r w:rsidR="00B81273">
        <w:rPr>
          <w:noProof/>
        </w:rPr>
        <w:t>B</w:t>
      </w:r>
      <w:r w:rsidR="00B81273" w:rsidRPr="008B2F8A">
        <w:t>.</w:t>
      </w:r>
      <w:r w:rsidR="00B81273">
        <w:rPr>
          <w:noProof/>
        </w:rPr>
        <w:t>17</w:t>
      </w:r>
      <w:r w:rsidRPr="008B2F8A">
        <w:fldChar w:fldCharType="end"/>
      </w:r>
      <w:r w:rsidRPr="008B2F8A">
        <w:t xml:space="preserve">. The NICE </w:t>
      </w:r>
      <w:r>
        <w:t>(2013)</w:t>
      </w:r>
      <w:r w:rsidRPr="008B2F8A">
        <w:t xml:space="preserve"> population included women with both a personal history </w:t>
      </w:r>
      <w:r w:rsidRPr="00B17898">
        <w:t>and</w:t>
      </w:r>
      <w:r w:rsidRPr="008B2F8A">
        <w:t xml:space="preserve"> a family history of breast cancer, and is therefore a subset of that considered </w:t>
      </w:r>
      <w:r>
        <w:t>here</w:t>
      </w:r>
      <w:r w:rsidRPr="008B2F8A">
        <w:t>. This population could also be considered applicable to the interim item indication.</w:t>
      </w:r>
    </w:p>
    <w:p w14:paraId="371044BA" w14:textId="28F12CFE" w:rsidR="00E47AB8" w:rsidRPr="008B2F8A" w:rsidRDefault="00E47AB8" w:rsidP="00422306">
      <w:r w:rsidRPr="008B2F8A">
        <w:t>NICE (2013) included four studies (</w:t>
      </w:r>
      <w:bookmarkStart w:id="700" w:name="OLE_LINK776"/>
      <w:bookmarkStart w:id="701" w:name="OLE_LINK777"/>
      <w:r w:rsidRPr="008B2F8A">
        <w:rPr>
          <w:noProof/>
        </w:rPr>
        <w:t>Elmore</w:t>
      </w:r>
      <w:bookmarkStart w:id="702" w:name="OLE_LINK846"/>
      <w:bookmarkStart w:id="703" w:name="OLE_LINK847"/>
      <w:r w:rsidRPr="008B2F8A">
        <w:rPr>
          <w:noProof/>
        </w:rPr>
        <w:t xml:space="preserve"> &amp; Margenthaler</w:t>
      </w:r>
      <w:bookmarkEnd w:id="702"/>
      <w:bookmarkEnd w:id="703"/>
      <w:r w:rsidRPr="008B2F8A">
        <w:rPr>
          <w:noProof/>
        </w:rPr>
        <w:t>, 2010; Houssami et al, 2011; Robertson et al, 2011b; Sardanelli et al, 2011</w:t>
      </w:r>
      <w:bookmarkEnd w:id="700"/>
      <w:bookmarkEnd w:id="701"/>
      <w:r w:rsidRPr="008B2F8A">
        <w:rPr>
          <w:noProof/>
        </w:rPr>
        <w:t>)</w:t>
      </w:r>
      <w:r w:rsidRPr="008B2F8A">
        <w:t xml:space="preserve">. </w:t>
      </w:r>
      <w:bookmarkStart w:id="704" w:name="OLE_LINK778"/>
      <w:bookmarkStart w:id="705" w:name="OLE_LINK779"/>
      <w:r w:rsidRPr="008B2F8A">
        <w:t xml:space="preserve">Robertson et al </w:t>
      </w:r>
      <w:r w:rsidRPr="008B2F8A">
        <w:rPr>
          <w:noProof/>
        </w:rPr>
        <w:t>(2011b</w:t>
      </w:r>
      <w:bookmarkEnd w:id="704"/>
      <w:bookmarkEnd w:id="705"/>
      <w:r w:rsidRPr="008B2F8A">
        <w:rPr>
          <w:noProof/>
        </w:rPr>
        <w:t>)</w:t>
      </w:r>
      <w:r w:rsidRPr="008B2F8A">
        <w:t xml:space="preserve"> is a publication from the HTA included in this assessment </w:t>
      </w:r>
      <w:r w:rsidRPr="008B2F8A">
        <w:rPr>
          <w:noProof/>
        </w:rPr>
        <w:t>(</w:t>
      </w:r>
      <w:bookmarkStart w:id="706" w:name="OLE_LINK780"/>
      <w:r w:rsidRPr="008B2F8A">
        <w:rPr>
          <w:noProof/>
        </w:rPr>
        <w:t>Robertson et al, 2011a</w:t>
      </w:r>
      <w:bookmarkEnd w:id="706"/>
      <w:r w:rsidRPr="008B2F8A">
        <w:rPr>
          <w:noProof/>
        </w:rPr>
        <w:t>)</w:t>
      </w:r>
      <w:r w:rsidRPr="008B2F8A">
        <w:t xml:space="preserve">. </w:t>
      </w:r>
      <w:bookmarkStart w:id="707" w:name="OLE_LINK781"/>
      <w:r w:rsidRPr="008B2F8A">
        <w:t xml:space="preserve">Houssami et al </w:t>
      </w:r>
      <w:r w:rsidRPr="008B2F8A">
        <w:rPr>
          <w:noProof/>
        </w:rPr>
        <w:t>(2011)</w:t>
      </w:r>
      <w:r w:rsidRPr="008B2F8A">
        <w:t xml:space="preserve"> is a retrospective study comparing mammography results between women with </w:t>
      </w:r>
      <w:r>
        <w:t xml:space="preserve">and without a </w:t>
      </w:r>
      <w:r w:rsidRPr="008B2F8A">
        <w:t xml:space="preserve">personal history of breast cancer; mammography results are not compared with MRI or any other screening modality and therefore the study is excluded. </w:t>
      </w:r>
      <w:bookmarkStart w:id="708" w:name="OLE_LINK782"/>
      <w:bookmarkStart w:id="709" w:name="OLE_LINK783"/>
      <w:r w:rsidRPr="008B2F8A">
        <w:t xml:space="preserve">Elmore and </w:t>
      </w:r>
      <w:bookmarkStart w:id="710" w:name="OLE_LINK107"/>
      <w:bookmarkStart w:id="711" w:name="OLE_LINK108"/>
      <w:r w:rsidRPr="008B2F8A">
        <w:t xml:space="preserve">Margenthaler </w:t>
      </w:r>
      <w:bookmarkEnd w:id="710"/>
      <w:bookmarkEnd w:id="711"/>
      <w:r w:rsidRPr="008B2F8A">
        <w:rPr>
          <w:noProof/>
        </w:rPr>
        <w:t>(2010</w:t>
      </w:r>
      <w:bookmarkEnd w:id="708"/>
      <w:bookmarkEnd w:id="709"/>
      <w:r w:rsidRPr="008B2F8A">
        <w:rPr>
          <w:noProof/>
        </w:rPr>
        <w:t>)</w:t>
      </w:r>
      <w:r w:rsidRPr="008B2F8A">
        <w:t xml:space="preserve"> is excluded as it does not assess diagnostic </w:t>
      </w:r>
      <w:bookmarkEnd w:id="707"/>
      <w:r w:rsidRPr="008B2F8A">
        <w:t xml:space="preserve">performance; it focuses on determining the factors predicting the use of breast MRI surveillance in women previously treated for breast cancer. Sardanelli et al </w:t>
      </w:r>
      <w:r w:rsidRPr="008B2F8A">
        <w:rPr>
          <w:noProof/>
        </w:rPr>
        <w:t>(2011)</w:t>
      </w:r>
      <w:r w:rsidRPr="008B2F8A">
        <w:t xml:space="preserve"> met our inclusion criteria and was considered most applicable to the interim item indication; </w:t>
      </w:r>
      <w:r>
        <w:t>its</w:t>
      </w:r>
      <w:r w:rsidRPr="008B2F8A">
        <w:t xml:space="preserve"> characteristics are shown in </w:t>
      </w:r>
      <w:r w:rsidRPr="008B2F8A">
        <w:fldChar w:fldCharType="begin"/>
      </w:r>
      <w:r w:rsidRPr="008B2F8A">
        <w:instrText xml:space="preserve"> REF _Ref368232816 \h </w:instrText>
      </w:r>
      <w:r w:rsidRPr="008B2F8A">
        <w:fldChar w:fldCharType="separate"/>
      </w:r>
      <w:r w:rsidR="00B81273" w:rsidRPr="008B2F8A">
        <w:t xml:space="preserve">Table </w:t>
      </w:r>
      <w:r w:rsidR="00B81273">
        <w:rPr>
          <w:noProof/>
        </w:rPr>
        <w:t>B</w:t>
      </w:r>
      <w:r w:rsidR="00B81273" w:rsidRPr="008B2F8A">
        <w:t>.</w:t>
      </w:r>
      <w:r w:rsidR="00B81273">
        <w:rPr>
          <w:noProof/>
        </w:rPr>
        <w:t>15</w:t>
      </w:r>
      <w:r w:rsidRPr="008B2F8A">
        <w:fldChar w:fldCharType="end"/>
      </w:r>
      <w:r w:rsidRPr="008B2F8A">
        <w:t>.</w:t>
      </w:r>
    </w:p>
    <w:p w14:paraId="06295A4E" w14:textId="425A4392" w:rsidR="00E47AB8" w:rsidRPr="008B2F8A" w:rsidRDefault="00E47AB8" w:rsidP="00422306">
      <w:r w:rsidRPr="008B2F8A">
        <w:t xml:space="preserve">The </w:t>
      </w:r>
      <w:bookmarkStart w:id="712" w:name="OLE_LINK784"/>
      <w:bookmarkStart w:id="713" w:name="OLE_LINK785"/>
      <w:r w:rsidRPr="008B2F8A">
        <w:rPr>
          <w:noProof/>
        </w:rPr>
        <w:t>Robertson et al (2011a</w:t>
      </w:r>
      <w:bookmarkEnd w:id="712"/>
      <w:bookmarkEnd w:id="713"/>
      <w:r w:rsidRPr="008B2F8A">
        <w:rPr>
          <w:noProof/>
        </w:rPr>
        <w:t>)</w:t>
      </w:r>
      <w:r w:rsidRPr="008B2F8A">
        <w:t xml:space="preserve"> HTA included six studies with data on MRI surveillance. Three of these studies were excluded from this review as the population studied was women undergoing non-routine surveillance (ie, women with suspicion of recurrence) (</w:t>
      </w:r>
      <w:bookmarkStart w:id="714" w:name="OLE_LINK786"/>
      <w:bookmarkStart w:id="715" w:name="OLE_LINK787"/>
      <w:r w:rsidRPr="008B2F8A">
        <w:rPr>
          <w:noProof/>
        </w:rPr>
        <w:t>Belli et al, 2002; Mumtaz et al, 1997; Rieber et al, 1997</w:t>
      </w:r>
      <w:bookmarkEnd w:id="714"/>
      <w:bookmarkEnd w:id="715"/>
      <w:r w:rsidRPr="008B2F8A">
        <w:rPr>
          <w:noProof/>
        </w:rPr>
        <w:t>)</w:t>
      </w:r>
      <w:r w:rsidRPr="008B2F8A">
        <w:t xml:space="preserve">. Of the remaining three studies, one was excluded as it did not include any women younger than 50 years of age </w:t>
      </w:r>
      <w:r w:rsidRPr="008B2F8A">
        <w:rPr>
          <w:noProof/>
        </w:rPr>
        <w:t>(</w:t>
      </w:r>
      <w:bookmarkStart w:id="716" w:name="OLE_LINK788"/>
      <w:bookmarkStart w:id="717" w:name="OLE_LINK789"/>
      <w:r w:rsidRPr="008B2F8A">
        <w:rPr>
          <w:noProof/>
        </w:rPr>
        <w:t>Drew et al, 1998</w:t>
      </w:r>
      <w:bookmarkEnd w:id="716"/>
      <w:bookmarkEnd w:id="717"/>
      <w:r w:rsidRPr="008B2F8A">
        <w:rPr>
          <w:noProof/>
        </w:rPr>
        <w:t>)</w:t>
      </w:r>
      <w:r>
        <w:rPr>
          <w:noProof/>
        </w:rPr>
        <w:t>,</w:t>
      </w:r>
      <w:r w:rsidRPr="008B2F8A">
        <w:t xml:space="preserve"> and </w:t>
      </w:r>
      <w:r>
        <w:t>another</w:t>
      </w:r>
      <w:r w:rsidRPr="008B2F8A">
        <w:t xml:space="preserve"> because it included only women who had undergone mastectomy and received breast implants </w:t>
      </w:r>
      <w:r w:rsidRPr="008B2F8A">
        <w:rPr>
          <w:noProof/>
        </w:rPr>
        <w:t>(</w:t>
      </w:r>
      <w:bookmarkStart w:id="718" w:name="OLE_LINK790"/>
      <w:bookmarkStart w:id="719" w:name="OLE_LINK791"/>
      <w:r w:rsidRPr="008B2F8A">
        <w:rPr>
          <w:noProof/>
        </w:rPr>
        <w:t>Bon</w:t>
      </w:r>
      <w:r>
        <w:rPr>
          <w:noProof/>
        </w:rPr>
        <w:t>é</w:t>
      </w:r>
      <w:r w:rsidRPr="008B2F8A">
        <w:rPr>
          <w:noProof/>
        </w:rPr>
        <w:t xml:space="preserve"> et al, 1995</w:t>
      </w:r>
      <w:bookmarkEnd w:id="718"/>
      <w:bookmarkEnd w:id="719"/>
      <w:r w:rsidRPr="008B2F8A">
        <w:rPr>
          <w:noProof/>
        </w:rPr>
        <w:t>)</w:t>
      </w:r>
      <w:r>
        <w:rPr>
          <w:noProof/>
        </w:rPr>
        <w:t>.</w:t>
      </w:r>
      <w:r w:rsidRPr="008B2F8A">
        <w:t xml:space="preserve"> The remaining study was included in the review </w:t>
      </w:r>
      <w:r w:rsidRPr="008B2F8A">
        <w:rPr>
          <w:noProof/>
        </w:rPr>
        <w:t>(</w:t>
      </w:r>
      <w:bookmarkStart w:id="720" w:name="OLE_LINK792"/>
      <w:bookmarkStart w:id="721" w:name="OLE_LINK793"/>
      <w:r w:rsidRPr="008B2F8A">
        <w:rPr>
          <w:noProof/>
        </w:rPr>
        <w:t>Viehweg et al, 2004</w:t>
      </w:r>
      <w:bookmarkEnd w:id="720"/>
      <w:bookmarkEnd w:id="721"/>
      <w:r w:rsidRPr="008B2F8A">
        <w:rPr>
          <w:noProof/>
        </w:rPr>
        <w:t>)</w:t>
      </w:r>
      <w:r w:rsidRPr="008B2F8A">
        <w:t>.</w:t>
      </w:r>
    </w:p>
    <w:p w14:paraId="7B7A27CB" w14:textId="77777777" w:rsidR="00E47AB8" w:rsidRPr="008B2F8A" w:rsidRDefault="00E47AB8" w:rsidP="00422306">
      <w:pPr>
        <w:pStyle w:val="Caption"/>
      </w:pPr>
      <w:bookmarkStart w:id="722" w:name="_Ref373500376"/>
      <w:bookmarkStart w:id="723" w:name="_Toc383424583"/>
      <w:r w:rsidRPr="008B2F8A">
        <w:lastRenderedPageBreak/>
        <w:t xml:space="preserve">Table </w:t>
      </w:r>
      <w:fldSimple w:instr=" STYLEREF 1 \s ">
        <w:r w:rsidR="00B81273">
          <w:rPr>
            <w:noProof/>
          </w:rPr>
          <w:t>B</w:t>
        </w:r>
      </w:fldSimple>
      <w:r w:rsidRPr="008B2F8A">
        <w:t>.</w:t>
      </w:r>
      <w:fldSimple w:instr=" SEQ Table \* ARABIC \s 1 ">
        <w:r w:rsidR="00B81273">
          <w:rPr>
            <w:noProof/>
          </w:rPr>
          <w:t>17</w:t>
        </w:r>
      </w:fldSimple>
      <w:bookmarkEnd w:id="722"/>
      <w:r w:rsidRPr="008B2F8A">
        <w:tab/>
      </w:r>
      <w:bookmarkStart w:id="724" w:name="OLE_LINK1013"/>
      <w:bookmarkStart w:id="725" w:name="OLE_LINK1014"/>
      <w:r w:rsidRPr="008B2F8A">
        <w:t>Characteristics of included systematic reviews</w:t>
      </w:r>
      <w:bookmarkEnd w:id="724"/>
      <w:bookmarkEnd w:id="725"/>
      <w:r w:rsidRPr="008B2F8A">
        <w:t>.</w:t>
      </w:r>
      <w:bookmarkEnd w:id="723"/>
    </w:p>
    <w:tbl>
      <w:tblPr>
        <w:tblStyle w:val="TableGrid"/>
        <w:tblW w:w="9070" w:type="dxa"/>
        <w:tblLayout w:type="fixed"/>
        <w:tblCellMar>
          <w:left w:w="28" w:type="dxa"/>
          <w:right w:w="28" w:type="dxa"/>
        </w:tblCellMar>
        <w:tblLook w:val="04A0" w:firstRow="1" w:lastRow="0" w:firstColumn="1" w:lastColumn="0" w:noHBand="0" w:noVBand="1"/>
        <w:tblCaption w:val="Characteristics of included systematic reviews"/>
      </w:tblPr>
      <w:tblGrid>
        <w:gridCol w:w="880"/>
        <w:gridCol w:w="1988"/>
        <w:gridCol w:w="1988"/>
        <w:gridCol w:w="1704"/>
        <w:gridCol w:w="710"/>
        <w:gridCol w:w="1800"/>
      </w:tblGrid>
      <w:tr w:rsidR="00E47AB8" w:rsidRPr="008B2F8A" w14:paraId="3D7434B8" w14:textId="77777777" w:rsidTr="00B17898">
        <w:trPr>
          <w:tblHeader/>
        </w:trPr>
        <w:tc>
          <w:tcPr>
            <w:tcW w:w="880" w:type="dxa"/>
            <w:vAlign w:val="bottom"/>
          </w:tcPr>
          <w:p w14:paraId="18557F33" w14:textId="77777777" w:rsidR="00E47AB8" w:rsidRPr="008B2F8A" w:rsidRDefault="00E47AB8" w:rsidP="00422306">
            <w:pPr>
              <w:spacing w:before="40" w:after="80"/>
              <w:rPr>
                <w:rFonts w:ascii="Arial Narrow" w:hAnsi="Arial Narrow"/>
                <w:b/>
              </w:rPr>
            </w:pPr>
          </w:p>
        </w:tc>
        <w:tc>
          <w:tcPr>
            <w:tcW w:w="1988" w:type="dxa"/>
            <w:vAlign w:val="bottom"/>
          </w:tcPr>
          <w:p w14:paraId="22FD8319" w14:textId="77777777" w:rsidR="00E47AB8" w:rsidRPr="008B2F8A" w:rsidRDefault="00E47AB8" w:rsidP="00422306">
            <w:pPr>
              <w:spacing w:before="40" w:after="80"/>
              <w:rPr>
                <w:rFonts w:ascii="Arial Narrow" w:hAnsi="Arial Narrow"/>
                <w:b/>
              </w:rPr>
            </w:pPr>
            <w:r w:rsidRPr="008B2F8A">
              <w:rPr>
                <w:rFonts w:ascii="Arial Narrow" w:hAnsi="Arial Narrow"/>
                <w:b/>
              </w:rPr>
              <w:t>Report objectives</w:t>
            </w:r>
          </w:p>
        </w:tc>
        <w:tc>
          <w:tcPr>
            <w:tcW w:w="1988" w:type="dxa"/>
            <w:vAlign w:val="bottom"/>
          </w:tcPr>
          <w:p w14:paraId="729B1911" w14:textId="77777777" w:rsidR="00E47AB8" w:rsidRPr="008B2F8A" w:rsidRDefault="00E47AB8" w:rsidP="00422306">
            <w:pPr>
              <w:spacing w:before="40" w:after="80"/>
              <w:rPr>
                <w:rFonts w:ascii="Arial Narrow" w:hAnsi="Arial Narrow"/>
                <w:b/>
              </w:rPr>
            </w:pPr>
            <w:r w:rsidRPr="008B2F8A">
              <w:rPr>
                <w:rFonts w:ascii="Arial Narrow" w:hAnsi="Arial Narrow"/>
                <w:b/>
              </w:rPr>
              <w:t>Participants</w:t>
            </w:r>
          </w:p>
        </w:tc>
        <w:tc>
          <w:tcPr>
            <w:tcW w:w="1704" w:type="dxa"/>
            <w:vAlign w:val="bottom"/>
          </w:tcPr>
          <w:p w14:paraId="431D89DA" w14:textId="77777777" w:rsidR="00E47AB8" w:rsidRPr="008B2F8A" w:rsidRDefault="00E47AB8" w:rsidP="00422306">
            <w:pPr>
              <w:spacing w:before="40" w:after="80"/>
              <w:rPr>
                <w:rFonts w:ascii="Arial Narrow" w:hAnsi="Arial Narrow"/>
                <w:b/>
              </w:rPr>
            </w:pPr>
            <w:r w:rsidRPr="008B2F8A">
              <w:rPr>
                <w:rFonts w:ascii="Arial Narrow" w:hAnsi="Arial Narrow"/>
                <w:b/>
              </w:rPr>
              <w:t>Outcomes</w:t>
            </w:r>
          </w:p>
        </w:tc>
        <w:tc>
          <w:tcPr>
            <w:tcW w:w="710" w:type="dxa"/>
            <w:vAlign w:val="bottom"/>
          </w:tcPr>
          <w:p w14:paraId="5F3E4097" w14:textId="77777777" w:rsidR="00E47AB8" w:rsidRPr="008B2F8A" w:rsidRDefault="00E47AB8" w:rsidP="00422306">
            <w:pPr>
              <w:spacing w:before="40" w:after="80"/>
              <w:rPr>
                <w:rFonts w:ascii="Arial Narrow" w:hAnsi="Arial Narrow"/>
                <w:b/>
              </w:rPr>
            </w:pPr>
            <w:r w:rsidRPr="008B2F8A">
              <w:rPr>
                <w:rFonts w:ascii="Arial Narrow" w:hAnsi="Arial Narrow"/>
                <w:b/>
              </w:rPr>
              <w:t>Search date</w:t>
            </w:r>
          </w:p>
        </w:tc>
        <w:tc>
          <w:tcPr>
            <w:tcW w:w="1800" w:type="dxa"/>
            <w:vAlign w:val="bottom"/>
          </w:tcPr>
          <w:p w14:paraId="7240DD3C" w14:textId="77777777" w:rsidR="00E47AB8" w:rsidRPr="008B2F8A" w:rsidRDefault="00E47AB8" w:rsidP="00422306">
            <w:pPr>
              <w:spacing w:before="40" w:after="80"/>
              <w:rPr>
                <w:rFonts w:ascii="Arial Narrow" w:hAnsi="Arial Narrow"/>
                <w:b/>
              </w:rPr>
            </w:pPr>
            <w:r w:rsidRPr="008B2F8A">
              <w:rPr>
                <w:rFonts w:ascii="Arial Narrow" w:hAnsi="Arial Narrow"/>
                <w:b/>
              </w:rPr>
              <w:t>Type of analysis, No. &amp; date of included studies</w:t>
            </w:r>
          </w:p>
        </w:tc>
      </w:tr>
      <w:tr w:rsidR="00E47AB8" w:rsidRPr="008B2F8A" w14:paraId="4F6B13D7" w14:textId="77777777" w:rsidTr="00B17898">
        <w:tc>
          <w:tcPr>
            <w:tcW w:w="880" w:type="dxa"/>
          </w:tcPr>
          <w:p w14:paraId="2E173C4E" w14:textId="552E53E5" w:rsidR="00E47AB8" w:rsidRPr="008B2F8A" w:rsidRDefault="00E47AB8" w:rsidP="00422306">
            <w:pPr>
              <w:spacing w:before="40" w:after="80"/>
              <w:rPr>
                <w:rFonts w:ascii="Arial Narrow" w:hAnsi="Arial Narrow"/>
              </w:rPr>
            </w:pPr>
            <w:r>
              <w:rPr>
                <w:rFonts w:ascii="Arial Narrow" w:hAnsi="Arial Narrow"/>
              </w:rPr>
              <w:t>NICE, 2013</w:t>
            </w:r>
          </w:p>
        </w:tc>
        <w:tc>
          <w:tcPr>
            <w:tcW w:w="1988" w:type="dxa"/>
          </w:tcPr>
          <w:p w14:paraId="4C713E6C" w14:textId="77777777" w:rsidR="00E47AB8" w:rsidRPr="008B2F8A" w:rsidRDefault="00E47AB8" w:rsidP="00422306">
            <w:pPr>
              <w:spacing w:before="40" w:after="80"/>
              <w:rPr>
                <w:rFonts w:ascii="Arial Narrow" w:hAnsi="Arial Narrow"/>
              </w:rPr>
            </w:pPr>
            <w:r w:rsidRPr="008B2F8A">
              <w:rPr>
                <w:rFonts w:ascii="Arial Narrow" w:hAnsi="Arial Narrow"/>
              </w:rPr>
              <w:t>To update the previous NICE guidelines.</w:t>
            </w:r>
          </w:p>
          <w:p w14:paraId="2F749704" w14:textId="6D556476" w:rsidR="00E47AB8" w:rsidRPr="008B2F8A" w:rsidRDefault="00E47AB8" w:rsidP="00422306">
            <w:pPr>
              <w:spacing w:before="40" w:after="80"/>
              <w:rPr>
                <w:rFonts w:ascii="Arial Narrow" w:hAnsi="Arial Narrow"/>
              </w:rPr>
            </w:pPr>
            <w:r w:rsidRPr="008B2F8A">
              <w:rPr>
                <w:rFonts w:ascii="Arial Narrow" w:hAnsi="Arial Narrow"/>
              </w:rPr>
              <w:t xml:space="preserve">What are the specific surveillance needs of people with a personal history of breast cancer and a familial risk, who have not undergone a </w:t>
            </w:r>
            <w:bookmarkStart w:id="726" w:name="OLE_LINK564"/>
            <w:bookmarkStart w:id="727" w:name="OLE_LINK565"/>
            <w:r w:rsidRPr="008B2F8A">
              <w:rPr>
                <w:rFonts w:ascii="Arial Narrow" w:hAnsi="Arial Narrow"/>
              </w:rPr>
              <w:t>risk</w:t>
            </w:r>
            <w:r>
              <w:rPr>
                <w:rFonts w:ascii="Arial Narrow" w:hAnsi="Arial Narrow"/>
              </w:rPr>
              <w:t>-</w:t>
            </w:r>
            <w:r w:rsidRPr="008B2F8A">
              <w:rPr>
                <w:rFonts w:ascii="Arial Narrow" w:hAnsi="Arial Narrow"/>
              </w:rPr>
              <w:t>reducing</w:t>
            </w:r>
            <w:bookmarkEnd w:id="726"/>
            <w:bookmarkEnd w:id="727"/>
            <w:r w:rsidRPr="008B2F8A">
              <w:rPr>
                <w:rFonts w:ascii="Arial Narrow" w:hAnsi="Arial Narrow"/>
              </w:rPr>
              <w:t xml:space="preserve"> mastectomy? </w:t>
            </w:r>
          </w:p>
        </w:tc>
        <w:tc>
          <w:tcPr>
            <w:tcW w:w="1988" w:type="dxa"/>
          </w:tcPr>
          <w:p w14:paraId="26D24FDE" w14:textId="77777777" w:rsidR="00E47AB8" w:rsidRPr="008B2F8A" w:rsidRDefault="00E47AB8" w:rsidP="00422306">
            <w:pPr>
              <w:spacing w:before="40" w:after="80"/>
              <w:rPr>
                <w:rFonts w:ascii="Arial Narrow" w:hAnsi="Arial Narrow"/>
              </w:rPr>
            </w:pPr>
            <w:r w:rsidRPr="008B2F8A">
              <w:rPr>
                <w:rFonts w:ascii="Arial Narrow" w:hAnsi="Arial Narrow"/>
              </w:rPr>
              <w:t>Population: patients with a personal history of breast cancer and a familial risk, aged 18–70+</w:t>
            </w:r>
            <w:r>
              <w:rPr>
                <w:rFonts w:ascii="Arial Narrow" w:hAnsi="Arial Narrow"/>
              </w:rPr>
              <w:t xml:space="preserve"> years</w:t>
            </w:r>
          </w:p>
          <w:p w14:paraId="6D4EC233" w14:textId="77777777" w:rsidR="00E47AB8" w:rsidRPr="008B2F8A" w:rsidRDefault="00E47AB8" w:rsidP="00422306">
            <w:pPr>
              <w:spacing w:before="40" w:after="80"/>
              <w:rPr>
                <w:rFonts w:ascii="Arial Narrow" w:hAnsi="Arial Narrow"/>
              </w:rPr>
            </w:pPr>
            <w:r w:rsidRPr="008B2F8A">
              <w:rPr>
                <w:rFonts w:ascii="Arial Narrow" w:hAnsi="Arial Narrow"/>
              </w:rPr>
              <w:t>Intervention: mammography, MRI, ultrasound, CBE, any combination of these</w:t>
            </w:r>
          </w:p>
          <w:p w14:paraId="017D1478" w14:textId="77777777" w:rsidR="00E47AB8" w:rsidRPr="008B2F8A" w:rsidRDefault="00E47AB8" w:rsidP="00422306">
            <w:pPr>
              <w:spacing w:before="40" w:after="80"/>
              <w:rPr>
                <w:rFonts w:ascii="Arial Narrow" w:hAnsi="Arial Narrow"/>
              </w:rPr>
            </w:pPr>
            <w:r w:rsidRPr="008B2F8A">
              <w:rPr>
                <w:rFonts w:ascii="Arial Narrow" w:hAnsi="Arial Narrow"/>
              </w:rPr>
              <w:t>Comparator: each other</w:t>
            </w:r>
          </w:p>
        </w:tc>
        <w:tc>
          <w:tcPr>
            <w:tcW w:w="1704" w:type="dxa"/>
          </w:tcPr>
          <w:p w14:paraId="3686EF79" w14:textId="77777777" w:rsidR="00E47AB8" w:rsidRPr="008B2F8A" w:rsidRDefault="00E47AB8" w:rsidP="00422306">
            <w:pPr>
              <w:spacing w:before="40" w:after="80"/>
              <w:rPr>
                <w:rFonts w:ascii="Arial Narrow" w:hAnsi="Arial Narrow"/>
              </w:rPr>
            </w:pPr>
            <w:r w:rsidRPr="008B2F8A">
              <w:rPr>
                <w:rFonts w:ascii="Arial Narrow" w:hAnsi="Arial Narrow"/>
              </w:rPr>
              <w:t>Part A: Sens/Spec, PPV/NPV in different age groups</w:t>
            </w:r>
          </w:p>
          <w:p w14:paraId="719DD16B" w14:textId="48DB27B6" w:rsidR="00E47AB8" w:rsidRPr="008B2F8A" w:rsidRDefault="00E47AB8" w:rsidP="00422306">
            <w:pPr>
              <w:spacing w:before="40" w:after="80"/>
              <w:rPr>
                <w:rFonts w:ascii="Arial Narrow" w:hAnsi="Arial Narrow"/>
              </w:rPr>
            </w:pPr>
            <w:r w:rsidRPr="008B2F8A">
              <w:rPr>
                <w:rFonts w:ascii="Arial Narrow" w:hAnsi="Arial Narrow"/>
              </w:rPr>
              <w:t>Part B: stage at detection, overall survival, incidence, radiation</w:t>
            </w:r>
            <w:r>
              <w:rPr>
                <w:rFonts w:ascii="Arial Narrow" w:hAnsi="Arial Narrow"/>
              </w:rPr>
              <w:t>-</w:t>
            </w:r>
            <w:r w:rsidRPr="008B2F8A">
              <w:rPr>
                <w:rFonts w:ascii="Arial Narrow" w:hAnsi="Arial Narrow"/>
              </w:rPr>
              <w:t>induced cancer, interval cancers, health-related quality of life</w:t>
            </w:r>
          </w:p>
        </w:tc>
        <w:tc>
          <w:tcPr>
            <w:tcW w:w="710" w:type="dxa"/>
          </w:tcPr>
          <w:p w14:paraId="4E77E0B8" w14:textId="07945B29" w:rsidR="00E47AB8" w:rsidRPr="008B2F8A" w:rsidRDefault="00E47AB8" w:rsidP="00422306">
            <w:pPr>
              <w:spacing w:before="40" w:after="80"/>
              <w:rPr>
                <w:rFonts w:ascii="Arial Narrow" w:hAnsi="Arial Narrow"/>
              </w:rPr>
            </w:pPr>
            <w:r w:rsidRPr="008B2F8A">
              <w:rPr>
                <w:rFonts w:ascii="Arial Narrow" w:hAnsi="Arial Narrow"/>
              </w:rPr>
              <w:t>1970 – Nov 2011</w:t>
            </w:r>
          </w:p>
          <w:p w14:paraId="67F4CD94" w14:textId="62FE07FF" w:rsidR="00E47AB8" w:rsidRPr="008B2F8A" w:rsidRDefault="00E47AB8" w:rsidP="00422306">
            <w:pPr>
              <w:spacing w:before="40" w:after="80"/>
              <w:rPr>
                <w:rFonts w:ascii="Arial Narrow" w:hAnsi="Arial Narrow"/>
              </w:rPr>
            </w:pPr>
            <w:r w:rsidRPr="008B2F8A">
              <w:rPr>
                <w:rFonts w:ascii="Arial Narrow" w:hAnsi="Arial Narrow"/>
              </w:rPr>
              <w:t>Update search: Nov 2011 – Jul 2012</w:t>
            </w:r>
          </w:p>
        </w:tc>
        <w:tc>
          <w:tcPr>
            <w:tcW w:w="1800" w:type="dxa"/>
          </w:tcPr>
          <w:p w14:paraId="357FA5B2" w14:textId="4685A298" w:rsidR="00E47AB8" w:rsidRPr="008B2F8A" w:rsidRDefault="00E47AB8" w:rsidP="00422306">
            <w:pPr>
              <w:spacing w:before="40" w:after="80"/>
              <w:rPr>
                <w:rFonts w:ascii="Arial Narrow" w:hAnsi="Arial Narrow"/>
              </w:rPr>
            </w:pPr>
            <w:r w:rsidRPr="008B2F8A">
              <w:rPr>
                <w:rFonts w:ascii="Arial Narrow" w:hAnsi="Arial Narrow"/>
              </w:rPr>
              <w:t>Narrative synthesis</w:t>
            </w:r>
          </w:p>
          <w:p w14:paraId="7D046BF6" w14:textId="77777777" w:rsidR="00E47AB8" w:rsidRPr="008B2F8A" w:rsidRDefault="00E47AB8" w:rsidP="00422306">
            <w:pPr>
              <w:spacing w:before="40" w:after="80"/>
              <w:rPr>
                <w:rFonts w:ascii="Arial Narrow" w:hAnsi="Arial Narrow"/>
              </w:rPr>
            </w:pPr>
            <w:r w:rsidRPr="008B2F8A">
              <w:rPr>
                <w:rFonts w:ascii="Arial Narrow" w:hAnsi="Arial Narrow"/>
              </w:rPr>
              <w:t>Included studies:</w:t>
            </w:r>
          </w:p>
          <w:p w14:paraId="2DAEB574" w14:textId="4ED0013F" w:rsidR="00E47AB8" w:rsidRPr="008B2F8A" w:rsidRDefault="00E47AB8" w:rsidP="00E47AB8">
            <w:pPr>
              <w:pStyle w:val="ListParagraph"/>
              <w:numPr>
                <w:ilvl w:val="6"/>
                <w:numId w:val="42"/>
              </w:numPr>
              <w:spacing w:before="40" w:after="80"/>
              <w:ind w:left="256" w:hanging="256"/>
              <w:contextualSpacing w:val="0"/>
              <w:rPr>
                <w:rFonts w:ascii="Arial Narrow" w:hAnsi="Arial Narrow"/>
              </w:rPr>
            </w:pPr>
            <w:bookmarkStart w:id="728" w:name="OLE_LINK794"/>
            <w:bookmarkStart w:id="729" w:name="OLE_LINK795"/>
            <w:r>
              <w:rPr>
                <w:rFonts w:ascii="Arial Narrow" w:hAnsi="Arial Narrow"/>
              </w:rPr>
              <w:t>Robertson et al, 2011</w:t>
            </w:r>
            <w:r w:rsidR="00503CE9">
              <w:rPr>
                <w:rFonts w:ascii="Arial Narrow" w:hAnsi="Arial Narrow"/>
              </w:rPr>
              <w:t>b</w:t>
            </w:r>
          </w:p>
          <w:p w14:paraId="2273EB00" w14:textId="2F20583F" w:rsidR="00E47AB8" w:rsidRPr="008B2F8A" w:rsidRDefault="00E47AB8" w:rsidP="00E47AB8">
            <w:pPr>
              <w:pStyle w:val="ListParagraph"/>
              <w:numPr>
                <w:ilvl w:val="6"/>
                <w:numId w:val="42"/>
              </w:numPr>
              <w:spacing w:before="40" w:after="80"/>
              <w:ind w:left="256" w:hanging="256"/>
              <w:contextualSpacing w:val="0"/>
              <w:rPr>
                <w:rFonts w:ascii="Arial Narrow" w:hAnsi="Arial Narrow"/>
              </w:rPr>
            </w:pPr>
            <w:r w:rsidRPr="008B2F8A">
              <w:rPr>
                <w:rFonts w:ascii="Arial Narrow" w:hAnsi="Arial Narrow"/>
              </w:rPr>
              <w:t>Elmore</w:t>
            </w:r>
            <w:r w:rsidRPr="008B2F8A">
              <w:rPr>
                <w:noProof/>
              </w:rPr>
              <w:t xml:space="preserve"> &amp; </w:t>
            </w:r>
            <w:r w:rsidRPr="006516AC">
              <w:rPr>
                <w:rFonts w:ascii="Arial Narrow" w:hAnsi="Arial Narrow"/>
                <w:noProof/>
              </w:rPr>
              <w:t>Margen</w:t>
            </w:r>
            <w:r w:rsidRPr="006516AC">
              <w:rPr>
                <w:rFonts w:ascii="Arial Narrow" w:hAnsi="Arial Narrow"/>
                <w:noProof/>
              </w:rPr>
              <w:softHyphen/>
              <w:t>thaler</w:t>
            </w:r>
            <w:r>
              <w:rPr>
                <w:rFonts w:ascii="Arial Narrow" w:hAnsi="Arial Narrow"/>
              </w:rPr>
              <w:t xml:space="preserve">, </w:t>
            </w:r>
            <w:r w:rsidRPr="008B2F8A">
              <w:rPr>
                <w:rFonts w:ascii="Arial Narrow" w:hAnsi="Arial Narrow"/>
              </w:rPr>
              <w:t>2010</w:t>
            </w:r>
          </w:p>
          <w:p w14:paraId="540B19E5" w14:textId="77777777" w:rsidR="00E47AB8" w:rsidRPr="008B2F8A" w:rsidRDefault="00E47AB8" w:rsidP="00E47AB8">
            <w:pPr>
              <w:pStyle w:val="ListParagraph"/>
              <w:numPr>
                <w:ilvl w:val="6"/>
                <w:numId w:val="42"/>
              </w:numPr>
              <w:spacing w:before="40" w:after="80"/>
              <w:ind w:left="256" w:hanging="256"/>
              <w:contextualSpacing w:val="0"/>
              <w:rPr>
                <w:rFonts w:ascii="Arial Narrow" w:hAnsi="Arial Narrow"/>
              </w:rPr>
            </w:pPr>
            <w:r w:rsidRPr="008B2F8A">
              <w:rPr>
                <w:rFonts w:ascii="Arial Narrow" w:hAnsi="Arial Narrow"/>
              </w:rPr>
              <w:t xml:space="preserve">Houssami </w:t>
            </w:r>
            <w:r>
              <w:rPr>
                <w:rFonts w:ascii="Arial Narrow" w:hAnsi="Arial Narrow"/>
              </w:rPr>
              <w:t xml:space="preserve">et al, </w:t>
            </w:r>
            <w:r w:rsidRPr="008B2F8A">
              <w:rPr>
                <w:rFonts w:ascii="Arial Narrow" w:hAnsi="Arial Narrow"/>
              </w:rPr>
              <w:t>2011</w:t>
            </w:r>
          </w:p>
          <w:p w14:paraId="48ED3730" w14:textId="06E63F5C" w:rsidR="00E47AB8" w:rsidRPr="008B2F8A" w:rsidRDefault="00E47AB8" w:rsidP="00E47AB8">
            <w:pPr>
              <w:pStyle w:val="ListParagraph"/>
              <w:numPr>
                <w:ilvl w:val="6"/>
                <w:numId w:val="42"/>
              </w:numPr>
              <w:spacing w:before="40" w:after="80"/>
              <w:ind w:left="256" w:hanging="256"/>
              <w:contextualSpacing w:val="0"/>
              <w:rPr>
                <w:rFonts w:ascii="Arial Narrow" w:hAnsi="Arial Narrow"/>
              </w:rPr>
            </w:pPr>
            <w:r>
              <w:rPr>
                <w:rFonts w:ascii="Arial Narrow" w:hAnsi="Arial Narrow"/>
              </w:rPr>
              <w:t>Sardanelli et al, 2011</w:t>
            </w:r>
            <w:bookmarkEnd w:id="728"/>
            <w:bookmarkEnd w:id="729"/>
          </w:p>
        </w:tc>
      </w:tr>
      <w:tr w:rsidR="00E47AB8" w:rsidRPr="008B2F8A" w14:paraId="253FD9CA" w14:textId="77777777" w:rsidTr="00B17898">
        <w:tc>
          <w:tcPr>
            <w:tcW w:w="880" w:type="dxa"/>
          </w:tcPr>
          <w:p w14:paraId="59E4EC0E" w14:textId="79304D27" w:rsidR="00E47AB8" w:rsidRPr="008B2F8A" w:rsidRDefault="00E47AB8" w:rsidP="00422306">
            <w:pPr>
              <w:spacing w:before="40" w:after="80"/>
              <w:rPr>
                <w:rFonts w:ascii="Arial Narrow" w:hAnsi="Arial Narrow"/>
              </w:rPr>
            </w:pPr>
            <w:r>
              <w:rPr>
                <w:rFonts w:ascii="Arial Narrow" w:hAnsi="Arial Narrow"/>
              </w:rPr>
              <w:t>Robertson et al, 2011</w:t>
            </w:r>
            <w:r w:rsidR="00503CE9">
              <w:rPr>
                <w:rFonts w:ascii="Arial Narrow" w:hAnsi="Arial Narrow"/>
              </w:rPr>
              <w:t>a</w:t>
            </w:r>
          </w:p>
        </w:tc>
        <w:tc>
          <w:tcPr>
            <w:tcW w:w="1988" w:type="dxa"/>
          </w:tcPr>
          <w:p w14:paraId="3E40C3D5" w14:textId="4847A5D5" w:rsidR="00E47AB8" w:rsidRPr="008B2F8A" w:rsidRDefault="00E47AB8" w:rsidP="00422306">
            <w:pPr>
              <w:pStyle w:val="ListParagraph"/>
              <w:spacing w:before="40" w:after="80"/>
              <w:ind w:left="0"/>
              <w:contextualSpacing w:val="0"/>
              <w:rPr>
                <w:rFonts w:ascii="Arial Narrow" w:hAnsi="Arial Narrow"/>
              </w:rPr>
            </w:pPr>
            <w:r w:rsidRPr="008B2F8A">
              <w:rPr>
                <w:rFonts w:ascii="Arial Narrow" w:hAnsi="Arial Narrow"/>
              </w:rPr>
              <w:t>To determine the performance of surveillance mammography, alone or in combination with other tests, in detecting IBTR and/or MCBC in women undergoing routine surveillance</w:t>
            </w:r>
          </w:p>
        </w:tc>
        <w:tc>
          <w:tcPr>
            <w:tcW w:w="1988" w:type="dxa"/>
          </w:tcPr>
          <w:p w14:paraId="55A587B0" w14:textId="77777777" w:rsidR="00E47AB8" w:rsidRPr="008B2F8A" w:rsidRDefault="00E47AB8" w:rsidP="00422306">
            <w:pPr>
              <w:spacing w:before="40" w:after="80"/>
              <w:rPr>
                <w:rFonts w:ascii="Arial Narrow" w:hAnsi="Arial Narrow"/>
              </w:rPr>
            </w:pPr>
            <w:r w:rsidRPr="008B2F8A">
              <w:rPr>
                <w:rFonts w:ascii="Arial Narrow" w:hAnsi="Arial Narrow"/>
              </w:rPr>
              <w:t>Women previously treated for primary breast cancer without detectable metastatic disease at initial presentation</w:t>
            </w:r>
          </w:p>
        </w:tc>
        <w:tc>
          <w:tcPr>
            <w:tcW w:w="1704" w:type="dxa"/>
          </w:tcPr>
          <w:p w14:paraId="4A534573" w14:textId="77777777" w:rsidR="00E47AB8" w:rsidRPr="008B2F8A" w:rsidRDefault="00E47AB8" w:rsidP="00422306">
            <w:pPr>
              <w:spacing w:before="40" w:after="80"/>
              <w:rPr>
                <w:rFonts w:ascii="Arial Narrow" w:hAnsi="Arial Narrow"/>
              </w:rPr>
            </w:pPr>
            <w:r w:rsidRPr="008B2F8A">
              <w:rPr>
                <w:rFonts w:ascii="Arial Narrow" w:hAnsi="Arial Narrow"/>
              </w:rPr>
              <w:t>Test performance in diagnosing IBTR and MCBC in women undergoing routine and non-routine surveillance</w:t>
            </w:r>
          </w:p>
        </w:tc>
        <w:tc>
          <w:tcPr>
            <w:tcW w:w="710" w:type="dxa"/>
          </w:tcPr>
          <w:p w14:paraId="3EEF3123" w14:textId="33FA9069" w:rsidR="00E47AB8" w:rsidRPr="008B2F8A" w:rsidRDefault="00E47AB8" w:rsidP="00422306">
            <w:pPr>
              <w:spacing w:before="40" w:after="80"/>
              <w:rPr>
                <w:rFonts w:ascii="Arial Narrow" w:hAnsi="Arial Narrow"/>
              </w:rPr>
            </w:pPr>
            <w:r w:rsidRPr="008B2F8A">
              <w:rPr>
                <w:rFonts w:ascii="Arial Narrow" w:hAnsi="Arial Narrow"/>
              </w:rPr>
              <w:t>1990 to Mar 2009</w:t>
            </w:r>
          </w:p>
        </w:tc>
        <w:tc>
          <w:tcPr>
            <w:tcW w:w="1800" w:type="dxa"/>
          </w:tcPr>
          <w:p w14:paraId="793CDD75" w14:textId="77777777" w:rsidR="00E47AB8" w:rsidRPr="008B2F8A" w:rsidRDefault="00E47AB8" w:rsidP="00422306">
            <w:pPr>
              <w:spacing w:before="40" w:after="80"/>
              <w:rPr>
                <w:rFonts w:ascii="Arial Narrow" w:hAnsi="Arial Narrow"/>
              </w:rPr>
            </w:pPr>
            <w:r w:rsidRPr="008B2F8A">
              <w:rPr>
                <w:rFonts w:ascii="Arial Narrow" w:hAnsi="Arial Narrow"/>
              </w:rPr>
              <w:t>Narrative synthesis</w:t>
            </w:r>
          </w:p>
          <w:p w14:paraId="2F08D83A" w14:textId="77777777" w:rsidR="00E47AB8" w:rsidRPr="008B2F8A" w:rsidRDefault="00E47AB8" w:rsidP="00422306">
            <w:pPr>
              <w:spacing w:before="40" w:after="80"/>
              <w:rPr>
                <w:rFonts w:ascii="Arial Narrow" w:hAnsi="Arial Narrow"/>
              </w:rPr>
            </w:pPr>
            <w:r w:rsidRPr="008B2F8A">
              <w:rPr>
                <w:rFonts w:ascii="Arial Narrow" w:hAnsi="Arial Narrow"/>
              </w:rPr>
              <w:t>Nine included studies, six with data on MRI</w:t>
            </w:r>
            <w:r>
              <w:rPr>
                <w:rFonts w:ascii="Arial Narrow" w:hAnsi="Arial Narrow"/>
              </w:rPr>
              <w:t>:</w:t>
            </w:r>
          </w:p>
          <w:p w14:paraId="015BF354" w14:textId="77777777" w:rsidR="00E47AB8" w:rsidRPr="008B2F8A" w:rsidRDefault="00E47AB8" w:rsidP="00E47AB8">
            <w:pPr>
              <w:pStyle w:val="ListParagraph"/>
              <w:numPr>
                <w:ilvl w:val="0"/>
                <w:numId w:val="41"/>
              </w:numPr>
              <w:spacing w:before="40" w:after="80"/>
              <w:ind w:left="256" w:hanging="256"/>
              <w:contextualSpacing w:val="0"/>
              <w:rPr>
                <w:rFonts w:ascii="Arial Narrow" w:hAnsi="Arial Narrow"/>
              </w:rPr>
            </w:pPr>
            <w:bookmarkStart w:id="730" w:name="OLE_LINK796"/>
            <w:bookmarkStart w:id="731" w:name="OLE_LINK797"/>
            <w:r w:rsidRPr="008B2F8A">
              <w:rPr>
                <w:rFonts w:ascii="Arial Narrow" w:hAnsi="Arial Narrow"/>
              </w:rPr>
              <w:t xml:space="preserve">Belli </w:t>
            </w:r>
            <w:r>
              <w:rPr>
                <w:rFonts w:ascii="Arial Narrow" w:hAnsi="Arial Narrow"/>
              </w:rPr>
              <w:t xml:space="preserve">et al, </w:t>
            </w:r>
            <w:r w:rsidRPr="008B2F8A">
              <w:rPr>
                <w:rFonts w:ascii="Arial Narrow" w:hAnsi="Arial Narrow"/>
              </w:rPr>
              <w:t>2002</w:t>
            </w:r>
          </w:p>
          <w:p w14:paraId="3F929137" w14:textId="77777777" w:rsidR="00E47AB8" w:rsidRPr="008B2F8A" w:rsidRDefault="00E47AB8" w:rsidP="00E47AB8">
            <w:pPr>
              <w:pStyle w:val="ListParagraph"/>
              <w:numPr>
                <w:ilvl w:val="0"/>
                <w:numId w:val="41"/>
              </w:numPr>
              <w:spacing w:before="40" w:after="80"/>
              <w:ind w:left="256" w:hanging="256"/>
              <w:contextualSpacing w:val="0"/>
              <w:rPr>
                <w:rFonts w:ascii="Arial Narrow" w:hAnsi="Arial Narrow"/>
              </w:rPr>
            </w:pPr>
            <w:bookmarkStart w:id="732" w:name="OLE_LINK109"/>
            <w:bookmarkStart w:id="733" w:name="OLE_LINK110"/>
            <w:r w:rsidRPr="008B2F8A">
              <w:rPr>
                <w:rFonts w:ascii="Arial Narrow" w:hAnsi="Arial Narrow"/>
              </w:rPr>
              <w:t xml:space="preserve">Boné </w:t>
            </w:r>
            <w:bookmarkEnd w:id="732"/>
            <w:bookmarkEnd w:id="733"/>
            <w:r>
              <w:rPr>
                <w:rFonts w:ascii="Arial Narrow" w:hAnsi="Arial Narrow"/>
              </w:rPr>
              <w:t xml:space="preserve">et al, </w:t>
            </w:r>
            <w:r w:rsidRPr="008B2F8A">
              <w:rPr>
                <w:rFonts w:ascii="Arial Narrow" w:hAnsi="Arial Narrow"/>
              </w:rPr>
              <w:t>1995</w:t>
            </w:r>
          </w:p>
          <w:p w14:paraId="74D9D18E" w14:textId="77777777" w:rsidR="00E47AB8" w:rsidRPr="008B2F8A" w:rsidRDefault="00E47AB8" w:rsidP="00E47AB8">
            <w:pPr>
              <w:pStyle w:val="ListParagraph"/>
              <w:numPr>
                <w:ilvl w:val="0"/>
                <w:numId w:val="41"/>
              </w:numPr>
              <w:spacing w:before="40" w:after="80"/>
              <w:ind w:left="256" w:hanging="256"/>
              <w:contextualSpacing w:val="0"/>
              <w:rPr>
                <w:rFonts w:ascii="Arial Narrow" w:hAnsi="Arial Narrow"/>
              </w:rPr>
            </w:pPr>
            <w:r w:rsidRPr="008B2F8A">
              <w:rPr>
                <w:rFonts w:ascii="Arial Narrow" w:hAnsi="Arial Narrow"/>
              </w:rPr>
              <w:t xml:space="preserve">Drew </w:t>
            </w:r>
            <w:r>
              <w:rPr>
                <w:rFonts w:ascii="Arial Narrow" w:hAnsi="Arial Narrow"/>
              </w:rPr>
              <w:t xml:space="preserve">et al, </w:t>
            </w:r>
            <w:r w:rsidRPr="008B2F8A">
              <w:rPr>
                <w:rFonts w:ascii="Arial Narrow" w:hAnsi="Arial Narrow"/>
              </w:rPr>
              <w:t>1998</w:t>
            </w:r>
          </w:p>
          <w:p w14:paraId="63493370" w14:textId="77777777" w:rsidR="00E47AB8" w:rsidRPr="008B2F8A" w:rsidRDefault="00E47AB8" w:rsidP="00E47AB8">
            <w:pPr>
              <w:pStyle w:val="ListParagraph"/>
              <w:numPr>
                <w:ilvl w:val="0"/>
                <w:numId w:val="41"/>
              </w:numPr>
              <w:spacing w:before="40" w:after="80"/>
              <w:ind w:left="256" w:hanging="256"/>
              <w:contextualSpacing w:val="0"/>
              <w:rPr>
                <w:rFonts w:ascii="Arial Narrow" w:hAnsi="Arial Narrow"/>
              </w:rPr>
            </w:pPr>
            <w:bookmarkStart w:id="734" w:name="OLE_LINK111"/>
            <w:bookmarkStart w:id="735" w:name="OLE_LINK112"/>
            <w:r w:rsidRPr="008B2F8A">
              <w:rPr>
                <w:rFonts w:ascii="Arial Narrow" w:hAnsi="Arial Narrow"/>
              </w:rPr>
              <w:t xml:space="preserve">Mumtaz </w:t>
            </w:r>
            <w:bookmarkEnd w:id="734"/>
            <w:bookmarkEnd w:id="735"/>
            <w:r>
              <w:rPr>
                <w:rFonts w:ascii="Arial Narrow" w:hAnsi="Arial Narrow"/>
              </w:rPr>
              <w:t xml:space="preserve">et al, </w:t>
            </w:r>
            <w:r w:rsidRPr="008B2F8A">
              <w:rPr>
                <w:rFonts w:ascii="Arial Narrow" w:hAnsi="Arial Narrow"/>
              </w:rPr>
              <w:t>1997</w:t>
            </w:r>
          </w:p>
          <w:p w14:paraId="0A473D76" w14:textId="77777777" w:rsidR="00E47AB8" w:rsidRPr="008B2F8A" w:rsidRDefault="00E47AB8" w:rsidP="00E47AB8">
            <w:pPr>
              <w:pStyle w:val="ListParagraph"/>
              <w:numPr>
                <w:ilvl w:val="0"/>
                <w:numId w:val="41"/>
              </w:numPr>
              <w:spacing w:before="40" w:after="80"/>
              <w:ind w:left="256" w:hanging="256"/>
              <w:contextualSpacing w:val="0"/>
              <w:rPr>
                <w:rFonts w:ascii="Arial Narrow" w:hAnsi="Arial Narrow"/>
              </w:rPr>
            </w:pPr>
            <w:bookmarkStart w:id="736" w:name="OLE_LINK181"/>
            <w:bookmarkStart w:id="737" w:name="OLE_LINK182"/>
            <w:r w:rsidRPr="008B2F8A">
              <w:rPr>
                <w:rFonts w:ascii="Arial Narrow" w:hAnsi="Arial Narrow"/>
              </w:rPr>
              <w:t xml:space="preserve">Rieber </w:t>
            </w:r>
            <w:bookmarkEnd w:id="736"/>
            <w:bookmarkEnd w:id="737"/>
            <w:r>
              <w:rPr>
                <w:rFonts w:ascii="Arial Narrow" w:hAnsi="Arial Narrow"/>
              </w:rPr>
              <w:t xml:space="preserve">et al, </w:t>
            </w:r>
            <w:r w:rsidRPr="008B2F8A">
              <w:rPr>
                <w:rFonts w:ascii="Arial Narrow" w:hAnsi="Arial Narrow"/>
              </w:rPr>
              <w:t>1997</w:t>
            </w:r>
          </w:p>
          <w:p w14:paraId="6A0D8F50" w14:textId="2E82E576" w:rsidR="00E47AB8" w:rsidRPr="008B2F8A" w:rsidRDefault="00E47AB8" w:rsidP="00E47AB8">
            <w:pPr>
              <w:pStyle w:val="ListParagraph"/>
              <w:numPr>
                <w:ilvl w:val="0"/>
                <w:numId w:val="41"/>
              </w:numPr>
              <w:spacing w:before="40" w:after="80"/>
              <w:ind w:left="256" w:hanging="256"/>
              <w:contextualSpacing w:val="0"/>
              <w:rPr>
                <w:rFonts w:ascii="Arial Narrow" w:hAnsi="Arial Narrow"/>
              </w:rPr>
            </w:pPr>
            <w:r>
              <w:rPr>
                <w:rFonts w:ascii="Arial Narrow" w:hAnsi="Arial Narrow"/>
              </w:rPr>
              <w:t>Viehweg et al, 2004</w:t>
            </w:r>
            <w:bookmarkEnd w:id="730"/>
            <w:bookmarkEnd w:id="731"/>
          </w:p>
        </w:tc>
      </w:tr>
    </w:tbl>
    <w:p w14:paraId="1D92D92D" w14:textId="6EA9A71F" w:rsidR="00E47AB8" w:rsidRPr="008B2F8A" w:rsidRDefault="00E47AB8" w:rsidP="00B17898">
      <w:pPr>
        <w:pStyle w:val="TableNotesLast"/>
      </w:pPr>
      <w:r w:rsidRPr="008B2F8A">
        <w:t xml:space="preserve">MRI = magnetic resonance imaging; CBE = clinical breast examination; Sens = sensitivity; Spec = specificity; PPV = positive predictive value; NPV = negative predictive value; IBTR = ipsilateral breast tumour recurrence; </w:t>
      </w:r>
      <w:bookmarkStart w:id="738" w:name="OLE_LINK321"/>
      <w:bookmarkStart w:id="739" w:name="OLE_LINK322"/>
      <w:r w:rsidRPr="008B2F8A">
        <w:t xml:space="preserve">MCBC </w:t>
      </w:r>
      <w:bookmarkEnd w:id="738"/>
      <w:bookmarkEnd w:id="739"/>
      <w:r w:rsidRPr="008B2F8A">
        <w:t xml:space="preserve">= </w:t>
      </w:r>
      <w:r w:rsidRPr="008B2F8A">
        <w:rPr>
          <w:rFonts w:eastAsiaTheme="minorHAnsi" w:cs="HelveticaNeueLTPro-Roman"/>
        </w:rPr>
        <w:t>metachronous contralateral breast cancer.</w:t>
      </w:r>
    </w:p>
    <w:p w14:paraId="25A24F11" w14:textId="5AC1E8A0" w:rsidR="00E47AB8" w:rsidRPr="008B2F8A" w:rsidRDefault="00E47AB8" w:rsidP="00422306">
      <w:r w:rsidRPr="008B2F8A">
        <w:t>Two eligible studies of diagnostic test accuracy were included (</w:t>
      </w:r>
      <w:bookmarkStart w:id="740" w:name="OLE_LINK798"/>
      <w:bookmarkStart w:id="741" w:name="OLE_LINK799"/>
      <w:r w:rsidRPr="008B2F8A">
        <w:rPr>
          <w:noProof/>
        </w:rPr>
        <w:t>Berg et al, 2012; Viehweg et al, 2004</w:t>
      </w:r>
      <w:bookmarkEnd w:id="740"/>
      <w:bookmarkEnd w:id="741"/>
      <w:r w:rsidRPr="008B2F8A">
        <w:rPr>
          <w:noProof/>
        </w:rPr>
        <w:t>)</w:t>
      </w:r>
      <w:r>
        <w:rPr>
          <w:noProof/>
        </w:rPr>
        <w:t>,</w:t>
      </w:r>
      <w:r w:rsidRPr="008B2F8A">
        <w:t xml:space="preserve"> </w:t>
      </w:r>
      <w:r>
        <w:t>covering</w:t>
      </w:r>
      <w:r w:rsidRPr="008B2F8A">
        <w:t xml:space="preserve"> 395 women who underwent MRI and had a personal history of breast cancer</w:t>
      </w:r>
      <w:r>
        <w:t xml:space="preserve"> (</w:t>
      </w:r>
      <w:r>
        <w:fldChar w:fldCharType="begin"/>
      </w:r>
      <w:r>
        <w:instrText xml:space="preserve"> REF _Ref372897075 \h </w:instrText>
      </w:r>
      <w:r>
        <w:fldChar w:fldCharType="separate"/>
      </w:r>
      <w:r w:rsidR="00B81273" w:rsidRPr="008B2F8A">
        <w:t xml:space="preserve">Table </w:t>
      </w:r>
      <w:r w:rsidR="00B81273">
        <w:rPr>
          <w:noProof/>
        </w:rPr>
        <w:t>B</w:t>
      </w:r>
      <w:r w:rsidR="00B81273" w:rsidRPr="008B2F8A">
        <w:t>.</w:t>
      </w:r>
      <w:r w:rsidR="00B81273">
        <w:rPr>
          <w:noProof/>
        </w:rPr>
        <w:t>18</w:t>
      </w:r>
      <w:r>
        <w:fldChar w:fldCharType="end"/>
      </w:r>
      <w:r>
        <w:t>)</w:t>
      </w:r>
      <w:r w:rsidRPr="008B2F8A">
        <w:t xml:space="preserve">. </w:t>
      </w:r>
      <w:bookmarkStart w:id="742" w:name="OLE_LINK800"/>
      <w:bookmarkStart w:id="743" w:name="OLE_LINK801"/>
      <w:r w:rsidRPr="008B2F8A">
        <w:rPr>
          <w:noProof/>
        </w:rPr>
        <w:t xml:space="preserve">Berg et al </w:t>
      </w:r>
      <w:r>
        <w:rPr>
          <w:noProof/>
        </w:rPr>
        <w:t>(</w:t>
      </w:r>
      <w:r w:rsidRPr="008B2F8A">
        <w:rPr>
          <w:noProof/>
        </w:rPr>
        <w:t>2012</w:t>
      </w:r>
      <w:bookmarkEnd w:id="742"/>
      <w:bookmarkEnd w:id="743"/>
      <w:r w:rsidRPr="008B2F8A">
        <w:rPr>
          <w:noProof/>
        </w:rPr>
        <w:t>)</w:t>
      </w:r>
      <w:r w:rsidRPr="008B2F8A">
        <w:t xml:space="preserve"> was a surveillance study of women at high risk</w:t>
      </w:r>
      <w:r>
        <w:t>.</w:t>
      </w:r>
      <w:r w:rsidRPr="008B2F8A">
        <w:t xml:space="preserve"> </w:t>
      </w:r>
      <w:r>
        <w:t>It</w:t>
      </w:r>
      <w:r w:rsidRPr="008B2F8A">
        <w:t xml:space="preserve"> included women with a personal history of breast cancer, </w:t>
      </w:r>
      <w:r>
        <w:t xml:space="preserve">for whom </w:t>
      </w:r>
      <w:r w:rsidRPr="008B2F8A">
        <w:t>diagnostic accuracy was reported, but details of their treatment for breast cancer and time since diagnosis were not provided</w:t>
      </w:r>
      <w:r>
        <w:t>,</w:t>
      </w:r>
      <w:r w:rsidRPr="008B2F8A">
        <w:t xml:space="preserve"> and the study did not differentiate between the detection of cancer in the contralateral breast or the detection or recurrence of cancer in the ipsilateral breast.</w:t>
      </w:r>
    </w:p>
    <w:p w14:paraId="5EC01019" w14:textId="730C71A6" w:rsidR="00E47AB8" w:rsidRPr="008B2F8A" w:rsidRDefault="00E47AB8" w:rsidP="00422306">
      <w:r w:rsidRPr="008B2F8A">
        <w:t>Both studies included women aged &gt;50 years</w:t>
      </w:r>
      <w:r>
        <w:t>,</w:t>
      </w:r>
      <w:r w:rsidRPr="008B2F8A">
        <w:t xml:space="preserve"> limit</w:t>
      </w:r>
      <w:r>
        <w:t>ing</w:t>
      </w:r>
      <w:r w:rsidRPr="008B2F8A">
        <w:t xml:space="preserve"> their applicability.</w:t>
      </w:r>
    </w:p>
    <w:p w14:paraId="09366F85" w14:textId="77777777" w:rsidR="00E47AB8" w:rsidRPr="008B2F8A" w:rsidRDefault="00E47AB8" w:rsidP="00422306">
      <w:pPr>
        <w:pStyle w:val="Caption"/>
        <w:ind w:left="1440" w:hanging="1440"/>
      </w:pPr>
      <w:bookmarkStart w:id="744" w:name="_Ref372897075"/>
      <w:bookmarkStart w:id="745" w:name="_Toc383424584"/>
      <w:r w:rsidRPr="008B2F8A">
        <w:lastRenderedPageBreak/>
        <w:t xml:space="preserve">Table </w:t>
      </w:r>
      <w:fldSimple w:instr=" STYLEREF 1 \s ">
        <w:r w:rsidR="00B81273">
          <w:rPr>
            <w:noProof/>
          </w:rPr>
          <w:t>B</w:t>
        </w:r>
      </w:fldSimple>
      <w:r w:rsidRPr="008B2F8A">
        <w:t>.</w:t>
      </w:r>
      <w:fldSimple w:instr=" SEQ Table \* ARABIC \s 1 ">
        <w:r w:rsidR="00B81273">
          <w:rPr>
            <w:noProof/>
          </w:rPr>
          <w:t>18</w:t>
        </w:r>
      </w:fldSimple>
      <w:bookmarkEnd w:id="744"/>
      <w:r w:rsidRPr="008B2F8A">
        <w:tab/>
      </w:r>
      <w:bookmarkStart w:id="746" w:name="OLE_LINK1015"/>
      <w:bookmarkStart w:id="747" w:name="OLE_LINK1016"/>
      <w:bookmarkStart w:id="748" w:name="OLE_LINK1017"/>
      <w:bookmarkStart w:id="749" w:name="OLE_LINK1018"/>
      <w:r w:rsidRPr="008B2F8A">
        <w:t>Characteristics of included primary diagnostic accuracy studies—study setting and participants</w:t>
      </w:r>
      <w:bookmarkEnd w:id="746"/>
      <w:bookmarkEnd w:id="747"/>
      <w:bookmarkEnd w:id="748"/>
      <w:bookmarkEnd w:id="749"/>
      <w:r w:rsidRPr="008B2F8A">
        <w:t>.</w:t>
      </w:r>
      <w:bookmarkEnd w:id="745"/>
    </w:p>
    <w:tbl>
      <w:tblPr>
        <w:tblStyle w:val="TableGrid"/>
        <w:tblW w:w="9070" w:type="dxa"/>
        <w:tblLayout w:type="fixed"/>
        <w:tblCellMar>
          <w:left w:w="28" w:type="dxa"/>
          <w:right w:w="28" w:type="dxa"/>
        </w:tblCellMar>
        <w:tblLook w:val="04A0" w:firstRow="1" w:lastRow="0" w:firstColumn="1" w:lastColumn="0" w:noHBand="0" w:noVBand="1"/>
        <w:tblCaption w:val="Characteristics of included primary diagnostic accuracy studies—study setting and participants"/>
      </w:tblPr>
      <w:tblGrid>
        <w:gridCol w:w="738"/>
        <w:gridCol w:w="1136"/>
        <w:gridCol w:w="1278"/>
        <w:gridCol w:w="2731"/>
        <w:gridCol w:w="1391"/>
        <w:gridCol w:w="886"/>
        <w:gridCol w:w="910"/>
      </w:tblGrid>
      <w:tr w:rsidR="00E47AB8" w:rsidRPr="008B2F8A" w14:paraId="469F4060" w14:textId="77777777" w:rsidTr="00B17898">
        <w:trPr>
          <w:tblHeader/>
        </w:trPr>
        <w:tc>
          <w:tcPr>
            <w:tcW w:w="738" w:type="dxa"/>
            <w:vAlign w:val="bottom"/>
          </w:tcPr>
          <w:p w14:paraId="0860EC07"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136" w:type="dxa"/>
            <w:vAlign w:val="bottom"/>
          </w:tcPr>
          <w:p w14:paraId="094B908D" w14:textId="77777777" w:rsidR="00E47AB8" w:rsidRPr="008B2F8A" w:rsidRDefault="00E47AB8" w:rsidP="00422306">
            <w:pPr>
              <w:spacing w:before="40" w:after="80"/>
              <w:rPr>
                <w:rFonts w:ascii="Arial Narrow" w:hAnsi="Arial Narrow"/>
                <w:b/>
              </w:rPr>
            </w:pPr>
            <w:r w:rsidRPr="008B2F8A">
              <w:rPr>
                <w:rFonts w:ascii="Arial Narrow" w:hAnsi="Arial Narrow"/>
                <w:b/>
              </w:rPr>
              <w:t>Country</w:t>
            </w:r>
          </w:p>
          <w:p w14:paraId="32F53A0E" w14:textId="77777777" w:rsidR="00E47AB8" w:rsidRPr="008B2F8A" w:rsidRDefault="00E47AB8" w:rsidP="00422306">
            <w:pPr>
              <w:spacing w:before="40" w:after="80"/>
              <w:rPr>
                <w:rFonts w:ascii="Arial Narrow" w:hAnsi="Arial Narrow"/>
                <w:b/>
              </w:rPr>
            </w:pPr>
            <w:r w:rsidRPr="008B2F8A">
              <w:rPr>
                <w:rFonts w:ascii="Arial Narrow" w:hAnsi="Arial Narrow"/>
                <w:b/>
              </w:rPr>
              <w:t>Setting</w:t>
            </w:r>
          </w:p>
          <w:p w14:paraId="04C0F3D8" w14:textId="77777777" w:rsidR="00E47AB8" w:rsidRPr="008B2F8A" w:rsidRDefault="00E47AB8" w:rsidP="00422306">
            <w:pPr>
              <w:spacing w:before="40" w:after="80"/>
              <w:rPr>
                <w:rFonts w:ascii="Arial Narrow" w:hAnsi="Arial Narrow"/>
                <w:b/>
              </w:rPr>
            </w:pPr>
            <w:r w:rsidRPr="008B2F8A">
              <w:rPr>
                <w:rFonts w:ascii="Arial Narrow" w:hAnsi="Arial Narrow"/>
                <w:b/>
              </w:rPr>
              <w:t>Recruitment period</w:t>
            </w:r>
          </w:p>
        </w:tc>
        <w:tc>
          <w:tcPr>
            <w:tcW w:w="1278" w:type="dxa"/>
            <w:vAlign w:val="bottom"/>
          </w:tcPr>
          <w:p w14:paraId="79576741" w14:textId="77777777" w:rsidR="00E47AB8" w:rsidRPr="008B2F8A" w:rsidRDefault="00E47AB8" w:rsidP="00422306">
            <w:pPr>
              <w:spacing w:before="40" w:after="80"/>
              <w:rPr>
                <w:rFonts w:ascii="Arial Narrow" w:hAnsi="Arial Narrow"/>
                <w:b/>
              </w:rPr>
            </w:pPr>
            <w:r w:rsidRPr="008B2F8A">
              <w:rPr>
                <w:rFonts w:ascii="Arial Narrow" w:hAnsi="Arial Narrow"/>
                <w:b/>
                <w:i/>
              </w:rPr>
              <w:t>n</w:t>
            </w:r>
            <w:r w:rsidRPr="008B2F8A">
              <w:rPr>
                <w:rFonts w:ascii="Arial Narrow" w:hAnsi="Arial Narrow"/>
                <w:b/>
              </w:rPr>
              <w:t xml:space="preserve"> women (</w:t>
            </w:r>
            <w:r w:rsidRPr="008B2F8A">
              <w:rPr>
                <w:rFonts w:ascii="Arial Narrow" w:hAnsi="Arial Narrow"/>
                <w:b/>
                <w:i/>
              </w:rPr>
              <w:t>n</w:t>
            </w:r>
            <w:r w:rsidRPr="008B2F8A">
              <w:rPr>
                <w:rFonts w:ascii="Arial Narrow" w:hAnsi="Arial Narrow"/>
                <w:b/>
              </w:rPr>
              <w:t xml:space="preserve"> tests)</w:t>
            </w:r>
          </w:p>
        </w:tc>
        <w:tc>
          <w:tcPr>
            <w:tcW w:w="2731" w:type="dxa"/>
            <w:vAlign w:val="bottom"/>
          </w:tcPr>
          <w:p w14:paraId="292114E3" w14:textId="77777777" w:rsidR="00E47AB8" w:rsidRPr="008B2F8A" w:rsidRDefault="00E47AB8" w:rsidP="00422306">
            <w:pPr>
              <w:spacing w:before="40" w:after="80"/>
              <w:rPr>
                <w:rFonts w:ascii="Arial Narrow" w:hAnsi="Arial Narrow"/>
                <w:b/>
              </w:rPr>
            </w:pPr>
            <w:r w:rsidRPr="008B2F8A">
              <w:rPr>
                <w:rFonts w:ascii="Arial Narrow" w:hAnsi="Arial Narrow"/>
                <w:b/>
              </w:rPr>
              <w:t>Inclusion/exclusion criteria</w:t>
            </w:r>
          </w:p>
        </w:tc>
        <w:tc>
          <w:tcPr>
            <w:tcW w:w="1391" w:type="dxa"/>
            <w:vAlign w:val="bottom"/>
          </w:tcPr>
          <w:p w14:paraId="752B0E12" w14:textId="77777777" w:rsidR="00E47AB8" w:rsidRPr="008B2F8A" w:rsidRDefault="00E47AB8" w:rsidP="00422306">
            <w:pPr>
              <w:spacing w:before="40" w:after="80"/>
              <w:rPr>
                <w:rFonts w:ascii="Arial Narrow" w:hAnsi="Arial Narrow"/>
                <w:b/>
              </w:rPr>
            </w:pPr>
            <w:r w:rsidRPr="008B2F8A">
              <w:rPr>
                <w:rFonts w:ascii="Arial Narrow" w:hAnsi="Arial Narrow"/>
                <w:b/>
              </w:rPr>
              <w:t>Population—age range (years)</w:t>
            </w:r>
          </w:p>
        </w:tc>
        <w:tc>
          <w:tcPr>
            <w:tcW w:w="886" w:type="dxa"/>
            <w:vAlign w:val="bottom"/>
          </w:tcPr>
          <w:p w14:paraId="0FC7BEEE" w14:textId="3F70D6F4" w:rsidR="00E47AB8" w:rsidRPr="008B2F8A" w:rsidRDefault="00E47AB8" w:rsidP="00422306">
            <w:pPr>
              <w:spacing w:before="40" w:after="80"/>
              <w:rPr>
                <w:rFonts w:ascii="Arial Narrow" w:hAnsi="Arial Narrow"/>
                <w:b/>
              </w:rPr>
            </w:pPr>
            <w:r w:rsidRPr="008B2F8A">
              <w:rPr>
                <w:rFonts w:ascii="Arial Narrow" w:hAnsi="Arial Narrow"/>
                <w:b/>
              </w:rPr>
              <w:t>Had breast cancer treatment</w:t>
            </w:r>
          </w:p>
        </w:tc>
        <w:tc>
          <w:tcPr>
            <w:tcW w:w="910" w:type="dxa"/>
            <w:vAlign w:val="bottom"/>
          </w:tcPr>
          <w:p w14:paraId="7CF463A2" w14:textId="66F32CD3" w:rsidR="00E47AB8" w:rsidRPr="008B2F8A" w:rsidRDefault="00E47AB8" w:rsidP="00422306">
            <w:pPr>
              <w:spacing w:before="40" w:after="80"/>
              <w:rPr>
                <w:rFonts w:ascii="Arial Narrow" w:hAnsi="Arial Narrow"/>
                <w:b/>
              </w:rPr>
            </w:pPr>
            <w:r w:rsidRPr="008B2F8A">
              <w:rPr>
                <w:rFonts w:ascii="Arial Narrow" w:hAnsi="Arial Narrow"/>
                <w:b/>
              </w:rPr>
              <w:t>Had radio</w:t>
            </w:r>
            <w:r w:rsidRPr="008B2F8A">
              <w:rPr>
                <w:rFonts w:ascii="Arial Narrow" w:hAnsi="Arial Narrow"/>
                <w:b/>
              </w:rPr>
              <w:softHyphen/>
              <w:t>therapy</w:t>
            </w:r>
          </w:p>
        </w:tc>
      </w:tr>
      <w:tr w:rsidR="00E47AB8" w:rsidRPr="008B2F8A" w14:paraId="07110113" w14:textId="77777777" w:rsidTr="00B17898">
        <w:tc>
          <w:tcPr>
            <w:tcW w:w="738" w:type="dxa"/>
          </w:tcPr>
          <w:p w14:paraId="66758CE6" w14:textId="1A0B80DB" w:rsidR="00E47AB8" w:rsidRPr="008B2F8A" w:rsidRDefault="00E47AB8" w:rsidP="00422306">
            <w:pPr>
              <w:spacing w:before="40" w:after="80"/>
              <w:rPr>
                <w:rFonts w:ascii="Arial Narrow" w:hAnsi="Arial Narrow"/>
              </w:rPr>
            </w:pPr>
            <w:bookmarkStart w:id="750" w:name="OLE_LINK852"/>
            <w:bookmarkStart w:id="751" w:name="OLE_LINK853"/>
            <w:r>
              <w:rPr>
                <w:rFonts w:ascii="Arial Narrow" w:hAnsi="Arial Narrow"/>
              </w:rPr>
              <w:t>Berg et al, 2012</w:t>
            </w:r>
            <w:bookmarkEnd w:id="750"/>
            <w:bookmarkEnd w:id="751"/>
          </w:p>
        </w:tc>
        <w:tc>
          <w:tcPr>
            <w:tcW w:w="1136" w:type="dxa"/>
          </w:tcPr>
          <w:p w14:paraId="46AB2E38" w14:textId="465B221B" w:rsidR="00E47AB8" w:rsidRPr="008B2F8A" w:rsidRDefault="00E47AB8" w:rsidP="00422306">
            <w:pPr>
              <w:spacing w:before="40" w:after="80"/>
              <w:rPr>
                <w:rFonts w:ascii="Arial Narrow" w:hAnsi="Arial Narrow"/>
              </w:rPr>
            </w:pPr>
            <w:r w:rsidRPr="008B2F8A">
              <w:rPr>
                <w:rFonts w:ascii="Arial Narrow" w:hAnsi="Arial Narrow"/>
              </w:rPr>
              <w:t>UK, Argentina, Canada (Ontario)</w:t>
            </w:r>
          </w:p>
          <w:p w14:paraId="3018EBF1" w14:textId="77777777" w:rsidR="00E47AB8" w:rsidRPr="008B2F8A" w:rsidRDefault="00E47AB8" w:rsidP="00422306">
            <w:pPr>
              <w:spacing w:before="40" w:after="80"/>
              <w:rPr>
                <w:rFonts w:ascii="Arial Narrow" w:hAnsi="Arial Narrow"/>
              </w:rPr>
            </w:pPr>
            <w:r w:rsidRPr="008B2F8A">
              <w:rPr>
                <w:rFonts w:ascii="Arial Narrow" w:hAnsi="Arial Narrow"/>
              </w:rPr>
              <w:t>21 sites</w:t>
            </w:r>
          </w:p>
          <w:p w14:paraId="47204EF9" w14:textId="77777777" w:rsidR="00E47AB8" w:rsidRPr="008B2F8A" w:rsidRDefault="00E47AB8" w:rsidP="00422306">
            <w:pPr>
              <w:spacing w:before="40" w:after="80"/>
              <w:rPr>
                <w:rFonts w:ascii="Arial Narrow" w:hAnsi="Arial Narrow"/>
              </w:rPr>
            </w:pPr>
            <w:r w:rsidRPr="008B2F8A">
              <w:rPr>
                <w:rFonts w:ascii="Arial Narrow" w:hAnsi="Arial Narrow"/>
              </w:rPr>
              <w:t>2004–2006</w:t>
            </w:r>
          </w:p>
        </w:tc>
        <w:tc>
          <w:tcPr>
            <w:tcW w:w="1278" w:type="dxa"/>
          </w:tcPr>
          <w:p w14:paraId="3D8278CE" w14:textId="77777777" w:rsidR="00E47AB8" w:rsidRPr="008B2F8A" w:rsidRDefault="00E47AB8" w:rsidP="00422306">
            <w:pPr>
              <w:spacing w:before="40" w:after="80"/>
              <w:rPr>
                <w:rFonts w:ascii="Arial Narrow" w:hAnsi="Arial Narrow"/>
              </w:rPr>
            </w:pPr>
            <w:r w:rsidRPr="008B2F8A">
              <w:rPr>
                <w:rFonts w:ascii="Arial Narrow" w:hAnsi="Arial Narrow"/>
              </w:rPr>
              <w:t>Total: 2,662 (7,473)</w:t>
            </w:r>
          </w:p>
          <w:p w14:paraId="51614237" w14:textId="77777777" w:rsidR="00E47AB8" w:rsidRPr="008B2F8A" w:rsidRDefault="00E47AB8" w:rsidP="00422306">
            <w:pPr>
              <w:spacing w:before="40" w:after="80"/>
              <w:rPr>
                <w:rFonts w:ascii="Arial Narrow" w:hAnsi="Arial Narrow"/>
              </w:rPr>
            </w:pPr>
            <w:r w:rsidRPr="008B2F8A">
              <w:rPr>
                <w:rFonts w:ascii="Arial Narrow" w:hAnsi="Arial Narrow"/>
              </w:rPr>
              <w:t>MRI group: 612 (612)</w:t>
            </w:r>
          </w:p>
          <w:p w14:paraId="1B36077B" w14:textId="77777777" w:rsidR="00E47AB8" w:rsidRPr="008B2F8A" w:rsidRDefault="00E47AB8" w:rsidP="00422306">
            <w:pPr>
              <w:spacing w:before="40" w:after="80"/>
              <w:rPr>
                <w:rFonts w:ascii="Arial Narrow" w:hAnsi="Arial Narrow"/>
              </w:rPr>
            </w:pPr>
            <w:r w:rsidRPr="008B2F8A">
              <w:rPr>
                <w:rFonts w:ascii="Arial Narrow" w:hAnsi="Arial Narrow"/>
              </w:rPr>
              <w:t>MRI group with personal history: 275 (275)</w:t>
            </w:r>
          </w:p>
        </w:tc>
        <w:tc>
          <w:tcPr>
            <w:tcW w:w="2731" w:type="dxa"/>
          </w:tcPr>
          <w:p w14:paraId="02C9C8D0" w14:textId="77777777" w:rsidR="00E47AB8" w:rsidRPr="008B2F8A" w:rsidRDefault="00E47AB8" w:rsidP="00422306">
            <w:pPr>
              <w:spacing w:before="40" w:after="80"/>
              <w:rPr>
                <w:rFonts w:ascii="Arial Narrow" w:hAnsi="Arial Narrow"/>
              </w:rPr>
            </w:pPr>
            <w:r w:rsidRPr="008B2F8A">
              <w:rPr>
                <w:rFonts w:ascii="Arial Narrow" w:hAnsi="Arial Narrow"/>
              </w:rPr>
              <w:t>Asymptomatic, heterogeneously dense or extremely dense breast tissue, and at least 1 other risk factor:</w:t>
            </w:r>
          </w:p>
          <w:p w14:paraId="12297FD9" w14:textId="77777777" w:rsidR="00E47AB8" w:rsidRPr="008B2F8A" w:rsidRDefault="00E47AB8" w:rsidP="00E47AB8">
            <w:pPr>
              <w:pStyle w:val="ListParagraph"/>
              <w:numPr>
                <w:ilvl w:val="0"/>
                <w:numId w:val="31"/>
              </w:numPr>
              <w:tabs>
                <w:tab w:val="left" w:pos="256"/>
              </w:tabs>
              <w:spacing w:before="40" w:after="80"/>
              <w:ind w:left="0" w:firstLine="0"/>
              <w:contextualSpacing w:val="0"/>
              <w:rPr>
                <w:rFonts w:ascii="Arial Narrow" w:hAnsi="Arial Narrow"/>
              </w:rPr>
            </w:pPr>
            <w:r w:rsidRPr="008B2F8A">
              <w:rPr>
                <w:rFonts w:ascii="Arial Narrow" w:hAnsi="Arial Narrow"/>
                <w:i/>
              </w:rPr>
              <w:t>BRCA1</w:t>
            </w:r>
            <w:r w:rsidRPr="008B2F8A">
              <w:rPr>
                <w:rFonts w:ascii="Arial Narrow" w:hAnsi="Arial Narrow"/>
              </w:rPr>
              <w:t>/</w:t>
            </w:r>
            <w:r w:rsidRPr="008B2F8A">
              <w:rPr>
                <w:rFonts w:ascii="Arial Narrow" w:hAnsi="Arial Narrow"/>
                <w:i/>
              </w:rPr>
              <w:t>2</w:t>
            </w:r>
            <w:r w:rsidRPr="008B2F8A">
              <w:rPr>
                <w:rFonts w:ascii="Arial Narrow" w:hAnsi="Arial Narrow"/>
              </w:rPr>
              <w:t xml:space="preserve"> mutation</w:t>
            </w:r>
          </w:p>
          <w:p w14:paraId="5D1A68B9" w14:textId="313849C4" w:rsidR="00E47AB8" w:rsidRPr="008B2F8A" w:rsidRDefault="00E47AB8" w:rsidP="00E47AB8">
            <w:pPr>
              <w:pStyle w:val="ListParagraph"/>
              <w:numPr>
                <w:ilvl w:val="0"/>
                <w:numId w:val="31"/>
              </w:numPr>
              <w:tabs>
                <w:tab w:val="left" w:pos="256"/>
              </w:tabs>
              <w:spacing w:before="40" w:after="80"/>
              <w:ind w:left="0" w:firstLine="0"/>
              <w:contextualSpacing w:val="0"/>
              <w:rPr>
                <w:rFonts w:ascii="Arial Narrow" w:hAnsi="Arial Narrow"/>
              </w:rPr>
            </w:pPr>
            <w:r w:rsidRPr="008B2F8A">
              <w:rPr>
                <w:rFonts w:ascii="Arial Narrow" w:hAnsi="Arial Narrow"/>
              </w:rPr>
              <w:t>history of prior chest, mediastinal or axillary irradiation</w:t>
            </w:r>
          </w:p>
          <w:p w14:paraId="59305739" w14:textId="67332809" w:rsidR="00E47AB8" w:rsidRPr="008B2F8A" w:rsidRDefault="00E47AB8" w:rsidP="00E47AB8">
            <w:pPr>
              <w:pStyle w:val="ListParagraph"/>
              <w:numPr>
                <w:ilvl w:val="0"/>
                <w:numId w:val="31"/>
              </w:numPr>
              <w:tabs>
                <w:tab w:val="left" w:pos="256"/>
              </w:tabs>
              <w:spacing w:before="40" w:after="80"/>
              <w:ind w:left="0" w:firstLine="0"/>
              <w:contextualSpacing w:val="0"/>
              <w:rPr>
                <w:rFonts w:ascii="Arial Narrow" w:hAnsi="Arial Narrow"/>
              </w:rPr>
            </w:pPr>
            <w:r w:rsidRPr="008B2F8A">
              <w:rPr>
                <w:rFonts w:ascii="Arial Narrow" w:hAnsi="Arial Narrow"/>
              </w:rPr>
              <w:t>pers</w:t>
            </w:r>
            <w:r w:rsidR="008016EF">
              <w:rPr>
                <w:rFonts w:ascii="Arial Narrow" w:hAnsi="Arial Narrow"/>
              </w:rPr>
              <w:t>.</w:t>
            </w:r>
            <w:r w:rsidRPr="008B2F8A">
              <w:rPr>
                <w:rFonts w:ascii="Arial Narrow" w:hAnsi="Arial Narrow"/>
              </w:rPr>
              <w:t xml:space="preserve"> history of breast cancer</w:t>
            </w:r>
          </w:p>
          <w:p w14:paraId="2E8F13A1" w14:textId="77777777" w:rsidR="00E47AB8" w:rsidRPr="008B2F8A" w:rsidRDefault="00E47AB8" w:rsidP="00E47AB8">
            <w:pPr>
              <w:pStyle w:val="ListParagraph"/>
              <w:numPr>
                <w:ilvl w:val="0"/>
                <w:numId w:val="31"/>
              </w:numPr>
              <w:tabs>
                <w:tab w:val="left" w:pos="256"/>
              </w:tabs>
              <w:spacing w:before="40" w:after="80"/>
              <w:ind w:left="0" w:firstLine="0"/>
              <w:contextualSpacing w:val="0"/>
              <w:rPr>
                <w:rFonts w:ascii="Arial Narrow" w:hAnsi="Arial Narrow"/>
              </w:rPr>
            </w:pPr>
            <w:r w:rsidRPr="008B2F8A">
              <w:rPr>
                <w:rFonts w:ascii="Arial Narrow" w:hAnsi="Arial Narrow"/>
              </w:rPr>
              <w:t>lifetime risk Gail/Claus model ≥25%</w:t>
            </w:r>
          </w:p>
          <w:p w14:paraId="41F0CCDF" w14:textId="5772A384" w:rsidR="00E47AB8" w:rsidRPr="008B2F8A" w:rsidRDefault="00E47AB8" w:rsidP="00E47AB8">
            <w:pPr>
              <w:pStyle w:val="ListParagraph"/>
              <w:numPr>
                <w:ilvl w:val="0"/>
                <w:numId w:val="31"/>
              </w:numPr>
              <w:tabs>
                <w:tab w:val="left" w:pos="256"/>
              </w:tabs>
              <w:spacing w:before="40" w:after="80"/>
              <w:ind w:left="0" w:firstLine="0"/>
              <w:contextualSpacing w:val="0"/>
              <w:rPr>
                <w:rFonts w:ascii="Arial Narrow" w:hAnsi="Arial Narrow"/>
              </w:rPr>
            </w:pPr>
            <w:r w:rsidRPr="008B2F8A">
              <w:rPr>
                <w:rFonts w:ascii="Arial Narrow" w:hAnsi="Arial Narrow"/>
              </w:rPr>
              <w:t>5-year risk, Gail model ≥2.5%</w:t>
            </w:r>
          </w:p>
          <w:p w14:paraId="4DF0687E" w14:textId="63F7EB73" w:rsidR="00E47AB8" w:rsidRPr="008B2F8A" w:rsidRDefault="00E47AB8" w:rsidP="00E47AB8">
            <w:pPr>
              <w:pStyle w:val="ListParagraph"/>
              <w:numPr>
                <w:ilvl w:val="0"/>
                <w:numId w:val="31"/>
              </w:numPr>
              <w:tabs>
                <w:tab w:val="left" w:pos="256"/>
              </w:tabs>
              <w:spacing w:before="40" w:after="80"/>
              <w:ind w:left="0" w:firstLine="0"/>
              <w:contextualSpacing w:val="0"/>
              <w:rPr>
                <w:rFonts w:ascii="Arial Narrow" w:hAnsi="Arial Narrow"/>
              </w:rPr>
            </w:pPr>
            <w:r w:rsidRPr="008B2F8A">
              <w:rPr>
                <w:rFonts w:ascii="Arial Narrow" w:hAnsi="Arial Narrow"/>
              </w:rPr>
              <w:t>5-year risk Gail model ≥1.7% and extremely dense breasts</w:t>
            </w:r>
          </w:p>
          <w:p w14:paraId="1AE58FAE" w14:textId="476DA209" w:rsidR="00E47AB8" w:rsidRPr="008B2F8A" w:rsidRDefault="00E47AB8" w:rsidP="00E47AB8">
            <w:pPr>
              <w:pStyle w:val="ListParagraph"/>
              <w:numPr>
                <w:ilvl w:val="0"/>
                <w:numId w:val="31"/>
              </w:numPr>
              <w:tabs>
                <w:tab w:val="left" w:pos="256"/>
              </w:tabs>
              <w:spacing w:before="40" w:after="80"/>
              <w:ind w:left="0" w:firstLine="0"/>
              <w:contextualSpacing w:val="0"/>
              <w:rPr>
                <w:rFonts w:ascii="Arial Narrow" w:hAnsi="Arial Narrow"/>
              </w:rPr>
            </w:pPr>
            <w:r w:rsidRPr="008B2F8A">
              <w:rPr>
                <w:rFonts w:ascii="Arial Narrow" w:hAnsi="Arial Narrow"/>
              </w:rPr>
              <w:t>atypical ductal hyperplasia</w:t>
            </w:r>
            <w:r w:rsidRPr="008B2F8A" w:rsidDel="0048551B">
              <w:rPr>
                <w:rFonts w:ascii="Arial Narrow" w:hAnsi="Arial Narrow"/>
              </w:rPr>
              <w:t xml:space="preserve"> </w:t>
            </w:r>
            <w:r w:rsidRPr="008B2F8A">
              <w:rPr>
                <w:rFonts w:ascii="Arial Narrow" w:hAnsi="Arial Narrow"/>
              </w:rPr>
              <w:t>/</w:t>
            </w:r>
            <w:bookmarkStart w:id="752" w:name="OLE_LINK115"/>
            <w:bookmarkStart w:id="753" w:name="OLE_LINK116"/>
            <w:r w:rsidRPr="008B2F8A">
              <w:rPr>
                <w:rFonts w:ascii="Arial Narrow" w:hAnsi="Arial Narrow"/>
              </w:rPr>
              <w:t xml:space="preserve"> atypical lobular hyperplasia</w:t>
            </w:r>
            <w:r w:rsidRPr="008B2F8A" w:rsidDel="009C70BD">
              <w:rPr>
                <w:rFonts w:ascii="Arial Narrow" w:hAnsi="Arial Narrow"/>
              </w:rPr>
              <w:t xml:space="preserve"> </w:t>
            </w:r>
            <w:bookmarkEnd w:id="752"/>
            <w:bookmarkEnd w:id="753"/>
            <w:r w:rsidRPr="008B2F8A">
              <w:rPr>
                <w:rFonts w:ascii="Arial Narrow" w:hAnsi="Arial Narrow"/>
              </w:rPr>
              <w:t>/</w:t>
            </w:r>
            <w:r>
              <w:rPr>
                <w:rFonts w:ascii="Arial Narrow" w:hAnsi="Arial Narrow"/>
              </w:rPr>
              <w:t xml:space="preserve"> </w:t>
            </w:r>
            <w:r w:rsidRPr="008B2F8A">
              <w:rPr>
                <w:rFonts w:ascii="Arial Narrow" w:hAnsi="Arial Narrow"/>
              </w:rPr>
              <w:t>LCIS or atypical papilloma)</w:t>
            </w:r>
          </w:p>
        </w:tc>
        <w:tc>
          <w:tcPr>
            <w:tcW w:w="1391" w:type="dxa"/>
          </w:tcPr>
          <w:p w14:paraId="73C5BAE2" w14:textId="77777777" w:rsidR="00E47AB8" w:rsidRPr="008B2F8A" w:rsidRDefault="00E47AB8" w:rsidP="00422306">
            <w:pPr>
              <w:spacing w:before="40" w:after="80"/>
              <w:rPr>
                <w:rFonts w:ascii="Arial Narrow" w:hAnsi="Arial Narrow"/>
              </w:rPr>
            </w:pPr>
            <w:r w:rsidRPr="008B2F8A">
              <w:rPr>
                <w:rFonts w:ascii="Arial Narrow" w:hAnsi="Arial Narrow"/>
              </w:rPr>
              <w:t>25–91 (median 55)</w:t>
            </w:r>
          </w:p>
          <w:p w14:paraId="039F648B" w14:textId="77777777" w:rsidR="00E47AB8" w:rsidRPr="008B2F8A" w:rsidRDefault="00E47AB8" w:rsidP="00422306">
            <w:pPr>
              <w:spacing w:before="40" w:after="80"/>
              <w:rPr>
                <w:rFonts w:ascii="Arial Narrow" w:hAnsi="Arial Narrow"/>
              </w:rPr>
            </w:pPr>
            <w:r w:rsidRPr="008B2F8A">
              <w:rPr>
                <w:rFonts w:ascii="Arial Narrow" w:hAnsi="Arial Narrow"/>
              </w:rPr>
              <w:t>MRI group: 27–87 (median 57)</w:t>
            </w:r>
          </w:p>
        </w:tc>
        <w:tc>
          <w:tcPr>
            <w:tcW w:w="886" w:type="dxa"/>
          </w:tcPr>
          <w:p w14:paraId="14E0E677"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910" w:type="dxa"/>
          </w:tcPr>
          <w:p w14:paraId="12F61F07" w14:textId="77777777" w:rsidR="00E47AB8" w:rsidRPr="008B2F8A" w:rsidRDefault="00E47AB8" w:rsidP="00422306">
            <w:pPr>
              <w:spacing w:before="40" w:after="80"/>
              <w:rPr>
                <w:rFonts w:ascii="Arial Narrow" w:hAnsi="Arial Narrow"/>
              </w:rPr>
            </w:pPr>
            <w:r w:rsidRPr="008B2F8A">
              <w:rPr>
                <w:rFonts w:ascii="Arial Narrow" w:hAnsi="Arial Narrow"/>
              </w:rPr>
              <w:t>NR</w:t>
            </w:r>
          </w:p>
        </w:tc>
      </w:tr>
      <w:tr w:rsidR="00E47AB8" w:rsidRPr="008B2F8A" w14:paraId="4B3C3CBA" w14:textId="77777777" w:rsidTr="00B17898">
        <w:tc>
          <w:tcPr>
            <w:tcW w:w="738" w:type="dxa"/>
          </w:tcPr>
          <w:p w14:paraId="3262EBDA" w14:textId="53EE120E" w:rsidR="00E47AB8" w:rsidRPr="008B2F8A" w:rsidRDefault="00E47AB8" w:rsidP="00422306">
            <w:pPr>
              <w:spacing w:before="40" w:after="80"/>
              <w:rPr>
                <w:rFonts w:ascii="Arial Narrow" w:hAnsi="Arial Narrow"/>
              </w:rPr>
            </w:pPr>
            <w:r>
              <w:rPr>
                <w:rFonts w:ascii="Arial Narrow" w:hAnsi="Arial Narrow"/>
              </w:rPr>
              <w:t>Viehweg et al, 2004</w:t>
            </w:r>
          </w:p>
        </w:tc>
        <w:tc>
          <w:tcPr>
            <w:tcW w:w="1136" w:type="dxa"/>
          </w:tcPr>
          <w:p w14:paraId="17FEDBA5" w14:textId="77777777" w:rsidR="00E47AB8" w:rsidRPr="008B2F8A" w:rsidRDefault="00E47AB8" w:rsidP="00422306">
            <w:pPr>
              <w:spacing w:before="40" w:after="80"/>
              <w:rPr>
                <w:rFonts w:ascii="Arial Narrow" w:hAnsi="Arial Narrow"/>
              </w:rPr>
            </w:pPr>
            <w:r w:rsidRPr="008B2F8A">
              <w:rPr>
                <w:rFonts w:ascii="Arial Narrow" w:hAnsi="Arial Narrow"/>
              </w:rPr>
              <w:t>Germany</w:t>
            </w:r>
          </w:p>
          <w:p w14:paraId="273D0D6D" w14:textId="77777777" w:rsidR="00E47AB8" w:rsidRPr="008B2F8A" w:rsidRDefault="00E47AB8" w:rsidP="00422306">
            <w:pPr>
              <w:spacing w:before="40" w:after="80"/>
              <w:rPr>
                <w:rFonts w:ascii="Arial Narrow" w:hAnsi="Arial Narrow"/>
              </w:rPr>
            </w:pPr>
            <w:r w:rsidRPr="008B2F8A">
              <w:rPr>
                <w:rFonts w:ascii="Arial Narrow" w:hAnsi="Arial Narrow"/>
              </w:rPr>
              <w:t>Single site</w:t>
            </w:r>
          </w:p>
          <w:p w14:paraId="6C38E92F" w14:textId="77777777" w:rsidR="00E47AB8" w:rsidRPr="008B2F8A" w:rsidRDefault="00E47AB8" w:rsidP="00422306">
            <w:pPr>
              <w:spacing w:before="40" w:after="80"/>
              <w:rPr>
                <w:rFonts w:ascii="Arial Narrow" w:hAnsi="Arial Narrow"/>
              </w:rPr>
            </w:pPr>
            <w:r w:rsidRPr="008B2F8A">
              <w:rPr>
                <w:rFonts w:ascii="Arial Narrow" w:hAnsi="Arial Narrow"/>
              </w:rPr>
              <w:t>1994–2001</w:t>
            </w:r>
          </w:p>
        </w:tc>
        <w:tc>
          <w:tcPr>
            <w:tcW w:w="1278" w:type="dxa"/>
          </w:tcPr>
          <w:p w14:paraId="5E56A111" w14:textId="77777777" w:rsidR="00E47AB8" w:rsidRPr="008B2F8A" w:rsidRDefault="00E47AB8" w:rsidP="00422306">
            <w:pPr>
              <w:spacing w:before="40" w:after="80"/>
              <w:rPr>
                <w:rFonts w:ascii="Arial Narrow" w:hAnsi="Arial Narrow"/>
              </w:rPr>
            </w:pPr>
            <w:r w:rsidRPr="008B2F8A">
              <w:rPr>
                <w:rFonts w:ascii="Arial Narrow" w:hAnsi="Arial Narrow"/>
              </w:rPr>
              <w:t>119 (145)</w:t>
            </w:r>
          </w:p>
        </w:tc>
        <w:tc>
          <w:tcPr>
            <w:tcW w:w="2731" w:type="dxa"/>
          </w:tcPr>
          <w:p w14:paraId="3C6DDFB8" w14:textId="6F37744E" w:rsidR="00E47AB8" w:rsidRPr="008B2F8A" w:rsidRDefault="00E47AB8" w:rsidP="00422306">
            <w:pPr>
              <w:spacing w:before="40" w:after="80"/>
              <w:rPr>
                <w:rFonts w:ascii="Arial Narrow" w:hAnsi="Arial Narrow"/>
              </w:rPr>
            </w:pPr>
            <w:r w:rsidRPr="008B2F8A">
              <w:rPr>
                <w:rFonts w:ascii="Arial Narrow" w:hAnsi="Arial Narrow"/>
              </w:rPr>
              <w:t>History of treated unilateral breast cancer</w:t>
            </w:r>
          </w:p>
        </w:tc>
        <w:tc>
          <w:tcPr>
            <w:tcW w:w="1391" w:type="dxa"/>
          </w:tcPr>
          <w:p w14:paraId="5E2C67D0" w14:textId="77777777" w:rsidR="00E47AB8" w:rsidRPr="008B2F8A" w:rsidRDefault="00E47AB8" w:rsidP="00422306">
            <w:pPr>
              <w:spacing w:before="40" w:after="80"/>
              <w:rPr>
                <w:rFonts w:ascii="Arial Narrow" w:hAnsi="Arial Narrow"/>
              </w:rPr>
            </w:pPr>
            <w:r w:rsidRPr="008B2F8A">
              <w:rPr>
                <w:rFonts w:ascii="Arial Narrow" w:hAnsi="Arial Narrow"/>
              </w:rPr>
              <w:t>25–78 (median 55.7)</w:t>
            </w:r>
          </w:p>
        </w:tc>
        <w:tc>
          <w:tcPr>
            <w:tcW w:w="886" w:type="dxa"/>
          </w:tcPr>
          <w:p w14:paraId="68978BD3" w14:textId="77777777" w:rsidR="00E47AB8" w:rsidRPr="008B2F8A" w:rsidRDefault="00E47AB8" w:rsidP="00422306">
            <w:pPr>
              <w:spacing w:before="40" w:after="80"/>
              <w:rPr>
                <w:rFonts w:ascii="Arial Narrow" w:hAnsi="Arial Narrow"/>
              </w:rPr>
            </w:pPr>
            <w:r w:rsidRPr="008B2F8A">
              <w:rPr>
                <w:rFonts w:ascii="Arial Narrow" w:hAnsi="Arial Narrow"/>
              </w:rPr>
              <w:t>100%</w:t>
            </w:r>
          </w:p>
        </w:tc>
        <w:tc>
          <w:tcPr>
            <w:tcW w:w="910" w:type="dxa"/>
          </w:tcPr>
          <w:p w14:paraId="18DC01C2" w14:textId="77777777" w:rsidR="00E47AB8" w:rsidRPr="008B2F8A" w:rsidRDefault="00E47AB8" w:rsidP="00422306">
            <w:pPr>
              <w:spacing w:before="40" w:after="80"/>
              <w:rPr>
                <w:rFonts w:ascii="Arial Narrow" w:hAnsi="Arial Narrow"/>
              </w:rPr>
            </w:pPr>
            <w:r w:rsidRPr="008B2F8A">
              <w:rPr>
                <w:rFonts w:ascii="Arial Narrow" w:hAnsi="Arial Narrow"/>
              </w:rPr>
              <w:t>100%</w:t>
            </w:r>
          </w:p>
        </w:tc>
      </w:tr>
    </w:tbl>
    <w:p w14:paraId="60F28FD3" w14:textId="1D3130DF" w:rsidR="00E47AB8" w:rsidRPr="008B2F8A" w:rsidRDefault="00E47AB8" w:rsidP="00B17898">
      <w:pPr>
        <w:pStyle w:val="TableNotesLast"/>
      </w:pPr>
      <w:r w:rsidRPr="008B2F8A">
        <w:t xml:space="preserve">MRI = magnetic resonance imaging; </w:t>
      </w:r>
      <w:r w:rsidRPr="008B2F8A">
        <w:rPr>
          <w:rFonts w:eastAsiaTheme="minorHAnsi"/>
        </w:rPr>
        <w:t xml:space="preserve">NR = not reported; </w:t>
      </w:r>
      <w:r w:rsidRPr="00B17898">
        <w:rPr>
          <w:i/>
        </w:rPr>
        <w:t>BRCA1/2</w:t>
      </w:r>
      <w:r w:rsidRPr="008B2F8A">
        <w:t xml:space="preserve"> = breast cancer gene 1/2; </w:t>
      </w:r>
      <w:r w:rsidRPr="008B2F8A">
        <w:rPr>
          <w:rFonts w:eastAsiaTheme="minorHAnsi"/>
        </w:rPr>
        <w:t>LCIS = lobular carcinoma in situ.</w:t>
      </w:r>
    </w:p>
    <w:p w14:paraId="54846CD7" w14:textId="5AA5C7F2" w:rsidR="00E47AB8" w:rsidRPr="008B2F8A" w:rsidRDefault="00E47AB8" w:rsidP="00422306">
      <w:r>
        <w:t>Viehweg et al (2004)</w:t>
      </w:r>
      <w:r w:rsidRPr="008B2F8A">
        <w:t xml:space="preserve"> used a 1.0 T machine</w:t>
      </w:r>
      <w:r>
        <w:t>,</w:t>
      </w:r>
      <w:r w:rsidRPr="008B2F8A">
        <w:t xml:space="preserve"> which may compromise MRI performance. Both studies compared the performance of MRI with mammography and ultrasound</w:t>
      </w:r>
      <w:r>
        <w:t>,</w:t>
      </w:r>
      <w:r w:rsidRPr="008B2F8A">
        <w:t xml:space="preserve"> but neither performed MRI over multiple screening rounds (</w:t>
      </w:r>
      <w:r w:rsidRPr="008B2F8A">
        <w:fldChar w:fldCharType="begin"/>
      </w:r>
      <w:r w:rsidRPr="008B2F8A">
        <w:instrText xml:space="preserve"> REF _Ref368644541 \h </w:instrText>
      </w:r>
      <w:r w:rsidRPr="008B2F8A">
        <w:fldChar w:fldCharType="separate"/>
      </w:r>
      <w:r w:rsidR="00B81273" w:rsidRPr="008B2F8A">
        <w:t xml:space="preserve">Table </w:t>
      </w:r>
      <w:r w:rsidR="00B81273">
        <w:rPr>
          <w:noProof/>
        </w:rPr>
        <w:t>B</w:t>
      </w:r>
      <w:r w:rsidR="00B81273" w:rsidRPr="008B2F8A">
        <w:t>.</w:t>
      </w:r>
      <w:r w:rsidR="00B81273">
        <w:rPr>
          <w:noProof/>
        </w:rPr>
        <w:t>19</w:t>
      </w:r>
      <w:r w:rsidRPr="008B2F8A">
        <w:fldChar w:fldCharType="end"/>
      </w:r>
      <w:r w:rsidRPr="008B2F8A">
        <w:t>).</w:t>
      </w:r>
    </w:p>
    <w:p w14:paraId="7750501D" w14:textId="77777777" w:rsidR="00E47AB8" w:rsidRPr="008B2F8A" w:rsidRDefault="00E47AB8" w:rsidP="00422306">
      <w:pPr>
        <w:pStyle w:val="Caption"/>
        <w:ind w:left="1440" w:hanging="1440"/>
      </w:pPr>
      <w:bookmarkStart w:id="754" w:name="_Ref368644541"/>
      <w:bookmarkStart w:id="755" w:name="_Toc383424585"/>
      <w:r w:rsidRPr="008B2F8A">
        <w:t xml:space="preserve">Table </w:t>
      </w:r>
      <w:fldSimple w:instr=" STYLEREF 1 \s ">
        <w:r w:rsidR="00B81273">
          <w:rPr>
            <w:noProof/>
          </w:rPr>
          <w:t>B</w:t>
        </w:r>
      </w:fldSimple>
      <w:r w:rsidRPr="008B2F8A">
        <w:t>.</w:t>
      </w:r>
      <w:fldSimple w:instr=" SEQ Table \* ARABIC \s 1 ">
        <w:r w:rsidR="00B81273">
          <w:rPr>
            <w:noProof/>
          </w:rPr>
          <w:t>19</w:t>
        </w:r>
      </w:fldSimple>
      <w:bookmarkEnd w:id="754"/>
      <w:r w:rsidRPr="008B2F8A">
        <w:tab/>
      </w:r>
      <w:bookmarkStart w:id="756" w:name="OLE_LINK1019"/>
      <w:bookmarkStart w:id="757" w:name="OLE_LINK1020"/>
      <w:r w:rsidRPr="008B2F8A">
        <w:t>Characteristics of included primary diagnostic accuracy studies—study design and outcomes</w:t>
      </w:r>
      <w:bookmarkEnd w:id="756"/>
      <w:bookmarkEnd w:id="757"/>
      <w:r w:rsidRPr="008B2F8A">
        <w:t>.</w:t>
      </w:r>
      <w:bookmarkEnd w:id="755"/>
    </w:p>
    <w:tbl>
      <w:tblPr>
        <w:tblStyle w:val="TableGrid"/>
        <w:tblW w:w="9070" w:type="dxa"/>
        <w:tblLayout w:type="fixed"/>
        <w:tblCellMar>
          <w:left w:w="28" w:type="dxa"/>
          <w:right w:w="28" w:type="dxa"/>
        </w:tblCellMar>
        <w:tblLook w:val="04A0" w:firstRow="1" w:lastRow="0" w:firstColumn="1" w:lastColumn="0" w:noHBand="0" w:noVBand="1"/>
        <w:tblCaption w:val="Characteristics of included primary diagnostic accuracy studies—study design and outcomes"/>
      </w:tblPr>
      <w:tblGrid>
        <w:gridCol w:w="738"/>
        <w:gridCol w:w="2272"/>
        <w:gridCol w:w="1136"/>
        <w:gridCol w:w="1846"/>
        <w:gridCol w:w="1562"/>
        <w:gridCol w:w="1516"/>
      </w:tblGrid>
      <w:tr w:rsidR="00E47AB8" w:rsidRPr="008B2F8A" w14:paraId="6FC11A02" w14:textId="77777777" w:rsidTr="00422306">
        <w:trPr>
          <w:tblHeader/>
        </w:trPr>
        <w:tc>
          <w:tcPr>
            <w:tcW w:w="738" w:type="dxa"/>
            <w:vAlign w:val="bottom"/>
          </w:tcPr>
          <w:p w14:paraId="5F1E6AD5"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2272" w:type="dxa"/>
            <w:vAlign w:val="bottom"/>
          </w:tcPr>
          <w:p w14:paraId="2CF568CA" w14:textId="77777777" w:rsidR="00E47AB8" w:rsidRPr="008B2F8A" w:rsidRDefault="00E47AB8" w:rsidP="00422306">
            <w:pPr>
              <w:spacing w:before="40" w:after="80"/>
              <w:rPr>
                <w:rFonts w:ascii="Arial Narrow" w:hAnsi="Arial Narrow"/>
                <w:b/>
              </w:rPr>
            </w:pPr>
            <w:r w:rsidRPr="008B2F8A">
              <w:rPr>
                <w:rFonts w:ascii="Arial Narrow" w:hAnsi="Arial Narrow"/>
                <w:b/>
              </w:rPr>
              <w:t>Study design (prospective, consecutive)</w:t>
            </w:r>
          </w:p>
        </w:tc>
        <w:tc>
          <w:tcPr>
            <w:tcW w:w="1136" w:type="dxa"/>
            <w:vAlign w:val="bottom"/>
          </w:tcPr>
          <w:p w14:paraId="5DC1C713" w14:textId="77777777" w:rsidR="00E47AB8" w:rsidRPr="008B2F8A" w:rsidRDefault="00E47AB8" w:rsidP="00422306">
            <w:pPr>
              <w:spacing w:before="40" w:after="80"/>
              <w:rPr>
                <w:rFonts w:ascii="Arial Narrow" w:hAnsi="Arial Narrow"/>
                <w:b/>
              </w:rPr>
            </w:pPr>
            <w:r w:rsidRPr="008B2F8A">
              <w:rPr>
                <w:rFonts w:ascii="Arial Narrow" w:hAnsi="Arial Narrow"/>
                <w:b/>
              </w:rPr>
              <w:t>Index test</w:t>
            </w:r>
          </w:p>
        </w:tc>
        <w:tc>
          <w:tcPr>
            <w:tcW w:w="1846" w:type="dxa"/>
            <w:vAlign w:val="bottom"/>
          </w:tcPr>
          <w:p w14:paraId="6DFF1EDB" w14:textId="77777777" w:rsidR="00E47AB8" w:rsidRPr="008B2F8A" w:rsidRDefault="00E47AB8" w:rsidP="00422306">
            <w:pPr>
              <w:spacing w:before="40" w:after="80"/>
              <w:rPr>
                <w:rFonts w:ascii="Arial Narrow" w:hAnsi="Arial Narrow"/>
                <w:b/>
              </w:rPr>
            </w:pPr>
            <w:r w:rsidRPr="008B2F8A">
              <w:rPr>
                <w:rFonts w:ascii="Arial Narrow" w:hAnsi="Arial Narrow"/>
                <w:b/>
              </w:rPr>
              <w:t>Comparator tests</w:t>
            </w:r>
          </w:p>
        </w:tc>
        <w:tc>
          <w:tcPr>
            <w:tcW w:w="1562" w:type="dxa"/>
            <w:vAlign w:val="bottom"/>
          </w:tcPr>
          <w:p w14:paraId="6F4FBA88" w14:textId="77777777" w:rsidR="00E47AB8" w:rsidRPr="008B2F8A" w:rsidRDefault="00E47AB8" w:rsidP="00422306">
            <w:pPr>
              <w:spacing w:before="40" w:after="80"/>
              <w:rPr>
                <w:rFonts w:ascii="Arial Narrow" w:hAnsi="Arial Narrow"/>
                <w:b/>
              </w:rPr>
            </w:pPr>
            <w:r w:rsidRPr="008B2F8A">
              <w:rPr>
                <w:rFonts w:ascii="Arial Narrow" w:hAnsi="Arial Narrow"/>
                <w:b/>
              </w:rPr>
              <w:t>Reference standard</w:t>
            </w:r>
          </w:p>
        </w:tc>
        <w:tc>
          <w:tcPr>
            <w:tcW w:w="1516" w:type="dxa"/>
            <w:vAlign w:val="bottom"/>
          </w:tcPr>
          <w:p w14:paraId="60B3E0BA" w14:textId="77777777" w:rsidR="00E47AB8" w:rsidRPr="008B2F8A" w:rsidRDefault="00E47AB8" w:rsidP="00422306">
            <w:pPr>
              <w:spacing w:before="40" w:after="80"/>
              <w:rPr>
                <w:rFonts w:ascii="Arial Narrow" w:hAnsi="Arial Narrow"/>
                <w:b/>
              </w:rPr>
            </w:pPr>
            <w:r w:rsidRPr="008B2F8A">
              <w:rPr>
                <w:rFonts w:ascii="Arial Narrow" w:hAnsi="Arial Narrow"/>
                <w:b/>
              </w:rPr>
              <w:t>Outcomes</w:t>
            </w:r>
          </w:p>
        </w:tc>
      </w:tr>
      <w:tr w:rsidR="00E47AB8" w:rsidRPr="008B2F8A" w14:paraId="0E331759" w14:textId="77777777" w:rsidTr="00422306">
        <w:tc>
          <w:tcPr>
            <w:tcW w:w="738" w:type="dxa"/>
          </w:tcPr>
          <w:p w14:paraId="5E0FA1C8" w14:textId="24F48334" w:rsidR="00E47AB8" w:rsidRPr="008B2F8A" w:rsidRDefault="00E47AB8" w:rsidP="00422306">
            <w:pPr>
              <w:spacing w:before="40" w:after="80"/>
              <w:rPr>
                <w:rFonts w:ascii="Arial Narrow" w:hAnsi="Arial Narrow"/>
              </w:rPr>
            </w:pPr>
            <w:r>
              <w:rPr>
                <w:rFonts w:ascii="Arial Narrow" w:hAnsi="Arial Narrow"/>
              </w:rPr>
              <w:t>Berg et al, 2012</w:t>
            </w:r>
          </w:p>
        </w:tc>
        <w:tc>
          <w:tcPr>
            <w:tcW w:w="2272" w:type="dxa"/>
          </w:tcPr>
          <w:p w14:paraId="18BE5498"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58C00403" w14:textId="77777777" w:rsidR="00E47AB8" w:rsidRPr="008B2F8A" w:rsidRDefault="00E47AB8" w:rsidP="00422306">
            <w:pPr>
              <w:spacing w:before="40" w:after="80"/>
              <w:rPr>
                <w:rFonts w:ascii="Arial Narrow" w:hAnsi="Arial Narrow"/>
              </w:rPr>
            </w:pPr>
            <w:r w:rsidRPr="008B2F8A">
              <w:rPr>
                <w:rFonts w:ascii="Arial Narrow" w:hAnsi="Arial Narrow"/>
              </w:rPr>
              <w:t>Prospective</w:t>
            </w:r>
          </w:p>
          <w:p w14:paraId="5966DB27"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59F24EDE"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1136" w:type="dxa"/>
          </w:tcPr>
          <w:p w14:paraId="3FC88379" w14:textId="77777777" w:rsidR="00E47AB8" w:rsidRPr="008B2F8A" w:rsidRDefault="00E47AB8" w:rsidP="00422306">
            <w:pPr>
              <w:spacing w:before="40" w:after="80"/>
              <w:rPr>
                <w:rFonts w:ascii="Arial Narrow" w:hAnsi="Arial Narrow"/>
              </w:rPr>
            </w:pPr>
            <w:r w:rsidRPr="008B2F8A">
              <w:rPr>
                <w:rFonts w:ascii="Arial Narrow" w:hAnsi="Arial Narrow"/>
              </w:rPr>
              <w:t>Single MRI with contrast</w:t>
            </w:r>
          </w:p>
          <w:p w14:paraId="0A689738" w14:textId="535A3822" w:rsidR="00E47AB8" w:rsidRPr="008B2F8A" w:rsidRDefault="00E47AB8" w:rsidP="00422306">
            <w:pPr>
              <w:spacing w:before="40" w:after="80"/>
              <w:rPr>
                <w:rFonts w:ascii="Arial Narrow" w:hAnsi="Arial Narrow"/>
              </w:rPr>
            </w:pPr>
            <w:r w:rsidRPr="008B2F8A">
              <w:rPr>
                <w:rFonts w:ascii="Arial Narrow" w:hAnsi="Arial Narrow"/>
              </w:rPr>
              <w:t>1.5 T magnet</w:t>
            </w:r>
          </w:p>
        </w:tc>
        <w:tc>
          <w:tcPr>
            <w:tcW w:w="1846" w:type="dxa"/>
          </w:tcPr>
          <w:p w14:paraId="697E0626" w14:textId="77777777" w:rsidR="00E47AB8" w:rsidRPr="008B2F8A" w:rsidRDefault="00E47AB8" w:rsidP="00422306">
            <w:pPr>
              <w:spacing w:before="40" w:after="80"/>
              <w:rPr>
                <w:rFonts w:ascii="Arial Narrow" w:hAnsi="Arial Narrow"/>
              </w:rPr>
            </w:pPr>
            <w:r w:rsidRPr="008B2F8A">
              <w:rPr>
                <w:rFonts w:ascii="Arial Narrow" w:hAnsi="Arial Narrow"/>
              </w:rPr>
              <w:t>Annual film or digital mammography and ultrasound</w:t>
            </w:r>
          </w:p>
        </w:tc>
        <w:tc>
          <w:tcPr>
            <w:tcW w:w="1562" w:type="dxa"/>
          </w:tcPr>
          <w:p w14:paraId="22BED299" w14:textId="77777777" w:rsidR="00E47AB8" w:rsidRDefault="00E47AB8" w:rsidP="00422306">
            <w:pPr>
              <w:spacing w:before="40" w:after="80"/>
              <w:rPr>
                <w:rFonts w:ascii="Arial Narrow" w:hAnsi="Arial Narrow"/>
              </w:rPr>
            </w:pPr>
            <w:r w:rsidRPr="008B2F8A">
              <w:rPr>
                <w:rFonts w:ascii="Arial Narrow" w:hAnsi="Arial Narrow"/>
              </w:rPr>
              <w:t>Histopathology for test positives</w:t>
            </w:r>
          </w:p>
          <w:p w14:paraId="0DA1F58D" w14:textId="19BEEDA8" w:rsidR="00E47AB8" w:rsidRPr="008B2F8A" w:rsidRDefault="00E47AB8" w:rsidP="00422306">
            <w:pPr>
              <w:spacing w:before="40" w:after="80"/>
              <w:rPr>
                <w:rFonts w:ascii="Arial Narrow" w:hAnsi="Arial Narrow"/>
              </w:rPr>
            </w:pPr>
            <w:r w:rsidRPr="008B2F8A">
              <w:rPr>
                <w:rFonts w:ascii="Arial Narrow" w:hAnsi="Arial Narrow"/>
              </w:rPr>
              <w:t>12-month follow-up for test negatives</w:t>
            </w:r>
          </w:p>
        </w:tc>
        <w:tc>
          <w:tcPr>
            <w:tcW w:w="1516" w:type="dxa"/>
          </w:tcPr>
          <w:p w14:paraId="1955DE05" w14:textId="77777777" w:rsidR="00E47AB8" w:rsidRPr="008B2F8A" w:rsidRDefault="00E47AB8" w:rsidP="00422306">
            <w:pPr>
              <w:spacing w:before="40" w:after="80"/>
              <w:rPr>
                <w:rFonts w:ascii="Arial Narrow" w:hAnsi="Arial Narrow"/>
              </w:rPr>
            </w:pPr>
            <w:r w:rsidRPr="008B2F8A">
              <w:rPr>
                <w:rFonts w:ascii="Arial Narrow" w:hAnsi="Arial Narrow"/>
              </w:rPr>
              <w:t xml:space="preserve">Sensitivity, specificity, </w:t>
            </w:r>
            <w:bookmarkStart w:id="758" w:name="OLE_LINK117"/>
            <w:bookmarkStart w:id="759" w:name="OLE_LINK118"/>
            <w:r w:rsidRPr="008B2F8A">
              <w:rPr>
                <w:rFonts w:ascii="Arial Narrow" w:hAnsi="Arial Narrow"/>
              </w:rPr>
              <w:t xml:space="preserve">PPV3 </w:t>
            </w:r>
            <w:bookmarkEnd w:id="758"/>
            <w:bookmarkEnd w:id="759"/>
            <w:r w:rsidRPr="008B2F8A">
              <w:rPr>
                <w:rFonts w:ascii="Arial Narrow" w:hAnsi="Arial Narrow"/>
              </w:rPr>
              <w:t xml:space="preserve">of biopsies performed, interval cancer rate </w:t>
            </w:r>
          </w:p>
        </w:tc>
      </w:tr>
      <w:tr w:rsidR="00E47AB8" w:rsidRPr="008B2F8A" w14:paraId="39BBC197" w14:textId="77777777" w:rsidTr="00422306">
        <w:tc>
          <w:tcPr>
            <w:tcW w:w="738" w:type="dxa"/>
          </w:tcPr>
          <w:p w14:paraId="59136747" w14:textId="186DC619" w:rsidR="00E47AB8" w:rsidRPr="008B2F8A" w:rsidRDefault="00E47AB8" w:rsidP="00422306">
            <w:pPr>
              <w:spacing w:before="40" w:after="80"/>
              <w:rPr>
                <w:rFonts w:ascii="Arial Narrow" w:hAnsi="Arial Narrow"/>
              </w:rPr>
            </w:pPr>
            <w:r>
              <w:rPr>
                <w:rFonts w:ascii="Arial Narrow" w:hAnsi="Arial Narrow"/>
              </w:rPr>
              <w:lastRenderedPageBreak/>
              <w:t>Viehweg et al, 2004</w:t>
            </w:r>
          </w:p>
        </w:tc>
        <w:tc>
          <w:tcPr>
            <w:tcW w:w="2272" w:type="dxa"/>
          </w:tcPr>
          <w:p w14:paraId="586E069A"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10002CCC" w14:textId="77777777" w:rsidR="00E47AB8" w:rsidRPr="008B2F8A" w:rsidRDefault="00E47AB8" w:rsidP="00422306">
            <w:pPr>
              <w:spacing w:before="40" w:after="80"/>
              <w:rPr>
                <w:rFonts w:ascii="Arial Narrow" w:hAnsi="Arial Narrow"/>
              </w:rPr>
            </w:pPr>
            <w:r w:rsidRPr="008B2F8A">
              <w:rPr>
                <w:rFonts w:ascii="Arial Narrow" w:hAnsi="Arial Narrow"/>
              </w:rPr>
              <w:t>Retrospective</w:t>
            </w:r>
          </w:p>
          <w:p w14:paraId="71C34255"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1136" w:type="dxa"/>
          </w:tcPr>
          <w:p w14:paraId="6AD4A7DE" w14:textId="77777777" w:rsidR="00E47AB8" w:rsidRPr="008B2F8A" w:rsidRDefault="00E47AB8" w:rsidP="00422306">
            <w:pPr>
              <w:spacing w:before="40" w:after="80"/>
              <w:rPr>
                <w:rFonts w:ascii="Arial Narrow" w:hAnsi="Arial Narrow"/>
              </w:rPr>
            </w:pPr>
            <w:r w:rsidRPr="008B2F8A">
              <w:rPr>
                <w:rFonts w:ascii="Arial Narrow" w:hAnsi="Arial Narrow"/>
              </w:rPr>
              <w:t>Single MRI with contrast</w:t>
            </w:r>
          </w:p>
          <w:p w14:paraId="7B38EC8D" w14:textId="46555C70" w:rsidR="00E47AB8" w:rsidRPr="008B2F8A" w:rsidRDefault="00E47AB8" w:rsidP="00422306">
            <w:pPr>
              <w:spacing w:before="40" w:after="80"/>
              <w:rPr>
                <w:rFonts w:ascii="Arial Narrow" w:hAnsi="Arial Narrow"/>
              </w:rPr>
            </w:pPr>
            <w:r w:rsidRPr="008B2F8A">
              <w:rPr>
                <w:rFonts w:ascii="Arial Narrow" w:hAnsi="Arial Narrow"/>
              </w:rPr>
              <w:t>1.0 T magnet</w:t>
            </w:r>
          </w:p>
        </w:tc>
        <w:tc>
          <w:tcPr>
            <w:tcW w:w="1846" w:type="dxa"/>
          </w:tcPr>
          <w:p w14:paraId="51D7D5A2" w14:textId="53C806BC" w:rsidR="00E47AB8" w:rsidRPr="008B2F8A" w:rsidRDefault="00E47AB8" w:rsidP="00422306">
            <w:pPr>
              <w:spacing w:before="40" w:after="80"/>
              <w:rPr>
                <w:rFonts w:ascii="Arial Narrow" w:hAnsi="Arial Narrow"/>
              </w:rPr>
            </w:pPr>
            <w:r w:rsidRPr="008B2F8A">
              <w:rPr>
                <w:rFonts w:ascii="Arial Narrow" w:hAnsi="Arial Narrow"/>
              </w:rPr>
              <w:t>Annual film mammography, ultrasound on the basis of clinical decision</w:t>
            </w:r>
          </w:p>
        </w:tc>
        <w:tc>
          <w:tcPr>
            <w:tcW w:w="1562" w:type="dxa"/>
          </w:tcPr>
          <w:p w14:paraId="602B7DCB" w14:textId="77777777" w:rsidR="00E47AB8" w:rsidRDefault="00E47AB8" w:rsidP="00422306">
            <w:pPr>
              <w:spacing w:before="40" w:after="80"/>
              <w:rPr>
                <w:rFonts w:ascii="Arial Narrow" w:hAnsi="Arial Narrow"/>
              </w:rPr>
            </w:pPr>
            <w:r w:rsidRPr="008B2F8A">
              <w:rPr>
                <w:rFonts w:ascii="Arial Narrow" w:hAnsi="Arial Narrow"/>
              </w:rPr>
              <w:t>Histopathology for test positives</w:t>
            </w:r>
          </w:p>
          <w:p w14:paraId="7F85BBB2" w14:textId="0F88FD8A" w:rsidR="00E47AB8" w:rsidRPr="008B2F8A" w:rsidRDefault="00E47AB8" w:rsidP="00422306">
            <w:pPr>
              <w:spacing w:before="40" w:after="80"/>
              <w:rPr>
                <w:rFonts w:ascii="Arial Narrow" w:hAnsi="Arial Narrow"/>
              </w:rPr>
            </w:pPr>
            <w:r w:rsidRPr="008B2F8A">
              <w:rPr>
                <w:rFonts w:ascii="Arial Narrow" w:hAnsi="Arial Narrow"/>
              </w:rPr>
              <w:t>12-month follow-up for test negatives</w:t>
            </w:r>
          </w:p>
        </w:tc>
        <w:tc>
          <w:tcPr>
            <w:tcW w:w="1516" w:type="dxa"/>
          </w:tcPr>
          <w:p w14:paraId="487E8B88" w14:textId="77777777" w:rsidR="00E47AB8" w:rsidRPr="008B2F8A" w:rsidRDefault="00E47AB8" w:rsidP="00422306">
            <w:pPr>
              <w:spacing w:before="40" w:after="80"/>
              <w:rPr>
                <w:rFonts w:ascii="Arial Narrow" w:hAnsi="Arial Narrow"/>
              </w:rPr>
            </w:pPr>
            <w:r w:rsidRPr="00B17898">
              <w:rPr>
                <w:rFonts w:ascii="Arial Narrow" w:hAnsi="Arial Narrow"/>
                <w:color w:val="FFFFFF" w:themeColor="background1"/>
              </w:rPr>
              <w:t>-</w:t>
            </w:r>
          </w:p>
        </w:tc>
      </w:tr>
    </w:tbl>
    <w:p w14:paraId="72FE87E2" w14:textId="15735DB8" w:rsidR="00E47AB8" w:rsidRPr="008B2F8A" w:rsidRDefault="00E47AB8" w:rsidP="00B17898">
      <w:pPr>
        <w:pStyle w:val="TableNotesLast"/>
      </w:pPr>
      <w:r w:rsidRPr="008B2F8A">
        <w:t>NR = not reported; MRI = magnetic resonance imaging.</w:t>
      </w:r>
    </w:p>
    <w:p w14:paraId="29AFD4A0" w14:textId="77777777" w:rsidR="00E47AB8" w:rsidRPr="008B2F8A" w:rsidRDefault="00E47AB8" w:rsidP="00422306">
      <w:pPr>
        <w:pStyle w:val="Heading4"/>
      </w:pPr>
      <w:r w:rsidRPr="008B2F8A">
        <w:t>Women with a history of treatment for DCIS or LCIS</w:t>
      </w:r>
    </w:p>
    <w:p w14:paraId="597CCAC7" w14:textId="395B1014" w:rsidR="00E47AB8" w:rsidRPr="008B2F8A" w:rsidRDefault="00E47AB8" w:rsidP="00422306">
      <w:r w:rsidRPr="008B2F8A">
        <w:t xml:space="preserve">One diagnostic accuracy study was identified </w:t>
      </w:r>
      <w:r w:rsidRPr="008B2F8A">
        <w:rPr>
          <w:noProof/>
        </w:rPr>
        <w:t>(Sung et al, 2011b)</w:t>
      </w:r>
      <w:r>
        <w:rPr>
          <w:noProof/>
        </w:rPr>
        <w:t>.</w:t>
      </w:r>
      <w:r w:rsidRPr="008B2F8A">
        <w:t xml:space="preserve"> </w:t>
      </w:r>
      <w:r>
        <w:t>It</w:t>
      </w:r>
      <w:r w:rsidRPr="008B2F8A">
        <w:t xml:space="preserve"> included 22</w:t>
      </w:r>
      <w:r w:rsidR="00B17898">
        <w:t>0</w:t>
      </w:r>
      <w:r w:rsidRPr="008B2F8A">
        <w:t xml:space="preserve"> women (840 MRI scans) who were retrospectively identified. Women with a personal history of breast cancer were excluded</w:t>
      </w:r>
      <w:r>
        <w:t>,</w:t>
      </w:r>
      <w:r w:rsidRPr="008B2F8A">
        <w:t xml:space="preserve"> and 29% of women had a family history of breast cancer defined as breast cancer in a first-degree relative (</w:t>
      </w:r>
      <w:r w:rsidRPr="008B2F8A">
        <w:fldChar w:fldCharType="begin"/>
      </w:r>
      <w:r w:rsidRPr="008B2F8A">
        <w:instrText xml:space="preserve"> REF _Ref368486517 \h </w:instrText>
      </w:r>
      <w:r w:rsidRPr="008B2F8A">
        <w:fldChar w:fldCharType="separate"/>
      </w:r>
      <w:r w:rsidR="00B81273" w:rsidRPr="008B2F8A">
        <w:t xml:space="preserve">Table </w:t>
      </w:r>
      <w:r w:rsidR="00B81273">
        <w:rPr>
          <w:noProof/>
        </w:rPr>
        <w:t>B</w:t>
      </w:r>
      <w:r w:rsidR="00B81273" w:rsidRPr="008B2F8A">
        <w:t>.</w:t>
      </w:r>
      <w:r w:rsidR="00B81273">
        <w:rPr>
          <w:noProof/>
        </w:rPr>
        <w:t>20</w:t>
      </w:r>
      <w:r w:rsidRPr="008B2F8A">
        <w:fldChar w:fldCharType="end"/>
      </w:r>
      <w:r w:rsidRPr="008B2F8A">
        <w:t>).</w:t>
      </w:r>
    </w:p>
    <w:p w14:paraId="237C072A" w14:textId="77777777" w:rsidR="00E47AB8" w:rsidRPr="008B2F8A" w:rsidRDefault="00E47AB8" w:rsidP="00422306">
      <w:pPr>
        <w:pStyle w:val="Caption"/>
      </w:pPr>
      <w:bookmarkStart w:id="760" w:name="_Ref368486517"/>
      <w:bookmarkStart w:id="761" w:name="_Toc383424586"/>
      <w:r w:rsidRPr="008B2F8A">
        <w:t xml:space="preserve">Table </w:t>
      </w:r>
      <w:fldSimple w:instr=" STYLEREF 1 \s ">
        <w:r w:rsidR="00B81273">
          <w:rPr>
            <w:noProof/>
          </w:rPr>
          <w:t>B</w:t>
        </w:r>
      </w:fldSimple>
      <w:r w:rsidRPr="008B2F8A">
        <w:t>.</w:t>
      </w:r>
      <w:fldSimple w:instr=" SEQ Table \* ARABIC \s 1 ">
        <w:r w:rsidR="00B81273">
          <w:rPr>
            <w:noProof/>
          </w:rPr>
          <w:t>20</w:t>
        </w:r>
      </w:fldSimple>
      <w:bookmarkEnd w:id="760"/>
      <w:r w:rsidRPr="008B2F8A">
        <w:tab/>
      </w:r>
      <w:bookmarkStart w:id="762" w:name="OLE_LINK1021"/>
      <w:bookmarkStart w:id="763" w:name="OLE_LINK1022"/>
      <w:r w:rsidRPr="008B2F8A">
        <w:t>Characteristics of included primary diagnostic accuracy studies—study setting and participants</w:t>
      </w:r>
      <w:bookmarkEnd w:id="762"/>
      <w:bookmarkEnd w:id="763"/>
      <w:r w:rsidRPr="008B2F8A">
        <w:t>.</w:t>
      </w:r>
      <w:bookmarkEnd w:id="761"/>
    </w:p>
    <w:tbl>
      <w:tblPr>
        <w:tblStyle w:val="TableGrid"/>
        <w:tblW w:w="9070" w:type="dxa"/>
        <w:tblCellMar>
          <w:left w:w="28" w:type="dxa"/>
          <w:right w:w="28" w:type="dxa"/>
        </w:tblCellMar>
        <w:tblLook w:val="04A0" w:firstRow="1" w:lastRow="0" w:firstColumn="1" w:lastColumn="0" w:noHBand="0" w:noVBand="1"/>
        <w:tblCaption w:val="Characteristics of included primary diagnostic accuracy studies—study setting and participants"/>
      </w:tblPr>
      <w:tblGrid>
        <w:gridCol w:w="880"/>
        <w:gridCol w:w="1625"/>
        <w:gridCol w:w="931"/>
        <w:gridCol w:w="2414"/>
        <w:gridCol w:w="1420"/>
        <w:gridCol w:w="852"/>
        <w:gridCol w:w="948"/>
      </w:tblGrid>
      <w:tr w:rsidR="00E47AB8" w:rsidRPr="008B2F8A" w14:paraId="63F30A45" w14:textId="77777777" w:rsidTr="00422306">
        <w:trPr>
          <w:tblHeader/>
        </w:trPr>
        <w:tc>
          <w:tcPr>
            <w:tcW w:w="880" w:type="dxa"/>
            <w:vAlign w:val="bottom"/>
          </w:tcPr>
          <w:p w14:paraId="682BAC0C"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625" w:type="dxa"/>
            <w:vAlign w:val="bottom"/>
          </w:tcPr>
          <w:p w14:paraId="6E7447BC" w14:textId="77777777" w:rsidR="00E47AB8" w:rsidRPr="008B2F8A" w:rsidRDefault="00E47AB8" w:rsidP="00422306">
            <w:pPr>
              <w:spacing w:before="40" w:after="80"/>
              <w:rPr>
                <w:rFonts w:ascii="Arial Narrow" w:hAnsi="Arial Narrow"/>
                <w:b/>
              </w:rPr>
            </w:pPr>
            <w:r w:rsidRPr="008B2F8A">
              <w:rPr>
                <w:rFonts w:ascii="Arial Narrow" w:hAnsi="Arial Narrow"/>
                <w:b/>
              </w:rPr>
              <w:t>Country</w:t>
            </w:r>
          </w:p>
          <w:p w14:paraId="7DF0EF67" w14:textId="77777777" w:rsidR="00E47AB8" w:rsidRPr="008B2F8A" w:rsidRDefault="00E47AB8" w:rsidP="00422306">
            <w:pPr>
              <w:spacing w:before="40" w:after="80"/>
              <w:rPr>
                <w:rFonts w:ascii="Arial Narrow" w:hAnsi="Arial Narrow"/>
                <w:b/>
              </w:rPr>
            </w:pPr>
            <w:r w:rsidRPr="008B2F8A">
              <w:rPr>
                <w:rFonts w:ascii="Arial Narrow" w:hAnsi="Arial Narrow"/>
                <w:b/>
              </w:rPr>
              <w:t>Setting</w:t>
            </w:r>
          </w:p>
          <w:p w14:paraId="1F1D4937" w14:textId="77777777" w:rsidR="00E47AB8" w:rsidRPr="008B2F8A" w:rsidRDefault="00E47AB8" w:rsidP="00422306">
            <w:pPr>
              <w:spacing w:before="40" w:after="80"/>
              <w:rPr>
                <w:rFonts w:ascii="Arial Narrow" w:hAnsi="Arial Narrow"/>
                <w:b/>
              </w:rPr>
            </w:pPr>
            <w:r w:rsidRPr="008B2F8A">
              <w:rPr>
                <w:rFonts w:ascii="Arial Narrow" w:hAnsi="Arial Narrow"/>
                <w:b/>
              </w:rPr>
              <w:t>Recruitment period</w:t>
            </w:r>
          </w:p>
        </w:tc>
        <w:tc>
          <w:tcPr>
            <w:tcW w:w="931" w:type="dxa"/>
            <w:vAlign w:val="bottom"/>
          </w:tcPr>
          <w:p w14:paraId="418E9421" w14:textId="77777777" w:rsidR="00E47AB8" w:rsidRPr="008B2F8A" w:rsidRDefault="00E47AB8" w:rsidP="00422306">
            <w:pPr>
              <w:spacing w:before="40" w:after="80"/>
              <w:rPr>
                <w:rFonts w:ascii="Arial Narrow" w:hAnsi="Arial Narrow"/>
                <w:b/>
              </w:rPr>
            </w:pPr>
            <w:r w:rsidRPr="008B2F8A">
              <w:rPr>
                <w:rFonts w:ascii="Arial Narrow" w:hAnsi="Arial Narrow"/>
                <w:b/>
                <w:i/>
              </w:rPr>
              <w:t>n</w:t>
            </w:r>
            <w:r w:rsidRPr="008B2F8A">
              <w:rPr>
                <w:rFonts w:ascii="Arial Narrow" w:hAnsi="Arial Narrow"/>
                <w:b/>
              </w:rPr>
              <w:t xml:space="preserve"> women (</w:t>
            </w:r>
            <w:r w:rsidRPr="008B2F8A">
              <w:rPr>
                <w:rFonts w:ascii="Arial Narrow" w:hAnsi="Arial Narrow"/>
                <w:b/>
                <w:i/>
              </w:rPr>
              <w:t>n</w:t>
            </w:r>
            <w:r w:rsidRPr="008B2F8A">
              <w:rPr>
                <w:rFonts w:ascii="Arial Narrow" w:hAnsi="Arial Narrow"/>
                <w:b/>
              </w:rPr>
              <w:t xml:space="preserve"> tests)</w:t>
            </w:r>
          </w:p>
        </w:tc>
        <w:tc>
          <w:tcPr>
            <w:tcW w:w="2414" w:type="dxa"/>
            <w:vAlign w:val="bottom"/>
          </w:tcPr>
          <w:p w14:paraId="15D584F7" w14:textId="77777777" w:rsidR="00E47AB8" w:rsidRPr="008B2F8A" w:rsidRDefault="00E47AB8" w:rsidP="00422306">
            <w:pPr>
              <w:spacing w:before="40" w:after="80"/>
              <w:rPr>
                <w:rFonts w:ascii="Arial Narrow" w:hAnsi="Arial Narrow"/>
                <w:b/>
              </w:rPr>
            </w:pPr>
            <w:r w:rsidRPr="008B2F8A">
              <w:rPr>
                <w:rFonts w:ascii="Arial Narrow" w:hAnsi="Arial Narrow"/>
                <w:b/>
              </w:rPr>
              <w:t>Inclusion/exclusion criteria</w:t>
            </w:r>
          </w:p>
        </w:tc>
        <w:tc>
          <w:tcPr>
            <w:tcW w:w="1420" w:type="dxa"/>
            <w:vAlign w:val="bottom"/>
          </w:tcPr>
          <w:p w14:paraId="3B5ABC71" w14:textId="77777777" w:rsidR="00E47AB8" w:rsidRPr="008B2F8A" w:rsidRDefault="00E47AB8" w:rsidP="00422306">
            <w:pPr>
              <w:spacing w:before="40" w:after="80"/>
              <w:rPr>
                <w:rFonts w:ascii="Arial Narrow" w:hAnsi="Arial Narrow"/>
                <w:b/>
              </w:rPr>
            </w:pPr>
            <w:r w:rsidRPr="008B2F8A">
              <w:rPr>
                <w:rFonts w:ascii="Arial Narrow" w:hAnsi="Arial Narrow"/>
                <w:b/>
              </w:rPr>
              <w:t>Population—age range (years)</w:t>
            </w:r>
          </w:p>
        </w:tc>
        <w:tc>
          <w:tcPr>
            <w:tcW w:w="852" w:type="dxa"/>
            <w:vAlign w:val="bottom"/>
          </w:tcPr>
          <w:p w14:paraId="22FC042F" w14:textId="77777777" w:rsidR="00E47AB8" w:rsidRPr="008B2F8A" w:rsidRDefault="00E47AB8" w:rsidP="00422306">
            <w:pPr>
              <w:spacing w:before="40" w:after="80"/>
              <w:rPr>
                <w:rFonts w:ascii="Arial Narrow" w:hAnsi="Arial Narrow"/>
                <w:b/>
              </w:rPr>
            </w:pPr>
            <w:r w:rsidRPr="008B2F8A">
              <w:rPr>
                <w:rFonts w:ascii="Arial Narrow" w:hAnsi="Arial Narrow"/>
                <w:b/>
              </w:rPr>
              <w:t>LCIS (%)</w:t>
            </w:r>
          </w:p>
        </w:tc>
        <w:tc>
          <w:tcPr>
            <w:tcW w:w="948" w:type="dxa"/>
            <w:vAlign w:val="bottom"/>
          </w:tcPr>
          <w:p w14:paraId="39393D57" w14:textId="77777777" w:rsidR="00E47AB8" w:rsidRPr="008B2F8A" w:rsidRDefault="00E47AB8" w:rsidP="00422306">
            <w:pPr>
              <w:spacing w:before="40" w:after="80"/>
              <w:rPr>
                <w:rFonts w:ascii="Arial Narrow" w:hAnsi="Arial Narrow"/>
                <w:b/>
              </w:rPr>
            </w:pPr>
            <w:r w:rsidRPr="008B2F8A">
              <w:rPr>
                <w:rFonts w:ascii="Arial Narrow" w:hAnsi="Arial Narrow"/>
                <w:b/>
              </w:rPr>
              <w:t>Family history (%)</w:t>
            </w:r>
          </w:p>
        </w:tc>
      </w:tr>
      <w:tr w:rsidR="00E47AB8" w:rsidRPr="008B2F8A" w14:paraId="58EB7FA0" w14:textId="77777777" w:rsidTr="00422306">
        <w:tc>
          <w:tcPr>
            <w:tcW w:w="880" w:type="dxa"/>
          </w:tcPr>
          <w:p w14:paraId="7DDDE6D5" w14:textId="7584A162" w:rsidR="00E47AB8" w:rsidRPr="008B2F8A" w:rsidRDefault="00E47AB8" w:rsidP="00422306">
            <w:pPr>
              <w:spacing w:before="40" w:after="80"/>
              <w:rPr>
                <w:rFonts w:ascii="Arial Narrow" w:hAnsi="Arial Narrow"/>
              </w:rPr>
            </w:pPr>
            <w:r>
              <w:rPr>
                <w:rFonts w:ascii="Arial Narrow" w:hAnsi="Arial Narrow"/>
              </w:rPr>
              <w:t>Sung et al, 2011</w:t>
            </w:r>
          </w:p>
        </w:tc>
        <w:tc>
          <w:tcPr>
            <w:tcW w:w="1625" w:type="dxa"/>
          </w:tcPr>
          <w:p w14:paraId="44ED7D8D" w14:textId="7C302FCC" w:rsidR="00E47AB8" w:rsidRPr="008B2F8A" w:rsidRDefault="00E47AB8" w:rsidP="00422306">
            <w:pPr>
              <w:spacing w:before="40" w:after="80"/>
              <w:rPr>
                <w:rFonts w:ascii="Arial Narrow" w:hAnsi="Arial Narrow"/>
              </w:rPr>
            </w:pPr>
            <w:r w:rsidRPr="008B2F8A">
              <w:rPr>
                <w:rFonts w:ascii="Arial Narrow" w:hAnsi="Arial Narrow"/>
              </w:rPr>
              <w:t>US</w:t>
            </w:r>
          </w:p>
          <w:p w14:paraId="65F673F2" w14:textId="77777777" w:rsidR="00E47AB8" w:rsidRPr="008B2F8A" w:rsidRDefault="00E47AB8" w:rsidP="00422306">
            <w:pPr>
              <w:spacing w:before="40" w:after="80"/>
              <w:rPr>
                <w:rFonts w:ascii="Arial Narrow" w:hAnsi="Arial Narrow"/>
              </w:rPr>
            </w:pPr>
            <w:r w:rsidRPr="008B2F8A">
              <w:rPr>
                <w:rFonts w:ascii="Arial Narrow" w:hAnsi="Arial Narrow"/>
              </w:rPr>
              <w:t>Single centre</w:t>
            </w:r>
          </w:p>
          <w:p w14:paraId="3ACAF011" w14:textId="77777777" w:rsidR="00E47AB8" w:rsidRPr="008B2F8A" w:rsidRDefault="00E47AB8" w:rsidP="00422306">
            <w:pPr>
              <w:spacing w:before="40" w:after="80"/>
              <w:rPr>
                <w:rFonts w:ascii="Arial Narrow" w:hAnsi="Arial Narrow"/>
              </w:rPr>
            </w:pPr>
            <w:r w:rsidRPr="008B2F8A">
              <w:rPr>
                <w:rFonts w:ascii="Arial Narrow" w:hAnsi="Arial Narrow"/>
              </w:rPr>
              <w:t>2003–2008</w:t>
            </w:r>
          </w:p>
        </w:tc>
        <w:tc>
          <w:tcPr>
            <w:tcW w:w="931" w:type="dxa"/>
          </w:tcPr>
          <w:p w14:paraId="16689E43" w14:textId="77777777" w:rsidR="00E47AB8" w:rsidRPr="008B2F8A" w:rsidRDefault="00E47AB8" w:rsidP="00422306">
            <w:pPr>
              <w:spacing w:before="40" w:after="80"/>
              <w:rPr>
                <w:rFonts w:ascii="Arial Narrow" w:hAnsi="Arial Narrow"/>
              </w:rPr>
            </w:pPr>
            <w:r w:rsidRPr="008B2F8A">
              <w:rPr>
                <w:rFonts w:ascii="Arial Narrow" w:hAnsi="Arial Narrow"/>
              </w:rPr>
              <w:t>220 (840)</w:t>
            </w:r>
          </w:p>
        </w:tc>
        <w:tc>
          <w:tcPr>
            <w:tcW w:w="2414" w:type="dxa"/>
          </w:tcPr>
          <w:p w14:paraId="468C1AE6" w14:textId="77777777" w:rsidR="00E47AB8" w:rsidRPr="008B2F8A" w:rsidRDefault="00E47AB8" w:rsidP="00422306">
            <w:pPr>
              <w:spacing w:before="40" w:after="80"/>
              <w:rPr>
                <w:rFonts w:ascii="Arial Narrow" w:hAnsi="Arial Narrow"/>
              </w:rPr>
            </w:pPr>
            <w:r w:rsidRPr="008B2F8A">
              <w:rPr>
                <w:rFonts w:ascii="Arial Narrow" w:hAnsi="Arial Narrow"/>
              </w:rPr>
              <w:t>Women with a history of LCIS diagnosis before 2006 at percutaneous or surgical biopsy</w:t>
            </w:r>
          </w:p>
          <w:p w14:paraId="07F0C9FE" w14:textId="77777777" w:rsidR="00E47AB8" w:rsidRPr="008B2F8A" w:rsidRDefault="00E47AB8" w:rsidP="00422306">
            <w:pPr>
              <w:spacing w:before="40" w:after="80"/>
              <w:rPr>
                <w:rFonts w:ascii="Arial Narrow" w:hAnsi="Arial Narrow"/>
              </w:rPr>
            </w:pPr>
            <w:r w:rsidRPr="008B2F8A">
              <w:rPr>
                <w:rFonts w:ascii="Arial Narrow" w:hAnsi="Arial Narrow"/>
              </w:rPr>
              <w:t>Women with a personal history of breast cancer were excluded</w:t>
            </w:r>
          </w:p>
        </w:tc>
        <w:tc>
          <w:tcPr>
            <w:tcW w:w="1420" w:type="dxa"/>
          </w:tcPr>
          <w:p w14:paraId="3B81BFFC" w14:textId="77777777" w:rsidR="00E47AB8" w:rsidRPr="008B2F8A" w:rsidRDefault="00E47AB8" w:rsidP="00422306">
            <w:pPr>
              <w:spacing w:before="40" w:after="80"/>
              <w:rPr>
                <w:rFonts w:ascii="Arial Narrow" w:hAnsi="Arial Narrow"/>
              </w:rPr>
            </w:pPr>
            <w:r w:rsidRPr="008B2F8A">
              <w:rPr>
                <w:rFonts w:ascii="Arial Narrow" w:hAnsi="Arial Narrow"/>
              </w:rPr>
              <w:t>27–78 (median 51)</w:t>
            </w:r>
          </w:p>
        </w:tc>
        <w:tc>
          <w:tcPr>
            <w:tcW w:w="852" w:type="dxa"/>
          </w:tcPr>
          <w:p w14:paraId="7BAEEE8D" w14:textId="77777777" w:rsidR="00E47AB8" w:rsidRPr="008B2F8A" w:rsidRDefault="00E47AB8" w:rsidP="00422306">
            <w:pPr>
              <w:spacing w:before="40" w:after="80"/>
              <w:rPr>
                <w:rFonts w:ascii="Arial Narrow" w:hAnsi="Arial Narrow"/>
              </w:rPr>
            </w:pPr>
            <w:r w:rsidRPr="008B2F8A">
              <w:rPr>
                <w:rFonts w:ascii="Arial Narrow" w:hAnsi="Arial Narrow"/>
              </w:rPr>
              <w:t>100%</w:t>
            </w:r>
          </w:p>
        </w:tc>
        <w:tc>
          <w:tcPr>
            <w:tcW w:w="948" w:type="dxa"/>
          </w:tcPr>
          <w:p w14:paraId="0102866C" w14:textId="77777777" w:rsidR="00E47AB8" w:rsidRPr="008B2F8A" w:rsidRDefault="00E47AB8" w:rsidP="00422306">
            <w:pPr>
              <w:spacing w:before="40" w:after="80"/>
              <w:rPr>
                <w:rFonts w:ascii="Arial Narrow" w:hAnsi="Arial Narrow"/>
              </w:rPr>
            </w:pPr>
            <w:r w:rsidRPr="008B2F8A">
              <w:rPr>
                <w:rFonts w:ascii="Arial Narrow" w:hAnsi="Arial Narrow"/>
              </w:rPr>
              <w:t>29%</w:t>
            </w:r>
          </w:p>
        </w:tc>
      </w:tr>
    </w:tbl>
    <w:p w14:paraId="5D8C0546" w14:textId="77777777" w:rsidR="00E47AB8" w:rsidRPr="008B2F8A" w:rsidRDefault="00E47AB8" w:rsidP="00B17898">
      <w:pPr>
        <w:pStyle w:val="TableNotesLast"/>
      </w:pPr>
      <w:r w:rsidRPr="008B2F8A">
        <w:t>LCIS = lobular carcinoma in situ.</w:t>
      </w:r>
    </w:p>
    <w:p w14:paraId="7B979D22" w14:textId="17713C31" w:rsidR="00E47AB8" w:rsidRPr="008B2F8A" w:rsidRDefault="00E47AB8" w:rsidP="00422306">
      <w:r w:rsidRPr="008B2F8A">
        <w:t>The study was performed on MRI machines with either a 1.5 or 3.0 T magnet and used both film and digital mammography (</w:t>
      </w:r>
      <w:r w:rsidRPr="008B2F8A">
        <w:fldChar w:fldCharType="begin"/>
      </w:r>
      <w:r w:rsidRPr="008B2F8A">
        <w:instrText xml:space="preserve"> REF _Ref368486839 \h  \* MERGEFORMAT </w:instrText>
      </w:r>
      <w:r w:rsidRPr="008B2F8A">
        <w:fldChar w:fldCharType="separate"/>
      </w:r>
      <w:r w:rsidR="00B81273" w:rsidRPr="008B2F8A">
        <w:t xml:space="preserve">Table </w:t>
      </w:r>
      <w:r w:rsidR="00B81273">
        <w:rPr>
          <w:noProof/>
        </w:rPr>
        <w:t>B</w:t>
      </w:r>
      <w:r w:rsidR="00B81273" w:rsidRPr="008B2F8A">
        <w:rPr>
          <w:noProof/>
        </w:rPr>
        <w:t>.</w:t>
      </w:r>
      <w:r w:rsidR="00B81273">
        <w:rPr>
          <w:noProof/>
        </w:rPr>
        <w:t>21</w:t>
      </w:r>
      <w:r w:rsidRPr="008B2F8A">
        <w:fldChar w:fldCharType="end"/>
      </w:r>
      <w:r w:rsidRPr="008B2F8A">
        <w:t>)</w:t>
      </w:r>
      <w:r>
        <w:t>.</w:t>
      </w:r>
      <w:r w:rsidRPr="008B2F8A">
        <w:t xml:space="preserve"> There was no sub-group analysis according to magnet strength or type of mammography.</w:t>
      </w:r>
    </w:p>
    <w:p w14:paraId="0274266E" w14:textId="77777777" w:rsidR="00E47AB8" w:rsidRPr="008B2F8A" w:rsidRDefault="00E47AB8" w:rsidP="00422306">
      <w:pPr>
        <w:pStyle w:val="Caption"/>
        <w:ind w:left="1440" w:hanging="1440"/>
      </w:pPr>
      <w:bookmarkStart w:id="764" w:name="_Ref368486839"/>
      <w:bookmarkStart w:id="765" w:name="_Toc383424587"/>
      <w:r w:rsidRPr="008B2F8A">
        <w:t xml:space="preserve">Table </w:t>
      </w:r>
      <w:fldSimple w:instr=" STYLEREF 1 \s ">
        <w:r w:rsidR="00B81273">
          <w:rPr>
            <w:noProof/>
          </w:rPr>
          <w:t>B</w:t>
        </w:r>
      </w:fldSimple>
      <w:r w:rsidRPr="008B2F8A">
        <w:t>.</w:t>
      </w:r>
      <w:fldSimple w:instr=" SEQ Table \* ARABIC \s 1 ">
        <w:r w:rsidR="00B81273">
          <w:rPr>
            <w:noProof/>
          </w:rPr>
          <w:t>21</w:t>
        </w:r>
      </w:fldSimple>
      <w:bookmarkEnd w:id="764"/>
      <w:r w:rsidRPr="008B2F8A">
        <w:tab/>
      </w:r>
      <w:bookmarkStart w:id="766" w:name="OLE_LINK1023"/>
      <w:bookmarkStart w:id="767" w:name="OLE_LINK1024"/>
      <w:r w:rsidRPr="008B2F8A">
        <w:t>Characteristics of included primary diagnostic accuracy studies for women—study design and outcomes</w:t>
      </w:r>
      <w:bookmarkEnd w:id="766"/>
      <w:bookmarkEnd w:id="767"/>
      <w:r w:rsidRPr="008B2F8A">
        <w:t>.</w:t>
      </w:r>
      <w:bookmarkEnd w:id="765"/>
    </w:p>
    <w:tbl>
      <w:tblPr>
        <w:tblStyle w:val="TableGrid"/>
        <w:tblW w:w="9070" w:type="dxa"/>
        <w:tblCellMar>
          <w:left w:w="28" w:type="dxa"/>
          <w:right w:w="28" w:type="dxa"/>
        </w:tblCellMar>
        <w:tblLook w:val="04A0" w:firstRow="1" w:lastRow="0" w:firstColumn="1" w:lastColumn="0" w:noHBand="0" w:noVBand="1"/>
        <w:tblCaption w:val="Characteristics of included primary diagnostic accuracy studies for women—study design and outcomes"/>
      </w:tblPr>
      <w:tblGrid>
        <w:gridCol w:w="621"/>
        <w:gridCol w:w="2211"/>
        <w:gridCol w:w="888"/>
        <w:gridCol w:w="1278"/>
        <w:gridCol w:w="3124"/>
        <w:gridCol w:w="948"/>
      </w:tblGrid>
      <w:tr w:rsidR="00E47AB8" w:rsidRPr="008B2F8A" w14:paraId="6AAEEE56" w14:textId="77777777" w:rsidTr="00422306">
        <w:trPr>
          <w:tblHeader/>
        </w:trPr>
        <w:tc>
          <w:tcPr>
            <w:tcW w:w="0" w:type="auto"/>
            <w:vAlign w:val="bottom"/>
          </w:tcPr>
          <w:p w14:paraId="3CF2EDDA"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2211" w:type="dxa"/>
            <w:vAlign w:val="bottom"/>
          </w:tcPr>
          <w:p w14:paraId="4E9B9E43" w14:textId="77777777" w:rsidR="00E47AB8" w:rsidRPr="008B2F8A" w:rsidRDefault="00E47AB8" w:rsidP="00422306">
            <w:pPr>
              <w:spacing w:before="40" w:after="80"/>
              <w:rPr>
                <w:rFonts w:ascii="Arial Narrow" w:hAnsi="Arial Narrow"/>
                <w:b/>
              </w:rPr>
            </w:pPr>
            <w:r w:rsidRPr="008B2F8A">
              <w:rPr>
                <w:rFonts w:ascii="Arial Narrow" w:hAnsi="Arial Narrow"/>
                <w:b/>
              </w:rPr>
              <w:t>Study design (prospective, consecutive)</w:t>
            </w:r>
          </w:p>
        </w:tc>
        <w:tc>
          <w:tcPr>
            <w:tcW w:w="888" w:type="dxa"/>
            <w:vAlign w:val="bottom"/>
          </w:tcPr>
          <w:p w14:paraId="4313478E" w14:textId="77777777" w:rsidR="00E47AB8" w:rsidRPr="008B2F8A" w:rsidRDefault="00E47AB8" w:rsidP="00422306">
            <w:pPr>
              <w:spacing w:before="40" w:after="80"/>
              <w:rPr>
                <w:rFonts w:ascii="Arial Narrow" w:hAnsi="Arial Narrow"/>
                <w:b/>
              </w:rPr>
            </w:pPr>
            <w:r w:rsidRPr="008B2F8A">
              <w:rPr>
                <w:rFonts w:ascii="Arial Narrow" w:hAnsi="Arial Narrow"/>
                <w:b/>
              </w:rPr>
              <w:t>Index test</w:t>
            </w:r>
          </w:p>
        </w:tc>
        <w:tc>
          <w:tcPr>
            <w:tcW w:w="1278" w:type="dxa"/>
            <w:vAlign w:val="bottom"/>
          </w:tcPr>
          <w:p w14:paraId="55ACFCE8" w14:textId="77777777" w:rsidR="00E47AB8" w:rsidRPr="008B2F8A" w:rsidRDefault="00E47AB8" w:rsidP="00422306">
            <w:pPr>
              <w:spacing w:before="40" w:after="80"/>
              <w:rPr>
                <w:rFonts w:ascii="Arial Narrow" w:hAnsi="Arial Narrow"/>
                <w:b/>
              </w:rPr>
            </w:pPr>
            <w:r w:rsidRPr="008B2F8A">
              <w:rPr>
                <w:rFonts w:ascii="Arial Narrow" w:hAnsi="Arial Narrow"/>
                <w:b/>
              </w:rPr>
              <w:t>Comparator tests</w:t>
            </w:r>
          </w:p>
        </w:tc>
        <w:tc>
          <w:tcPr>
            <w:tcW w:w="3124" w:type="dxa"/>
            <w:vAlign w:val="bottom"/>
          </w:tcPr>
          <w:p w14:paraId="686F46D1" w14:textId="77777777" w:rsidR="00E47AB8" w:rsidRPr="008B2F8A" w:rsidRDefault="00E47AB8" w:rsidP="00422306">
            <w:pPr>
              <w:spacing w:before="40" w:after="80"/>
              <w:rPr>
                <w:rFonts w:ascii="Arial Narrow" w:hAnsi="Arial Narrow"/>
                <w:b/>
              </w:rPr>
            </w:pPr>
            <w:r w:rsidRPr="008B2F8A">
              <w:rPr>
                <w:rFonts w:ascii="Arial Narrow" w:hAnsi="Arial Narrow"/>
                <w:b/>
              </w:rPr>
              <w:t>Reference standard</w:t>
            </w:r>
          </w:p>
        </w:tc>
        <w:tc>
          <w:tcPr>
            <w:tcW w:w="948" w:type="dxa"/>
            <w:vAlign w:val="bottom"/>
          </w:tcPr>
          <w:p w14:paraId="0FFCA768" w14:textId="77777777" w:rsidR="00E47AB8" w:rsidRPr="008B2F8A" w:rsidRDefault="00E47AB8" w:rsidP="00422306">
            <w:pPr>
              <w:spacing w:before="40" w:after="80"/>
              <w:rPr>
                <w:rFonts w:ascii="Arial Narrow" w:hAnsi="Arial Narrow"/>
                <w:b/>
              </w:rPr>
            </w:pPr>
            <w:r w:rsidRPr="008B2F8A">
              <w:rPr>
                <w:rFonts w:ascii="Arial Narrow" w:hAnsi="Arial Narrow"/>
                <w:b/>
              </w:rPr>
              <w:t>Outcomes</w:t>
            </w:r>
          </w:p>
        </w:tc>
      </w:tr>
      <w:tr w:rsidR="00E47AB8" w:rsidRPr="008B2F8A" w14:paraId="764A9212" w14:textId="77777777" w:rsidTr="00422306">
        <w:tc>
          <w:tcPr>
            <w:tcW w:w="0" w:type="auto"/>
          </w:tcPr>
          <w:p w14:paraId="53FA43DD" w14:textId="6E1EDD7E" w:rsidR="00E47AB8" w:rsidRPr="008B2F8A" w:rsidRDefault="00E47AB8" w:rsidP="00422306">
            <w:pPr>
              <w:spacing w:before="40" w:after="80"/>
              <w:rPr>
                <w:rFonts w:ascii="Arial Narrow" w:hAnsi="Arial Narrow"/>
              </w:rPr>
            </w:pPr>
            <w:r>
              <w:rPr>
                <w:rFonts w:ascii="Arial Narrow" w:hAnsi="Arial Narrow"/>
              </w:rPr>
              <w:t>Sung et al, 2011</w:t>
            </w:r>
          </w:p>
        </w:tc>
        <w:tc>
          <w:tcPr>
            <w:tcW w:w="2211" w:type="dxa"/>
          </w:tcPr>
          <w:p w14:paraId="430A6155"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0044D0E0" w14:textId="77777777" w:rsidR="00E47AB8" w:rsidRPr="008B2F8A" w:rsidRDefault="00E47AB8" w:rsidP="00422306">
            <w:pPr>
              <w:spacing w:before="40" w:after="80"/>
              <w:rPr>
                <w:rFonts w:ascii="Arial Narrow" w:hAnsi="Arial Narrow"/>
              </w:rPr>
            </w:pPr>
            <w:r w:rsidRPr="008B2F8A">
              <w:rPr>
                <w:rFonts w:ascii="Arial Narrow" w:hAnsi="Arial Narrow"/>
              </w:rPr>
              <w:t>Retrospective</w:t>
            </w:r>
          </w:p>
          <w:p w14:paraId="6B0DD06D" w14:textId="77777777" w:rsidR="00E47AB8" w:rsidRPr="008B2F8A" w:rsidRDefault="00E47AB8" w:rsidP="00422306">
            <w:pPr>
              <w:spacing w:before="40" w:after="80"/>
              <w:rPr>
                <w:rFonts w:ascii="Arial Narrow" w:hAnsi="Arial Narrow"/>
              </w:rPr>
            </w:pPr>
            <w:r w:rsidRPr="008B2F8A">
              <w:rPr>
                <w:rFonts w:ascii="Arial Narrow" w:hAnsi="Arial Narrow"/>
              </w:rPr>
              <w:t xml:space="preserve">Consecutive recruitment </w:t>
            </w:r>
            <w:r w:rsidRPr="008B2F8A">
              <w:rPr>
                <w:rFonts w:ascii="Arial Narrow" w:hAnsi="Arial Narrow"/>
              </w:rPr>
              <w:lastRenderedPageBreak/>
              <w:t>NR</w:t>
            </w:r>
          </w:p>
          <w:p w14:paraId="0C01E881"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888" w:type="dxa"/>
          </w:tcPr>
          <w:p w14:paraId="404144F3"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MRI</w:t>
            </w:r>
          </w:p>
          <w:p w14:paraId="22FEFEF0" w14:textId="312425BB" w:rsidR="00E47AB8" w:rsidRPr="008B2F8A" w:rsidRDefault="00E47AB8" w:rsidP="00422306">
            <w:pPr>
              <w:spacing w:before="40" w:after="80"/>
              <w:rPr>
                <w:rFonts w:ascii="Arial Narrow" w:hAnsi="Arial Narrow"/>
              </w:rPr>
            </w:pPr>
            <w:r w:rsidRPr="008B2F8A">
              <w:rPr>
                <w:rFonts w:ascii="Arial Narrow" w:hAnsi="Arial Narrow"/>
              </w:rPr>
              <w:t>1.5 or 3.0 T magnet</w:t>
            </w:r>
          </w:p>
        </w:tc>
        <w:tc>
          <w:tcPr>
            <w:tcW w:w="1278" w:type="dxa"/>
          </w:tcPr>
          <w:p w14:paraId="2B86FCCE" w14:textId="77777777" w:rsidR="00E47AB8" w:rsidRPr="008B2F8A" w:rsidRDefault="00E47AB8" w:rsidP="00422306">
            <w:pPr>
              <w:spacing w:before="40" w:after="80"/>
              <w:rPr>
                <w:rFonts w:ascii="Arial Narrow" w:hAnsi="Arial Narrow"/>
              </w:rPr>
            </w:pPr>
            <w:r w:rsidRPr="008B2F8A">
              <w:rPr>
                <w:rFonts w:ascii="Arial Narrow" w:hAnsi="Arial Narrow"/>
              </w:rPr>
              <w:t>Film or digital mammography</w:t>
            </w:r>
          </w:p>
        </w:tc>
        <w:tc>
          <w:tcPr>
            <w:tcW w:w="3124" w:type="dxa"/>
          </w:tcPr>
          <w:p w14:paraId="749D267A" w14:textId="52C8539E" w:rsidR="00E47AB8" w:rsidRPr="008B2F8A" w:rsidRDefault="00E47AB8" w:rsidP="00422306">
            <w:pPr>
              <w:spacing w:before="40" w:after="80"/>
              <w:rPr>
                <w:rFonts w:ascii="Arial Narrow" w:hAnsi="Arial Narrow"/>
              </w:rPr>
            </w:pPr>
            <w:r w:rsidRPr="008B2F8A">
              <w:rPr>
                <w:rFonts w:ascii="Arial Narrow" w:hAnsi="Arial Narrow"/>
              </w:rPr>
              <w:t>Histopathology not performed for all positive tests. Indeterminate findings assigned to short interval follow-up</w:t>
            </w:r>
          </w:p>
          <w:p w14:paraId="4BDA06A3" w14:textId="6A3CC8AF" w:rsidR="00E47AB8" w:rsidRPr="008B2F8A" w:rsidRDefault="00E47AB8" w:rsidP="00422306">
            <w:pPr>
              <w:spacing w:before="40" w:after="80"/>
              <w:rPr>
                <w:rFonts w:ascii="Arial Narrow" w:hAnsi="Arial Narrow"/>
              </w:rPr>
            </w:pPr>
            <w:r w:rsidRPr="008B2F8A">
              <w:rPr>
                <w:rFonts w:ascii="Arial Narrow" w:hAnsi="Arial Narrow"/>
              </w:rPr>
              <w:t>Film review of discordant results</w:t>
            </w:r>
          </w:p>
        </w:tc>
        <w:tc>
          <w:tcPr>
            <w:tcW w:w="948" w:type="dxa"/>
          </w:tcPr>
          <w:p w14:paraId="063D7FD9" w14:textId="77777777" w:rsidR="00E47AB8" w:rsidRPr="008B2F8A" w:rsidRDefault="00E47AB8" w:rsidP="00422306">
            <w:pPr>
              <w:spacing w:before="40" w:after="80"/>
              <w:rPr>
                <w:rFonts w:ascii="Arial Narrow" w:hAnsi="Arial Narrow"/>
              </w:rPr>
            </w:pPr>
            <w:r w:rsidRPr="008B2F8A">
              <w:rPr>
                <w:rFonts w:ascii="Arial Narrow" w:hAnsi="Arial Narrow"/>
              </w:rPr>
              <w:t>Sens, Spec</w:t>
            </w:r>
          </w:p>
          <w:p w14:paraId="005E5924" w14:textId="77777777" w:rsidR="00E47AB8" w:rsidRPr="008B2F8A" w:rsidRDefault="00E47AB8" w:rsidP="00422306">
            <w:pPr>
              <w:spacing w:before="40" w:after="80"/>
              <w:rPr>
                <w:rFonts w:ascii="Arial Narrow" w:hAnsi="Arial Narrow"/>
              </w:rPr>
            </w:pPr>
            <w:r w:rsidRPr="008B2F8A">
              <w:rPr>
                <w:rFonts w:ascii="Arial Narrow" w:hAnsi="Arial Narrow"/>
              </w:rPr>
              <w:t>Recall rate</w:t>
            </w:r>
          </w:p>
          <w:p w14:paraId="3E8E5B1F" w14:textId="77777777" w:rsidR="00E47AB8" w:rsidRPr="008B2F8A" w:rsidRDefault="00E47AB8" w:rsidP="00422306">
            <w:pPr>
              <w:spacing w:before="40" w:after="80"/>
              <w:rPr>
                <w:rFonts w:ascii="Arial Narrow" w:hAnsi="Arial Narrow"/>
              </w:rPr>
            </w:pPr>
            <w:r w:rsidRPr="008B2F8A">
              <w:rPr>
                <w:rFonts w:ascii="Arial Narrow" w:hAnsi="Arial Narrow"/>
              </w:rPr>
              <w:t xml:space="preserve">Biopsy </w:t>
            </w:r>
            <w:r w:rsidRPr="008B2F8A">
              <w:rPr>
                <w:rFonts w:ascii="Arial Narrow" w:hAnsi="Arial Narrow"/>
              </w:rPr>
              <w:lastRenderedPageBreak/>
              <w:t>rate</w:t>
            </w:r>
          </w:p>
        </w:tc>
      </w:tr>
    </w:tbl>
    <w:p w14:paraId="25D2B4A7" w14:textId="77777777" w:rsidR="00E47AB8" w:rsidRPr="008B2F8A" w:rsidRDefault="00E47AB8" w:rsidP="00B17898">
      <w:pPr>
        <w:pStyle w:val="TableNotesLast"/>
      </w:pPr>
      <w:r w:rsidRPr="008B2F8A">
        <w:lastRenderedPageBreak/>
        <w:t>MRI = magnetic resonance imaging; NR = not reported; Sens = sensitivity; Spec = specificity.</w:t>
      </w:r>
    </w:p>
    <w:p w14:paraId="1F6924BD" w14:textId="38EBDE2E" w:rsidR="00E47AB8" w:rsidRPr="008B2F8A" w:rsidRDefault="00E47AB8" w:rsidP="00422306">
      <w:pPr>
        <w:pStyle w:val="Heading4"/>
      </w:pPr>
      <w:r w:rsidRPr="008B2F8A">
        <w:t>Women who have had chest irradiation between the ages of 10 and 35 years</w:t>
      </w:r>
    </w:p>
    <w:p w14:paraId="1FB337BC" w14:textId="64CB3109" w:rsidR="00E47AB8" w:rsidRPr="008B2F8A" w:rsidRDefault="00E47AB8" w:rsidP="00422306">
      <w:r w:rsidRPr="008B2F8A">
        <w:t xml:space="preserve">The characteristics of the three primary studies of women who had chest irradiation are presented in </w:t>
      </w:r>
      <w:r w:rsidRPr="008B2F8A">
        <w:fldChar w:fldCharType="begin"/>
      </w:r>
      <w:r w:rsidRPr="008B2F8A">
        <w:instrText xml:space="preserve"> REF _Ref368491860 \h </w:instrText>
      </w:r>
      <w:r w:rsidRPr="008B2F8A">
        <w:fldChar w:fldCharType="separate"/>
      </w:r>
      <w:r w:rsidR="00B81273" w:rsidRPr="008B2F8A">
        <w:t xml:space="preserve">Table </w:t>
      </w:r>
      <w:r w:rsidR="00B81273">
        <w:rPr>
          <w:noProof/>
        </w:rPr>
        <w:t>B</w:t>
      </w:r>
      <w:r w:rsidR="00B81273" w:rsidRPr="008B2F8A">
        <w:t>.</w:t>
      </w:r>
      <w:r w:rsidR="00B81273">
        <w:rPr>
          <w:noProof/>
        </w:rPr>
        <w:t>22</w:t>
      </w:r>
      <w:r w:rsidRPr="008B2F8A">
        <w:fldChar w:fldCharType="end"/>
      </w:r>
      <w:r w:rsidRPr="008B2F8A">
        <w:t xml:space="preserve"> and </w:t>
      </w:r>
      <w:r w:rsidRPr="008B2F8A">
        <w:fldChar w:fldCharType="begin"/>
      </w:r>
      <w:r w:rsidRPr="008B2F8A">
        <w:instrText xml:space="preserve"> REF _Ref368491863 \h  \* MERGEFORMAT </w:instrText>
      </w:r>
      <w:r w:rsidRPr="008B2F8A">
        <w:fldChar w:fldCharType="separate"/>
      </w:r>
      <w:r w:rsidR="00B81273" w:rsidRPr="008B2F8A">
        <w:t xml:space="preserve">Table </w:t>
      </w:r>
      <w:r w:rsidR="00B81273">
        <w:rPr>
          <w:noProof/>
        </w:rPr>
        <w:t>B</w:t>
      </w:r>
      <w:r w:rsidR="00B81273" w:rsidRPr="008B2F8A">
        <w:rPr>
          <w:noProof/>
        </w:rPr>
        <w:t>.</w:t>
      </w:r>
      <w:r w:rsidR="00B81273">
        <w:rPr>
          <w:noProof/>
        </w:rPr>
        <w:t>23</w:t>
      </w:r>
      <w:r w:rsidRPr="008B2F8A">
        <w:fldChar w:fldCharType="end"/>
      </w:r>
      <w:r w:rsidRPr="008B2F8A">
        <w:t>. All were single</w:t>
      </w:r>
      <w:r>
        <w:t>-</w:t>
      </w:r>
      <w:r w:rsidRPr="008B2F8A">
        <w:t xml:space="preserve">centre studies conducted in North America and included women aged up to 65 years. The median latency from radiation therapy to surveillance was similar across the studies, but </w:t>
      </w:r>
      <w:r>
        <w:t>Ng et al (2013)</w:t>
      </w:r>
      <w:r w:rsidRPr="008B2F8A">
        <w:t xml:space="preserve"> excluded patients within 8 years of treatment</w:t>
      </w:r>
      <w:r>
        <w:t>,</w:t>
      </w:r>
      <w:r w:rsidRPr="008B2F8A">
        <w:t xml:space="preserve"> whereas </w:t>
      </w:r>
      <w:r>
        <w:t xml:space="preserve">the </w:t>
      </w:r>
      <w:r w:rsidRPr="008B2F8A">
        <w:t xml:space="preserve">other </w:t>
      </w:r>
      <w:r>
        <w:t xml:space="preserve">two </w:t>
      </w:r>
      <w:r w:rsidRPr="008B2F8A">
        <w:t xml:space="preserve">studies included women with recent treatment. The age at radiotherapy was not reported in </w:t>
      </w:r>
      <w:bookmarkStart w:id="768" w:name="OLE_LINK802"/>
      <w:bookmarkStart w:id="769" w:name="OLE_LINK803"/>
      <w:r w:rsidRPr="008B2F8A">
        <w:rPr>
          <w:noProof/>
        </w:rPr>
        <w:t xml:space="preserve">Freitas et al </w:t>
      </w:r>
      <w:r>
        <w:rPr>
          <w:noProof/>
        </w:rPr>
        <w:t>(</w:t>
      </w:r>
      <w:r w:rsidRPr="008B2F8A">
        <w:rPr>
          <w:noProof/>
        </w:rPr>
        <w:t>2013</w:t>
      </w:r>
      <w:bookmarkEnd w:id="768"/>
      <w:bookmarkEnd w:id="769"/>
      <w:r w:rsidRPr="008B2F8A">
        <w:rPr>
          <w:noProof/>
        </w:rPr>
        <w:t>)</w:t>
      </w:r>
      <w:r w:rsidRPr="008B2F8A">
        <w:t xml:space="preserve"> and the radiation dose received was known for only 61% of patients.</w:t>
      </w:r>
    </w:p>
    <w:p w14:paraId="396DEF4E" w14:textId="77777777" w:rsidR="00E47AB8" w:rsidRPr="008B2F8A" w:rsidRDefault="00E47AB8" w:rsidP="00422306">
      <w:pPr>
        <w:pStyle w:val="Caption"/>
        <w:ind w:left="1440" w:hanging="1440"/>
      </w:pPr>
      <w:bookmarkStart w:id="770" w:name="_Ref368491860"/>
      <w:bookmarkStart w:id="771" w:name="_Toc383424588"/>
      <w:r w:rsidRPr="008B2F8A">
        <w:t xml:space="preserve">Table </w:t>
      </w:r>
      <w:fldSimple w:instr=" STYLEREF 1 \s ">
        <w:r w:rsidR="00B81273">
          <w:rPr>
            <w:noProof/>
          </w:rPr>
          <w:t>B</w:t>
        </w:r>
      </w:fldSimple>
      <w:r w:rsidRPr="008B2F8A">
        <w:t>.</w:t>
      </w:r>
      <w:fldSimple w:instr=" SEQ Table \* ARABIC \s 1 ">
        <w:r w:rsidR="00B81273">
          <w:rPr>
            <w:noProof/>
          </w:rPr>
          <w:t>22</w:t>
        </w:r>
      </w:fldSimple>
      <w:bookmarkEnd w:id="770"/>
      <w:r w:rsidRPr="008B2F8A">
        <w:tab/>
      </w:r>
      <w:bookmarkStart w:id="772" w:name="OLE_LINK1025"/>
      <w:bookmarkStart w:id="773" w:name="OLE_LINK1026"/>
      <w:r w:rsidRPr="008B2F8A">
        <w:t>Characteristics of included primary diagnostic accuracy studies—study setting and participants</w:t>
      </w:r>
      <w:bookmarkEnd w:id="772"/>
      <w:bookmarkEnd w:id="773"/>
      <w:r w:rsidRPr="008B2F8A">
        <w:t>.</w:t>
      </w:r>
      <w:bookmarkEnd w:id="771"/>
    </w:p>
    <w:tbl>
      <w:tblPr>
        <w:tblStyle w:val="TableGrid"/>
        <w:tblW w:w="9070" w:type="dxa"/>
        <w:tblLayout w:type="fixed"/>
        <w:tblCellMar>
          <w:left w:w="28" w:type="dxa"/>
          <w:right w:w="28" w:type="dxa"/>
        </w:tblCellMar>
        <w:tblLook w:val="04A0" w:firstRow="1" w:lastRow="0" w:firstColumn="1" w:lastColumn="0" w:noHBand="0" w:noVBand="1"/>
        <w:tblCaption w:val="Characteristics of included primary diagnostic accuracy studies—study setting and participants"/>
      </w:tblPr>
      <w:tblGrid>
        <w:gridCol w:w="738"/>
        <w:gridCol w:w="1136"/>
        <w:gridCol w:w="852"/>
        <w:gridCol w:w="2272"/>
        <w:gridCol w:w="1081"/>
        <w:gridCol w:w="789"/>
        <w:gridCol w:w="1068"/>
        <w:gridCol w:w="1134"/>
      </w:tblGrid>
      <w:tr w:rsidR="00E47AB8" w:rsidRPr="008B2F8A" w14:paraId="7CBD4CE5" w14:textId="77777777" w:rsidTr="00B17898">
        <w:trPr>
          <w:tblHeader/>
        </w:trPr>
        <w:tc>
          <w:tcPr>
            <w:tcW w:w="738" w:type="dxa"/>
            <w:vAlign w:val="bottom"/>
          </w:tcPr>
          <w:p w14:paraId="49824C2A"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136" w:type="dxa"/>
            <w:vAlign w:val="bottom"/>
          </w:tcPr>
          <w:p w14:paraId="26B0D661" w14:textId="77777777" w:rsidR="00E47AB8" w:rsidRPr="008B2F8A" w:rsidRDefault="00E47AB8" w:rsidP="00422306">
            <w:pPr>
              <w:spacing w:before="40" w:after="80"/>
              <w:rPr>
                <w:rFonts w:ascii="Arial Narrow" w:hAnsi="Arial Narrow"/>
                <w:b/>
              </w:rPr>
            </w:pPr>
            <w:r w:rsidRPr="008B2F8A">
              <w:rPr>
                <w:rFonts w:ascii="Arial Narrow" w:hAnsi="Arial Narrow"/>
                <w:b/>
              </w:rPr>
              <w:t>Country</w:t>
            </w:r>
          </w:p>
          <w:p w14:paraId="691D0906" w14:textId="77777777" w:rsidR="00E47AB8" w:rsidRPr="008B2F8A" w:rsidRDefault="00E47AB8" w:rsidP="00422306">
            <w:pPr>
              <w:spacing w:before="40" w:after="80"/>
              <w:rPr>
                <w:rFonts w:ascii="Arial Narrow" w:hAnsi="Arial Narrow"/>
                <w:b/>
              </w:rPr>
            </w:pPr>
            <w:r w:rsidRPr="008B2F8A">
              <w:rPr>
                <w:rFonts w:ascii="Arial Narrow" w:hAnsi="Arial Narrow"/>
                <w:b/>
              </w:rPr>
              <w:t>Setting</w:t>
            </w:r>
          </w:p>
          <w:p w14:paraId="19F01774" w14:textId="77777777" w:rsidR="00E47AB8" w:rsidRPr="008B2F8A" w:rsidRDefault="00E47AB8" w:rsidP="00422306">
            <w:pPr>
              <w:spacing w:before="40" w:after="80"/>
              <w:rPr>
                <w:rFonts w:ascii="Arial Narrow" w:hAnsi="Arial Narrow"/>
                <w:b/>
              </w:rPr>
            </w:pPr>
            <w:r w:rsidRPr="008B2F8A">
              <w:rPr>
                <w:rFonts w:ascii="Arial Narrow" w:hAnsi="Arial Narrow"/>
                <w:b/>
              </w:rPr>
              <w:t>Recruitment period</w:t>
            </w:r>
          </w:p>
        </w:tc>
        <w:tc>
          <w:tcPr>
            <w:tcW w:w="852" w:type="dxa"/>
            <w:vAlign w:val="bottom"/>
          </w:tcPr>
          <w:p w14:paraId="2AC082AD" w14:textId="77777777" w:rsidR="00E47AB8" w:rsidRPr="008B2F8A" w:rsidRDefault="00E47AB8" w:rsidP="00422306">
            <w:pPr>
              <w:spacing w:before="40" w:after="80"/>
              <w:rPr>
                <w:rFonts w:ascii="Arial Narrow" w:hAnsi="Arial Narrow"/>
                <w:b/>
              </w:rPr>
            </w:pPr>
            <w:r w:rsidRPr="008B2F8A">
              <w:rPr>
                <w:rFonts w:ascii="Arial Narrow" w:hAnsi="Arial Narrow"/>
                <w:b/>
                <w:i/>
              </w:rPr>
              <w:t>n</w:t>
            </w:r>
            <w:r w:rsidRPr="008B2F8A">
              <w:rPr>
                <w:rFonts w:ascii="Arial Narrow" w:hAnsi="Arial Narrow"/>
                <w:b/>
              </w:rPr>
              <w:t xml:space="preserve"> women (</w:t>
            </w:r>
            <w:r w:rsidRPr="008B2F8A">
              <w:rPr>
                <w:rFonts w:ascii="Arial Narrow" w:hAnsi="Arial Narrow"/>
                <w:b/>
                <w:i/>
              </w:rPr>
              <w:t>n</w:t>
            </w:r>
            <w:r w:rsidRPr="008B2F8A">
              <w:rPr>
                <w:rFonts w:ascii="Arial Narrow" w:hAnsi="Arial Narrow"/>
                <w:b/>
              </w:rPr>
              <w:t xml:space="preserve"> tests)</w:t>
            </w:r>
          </w:p>
        </w:tc>
        <w:tc>
          <w:tcPr>
            <w:tcW w:w="2272" w:type="dxa"/>
            <w:vAlign w:val="bottom"/>
          </w:tcPr>
          <w:p w14:paraId="3661EFE7" w14:textId="77777777" w:rsidR="00E47AB8" w:rsidRPr="008B2F8A" w:rsidRDefault="00E47AB8" w:rsidP="00422306">
            <w:pPr>
              <w:spacing w:before="40" w:after="80"/>
              <w:rPr>
                <w:rFonts w:ascii="Arial Narrow" w:hAnsi="Arial Narrow"/>
                <w:b/>
              </w:rPr>
            </w:pPr>
            <w:r w:rsidRPr="008B2F8A">
              <w:rPr>
                <w:rFonts w:ascii="Arial Narrow" w:hAnsi="Arial Narrow"/>
                <w:b/>
              </w:rPr>
              <w:t>Inclusion/exclusion criteria</w:t>
            </w:r>
          </w:p>
        </w:tc>
        <w:tc>
          <w:tcPr>
            <w:tcW w:w="1081" w:type="dxa"/>
            <w:vAlign w:val="bottom"/>
          </w:tcPr>
          <w:p w14:paraId="663D4E94" w14:textId="77777777" w:rsidR="00E47AB8" w:rsidRPr="008B2F8A" w:rsidRDefault="00E47AB8" w:rsidP="00422306">
            <w:pPr>
              <w:spacing w:before="40" w:after="80"/>
              <w:rPr>
                <w:rFonts w:ascii="Arial Narrow" w:hAnsi="Arial Narrow"/>
                <w:b/>
              </w:rPr>
            </w:pPr>
            <w:r w:rsidRPr="008B2F8A">
              <w:rPr>
                <w:rFonts w:ascii="Arial Narrow" w:hAnsi="Arial Narrow"/>
                <w:b/>
              </w:rPr>
              <w:t>Population—age range (years)</w:t>
            </w:r>
          </w:p>
        </w:tc>
        <w:tc>
          <w:tcPr>
            <w:tcW w:w="789" w:type="dxa"/>
            <w:vAlign w:val="bottom"/>
          </w:tcPr>
          <w:p w14:paraId="58FC5F8D" w14:textId="62250FB1" w:rsidR="00E47AB8" w:rsidRPr="008B2F8A" w:rsidRDefault="00E47AB8" w:rsidP="00422306">
            <w:pPr>
              <w:spacing w:before="40" w:after="80"/>
              <w:rPr>
                <w:rFonts w:ascii="Arial Narrow" w:hAnsi="Arial Narrow"/>
                <w:b/>
              </w:rPr>
            </w:pPr>
            <w:r w:rsidRPr="008B2F8A">
              <w:rPr>
                <w:rFonts w:ascii="Arial Narrow" w:hAnsi="Arial Narrow"/>
                <w:b/>
              </w:rPr>
              <w:t>Age at radio</w:t>
            </w:r>
            <w:r w:rsidRPr="008B2F8A">
              <w:rPr>
                <w:rFonts w:ascii="Arial Narrow" w:hAnsi="Arial Narrow"/>
                <w:b/>
              </w:rPr>
              <w:softHyphen/>
              <w:t>therapy</w:t>
            </w:r>
          </w:p>
        </w:tc>
        <w:tc>
          <w:tcPr>
            <w:tcW w:w="1068" w:type="dxa"/>
            <w:vAlign w:val="bottom"/>
          </w:tcPr>
          <w:p w14:paraId="64EA919E" w14:textId="77777777" w:rsidR="00E47AB8" w:rsidRPr="008B2F8A" w:rsidRDefault="00E47AB8" w:rsidP="00422306">
            <w:pPr>
              <w:spacing w:before="40" w:after="80"/>
              <w:rPr>
                <w:rFonts w:ascii="Arial Narrow" w:hAnsi="Arial Narrow"/>
                <w:b/>
              </w:rPr>
            </w:pPr>
            <w:r w:rsidRPr="008B2F8A">
              <w:rPr>
                <w:rFonts w:ascii="Arial Narrow" w:hAnsi="Arial Narrow"/>
                <w:b/>
              </w:rPr>
              <w:t>Radiation dose (Gy)</w:t>
            </w:r>
          </w:p>
        </w:tc>
        <w:tc>
          <w:tcPr>
            <w:tcW w:w="1134" w:type="dxa"/>
            <w:vAlign w:val="bottom"/>
          </w:tcPr>
          <w:p w14:paraId="15E13BBC" w14:textId="77777777" w:rsidR="00E47AB8" w:rsidRPr="008B2F8A" w:rsidRDefault="00E47AB8" w:rsidP="00422306">
            <w:pPr>
              <w:spacing w:before="40" w:after="80"/>
              <w:rPr>
                <w:rFonts w:ascii="Arial Narrow" w:hAnsi="Arial Narrow"/>
                <w:b/>
              </w:rPr>
            </w:pPr>
            <w:r w:rsidRPr="008B2F8A">
              <w:rPr>
                <w:rFonts w:ascii="Arial Narrow" w:hAnsi="Arial Narrow"/>
                <w:b/>
              </w:rPr>
              <w:t>Latency from radiation to surveillance (range)</w:t>
            </w:r>
          </w:p>
        </w:tc>
      </w:tr>
      <w:tr w:rsidR="00E47AB8" w:rsidRPr="008B2F8A" w14:paraId="1F6730EF" w14:textId="77777777" w:rsidTr="00B17898">
        <w:tc>
          <w:tcPr>
            <w:tcW w:w="738" w:type="dxa"/>
          </w:tcPr>
          <w:p w14:paraId="053BF6D7" w14:textId="42D7E8F2" w:rsidR="00E47AB8" w:rsidRPr="008B2F8A" w:rsidRDefault="00E47AB8" w:rsidP="00422306">
            <w:pPr>
              <w:spacing w:before="40" w:after="80"/>
              <w:rPr>
                <w:rFonts w:ascii="Arial Narrow" w:hAnsi="Arial Narrow"/>
              </w:rPr>
            </w:pPr>
            <w:r>
              <w:rPr>
                <w:rFonts w:ascii="Arial Narrow" w:hAnsi="Arial Narrow"/>
              </w:rPr>
              <w:t>Freitas et al, 2013</w:t>
            </w:r>
          </w:p>
        </w:tc>
        <w:tc>
          <w:tcPr>
            <w:tcW w:w="1136" w:type="dxa"/>
          </w:tcPr>
          <w:p w14:paraId="68793D24" w14:textId="77777777" w:rsidR="00E47AB8" w:rsidRPr="008B2F8A" w:rsidRDefault="00E47AB8" w:rsidP="00422306">
            <w:pPr>
              <w:spacing w:before="40" w:after="80"/>
              <w:rPr>
                <w:rFonts w:ascii="Arial Narrow" w:hAnsi="Arial Narrow"/>
              </w:rPr>
            </w:pPr>
            <w:r w:rsidRPr="008B2F8A">
              <w:rPr>
                <w:rFonts w:ascii="Arial Narrow" w:hAnsi="Arial Narrow"/>
              </w:rPr>
              <w:t>Canada</w:t>
            </w:r>
          </w:p>
          <w:p w14:paraId="0E2B8046" w14:textId="77777777" w:rsidR="00E47AB8" w:rsidRPr="008B2F8A" w:rsidRDefault="00E47AB8" w:rsidP="00422306">
            <w:pPr>
              <w:spacing w:before="40" w:after="80"/>
              <w:rPr>
                <w:rFonts w:ascii="Arial Narrow" w:hAnsi="Arial Narrow"/>
              </w:rPr>
            </w:pPr>
            <w:r w:rsidRPr="008B2F8A">
              <w:rPr>
                <w:rFonts w:ascii="Arial Narrow" w:hAnsi="Arial Narrow"/>
              </w:rPr>
              <w:t>Single centre</w:t>
            </w:r>
          </w:p>
          <w:p w14:paraId="35E4AA03" w14:textId="77777777" w:rsidR="00E47AB8" w:rsidRPr="008B2F8A" w:rsidRDefault="00E47AB8" w:rsidP="00422306">
            <w:pPr>
              <w:spacing w:before="40" w:after="80"/>
              <w:rPr>
                <w:rFonts w:ascii="Arial Narrow" w:hAnsi="Arial Narrow"/>
              </w:rPr>
            </w:pPr>
            <w:r w:rsidRPr="008B2F8A">
              <w:rPr>
                <w:rFonts w:ascii="Arial Narrow" w:hAnsi="Arial Narrow"/>
              </w:rPr>
              <w:t>2004–2010</w:t>
            </w:r>
          </w:p>
        </w:tc>
        <w:tc>
          <w:tcPr>
            <w:tcW w:w="852" w:type="dxa"/>
          </w:tcPr>
          <w:p w14:paraId="205B11DA" w14:textId="77777777" w:rsidR="00E47AB8" w:rsidRPr="008B2F8A" w:rsidRDefault="00E47AB8" w:rsidP="00422306">
            <w:pPr>
              <w:spacing w:before="40" w:after="80"/>
              <w:rPr>
                <w:rFonts w:ascii="Arial Narrow" w:hAnsi="Arial Narrow"/>
              </w:rPr>
            </w:pPr>
            <w:r w:rsidRPr="008B2F8A">
              <w:rPr>
                <w:rFonts w:ascii="Arial Narrow" w:hAnsi="Arial Narrow"/>
              </w:rPr>
              <w:t>98 (262)</w:t>
            </w:r>
          </w:p>
        </w:tc>
        <w:tc>
          <w:tcPr>
            <w:tcW w:w="2272" w:type="dxa"/>
          </w:tcPr>
          <w:p w14:paraId="60C8AD16" w14:textId="7010581D" w:rsidR="00E47AB8" w:rsidRPr="008B2F8A" w:rsidRDefault="00E47AB8" w:rsidP="00422306">
            <w:pPr>
              <w:spacing w:before="40" w:after="80"/>
              <w:rPr>
                <w:rFonts w:ascii="Arial Narrow" w:hAnsi="Arial Narrow"/>
              </w:rPr>
            </w:pPr>
            <w:r w:rsidRPr="008B2F8A">
              <w:rPr>
                <w:rFonts w:ascii="Arial Narrow" w:hAnsi="Arial Narrow"/>
              </w:rPr>
              <w:t>Asymptomatic women who received ≥15 Gy for paediatric or young adult cancer and were referred for screening mammography and MRI</w:t>
            </w:r>
          </w:p>
          <w:p w14:paraId="0DA51D7B" w14:textId="77777777" w:rsidR="00E47AB8" w:rsidRPr="008B2F8A" w:rsidRDefault="00E47AB8" w:rsidP="00422306">
            <w:pPr>
              <w:spacing w:before="40" w:after="80"/>
              <w:rPr>
                <w:rFonts w:ascii="Arial Narrow" w:hAnsi="Arial Narrow"/>
              </w:rPr>
            </w:pPr>
            <w:r w:rsidRPr="008B2F8A">
              <w:rPr>
                <w:rFonts w:ascii="Arial Narrow" w:hAnsi="Arial Narrow"/>
              </w:rPr>
              <w:t>Excluded patients with &gt;4 months between MRI and mammography</w:t>
            </w:r>
          </w:p>
        </w:tc>
        <w:tc>
          <w:tcPr>
            <w:tcW w:w="1081" w:type="dxa"/>
          </w:tcPr>
          <w:p w14:paraId="1268AE29" w14:textId="77777777" w:rsidR="00E47AB8" w:rsidRPr="008B2F8A" w:rsidRDefault="00E47AB8" w:rsidP="00422306">
            <w:pPr>
              <w:spacing w:before="40" w:after="80"/>
              <w:rPr>
                <w:rFonts w:ascii="Arial Narrow" w:hAnsi="Arial Narrow"/>
              </w:rPr>
            </w:pPr>
            <w:r w:rsidRPr="008B2F8A">
              <w:rPr>
                <w:rFonts w:ascii="Arial Narrow" w:hAnsi="Arial Narrow"/>
              </w:rPr>
              <w:t>19–65 (mean 37)</w:t>
            </w:r>
          </w:p>
        </w:tc>
        <w:tc>
          <w:tcPr>
            <w:tcW w:w="789" w:type="dxa"/>
          </w:tcPr>
          <w:p w14:paraId="54EE1064"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068" w:type="dxa"/>
          </w:tcPr>
          <w:p w14:paraId="4BF7C0B1" w14:textId="3E114653" w:rsidR="00E47AB8" w:rsidRPr="008B2F8A" w:rsidRDefault="00E47AB8" w:rsidP="00422306">
            <w:pPr>
              <w:spacing w:before="40" w:after="80"/>
              <w:rPr>
                <w:rFonts w:ascii="Arial Narrow" w:hAnsi="Arial Narrow"/>
              </w:rPr>
            </w:pPr>
            <w:r w:rsidRPr="008B2F8A">
              <w:rPr>
                <w:rFonts w:ascii="Arial Narrow" w:hAnsi="Arial Narrow"/>
              </w:rPr>
              <w:t>15–35 (known for only 61% of patients)</w:t>
            </w:r>
          </w:p>
        </w:tc>
        <w:tc>
          <w:tcPr>
            <w:tcW w:w="1134" w:type="dxa"/>
          </w:tcPr>
          <w:p w14:paraId="7AA82382" w14:textId="77777777" w:rsidR="00E47AB8" w:rsidRPr="008B2F8A" w:rsidRDefault="00E47AB8" w:rsidP="00422306">
            <w:pPr>
              <w:spacing w:before="40" w:after="80"/>
              <w:rPr>
                <w:rFonts w:ascii="Arial Narrow" w:hAnsi="Arial Narrow"/>
              </w:rPr>
            </w:pPr>
            <w:r w:rsidRPr="008B2F8A">
              <w:rPr>
                <w:rFonts w:ascii="Arial Narrow" w:hAnsi="Arial Narrow"/>
              </w:rPr>
              <w:t>2–34 years (median 13 years)</w:t>
            </w:r>
          </w:p>
        </w:tc>
      </w:tr>
      <w:tr w:rsidR="00E47AB8" w:rsidRPr="008B2F8A" w14:paraId="2704DCC1" w14:textId="77777777" w:rsidTr="00B17898">
        <w:tc>
          <w:tcPr>
            <w:tcW w:w="738" w:type="dxa"/>
          </w:tcPr>
          <w:p w14:paraId="54CCFA4B" w14:textId="37C3A64F" w:rsidR="00E47AB8" w:rsidRPr="008B2F8A" w:rsidRDefault="00E47AB8" w:rsidP="00422306">
            <w:pPr>
              <w:spacing w:before="40" w:after="80"/>
              <w:rPr>
                <w:rFonts w:ascii="Arial Narrow" w:hAnsi="Arial Narrow"/>
              </w:rPr>
            </w:pPr>
            <w:r>
              <w:rPr>
                <w:rFonts w:ascii="Arial Narrow" w:hAnsi="Arial Narrow"/>
              </w:rPr>
              <w:t>Ng et al, 2013</w:t>
            </w:r>
          </w:p>
        </w:tc>
        <w:tc>
          <w:tcPr>
            <w:tcW w:w="1136" w:type="dxa"/>
          </w:tcPr>
          <w:p w14:paraId="56AAF54C" w14:textId="67CFFB77" w:rsidR="00E47AB8" w:rsidRPr="008B2F8A" w:rsidRDefault="00E47AB8" w:rsidP="00422306">
            <w:pPr>
              <w:spacing w:before="40" w:after="80"/>
              <w:rPr>
                <w:rFonts w:ascii="Arial Narrow" w:hAnsi="Arial Narrow"/>
              </w:rPr>
            </w:pPr>
            <w:r w:rsidRPr="008B2F8A">
              <w:rPr>
                <w:rFonts w:ascii="Arial Narrow" w:hAnsi="Arial Narrow"/>
              </w:rPr>
              <w:t>US</w:t>
            </w:r>
          </w:p>
          <w:p w14:paraId="77914D95" w14:textId="77777777" w:rsidR="00E47AB8" w:rsidRPr="008B2F8A" w:rsidRDefault="00E47AB8" w:rsidP="00422306">
            <w:pPr>
              <w:spacing w:before="40" w:after="80"/>
              <w:rPr>
                <w:rFonts w:ascii="Arial Narrow" w:hAnsi="Arial Narrow"/>
              </w:rPr>
            </w:pPr>
            <w:r w:rsidRPr="008B2F8A">
              <w:rPr>
                <w:rFonts w:ascii="Arial Narrow" w:hAnsi="Arial Narrow"/>
              </w:rPr>
              <w:t>Single centre</w:t>
            </w:r>
          </w:p>
          <w:p w14:paraId="1C5A3954" w14:textId="77777777" w:rsidR="00E47AB8" w:rsidRPr="008B2F8A" w:rsidRDefault="00E47AB8" w:rsidP="00422306">
            <w:pPr>
              <w:spacing w:before="40" w:after="80"/>
              <w:rPr>
                <w:rFonts w:ascii="Arial Narrow" w:hAnsi="Arial Narrow"/>
              </w:rPr>
            </w:pPr>
            <w:r w:rsidRPr="008B2F8A">
              <w:rPr>
                <w:rFonts w:ascii="Arial Narrow" w:hAnsi="Arial Narrow"/>
              </w:rPr>
              <w:t>2005–2010</w:t>
            </w:r>
          </w:p>
        </w:tc>
        <w:tc>
          <w:tcPr>
            <w:tcW w:w="852" w:type="dxa"/>
          </w:tcPr>
          <w:p w14:paraId="4C560A15" w14:textId="77777777" w:rsidR="00E47AB8" w:rsidRPr="008B2F8A" w:rsidRDefault="00E47AB8" w:rsidP="00422306">
            <w:pPr>
              <w:spacing w:before="40" w:after="80"/>
              <w:rPr>
                <w:rFonts w:ascii="Arial Narrow" w:hAnsi="Arial Narrow"/>
              </w:rPr>
            </w:pPr>
            <w:r w:rsidRPr="008B2F8A">
              <w:rPr>
                <w:rFonts w:ascii="Arial Narrow" w:hAnsi="Arial Narrow"/>
              </w:rPr>
              <w:t>148 (345)</w:t>
            </w:r>
          </w:p>
        </w:tc>
        <w:tc>
          <w:tcPr>
            <w:tcW w:w="2272" w:type="dxa"/>
          </w:tcPr>
          <w:p w14:paraId="1BCD94CF" w14:textId="189E2BFC" w:rsidR="00E47AB8" w:rsidRPr="008B2F8A" w:rsidRDefault="00E47AB8" w:rsidP="00422306">
            <w:pPr>
              <w:spacing w:before="40" w:after="80"/>
              <w:rPr>
                <w:rFonts w:ascii="Arial Narrow" w:hAnsi="Arial Narrow"/>
              </w:rPr>
            </w:pPr>
            <w:r w:rsidRPr="008B2F8A">
              <w:rPr>
                <w:rFonts w:ascii="Arial Narrow" w:hAnsi="Arial Narrow"/>
              </w:rPr>
              <w:t>Women previously treated with mantle irradiation for Hodgkin’s lymphoma</w:t>
            </w:r>
            <w:r w:rsidRPr="008B2F8A" w:rsidDel="004B345A">
              <w:rPr>
                <w:rFonts w:ascii="Arial Narrow" w:hAnsi="Arial Narrow"/>
              </w:rPr>
              <w:t xml:space="preserve"> </w:t>
            </w:r>
            <w:r w:rsidRPr="008B2F8A">
              <w:rPr>
                <w:rFonts w:ascii="Arial Narrow" w:hAnsi="Arial Narrow"/>
              </w:rPr>
              <w:t xml:space="preserve">at age ≤35 years who were &gt;8 years </w:t>
            </w:r>
            <w:r>
              <w:rPr>
                <w:rFonts w:ascii="Arial Narrow" w:hAnsi="Arial Narrow"/>
              </w:rPr>
              <w:t>past</w:t>
            </w:r>
            <w:r w:rsidRPr="008B2F8A">
              <w:rPr>
                <w:rFonts w:ascii="Arial Narrow" w:hAnsi="Arial Narrow"/>
              </w:rPr>
              <w:t xml:space="preserve"> treatment</w:t>
            </w:r>
          </w:p>
          <w:p w14:paraId="38D2801F" w14:textId="77777777" w:rsidR="00E47AB8" w:rsidRPr="008B2F8A" w:rsidRDefault="00E47AB8" w:rsidP="00422306">
            <w:pPr>
              <w:spacing w:before="40" w:after="80"/>
              <w:rPr>
                <w:rFonts w:ascii="Arial Narrow" w:hAnsi="Arial Narrow"/>
              </w:rPr>
            </w:pPr>
            <w:r w:rsidRPr="008B2F8A">
              <w:rPr>
                <w:rFonts w:ascii="Arial Narrow" w:hAnsi="Arial Narrow"/>
              </w:rPr>
              <w:t xml:space="preserve">Excluded women who were pregnant or lactating, had undergone bilateral mastectomy, were actively receiving breast cancer therapy, </w:t>
            </w:r>
            <w:r>
              <w:rPr>
                <w:rFonts w:ascii="Arial Narrow" w:hAnsi="Arial Narrow"/>
              </w:rPr>
              <w:t xml:space="preserve">or </w:t>
            </w:r>
            <w:r w:rsidRPr="008B2F8A">
              <w:rPr>
                <w:rFonts w:ascii="Arial Narrow" w:hAnsi="Arial Narrow"/>
              </w:rPr>
              <w:t>with known contraindications for MRI</w:t>
            </w:r>
          </w:p>
        </w:tc>
        <w:tc>
          <w:tcPr>
            <w:tcW w:w="1081" w:type="dxa"/>
          </w:tcPr>
          <w:p w14:paraId="7E8A0491" w14:textId="77777777" w:rsidR="00E47AB8" w:rsidRPr="008B2F8A" w:rsidRDefault="00E47AB8" w:rsidP="00422306">
            <w:pPr>
              <w:spacing w:before="40" w:after="80"/>
              <w:rPr>
                <w:rFonts w:ascii="Arial Narrow" w:hAnsi="Arial Narrow"/>
              </w:rPr>
            </w:pPr>
            <w:r w:rsidRPr="008B2F8A">
              <w:rPr>
                <w:rFonts w:ascii="Arial Narrow" w:hAnsi="Arial Narrow"/>
              </w:rPr>
              <w:t>22–65 (median 43)</w:t>
            </w:r>
          </w:p>
        </w:tc>
        <w:tc>
          <w:tcPr>
            <w:tcW w:w="789" w:type="dxa"/>
          </w:tcPr>
          <w:p w14:paraId="0FDE30AE" w14:textId="77777777" w:rsidR="00E47AB8" w:rsidRPr="008B2F8A" w:rsidRDefault="00E47AB8" w:rsidP="00422306">
            <w:pPr>
              <w:spacing w:before="40" w:after="80"/>
              <w:rPr>
                <w:rFonts w:ascii="Arial Narrow" w:hAnsi="Arial Narrow"/>
              </w:rPr>
            </w:pPr>
            <w:r w:rsidRPr="008B2F8A">
              <w:rPr>
                <w:rFonts w:ascii="Arial Narrow" w:hAnsi="Arial Narrow"/>
              </w:rPr>
              <w:t>12–35 (median 23)</w:t>
            </w:r>
          </w:p>
        </w:tc>
        <w:tc>
          <w:tcPr>
            <w:tcW w:w="1068" w:type="dxa"/>
          </w:tcPr>
          <w:p w14:paraId="59FE3C61" w14:textId="77777777" w:rsidR="00E47AB8" w:rsidRPr="008B2F8A" w:rsidRDefault="00E47AB8" w:rsidP="00422306">
            <w:pPr>
              <w:spacing w:before="40" w:after="80"/>
              <w:rPr>
                <w:rFonts w:ascii="Arial Narrow" w:hAnsi="Arial Narrow"/>
              </w:rPr>
            </w:pPr>
            <w:r w:rsidRPr="008B2F8A">
              <w:rPr>
                <w:rFonts w:ascii="Arial Narrow" w:hAnsi="Arial Narrow"/>
              </w:rPr>
              <w:t>19.6–58 (median 39.5)</w:t>
            </w:r>
          </w:p>
        </w:tc>
        <w:tc>
          <w:tcPr>
            <w:tcW w:w="1134" w:type="dxa"/>
          </w:tcPr>
          <w:p w14:paraId="095F45C9" w14:textId="77777777" w:rsidR="00E47AB8" w:rsidRPr="008B2F8A" w:rsidRDefault="00E47AB8" w:rsidP="00422306">
            <w:pPr>
              <w:spacing w:before="40" w:after="80"/>
              <w:rPr>
                <w:rFonts w:ascii="Arial Narrow" w:hAnsi="Arial Narrow"/>
              </w:rPr>
            </w:pPr>
            <w:r w:rsidRPr="008B2F8A">
              <w:rPr>
                <w:rFonts w:ascii="Arial Narrow" w:hAnsi="Arial Narrow"/>
              </w:rPr>
              <w:t>Median 17.5</w:t>
            </w:r>
          </w:p>
        </w:tc>
      </w:tr>
      <w:tr w:rsidR="00E47AB8" w:rsidRPr="008B2F8A" w14:paraId="06153888" w14:textId="77777777" w:rsidTr="00B17898">
        <w:tc>
          <w:tcPr>
            <w:tcW w:w="738" w:type="dxa"/>
          </w:tcPr>
          <w:p w14:paraId="00959C74" w14:textId="070A253D" w:rsidR="00E47AB8" w:rsidRPr="008B2F8A" w:rsidRDefault="00E47AB8" w:rsidP="00422306">
            <w:pPr>
              <w:spacing w:before="40" w:after="80"/>
              <w:rPr>
                <w:rFonts w:ascii="Arial Narrow" w:hAnsi="Arial Narrow"/>
              </w:rPr>
            </w:pPr>
            <w:r>
              <w:rPr>
                <w:rFonts w:ascii="Arial Narrow" w:hAnsi="Arial Narrow"/>
              </w:rPr>
              <w:t xml:space="preserve">Sung et </w:t>
            </w:r>
            <w:r>
              <w:rPr>
                <w:rFonts w:ascii="Arial Narrow" w:hAnsi="Arial Narrow"/>
              </w:rPr>
              <w:lastRenderedPageBreak/>
              <w:t>al, 2011</w:t>
            </w:r>
          </w:p>
        </w:tc>
        <w:tc>
          <w:tcPr>
            <w:tcW w:w="1136" w:type="dxa"/>
          </w:tcPr>
          <w:p w14:paraId="069FB46F" w14:textId="2B433B9A" w:rsidR="00E47AB8" w:rsidRPr="008B2F8A" w:rsidRDefault="00E47AB8" w:rsidP="00422306">
            <w:pPr>
              <w:spacing w:before="40" w:after="80"/>
              <w:rPr>
                <w:rFonts w:ascii="Arial Narrow" w:hAnsi="Arial Narrow"/>
              </w:rPr>
            </w:pPr>
            <w:r w:rsidRPr="008B2F8A">
              <w:rPr>
                <w:rFonts w:ascii="Arial Narrow" w:hAnsi="Arial Narrow"/>
              </w:rPr>
              <w:lastRenderedPageBreak/>
              <w:t>US</w:t>
            </w:r>
          </w:p>
          <w:p w14:paraId="37D9B2D5"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Single centre</w:t>
            </w:r>
          </w:p>
          <w:p w14:paraId="35AE76AB" w14:textId="77777777" w:rsidR="00E47AB8" w:rsidRPr="008B2F8A" w:rsidRDefault="00E47AB8" w:rsidP="00422306">
            <w:pPr>
              <w:spacing w:before="40" w:after="80"/>
              <w:rPr>
                <w:rFonts w:ascii="Arial Narrow" w:hAnsi="Arial Narrow"/>
              </w:rPr>
            </w:pPr>
            <w:r w:rsidRPr="008B2F8A">
              <w:rPr>
                <w:rFonts w:ascii="Arial Narrow" w:hAnsi="Arial Narrow"/>
              </w:rPr>
              <w:t>1999–2008</w:t>
            </w:r>
          </w:p>
        </w:tc>
        <w:tc>
          <w:tcPr>
            <w:tcW w:w="852" w:type="dxa"/>
          </w:tcPr>
          <w:p w14:paraId="010B5E2F"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91 (247)</w:t>
            </w:r>
          </w:p>
        </w:tc>
        <w:tc>
          <w:tcPr>
            <w:tcW w:w="2272" w:type="dxa"/>
          </w:tcPr>
          <w:p w14:paraId="2C28DF4E" w14:textId="77777777" w:rsidR="00E47AB8" w:rsidRPr="008B2F8A" w:rsidRDefault="00E47AB8" w:rsidP="00422306">
            <w:pPr>
              <w:spacing w:before="40" w:after="80"/>
              <w:rPr>
                <w:rFonts w:ascii="Arial Narrow" w:hAnsi="Arial Narrow"/>
              </w:rPr>
            </w:pPr>
            <w:r w:rsidRPr="008B2F8A">
              <w:rPr>
                <w:rFonts w:ascii="Arial Narrow" w:hAnsi="Arial Narrow"/>
              </w:rPr>
              <w:t xml:space="preserve">Women with a history of </w:t>
            </w:r>
            <w:r w:rsidRPr="008B2F8A">
              <w:rPr>
                <w:rFonts w:ascii="Arial Narrow" w:hAnsi="Arial Narrow"/>
              </w:rPr>
              <w:lastRenderedPageBreak/>
              <w:t>chest irradiation</w:t>
            </w:r>
          </w:p>
        </w:tc>
        <w:tc>
          <w:tcPr>
            <w:tcW w:w="1081" w:type="dxa"/>
          </w:tcPr>
          <w:p w14:paraId="370B8FF3"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 xml:space="preserve">18–62 </w:t>
            </w:r>
            <w:r w:rsidRPr="008B2F8A">
              <w:rPr>
                <w:rFonts w:ascii="Arial Narrow" w:hAnsi="Arial Narrow"/>
              </w:rPr>
              <w:lastRenderedPageBreak/>
              <w:t>(median 40)</w:t>
            </w:r>
          </w:p>
        </w:tc>
        <w:tc>
          <w:tcPr>
            <w:tcW w:w="789" w:type="dxa"/>
          </w:tcPr>
          <w:p w14:paraId="519E2FBC"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 xml:space="preserve">5–54 </w:t>
            </w:r>
            <w:r w:rsidRPr="008B2F8A">
              <w:rPr>
                <w:rFonts w:ascii="Arial Narrow" w:hAnsi="Arial Narrow"/>
              </w:rPr>
              <w:lastRenderedPageBreak/>
              <w:t>(median 24)</w:t>
            </w:r>
          </w:p>
        </w:tc>
        <w:tc>
          <w:tcPr>
            <w:tcW w:w="1068" w:type="dxa"/>
          </w:tcPr>
          <w:p w14:paraId="3C9A2859" w14:textId="4D523D64" w:rsidR="00E47AB8" w:rsidRPr="008B2F8A" w:rsidRDefault="00E47AB8" w:rsidP="00422306">
            <w:pPr>
              <w:spacing w:before="40" w:after="80"/>
              <w:rPr>
                <w:rFonts w:ascii="Arial Narrow" w:hAnsi="Arial Narrow"/>
              </w:rPr>
            </w:pPr>
            <w:r w:rsidRPr="008B2F8A">
              <w:rPr>
                <w:rFonts w:ascii="Arial Narrow" w:hAnsi="Arial Narrow"/>
              </w:rPr>
              <w:lastRenderedPageBreak/>
              <w:t>unkn</w:t>
            </w:r>
            <w:r>
              <w:rPr>
                <w:rFonts w:ascii="Arial Narrow" w:hAnsi="Arial Narrow"/>
              </w:rPr>
              <w:t>.</w:t>
            </w:r>
            <w:r w:rsidRPr="008B2F8A">
              <w:rPr>
                <w:rFonts w:ascii="Arial Narrow" w:hAnsi="Arial Narrow"/>
              </w:rPr>
              <w:t xml:space="preserve"> for </w:t>
            </w:r>
            <w:r w:rsidRPr="008B2F8A">
              <w:rPr>
                <w:rFonts w:ascii="Arial Narrow" w:hAnsi="Arial Narrow"/>
              </w:rPr>
              <w:lastRenderedPageBreak/>
              <w:t>46%</w:t>
            </w:r>
          </w:p>
          <w:p w14:paraId="010AAB23" w14:textId="77777777" w:rsidR="00E47AB8" w:rsidRPr="008B2F8A" w:rsidRDefault="00E47AB8" w:rsidP="00422306">
            <w:pPr>
              <w:spacing w:before="40" w:after="80"/>
              <w:rPr>
                <w:rFonts w:ascii="Arial Narrow" w:hAnsi="Arial Narrow"/>
              </w:rPr>
            </w:pPr>
            <w:r w:rsidRPr="008B2F8A">
              <w:rPr>
                <w:rFonts w:ascii="Arial Narrow" w:hAnsi="Arial Narrow"/>
              </w:rPr>
              <w:t>35% &gt;30</w:t>
            </w:r>
          </w:p>
          <w:p w14:paraId="11541829" w14:textId="77777777" w:rsidR="00E47AB8" w:rsidRPr="008B2F8A" w:rsidRDefault="00E47AB8" w:rsidP="00422306">
            <w:pPr>
              <w:spacing w:before="40" w:after="80"/>
              <w:rPr>
                <w:rFonts w:ascii="Arial Narrow" w:hAnsi="Arial Narrow"/>
              </w:rPr>
            </w:pPr>
            <w:r w:rsidRPr="008B2F8A">
              <w:rPr>
                <w:rFonts w:ascii="Arial Narrow" w:hAnsi="Arial Narrow"/>
              </w:rPr>
              <w:t>16% 20–29</w:t>
            </w:r>
          </w:p>
          <w:p w14:paraId="622FAA72" w14:textId="77777777" w:rsidR="00E47AB8" w:rsidRPr="008B2F8A" w:rsidRDefault="00E47AB8" w:rsidP="00422306">
            <w:pPr>
              <w:spacing w:before="40" w:after="80"/>
              <w:rPr>
                <w:rFonts w:ascii="Arial Narrow" w:hAnsi="Arial Narrow"/>
              </w:rPr>
            </w:pPr>
            <w:r w:rsidRPr="008B2F8A">
              <w:rPr>
                <w:rFonts w:ascii="Arial Narrow" w:hAnsi="Arial Narrow"/>
              </w:rPr>
              <w:t>2% 10–19</w:t>
            </w:r>
          </w:p>
        </w:tc>
        <w:tc>
          <w:tcPr>
            <w:tcW w:w="1134" w:type="dxa"/>
          </w:tcPr>
          <w:p w14:paraId="59AABCAE"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 xml:space="preserve">3–43 </w:t>
            </w:r>
            <w:r w:rsidRPr="008B2F8A">
              <w:rPr>
                <w:rFonts w:ascii="Arial Narrow" w:hAnsi="Arial Narrow"/>
              </w:rPr>
              <w:lastRenderedPageBreak/>
              <w:t>(median 16)</w:t>
            </w:r>
          </w:p>
        </w:tc>
      </w:tr>
    </w:tbl>
    <w:p w14:paraId="77265A4C" w14:textId="3109CE91" w:rsidR="00E47AB8" w:rsidRPr="008B2F8A" w:rsidRDefault="00E47AB8" w:rsidP="00B17898">
      <w:pPr>
        <w:pStyle w:val="TableNotesLast"/>
      </w:pPr>
      <w:r w:rsidRPr="008B2F8A">
        <w:lastRenderedPageBreak/>
        <w:t>NR = not reported; MRI = magnetic resonance imaging</w:t>
      </w:r>
      <w:r w:rsidRPr="008B2F8A">
        <w:rPr>
          <w:rFonts w:eastAsiaTheme="minorHAnsi" w:cs="Univers-Light"/>
        </w:rPr>
        <w:t>.</w:t>
      </w:r>
    </w:p>
    <w:p w14:paraId="15630BD9" w14:textId="572BCA1D" w:rsidR="00E47AB8" w:rsidRPr="008B2F8A" w:rsidRDefault="00E47AB8" w:rsidP="00422306">
      <w:r w:rsidRPr="008B2F8A">
        <w:t>All studies used at least 1.5 T magnets for MRI</w:t>
      </w:r>
      <w:r>
        <w:t>.</w:t>
      </w:r>
      <w:r w:rsidRPr="008B2F8A">
        <w:t xml:space="preserve"> Two exclusively used digital mammography.</w:t>
      </w:r>
    </w:p>
    <w:p w14:paraId="13CA4F96" w14:textId="77777777" w:rsidR="00E47AB8" w:rsidRPr="008B2F8A" w:rsidRDefault="00E47AB8" w:rsidP="00422306">
      <w:pPr>
        <w:pStyle w:val="Caption"/>
        <w:ind w:left="1440" w:hanging="1440"/>
      </w:pPr>
      <w:bookmarkStart w:id="774" w:name="_Ref368491863"/>
      <w:bookmarkStart w:id="775" w:name="_Toc383424589"/>
      <w:r w:rsidRPr="008B2F8A">
        <w:t xml:space="preserve">Table </w:t>
      </w:r>
      <w:fldSimple w:instr=" STYLEREF 1 \s ">
        <w:r w:rsidR="00B81273">
          <w:rPr>
            <w:noProof/>
          </w:rPr>
          <w:t>B</w:t>
        </w:r>
      </w:fldSimple>
      <w:r w:rsidRPr="008B2F8A">
        <w:t>.</w:t>
      </w:r>
      <w:fldSimple w:instr=" SEQ Table \* ARABIC \s 1 ">
        <w:r w:rsidR="00B81273">
          <w:rPr>
            <w:noProof/>
          </w:rPr>
          <w:t>23</w:t>
        </w:r>
      </w:fldSimple>
      <w:bookmarkEnd w:id="774"/>
      <w:r w:rsidRPr="008B2F8A">
        <w:tab/>
      </w:r>
      <w:bookmarkStart w:id="776" w:name="OLE_LINK1027"/>
      <w:bookmarkStart w:id="777" w:name="OLE_LINK1028"/>
      <w:r w:rsidRPr="008B2F8A">
        <w:t>Characteristics of included primary diagnostic accuracy studies for women—study design and outcomes</w:t>
      </w:r>
      <w:bookmarkEnd w:id="776"/>
      <w:bookmarkEnd w:id="777"/>
      <w:r w:rsidRPr="008B2F8A">
        <w:t>.</w:t>
      </w:r>
      <w:bookmarkEnd w:id="775"/>
    </w:p>
    <w:tbl>
      <w:tblPr>
        <w:tblStyle w:val="TableGrid"/>
        <w:tblW w:w="9070" w:type="dxa"/>
        <w:tblCellMar>
          <w:left w:w="28" w:type="dxa"/>
          <w:right w:w="28" w:type="dxa"/>
        </w:tblCellMar>
        <w:tblLook w:val="04A0" w:firstRow="1" w:lastRow="0" w:firstColumn="1" w:lastColumn="0" w:noHBand="0" w:noVBand="1"/>
        <w:tblCaption w:val="Characteristics of included primary diagnostic accuracy studies for women—study design and outcomes"/>
      </w:tblPr>
      <w:tblGrid>
        <w:gridCol w:w="923"/>
        <w:gridCol w:w="2229"/>
        <w:gridCol w:w="994"/>
        <w:gridCol w:w="1260"/>
        <w:gridCol w:w="2725"/>
        <w:gridCol w:w="939"/>
      </w:tblGrid>
      <w:tr w:rsidR="00E47AB8" w:rsidRPr="008B2F8A" w14:paraId="2EEEFE96" w14:textId="77777777" w:rsidTr="00B17898">
        <w:trPr>
          <w:tblHeader/>
        </w:trPr>
        <w:tc>
          <w:tcPr>
            <w:tcW w:w="923" w:type="dxa"/>
            <w:vAlign w:val="bottom"/>
          </w:tcPr>
          <w:p w14:paraId="535BF978" w14:textId="77777777" w:rsidR="00E47AB8" w:rsidRPr="008B2F8A" w:rsidRDefault="00E47AB8" w:rsidP="0093326E">
            <w:pPr>
              <w:keepNext/>
              <w:keepLines/>
              <w:spacing w:before="40" w:after="80"/>
              <w:rPr>
                <w:rFonts w:ascii="Arial Narrow" w:hAnsi="Arial Narrow"/>
                <w:b/>
              </w:rPr>
            </w:pPr>
            <w:r w:rsidRPr="008B2F8A">
              <w:rPr>
                <w:rFonts w:ascii="Arial Narrow" w:hAnsi="Arial Narrow"/>
                <w:b/>
              </w:rPr>
              <w:t>Study</w:t>
            </w:r>
          </w:p>
        </w:tc>
        <w:tc>
          <w:tcPr>
            <w:tcW w:w="2229" w:type="dxa"/>
            <w:vAlign w:val="bottom"/>
          </w:tcPr>
          <w:p w14:paraId="0A7E517B" w14:textId="77777777" w:rsidR="00E47AB8" w:rsidRPr="008B2F8A" w:rsidRDefault="00E47AB8" w:rsidP="0093326E">
            <w:pPr>
              <w:keepNext/>
              <w:keepLines/>
              <w:spacing w:before="40" w:after="80"/>
              <w:rPr>
                <w:rFonts w:ascii="Arial Narrow" w:hAnsi="Arial Narrow"/>
                <w:b/>
              </w:rPr>
            </w:pPr>
            <w:r w:rsidRPr="008B2F8A">
              <w:rPr>
                <w:rFonts w:ascii="Arial Narrow" w:hAnsi="Arial Narrow"/>
                <w:b/>
              </w:rPr>
              <w:t>Study design (prospective, consecutive)</w:t>
            </w:r>
          </w:p>
        </w:tc>
        <w:tc>
          <w:tcPr>
            <w:tcW w:w="994" w:type="dxa"/>
            <w:vAlign w:val="bottom"/>
          </w:tcPr>
          <w:p w14:paraId="2B0889D7" w14:textId="77777777" w:rsidR="00E47AB8" w:rsidRPr="008B2F8A" w:rsidRDefault="00E47AB8" w:rsidP="0093326E">
            <w:pPr>
              <w:keepNext/>
              <w:keepLines/>
              <w:spacing w:before="40" w:after="80"/>
              <w:rPr>
                <w:rFonts w:ascii="Arial Narrow" w:hAnsi="Arial Narrow"/>
                <w:b/>
              </w:rPr>
            </w:pPr>
            <w:r w:rsidRPr="008B2F8A">
              <w:rPr>
                <w:rFonts w:ascii="Arial Narrow" w:hAnsi="Arial Narrow"/>
                <w:b/>
              </w:rPr>
              <w:t>Index test</w:t>
            </w:r>
          </w:p>
        </w:tc>
        <w:tc>
          <w:tcPr>
            <w:tcW w:w="1255" w:type="dxa"/>
            <w:vAlign w:val="bottom"/>
          </w:tcPr>
          <w:p w14:paraId="019CD2C1" w14:textId="77777777" w:rsidR="00E47AB8" w:rsidRPr="008B2F8A" w:rsidRDefault="00E47AB8" w:rsidP="0093326E">
            <w:pPr>
              <w:keepNext/>
              <w:keepLines/>
              <w:spacing w:before="40" w:after="80"/>
              <w:rPr>
                <w:rFonts w:ascii="Arial Narrow" w:hAnsi="Arial Narrow"/>
                <w:b/>
              </w:rPr>
            </w:pPr>
            <w:r w:rsidRPr="008B2F8A">
              <w:rPr>
                <w:rFonts w:ascii="Arial Narrow" w:hAnsi="Arial Narrow"/>
                <w:b/>
              </w:rPr>
              <w:t>Comparator tests</w:t>
            </w:r>
          </w:p>
        </w:tc>
        <w:tc>
          <w:tcPr>
            <w:tcW w:w="0" w:type="auto"/>
            <w:vAlign w:val="bottom"/>
          </w:tcPr>
          <w:p w14:paraId="784DDAD3" w14:textId="77777777" w:rsidR="00E47AB8" w:rsidRPr="008B2F8A" w:rsidRDefault="00E47AB8" w:rsidP="0093326E">
            <w:pPr>
              <w:keepNext/>
              <w:keepLines/>
              <w:spacing w:before="40" w:after="80"/>
              <w:rPr>
                <w:rFonts w:ascii="Arial Narrow" w:hAnsi="Arial Narrow"/>
                <w:b/>
              </w:rPr>
            </w:pPr>
            <w:r w:rsidRPr="008B2F8A">
              <w:rPr>
                <w:rFonts w:ascii="Arial Narrow" w:hAnsi="Arial Narrow"/>
                <w:b/>
              </w:rPr>
              <w:t>Reference standard</w:t>
            </w:r>
          </w:p>
        </w:tc>
        <w:tc>
          <w:tcPr>
            <w:tcW w:w="0" w:type="auto"/>
            <w:vAlign w:val="bottom"/>
          </w:tcPr>
          <w:p w14:paraId="5DD0D101" w14:textId="77777777" w:rsidR="00E47AB8" w:rsidRPr="008B2F8A" w:rsidRDefault="00E47AB8" w:rsidP="0093326E">
            <w:pPr>
              <w:keepNext/>
              <w:keepLines/>
              <w:spacing w:before="40" w:after="80"/>
              <w:rPr>
                <w:rFonts w:ascii="Arial Narrow" w:hAnsi="Arial Narrow"/>
                <w:b/>
              </w:rPr>
            </w:pPr>
            <w:r w:rsidRPr="008B2F8A">
              <w:rPr>
                <w:rFonts w:ascii="Arial Narrow" w:hAnsi="Arial Narrow"/>
                <w:b/>
              </w:rPr>
              <w:t>Outcomes</w:t>
            </w:r>
          </w:p>
        </w:tc>
      </w:tr>
      <w:tr w:rsidR="00E47AB8" w:rsidRPr="008B2F8A" w14:paraId="1EAD7F4B" w14:textId="77777777" w:rsidTr="00B17898">
        <w:trPr>
          <w:cantSplit/>
        </w:trPr>
        <w:tc>
          <w:tcPr>
            <w:tcW w:w="923" w:type="dxa"/>
          </w:tcPr>
          <w:p w14:paraId="21A99790" w14:textId="45F5998B" w:rsidR="00E47AB8" w:rsidRPr="008B2F8A" w:rsidRDefault="00E47AB8" w:rsidP="00422306">
            <w:pPr>
              <w:spacing w:before="40" w:after="80"/>
              <w:rPr>
                <w:rFonts w:ascii="Arial Narrow" w:hAnsi="Arial Narrow"/>
              </w:rPr>
            </w:pPr>
            <w:r>
              <w:rPr>
                <w:rFonts w:ascii="Arial Narrow" w:hAnsi="Arial Narrow"/>
              </w:rPr>
              <w:t>Freitas et al, 2013</w:t>
            </w:r>
          </w:p>
        </w:tc>
        <w:tc>
          <w:tcPr>
            <w:tcW w:w="2229" w:type="dxa"/>
          </w:tcPr>
          <w:p w14:paraId="02282557"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592D2CA8" w14:textId="77777777" w:rsidR="00E47AB8" w:rsidRPr="008B2F8A" w:rsidRDefault="00E47AB8" w:rsidP="00422306">
            <w:pPr>
              <w:spacing w:before="40" w:after="80"/>
              <w:rPr>
                <w:rFonts w:ascii="Arial Narrow" w:hAnsi="Arial Narrow"/>
              </w:rPr>
            </w:pPr>
            <w:r w:rsidRPr="008B2F8A">
              <w:rPr>
                <w:rFonts w:ascii="Arial Narrow" w:hAnsi="Arial Narrow"/>
              </w:rPr>
              <w:t>Retrospective</w:t>
            </w:r>
          </w:p>
          <w:p w14:paraId="35170FC3"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50C47771"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994" w:type="dxa"/>
          </w:tcPr>
          <w:p w14:paraId="1C270E75" w14:textId="77777777" w:rsidR="00E47AB8" w:rsidRPr="008B2F8A" w:rsidRDefault="00E47AB8" w:rsidP="00422306">
            <w:pPr>
              <w:spacing w:before="40" w:after="80"/>
              <w:rPr>
                <w:rFonts w:ascii="Arial Narrow" w:hAnsi="Arial Narrow"/>
              </w:rPr>
            </w:pPr>
            <w:r w:rsidRPr="008B2F8A">
              <w:rPr>
                <w:rFonts w:ascii="Arial Narrow" w:hAnsi="Arial Narrow"/>
              </w:rPr>
              <w:t>MRI</w:t>
            </w:r>
          </w:p>
          <w:p w14:paraId="21626144" w14:textId="7A104F9F" w:rsidR="00E47AB8" w:rsidRPr="008B2F8A" w:rsidRDefault="00E47AB8" w:rsidP="00422306">
            <w:pPr>
              <w:spacing w:before="40" w:after="80"/>
              <w:rPr>
                <w:rFonts w:ascii="Arial Narrow" w:hAnsi="Arial Narrow"/>
              </w:rPr>
            </w:pPr>
            <w:r w:rsidRPr="008B2F8A">
              <w:rPr>
                <w:rFonts w:ascii="Arial Narrow" w:hAnsi="Arial Narrow"/>
              </w:rPr>
              <w:t>1.5 T magnet</w:t>
            </w:r>
          </w:p>
        </w:tc>
        <w:tc>
          <w:tcPr>
            <w:tcW w:w="1255" w:type="dxa"/>
          </w:tcPr>
          <w:p w14:paraId="563A4179" w14:textId="77777777" w:rsidR="00E47AB8" w:rsidRPr="008B2F8A" w:rsidRDefault="00E47AB8" w:rsidP="00422306">
            <w:pPr>
              <w:spacing w:before="40" w:after="80"/>
              <w:rPr>
                <w:rFonts w:ascii="Arial Narrow" w:hAnsi="Arial Narrow"/>
              </w:rPr>
            </w:pPr>
            <w:r w:rsidRPr="008B2F8A">
              <w:rPr>
                <w:rFonts w:ascii="Arial Narrow" w:hAnsi="Arial Narrow"/>
              </w:rPr>
              <w:t>Digital mammography</w:t>
            </w:r>
          </w:p>
        </w:tc>
        <w:tc>
          <w:tcPr>
            <w:tcW w:w="0" w:type="auto"/>
          </w:tcPr>
          <w:p w14:paraId="13EE9BA5" w14:textId="11DF1D89" w:rsidR="00E47AB8" w:rsidRPr="008B2F8A" w:rsidRDefault="00E47AB8" w:rsidP="00422306">
            <w:pPr>
              <w:spacing w:before="40" w:after="80"/>
              <w:rPr>
                <w:rFonts w:ascii="Arial Narrow" w:hAnsi="Arial Narrow"/>
              </w:rPr>
            </w:pPr>
            <w:r w:rsidRPr="008B2F8A">
              <w:rPr>
                <w:rFonts w:ascii="Arial Narrow" w:hAnsi="Arial Narrow"/>
              </w:rPr>
              <w:t>Histopathology for all positive tests. Indeterminate findings followed by short-term imaging follow-up</w:t>
            </w:r>
          </w:p>
          <w:p w14:paraId="43D5D6DE" w14:textId="377CDA6D" w:rsidR="00E47AB8" w:rsidRPr="008B2F8A" w:rsidRDefault="00E47AB8" w:rsidP="00422306">
            <w:pPr>
              <w:spacing w:before="40" w:after="80"/>
              <w:rPr>
                <w:rFonts w:ascii="Arial Narrow" w:hAnsi="Arial Narrow"/>
              </w:rPr>
            </w:pPr>
            <w:r w:rsidRPr="008B2F8A">
              <w:rPr>
                <w:rFonts w:ascii="Arial Narrow" w:hAnsi="Arial Narrow"/>
              </w:rPr>
              <w:t>Film review of all cancers</w:t>
            </w:r>
          </w:p>
        </w:tc>
        <w:tc>
          <w:tcPr>
            <w:tcW w:w="0" w:type="auto"/>
          </w:tcPr>
          <w:p w14:paraId="7DA0D8E3" w14:textId="77777777" w:rsidR="00E47AB8" w:rsidRPr="008B2F8A" w:rsidRDefault="00E47AB8" w:rsidP="00422306">
            <w:pPr>
              <w:spacing w:before="40" w:after="80"/>
              <w:rPr>
                <w:rFonts w:ascii="Arial Narrow" w:hAnsi="Arial Narrow"/>
              </w:rPr>
            </w:pPr>
            <w:r w:rsidRPr="008B2F8A">
              <w:rPr>
                <w:rFonts w:ascii="Arial Narrow" w:hAnsi="Arial Narrow"/>
              </w:rPr>
              <w:t>Sens/Spec</w:t>
            </w:r>
          </w:p>
        </w:tc>
      </w:tr>
      <w:tr w:rsidR="00E47AB8" w:rsidRPr="008B2F8A" w14:paraId="4D5E1EDD" w14:textId="77777777" w:rsidTr="00B17898">
        <w:tc>
          <w:tcPr>
            <w:tcW w:w="923" w:type="dxa"/>
          </w:tcPr>
          <w:p w14:paraId="00F9196C" w14:textId="4BD45047" w:rsidR="00E47AB8" w:rsidRPr="008B2F8A" w:rsidRDefault="00E47AB8" w:rsidP="00422306">
            <w:pPr>
              <w:spacing w:before="40" w:after="80"/>
              <w:rPr>
                <w:rFonts w:ascii="Arial Narrow" w:hAnsi="Arial Narrow"/>
              </w:rPr>
            </w:pPr>
            <w:r>
              <w:rPr>
                <w:rFonts w:ascii="Arial Narrow" w:hAnsi="Arial Narrow"/>
              </w:rPr>
              <w:t>Ng et al, 2013</w:t>
            </w:r>
          </w:p>
        </w:tc>
        <w:tc>
          <w:tcPr>
            <w:tcW w:w="2229" w:type="dxa"/>
          </w:tcPr>
          <w:p w14:paraId="6F50E80C"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0DE30DD3" w14:textId="77777777" w:rsidR="00E47AB8" w:rsidRPr="008B2F8A" w:rsidRDefault="00E47AB8" w:rsidP="00422306">
            <w:pPr>
              <w:spacing w:before="40" w:after="80"/>
              <w:rPr>
                <w:rFonts w:ascii="Arial Narrow" w:hAnsi="Arial Narrow"/>
              </w:rPr>
            </w:pPr>
            <w:r w:rsidRPr="008B2F8A">
              <w:rPr>
                <w:rFonts w:ascii="Arial Narrow" w:hAnsi="Arial Narrow"/>
              </w:rPr>
              <w:t>Prospective</w:t>
            </w:r>
          </w:p>
          <w:p w14:paraId="5A96013C"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47BA53BB" w14:textId="77777777" w:rsidR="00E47AB8" w:rsidRPr="008B2F8A" w:rsidRDefault="00E47AB8" w:rsidP="00422306">
            <w:pPr>
              <w:spacing w:before="40" w:after="80"/>
              <w:rPr>
                <w:rFonts w:ascii="Arial Narrow" w:hAnsi="Arial Narrow"/>
              </w:rPr>
            </w:pPr>
            <w:r w:rsidRPr="008B2F8A">
              <w:rPr>
                <w:rFonts w:ascii="Arial Narrow" w:hAnsi="Arial Narrow"/>
              </w:rPr>
              <w:t>Level III-1</w:t>
            </w:r>
          </w:p>
        </w:tc>
        <w:tc>
          <w:tcPr>
            <w:tcW w:w="994" w:type="dxa"/>
          </w:tcPr>
          <w:p w14:paraId="522B0D37" w14:textId="77777777" w:rsidR="00E47AB8" w:rsidRPr="008B2F8A" w:rsidRDefault="00E47AB8" w:rsidP="00422306">
            <w:pPr>
              <w:spacing w:before="40" w:after="80"/>
              <w:rPr>
                <w:rFonts w:ascii="Arial Narrow" w:hAnsi="Arial Narrow"/>
              </w:rPr>
            </w:pPr>
            <w:r w:rsidRPr="008B2F8A">
              <w:rPr>
                <w:rFonts w:ascii="Arial Narrow" w:hAnsi="Arial Narrow"/>
              </w:rPr>
              <w:t>Annual MRI</w:t>
            </w:r>
          </w:p>
          <w:p w14:paraId="58A6E07A" w14:textId="2B1894FA" w:rsidR="00E47AB8" w:rsidRPr="008B2F8A" w:rsidRDefault="00E47AB8" w:rsidP="00422306">
            <w:pPr>
              <w:spacing w:before="40" w:after="80"/>
              <w:rPr>
                <w:rFonts w:ascii="Arial Narrow" w:hAnsi="Arial Narrow"/>
              </w:rPr>
            </w:pPr>
            <w:r w:rsidRPr="008B2F8A">
              <w:rPr>
                <w:rFonts w:ascii="Arial Narrow" w:hAnsi="Arial Narrow"/>
              </w:rPr>
              <w:t>1.5 or 3.0 T magnet</w:t>
            </w:r>
          </w:p>
        </w:tc>
        <w:tc>
          <w:tcPr>
            <w:tcW w:w="1255" w:type="dxa"/>
          </w:tcPr>
          <w:p w14:paraId="14FE9EEF" w14:textId="77777777" w:rsidR="00E47AB8" w:rsidRPr="008B2F8A" w:rsidRDefault="00E47AB8" w:rsidP="00422306">
            <w:pPr>
              <w:spacing w:before="40" w:after="80"/>
              <w:rPr>
                <w:rFonts w:ascii="Arial Narrow" w:hAnsi="Arial Narrow"/>
              </w:rPr>
            </w:pPr>
            <w:r w:rsidRPr="008B2F8A">
              <w:rPr>
                <w:rFonts w:ascii="Arial Narrow" w:hAnsi="Arial Narrow"/>
              </w:rPr>
              <w:t>Annual digital mammography</w:t>
            </w:r>
          </w:p>
        </w:tc>
        <w:tc>
          <w:tcPr>
            <w:tcW w:w="0" w:type="auto"/>
          </w:tcPr>
          <w:p w14:paraId="0723FEE9" w14:textId="740B43A2" w:rsidR="00E47AB8" w:rsidRPr="008B2F8A" w:rsidRDefault="00E47AB8" w:rsidP="00422306">
            <w:pPr>
              <w:spacing w:before="40" w:after="80"/>
              <w:rPr>
                <w:rFonts w:ascii="Arial Narrow" w:hAnsi="Arial Narrow"/>
              </w:rPr>
            </w:pPr>
            <w:r w:rsidRPr="008B2F8A">
              <w:rPr>
                <w:rFonts w:ascii="Arial Narrow" w:hAnsi="Arial Narrow"/>
              </w:rPr>
              <w:t>Histopathology for all positive tests. Indeterminate findings followed by short-term imaging follow-up</w:t>
            </w:r>
          </w:p>
          <w:p w14:paraId="0AF6DA15" w14:textId="77777777" w:rsidR="00E47AB8" w:rsidRPr="008B2F8A" w:rsidRDefault="00E47AB8" w:rsidP="00422306">
            <w:pPr>
              <w:spacing w:before="40" w:after="80"/>
              <w:rPr>
                <w:rFonts w:ascii="Arial Narrow" w:hAnsi="Arial Narrow"/>
              </w:rPr>
            </w:pPr>
            <w:r w:rsidRPr="008B2F8A">
              <w:rPr>
                <w:rFonts w:ascii="Arial Narrow" w:hAnsi="Arial Narrow"/>
              </w:rPr>
              <w:t>Film review of interval cancers NR</w:t>
            </w:r>
          </w:p>
        </w:tc>
        <w:tc>
          <w:tcPr>
            <w:tcW w:w="0" w:type="auto"/>
          </w:tcPr>
          <w:p w14:paraId="3B191C44" w14:textId="77777777" w:rsidR="00E47AB8" w:rsidRPr="008B2F8A" w:rsidRDefault="00E47AB8" w:rsidP="00422306">
            <w:pPr>
              <w:spacing w:before="40" w:after="80"/>
              <w:rPr>
                <w:rFonts w:ascii="Arial Narrow" w:hAnsi="Arial Narrow"/>
              </w:rPr>
            </w:pPr>
            <w:r w:rsidRPr="008B2F8A">
              <w:rPr>
                <w:rFonts w:ascii="Arial Narrow" w:hAnsi="Arial Narrow"/>
              </w:rPr>
              <w:t>Sens/Spec</w:t>
            </w:r>
          </w:p>
        </w:tc>
      </w:tr>
      <w:tr w:rsidR="00E47AB8" w:rsidRPr="008B2F8A" w14:paraId="1F0B441D" w14:textId="77777777" w:rsidTr="00B17898">
        <w:tc>
          <w:tcPr>
            <w:tcW w:w="923" w:type="dxa"/>
          </w:tcPr>
          <w:p w14:paraId="2ED2ED09" w14:textId="6F2E901D" w:rsidR="00E47AB8" w:rsidRPr="008B2F8A" w:rsidRDefault="00E47AB8" w:rsidP="00422306">
            <w:pPr>
              <w:spacing w:before="40" w:after="80"/>
              <w:rPr>
                <w:rFonts w:ascii="Arial Narrow" w:hAnsi="Arial Narrow"/>
              </w:rPr>
            </w:pPr>
            <w:r>
              <w:rPr>
                <w:rFonts w:ascii="Arial Narrow" w:hAnsi="Arial Narrow"/>
              </w:rPr>
              <w:t>Sung et al, 2011</w:t>
            </w:r>
          </w:p>
        </w:tc>
        <w:tc>
          <w:tcPr>
            <w:tcW w:w="2229" w:type="dxa"/>
          </w:tcPr>
          <w:p w14:paraId="6CDC498F" w14:textId="77777777" w:rsidR="00E47AB8" w:rsidRPr="008B2F8A" w:rsidRDefault="00E47AB8" w:rsidP="00422306">
            <w:pPr>
              <w:spacing w:before="40" w:after="80"/>
              <w:rPr>
                <w:rFonts w:ascii="Arial Narrow" w:hAnsi="Arial Narrow"/>
              </w:rPr>
            </w:pPr>
            <w:r w:rsidRPr="008B2F8A">
              <w:rPr>
                <w:rFonts w:ascii="Arial Narrow" w:hAnsi="Arial Narrow"/>
              </w:rPr>
              <w:t>Diagnostic accuracy</w:t>
            </w:r>
          </w:p>
          <w:p w14:paraId="59FEE43D" w14:textId="77777777" w:rsidR="00E47AB8" w:rsidRPr="008B2F8A" w:rsidRDefault="00E47AB8" w:rsidP="00422306">
            <w:pPr>
              <w:spacing w:before="40" w:after="80"/>
              <w:rPr>
                <w:rFonts w:ascii="Arial Narrow" w:hAnsi="Arial Narrow"/>
              </w:rPr>
            </w:pPr>
            <w:r w:rsidRPr="008B2F8A">
              <w:rPr>
                <w:rFonts w:ascii="Arial Narrow" w:hAnsi="Arial Narrow"/>
              </w:rPr>
              <w:t>Retrospective</w:t>
            </w:r>
          </w:p>
          <w:p w14:paraId="2286EA94" w14:textId="77777777" w:rsidR="00E47AB8" w:rsidRPr="008B2F8A" w:rsidRDefault="00E47AB8" w:rsidP="00422306">
            <w:pPr>
              <w:spacing w:before="40" w:after="80"/>
              <w:rPr>
                <w:rFonts w:ascii="Arial Narrow" w:hAnsi="Arial Narrow"/>
              </w:rPr>
            </w:pPr>
            <w:r w:rsidRPr="008B2F8A">
              <w:rPr>
                <w:rFonts w:ascii="Arial Narrow" w:hAnsi="Arial Narrow"/>
              </w:rPr>
              <w:t>Consecutive recruitment NR</w:t>
            </w:r>
          </w:p>
          <w:p w14:paraId="2CE1F141" w14:textId="77777777" w:rsidR="00E47AB8" w:rsidRPr="008B2F8A" w:rsidRDefault="00E47AB8" w:rsidP="00422306">
            <w:pPr>
              <w:spacing w:before="40" w:after="80"/>
              <w:rPr>
                <w:rFonts w:ascii="Arial Narrow" w:hAnsi="Arial Narrow"/>
              </w:rPr>
            </w:pPr>
            <w:r w:rsidRPr="008B2F8A">
              <w:rPr>
                <w:rFonts w:ascii="Arial Narrow" w:hAnsi="Arial Narrow"/>
              </w:rPr>
              <w:t>Level III-2</w:t>
            </w:r>
          </w:p>
        </w:tc>
        <w:tc>
          <w:tcPr>
            <w:tcW w:w="994" w:type="dxa"/>
          </w:tcPr>
          <w:p w14:paraId="72F11B02" w14:textId="77777777" w:rsidR="00E47AB8" w:rsidRPr="008B2F8A" w:rsidRDefault="00E47AB8" w:rsidP="00422306">
            <w:pPr>
              <w:spacing w:before="40" w:after="80"/>
              <w:rPr>
                <w:rFonts w:ascii="Arial Narrow" w:hAnsi="Arial Narrow"/>
              </w:rPr>
            </w:pPr>
            <w:r w:rsidRPr="008B2F8A">
              <w:rPr>
                <w:rFonts w:ascii="Arial Narrow" w:hAnsi="Arial Narrow"/>
              </w:rPr>
              <w:t>MRI</w:t>
            </w:r>
          </w:p>
          <w:p w14:paraId="26A6181C" w14:textId="685BA8E3" w:rsidR="00E47AB8" w:rsidRPr="008B2F8A" w:rsidRDefault="00E47AB8" w:rsidP="00422306">
            <w:pPr>
              <w:spacing w:before="40" w:after="80"/>
              <w:rPr>
                <w:rFonts w:ascii="Arial Narrow" w:hAnsi="Arial Narrow"/>
              </w:rPr>
            </w:pPr>
            <w:r w:rsidRPr="008B2F8A">
              <w:rPr>
                <w:rFonts w:ascii="Arial Narrow" w:hAnsi="Arial Narrow"/>
              </w:rPr>
              <w:t>1.5 or 3.0 T magnet</w:t>
            </w:r>
          </w:p>
        </w:tc>
        <w:tc>
          <w:tcPr>
            <w:tcW w:w="1255" w:type="dxa"/>
          </w:tcPr>
          <w:p w14:paraId="4CF7B1BA" w14:textId="77777777" w:rsidR="00E47AB8" w:rsidRPr="008B2F8A" w:rsidRDefault="00E47AB8" w:rsidP="00422306">
            <w:pPr>
              <w:spacing w:before="40" w:after="80"/>
              <w:rPr>
                <w:rFonts w:ascii="Arial Narrow" w:hAnsi="Arial Narrow"/>
              </w:rPr>
            </w:pPr>
            <w:r w:rsidRPr="008B2F8A">
              <w:rPr>
                <w:rFonts w:ascii="Arial Narrow" w:hAnsi="Arial Narrow"/>
              </w:rPr>
              <w:t>Mammography (Film or digital NR)</w:t>
            </w:r>
          </w:p>
        </w:tc>
        <w:tc>
          <w:tcPr>
            <w:tcW w:w="0" w:type="auto"/>
          </w:tcPr>
          <w:p w14:paraId="556A1851" w14:textId="60713996" w:rsidR="00E47AB8" w:rsidRPr="008B2F8A" w:rsidRDefault="00E47AB8" w:rsidP="00422306">
            <w:pPr>
              <w:spacing w:before="40" w:after="80"/>
              <w:rPr>
                <w:rFonts w:ascii="Arial Narrow" w:hAnsi="Arial Narrow"/>
              </w:rPr>
            </w:pPr>
            <w:r w:rsidRPr="008B2F8A">
              <w:rPr>
                <w:rFonts w:ascii="Arial Narrow" w:hAnsi="Arial Narrow"/>
              </w:rPr>
              <w:t>Histopathology for all positive tests. Indeterminate findings followed by short-term imaging follow-up</w:t>
            </w:r>
          </w:p>
          <w:p w14:paraId="6233BCE8" w14:textId="77777777" w:rsidR="00E47AB8" w:rsidRPr="008B2F8A" w:rsidRDefault="00E47AB8" w:rsidP="00422306">
            <w:pPr>
              <w:spacing w:before="40" w:after="80"/>
              <w:rPr>
                <w:rFonts w:ascii="Arial Narrow" w:hAnsi="Arial Narrow"/>
              </w:rPr>
            </w:pPr>
            <w:r w:rsidRPr="008B2F8A">
              <w:rPr>
                <w:rFonts w:ascii="Arial Narrow" w:hAnsi="Arial Narrow"/>
              </w:rPr>
              <w:t>Film review of interval cancers NR</w:t>
            </w:r>
          </w:p>
        </w:tc>
        <w:tc>
          <w:tcPr>
            <w:tcW w:w="0" w:type="auto"/>
          </w:tcPr>
          <w:p w14:paraId="75E2F62E" w14:textId="77777777" w:rsidR="00E47AB8" w:rsidRPr="008B2F8A" w:rsidRDefault="00E47AB8" w:rsidP="00422306">
            <w:pPr>
              <w:spacing w:before="40" w:after="80"/>
              <w:rPr>
                <w:rFonts w:ascii="Arial Narrow" w:hAnsi="Arial Narrow"/>
              </w:rPr>
            </w:pPr>
            <w:r w:rsidRPr="008B2F8A">
              <w:rPr>
                <w:rFonts w:ascii="Arial Narrow" w:hAnsi="Arial Narrow"/>
              </w:rPr>
              <w:t>Sens/Spec</w:t>
            </w:r>
          </w:p>
        </w:tc>
      </w:tr>
    </w:tbl>
    <w:p w14:paraId="0E40DAB0" w14:textId="77777777" w:rsidR="00E47AB8" w:rsidRPr="008B2F8A" w:rsidRDefault="00E47AB8" w:rsidP="00B17898">
      <w:pPr>
        <w:pStyle w:val="TableNotesLast"/>
      </w:pPr>
      <w:r w:rsidRPr="008B2F8A">
        <w:t xml:space="preserve">NR = not reported; MRI = magnetic resonance imaging; </w:t>
      </w:r>
      <w:bookmarkStart w:id="778" w:name="OLE_LINK495"/>
      <w:bookmarkStart w:id="779" w:name="OLE_LINK496"/>
      <w:r w:rsidRPr="008B2F8A">
        <w:t>Sens = sensitivity; Spec = specificity</w:t>
      </w:r>
      <w:bookmarkEnd w:id="778"/>
      <w:bookmarkEnd w:id="779"/>
      <w:r w:rsidRPr="008B2F8A">
        <w:t>.</w:t>
      </w:r>
    </w:p>
    <w:p w14:paraId="691256B8" w14:textId="77777777" w:rsidR="00E47AB8" w:rsidRPr="008B2F8A" w:rsidRDefault="00E47AB8" w:rsidP="00E47AB8">
      <w:pPr>
        <w:pStyle w:val="Heading2"/>
      </w:pPr>
      <w:bookmarkStart w:id="780" w:name="_Toc383424464"/>
      <w:r w:rsidRPr="008B2F8A">
        <w:t>Review of interim items</w:t>
      </w:r>
      <w:bookmarkEnd w:id="692"/>
      <w:bookmarkEnd w:id="780"/>
    </w:p>
    <w:p w14:paraId="7F95C74D" w14:textId="77777777" w:rsidR="00E47AB8" w:rsidRPr="008B2F8A" w:rsidRDefault="00E47AB8" w:rsidP="00E47AB8">
      <w:pPr>
        <w:pStyle w:val="Heading3"/>
        <w:numPr>
          <w:ilvl w:val="2"/>
          <w:numId w:val="42"/>
        </w:numPr>
      </w:pPr>
      <w:bookmarkStart w:id="781" w:name="_Toc383424465"/>
      <w:r w:rsidRPr="008B2F8A">
        <w:t>Systematic review and HTA findings</w:t>
      </w:r>
      <w:bookmarkEnd w:id="781"/>
    </w:p>
    <w:p w14:paraId="300BDBD8" w14:textId="47740D87" w:rsidR="00E47AB8" w:rsidRPr="008B2F8A" w:rsidRDefault="00E47AB8" w:rsidP="00422306">
      <w:r w:rsidRPr="008B2F8A">
        <w:t xml:space="preserve">The conclusions and recommendations from MSAC </w:t>
      </w:r>
      <w:r w:rsidRPr="008B2F8A">
        <w:rPr>
          <w:noProof/>
        </w:rPr>
        <w:t>(2006)</w:t>
      </w:r>
      <w:r w:rsidRPr="008B2F8A">
        <w:t>, the two recent included HTAs</w:t>
      </w:r>
      <w:r>
        <w:t>,</w:t>
      </w:r>
      <w:r w:rsidRPr="008B2F8A">
        <w:t xml:space="preserve"> the NICE (2013) guidelines and the HIQA (2013) review are summarised in </w:t>
      </w:r>
      <w:r w:rsidRPr="008B2F8A">
        <w:fldChar w:fldCharType="begin"/>
      </w:r>
      <w:r w:rsidRPr="008B2F8A">
        <w:instrText xml:space="preserve"> REF _Ref368310429 \h </w:instrText>
      </w:r>
      <w:r w:rsidRPr="008B2F8A">
        <w:fldChar w:fldCharType="separate"/>
      </w:r>
      <w:r w:rsidR="00B81273" w:rsidRPr="008B2F8A">
        <w:t xml:space="preserve">Table </w:t>
      </w:r>
      <w:r w:rsidR="00B81273">
        <w:rPr>
          <w:noProof/>
        </w:rPr>
        <w:t>B</w:t>
      </w:r>
      <w:r w:rsidR="00B81273" w:rsidRPr="008B2F8A">
        <w:t>.</w:t>
      </w:r>
      <w:r w:rsidR="00B81273">
        <w:rPr>
          <w:noProof/>
        </w:rPr>
        <w:t>24</w:t>
      </w:r>
      <w:r w:rsidRPr="008B2F8A">
        <w:fldChar w:fldCharType="end"/>
      </w:r>
      <w:r w:rsidRPr="008B2F8A">
        <w:t xml:space="preserve">. Although the MSAC </w:t>
      </w:r>
      <w:r w:rsidRPr="008B2F8A">
        <w:lastRenderedPageBreak/>
        <w:t>review was conducted in 2006, the overall body of evidence is largely unchanged</w:t>
      </w:r>
      <w:r>
        <w:t>,</w:t>
      </w:r>
      <w:r w:rsidRPr="008B2F8A">
        <w:t xml:space="preserve"> and the 2013 reviews considered the same key studies with some differences due to different inclusion criteria.</w:t>
      </w:r>
    </w:p>
    <w:p w14:paraId="51FDC582" w14:textId="77777777" w:rsidR="00E47AB8" w:rsidRPr="008B2F8A" w:rsidRDefault="00E47AB8" w:rsidP="00422306">
      <w:pPr>
        <w:pStyle w:val="Caption"/>
      </w:pPr>
      <w:bookmarkStart w:id="782" w:name="_Ref368310429"/>
      <w:bookmarkStart w:id="783" w:name="_Toc383424590"/>
      <w:r w:rsidRPr="008B2F8A">
        <w:t xml:space="preserve">Table </w:t>
      </w:r>
      <w:fldSimple w:instr=" STYLEREF 1 \s ">
        <w:r w:rsidR="00B81273">
          <w:rPr>
            <w:noProof/>
          </w:rPr>
          <w:t>B</w:t>
        </w:r>
      </w:fldSimple>
      <w:r w:rsidRPr="008B2F8A">
        <w:t>.</w:t>
      </w:r>
      <w:fldSimple w:instr=" SEQ Table \* ARABIC \s 1 ">
        <w:r w:rsidR="00B81273">
          <w:rPr>
            <w:noProof/>
          </w:rPr>
          <w:t>24</w:t>
        </w:r>
      </w:fldSimple>
      <w:bookmarkEnd w:id="782"/>
      <w:r w:rsidRPr="008B2F8A">
        <w:tab/>
      </w:r>
      <w:bookmarkStart w:id="784" w:name="OLE_LINK1029"/>
      <w:bookmarkStart w:id="785" w:name="OLE_LINK1030"/>
      <w:r w:rsidRPr="008B2F8A">
        <w:t>Conclusions and recommendations for included systematic reviews</w:t>
      </w:r>
      <w:bookmarkEnd w:id="784"/>
      <w:bookmarkEnd w:id="785"/>
      <w:r w:rsidRPr="008B2F8A">
        <w:t>.</w:t>
      </w:r>
      <w:bookmarkEnd w:id="783"/>
    </w:p>
    <w:tbl>
      <w:tblPr>
        <w:tblStyle w:val="TableGrid"/>
        <w:tblW w:w="9070" w:type="dxa"/>
        <w:tblCellMar>
          <w:left w:w="28" w:type="dxa"/>
          <w:right w:w="28" w:type="dxa"/>
        </w:tblCellMar>
        <w:tblLook w:val="04A0" w:firstRow="1" w:lastRow="0" w:firstColumn="1" w:lastColumn="0" w:noHBand="0" w:noVBand="1"/>
        <w:tblCaption w:val="Conclusions and recommendations for included systematic reviews"/>
      </w:tblPr>
      <w:tblGrid>
        <w:gridCol w:w="5287"/>
        <w:gridCol w:w="3783"/>
      </w:tblGrid>
      <w:tr w:rsidR="0093326E" w:rsidRPr="008B2F8A" w14:paraId="06009E58" w14:textId="77777777" w:rsidTr="0093326E">
        <w:trPr>
          <w:tblHeader/>
        </w:trPr>
        <w:tc>
          <w:tcPr>
            <w:tcW w:w="4940" w:type="dxa"/>
          </w:tcPr>
          <w:p w14:paraId="7A926F86" w14:textId="77777777" w:rsidR="0093326E" w:rsidRPr="008B2F8A" w:rsidRDefault="0093326E" w:rsidP="00422306">
            <w:pPr>
              <w:keepNext/>
              <w:spacing w:before="40" w:after="80"/>
              <w:rPr>
                <w:rFonts w:ascii="Arial Narrow" w:hAnsi="Arial Narrow"/>
                <w:b/>
              </w:rPr>
            </w:pPr>
            <w:r w:rsidRPr="008B2F8A">
              <w:rPr>
                <w:rFonts w:ascii="Arial Narrow" w:hAnsi="Arial Narrow"/>
                <w:b/>
              </w:rPr>
              <w:t>Conclusions</w:t>
            </w:r>
          </w:p>
        </w:tc>
        <w:tc>
          <w:tcPr>
            <w:tcW w:w="3534" w:type="dxa"/>
          </w:tcPr>
          <w:p w14:paraId="5ECD5346" w14:textId="77777777" w:rsidR="0093326E" w:rsidRPr="008B2F8A" w:rsidRDefault="0093326E" w:rsidP="00422306">
            <w:pPr>
              <w:keepNext/>
              <w:spacing w:before="40" w:after="80"/>
              <w:rPr>
                <w:rFonts w:ascii="Arial Narrow" w:hAnsi="Arial Narrow"/>
                <w:b/>
              </w:rPr>
            </w:pPr>
            <w:r w:rsidRPr="008B2F8A">
              <w:rPr>
                <w:rFonts w:ascii="Arial Narrow" w:hAnsi="Arial Narrow"/>
                <w:b/>
              </w:rPr>
              <w:t>Recommendations</w:t>
            </w:r>
          </w:p>
        </w:tc>
      </w:tr>
      <w:tr w:rsidR="0093326E" w:rsidRPr="008B2F8A" w14:paraId="2CAD0D60" w14:textId="77777777" w:rsidTr="0093326E">
        <w:tc>
          <w:tcPr>
            <w:tcW w:w="4940" w:type="dxa"/>
          </w:tcPr>
          <w:p w14:paraId="49D854F4" w14:textId="662AE837" w:rsidR="0093326E" w:rsidRPr="008B2F8A" w:rsidRDefault="0093326E" w:rsidP="00422306">
            <w:pPr>
              <w:keepNext/>
              <w:spacing w:before="40" w:after="80"/>
              <w:rPr>
                <w:rFonts w:ascii="Arial Narrow" w:hAnsi="Arial Narrow"/>
                <w:b/>
              </w:rPr>
            </w:pPr>
            <w:r>
              <w:rPr>
                <w:rFonts w:ascii="Arial Narrow" w:hAnsi="Arial Narrow"/>
              </w:rPr>
              <w:t>MSAC, 2006</w:t>
            </w:r>
          </w:p>
        </w:tc>
        <w:tc>
          <w:tcPr>
            <w:tcW w:w="3534" w:type="dxa"/>
          </w:tcPr>
          <w:p w14:paraId="0B3FE125" w14:textId="77777777" w:rsidR="0093326E" w:rsidRPr="008B2F8A" w:rsidRDefault="0093326E" w:rsidP="00422306">
            <w:pPr>
              <w:keepNext/>
              <w:spacing w:before="40" w:after="80"/>
              <w:rPr>
                <w:rFonts w:ascii="Arial Narrow" w:hAnsi="Arial Narrow"/>
                <w:b/>
              </w:rPr>
            </w:pPr>
          </w:p>
        </w:tc>
      </w:tr>
      <w:tr w:rsidR="0093326E" w:rsidRPr="008B2F8A" w14:paraId="1B31974B" w14:textId="77777777" w:rsidTr="0093326E">
        <w:tc>
          <w:tcPr>
            <w:tcW w:w="4940" w:type="dxa"/>
          </w:tcPr>
          <w:p w14:paraId="55A4AB41" w14:textId="522F69A5" w:rsidR="0093326E" w:rsidRPr="008B2F8A" w:rsidRDefault="0093326E" w:rsidP="00422306">
            <w:pPr>
              <w:spacing w:before="40" w:after="80"/>
              <w:rPr>
                <w:rFonts w:ascii="Arial Narrow" w:hAnsi="Arial Narrow"/>
              </w:rPr>
            </w:pPr>
            <w:r w:rsidRPr="008B2F8A">
              <w:rPr>
                <w:rFonts w:ascii="Arial Narrow" w:hAnsi="Arial Narrow"/>
              </w:rPr>
              <w:t xml:space="preserve">Overall, this review provides strong evidence that breast MRI is a safe test that offers a 160% increase in the detection of breast cancer in young high-risk women over mammography alone. It also produces a 200% increase in the rate of investigations for false-positive findings. However, owing to the lack of clinical evidence to determine the health benefits gained by earlier detection in this population and uncertainty about the applicability of estimates of cost-effectiveness derived from a US economic model, </w:t>
            </w:r>
            <w:r>
              <w:rPr>
                <w:rFonts w:ascii="Arial Narrow" w:hAnsi="Arial Narrow"/>
              </w:rPr>
              <w:t>it</w:t>
            </w:r>
            <w:r w:rsidRPr="008B2F8A">
              <w:rPr>
                <w:rFonts w:ascii="Arial Narrow" w:hAnsi="Arial Narrow"/>
              </w:rPr>
              <w:t xml:space="preserve"> does not provide adequate evidence to determine the potential effectiveness and cost-effectiveness of adopting breast MRI in Australia.</w:t>
            </w:r>
          </w:p>
          <w:p w14:paraId="294AB1BC" w14:textId="720BA3C3" w:rsidR="0093326E" w:rsidRPr="008B2F8A" w:rsidRDefault="0093326E" w:rsidP="00B17898">
            <w:pPr>
              <w:spacing w:before="40" w:after="80"/>
              <w:rPr>
                <w:rFonts w:ascii="Arial Narrow" w:hAnsi="Arial Narrow"/>
                <w:color w:val="000000"/>
                <w:lang w:eastAsia="en-US"/>
              </w:rPr>
            </w:pPr>
            <w:r w:rsidRPr="008B2F8A">
              <w:rPr>
                <w:rFonts w:ascii="Arial Narrow" w:hAnsi="Arial Narrow"/>
              </w:rPr>
              <w:t>Other factors that may influence a decision to support funding for breast MRI for the surveillance of young high-risk women include judg</w:t>
            </w:r>
            <w:r>
              <w:rPr>
                <w:rFonts w:ascii="Arial Narrow" w:hAnsi="Arial Narrow"/>
              </w:rPr>
              <w:t>ing</w:t>
            </w:r>
            <w:r w:rsidRPr="008B2F8A">
              <w:rPr>
                <w:rFonts w:ascii="Arial Narrow" w:hAnsi="Arial Narrow"/>
              </w:rPr>
              <w:t xml:space="preserve"> the validity of linking evidence of mortality reduction from the early detection of breast cancer from screening trials in average-risk women </w:t>
            </w:r>
            <w:r>
              <w:rPr>
                <w:rFonts w:ascii="Arial Narrow" w:hAnsi="Arial Narrow"/>
              </w:rPr>
              <w:t>&gt;</w:t>
            </w:r>
            <w:r w:rsidRPr="008B2F8A">
              <w:rPr>
                <w:rFonts w:ascii="Arial Narrow" w:hAnsi="Arial Narrow"/>
              </w:rPr>
              <w:t>50 years to the early detection of breast cancer in younger high-risk women; the ethics and feasibility of conducting a trial to quantify these health benefits; the estimated total costs of introducing breast MRI; and the availability of facilities with appropriate expertise and equitable access to services.</w:t>
            </w:r>
          </w:p>
        </w:tc>
        <w:tc>
          <w:tcPr>
            <w:tcW w:w="3534" w:type="dxa"/>
          </w:tcPr>
          <w:p w14:paraId="319139F6" w14:textId="77777777" w:rsidR="0093326E" w:rsidRPr="008B2F8A" w:rsidRDefault="0093326E" w:rsidP="00422306">
            <w:pPr>
              <w:spacing w:before="40" w:after="80"/>
              <w:rPr>
                <w:rFonts w:ascii="Arial Narrow" w:hAnsi="Arial Narrow"/>
              </w:rPr>
            </w:pPr>
            <w:r w:rsidRPr="008B2F8A">
              <w:rPr>
                <w:rFonts w:ascii="Arial Narrow" w:hAnsi="Arial Narrow"/>
              </w:rPr>
              <w:t>Breast MRI, when combined with mammography, is safe and effective in the diagnosis of breast cancer in asymptomatic women at high risk, when used as part of an organised surveillance program.</w:t>
            </w:r>
          </w:p>
          <w:p w14:paraId="2B6962D7" w14:textId="6A71EDD5" w:rsidR="0093326E" w:rsidRPr="008B2F8A" w:rsidRDefault="0093326E" w:rsidP="00422306">
            <w:pPr>
              <w:spacing w:before="40" w:after="80"/>
              <w:rPr>
                <w:rFonts w:ascii="Arial Narrow" w:hAnsi="Arial Narrow"/>
              </w:rPr>
            </w:pPr>
            <w:r w:rsidRPr="008B2F8A">
              <w:rPr>
                <w:rFonts w:ascii="Arial Narrow" w:hAnsi="Arial Narrow"/>
              </w:rPr>
              <w:t>Evidence suggests that breast MRI in combination with mammography may be cost-effective when compared with mammography alone in high-risk women aged &lt;50 years.</w:t>
            </w:r>
          </w:p>
          <w:p w14:paraId="0501AF18" w14:textId="77777777" w:rsidR="0093326E" w:rsidRPr="008B2F8A" w:rsidRDefault="0093326E" w:rsidP="00422306">
            <w:pPr>
              <w:spacing w:before="40" w:after="80"/>
              <w:rPr>
                <w:rFonts w:ascii="Arial Narrow" w:hAnsi="Arial Narrow"/>
              </w:rPr>
            </w:pPr>
            <w:r w:rsidRPr="008B2F8A">
              <w:rPr>
                <w:rFonts w:ascii="Arial Narrow" w:hAnsi="Arial Narrow"/>
              </w:rPr>
              <w:t>MSAC recommends interim public funding for breast MRI in the diagnosis of breast cancer in asymptomatic women with a high risk of developing breast cancer when used as part of an organised surveillance program.</w:t>
            </w:r>
          </w:p>
          <w:p w14:paraId="2CA6EF28" w14:textId="77777777" w:rsidR="0093326E" w:rsidRPr="008B2F8A" w:rsidRDefault="0093326E" w:rsidP="00422306">
            <w:pPr>
              <w:spacing w:before="40" w:after="80"/>
              <w:rPr>
                <w:rFonts w:ascii="Arial Narrow" w:hAnsi="Arial Narrow"/>
                <w:i/>
              </w:rPr>
            </w:pPr>
            <w:r w:rsidRPr="008B2F8A">
              <w:rPr>
                <w:rFonts w:ascii="Arial Narrow" w:hAnsi="Arial Narrow"/>
              </w:rPr>
              <w:t>Evidence should be reviewed in not less than 3 years.</w:t>
            </w:r>
          </w:p>
        </w:tc>
      </w:tr>
      <w:tr w:rsidR="0093326E" w:rsidRPr="008B2F8A" w14:paraId="698116E7" w14:textId="77777777" w:rsidTr="0093326E">
        <w:tc>
          <w:tcPr>
            <w:tcW w:w="4940" w:type="dxa"/>
          </w:tcPr>
          <w:p w14:paraId="4A6358E6" w14:textId="65C04945" w:rsidR="0093326E" w:rsidRPr="008B2F8A" w:rsidRDefault="0093326E" w:rsidP="00422306">
            <w:pPr>
              <w:spacing w:before="40" w:after="80"/>
              <w:rPr>
                <w:rFonts w:ascii="Arial Narrow" w:hAnsi="Arial Narrow"/>
              </w:rPr>
            </w:pPr>
            <w:r>
              <w:rPr>
                <w:rFonts w:ascii="Arial Narrow" w:hAnsi="Arial Narrow"/>
              </w:rPr>
              <w:t>NICE, 2013</w:t>
            </w:r>
          </w:p>
        </w:tc>
        <w:tc>
          <w:tcPr>
            <w:tcW w:w="3534" w:type="dxa"/>
          </w:tcPr>
          <w:p w14:paraId="60564AD1" w14:textId="77777777" w:rsidR="0093326E" w:rsidRPr="008B2F8A" w:rsidRDefault="0093326E" w:rsidP="00422306">
            <w:pPr>
              <w:spacing w:before="40" w:after="80"/>
              <w:rPr>
                <w:rFonts w:ascii="Arial Narrow" w:hAnsi="Arial Narrow"/>
              </w:rPr>
            </w:pPr>
          </w:p>
        </w:tc>
      </w:tr>
      <w:tr w:rsidR="0093326E" w:rsidRPr="008B2F8A" w14:paraId="432BA96B" w14:textId="77777777" w:rsidTr="0093326E">
        <w:tc>
          <w:tcPr>
            <w:tcW w:w="4940" w:type="dxa"/>
          </w:tcPr>
          <w:p w14:paraId="208362C5" w14:textId="77777777" w:rsidR="0093326E" w:rsidRPr="008B2F8A" w:rsidRDefault="0093326E" w:rsidP="00422306">
            <w:pPr>
              <w:spacing w:before="40" w:after="80"/>
              <w:rPr>
                <w:rFonts w:ascii="Arial Narrow" w:hAnsi="Arial Narrow"/>
              </w:rPr>
            </w:pPr>
            <w:r w:rsidRPr="008B2F8A">
              <w:rPr>
                <w:rFonts w:ascii="Arial Narrow" w:hAnsi="Arial Narrow"/>
              </w:rPr>
              <w:t>Part A:</w:t>
            </w:r>
          </w:p>
          <w:p w14:paraId="6B70D61D" w14:textId="2FBE063B" w:rsidR="0093326E" w:rsidRPr="008B2F8A" w:rsidRDefault="0093326E" w:rsidP="00422306">
            <w:pPr>
              <w:spacing w:before="40" w:after="80"/>
              <w:rPr>
                <w:rFonts w:ascii="Arial Narrow" w:hAnsi="Arial Narrow"/>
              </w:rPr>
            </w:pPr>
            <w:r>
              <w:rPr>
                <w:rFonts w:ascii="Arial Narrow" w:hAnsi="Arial Narrow"/>
              </w:rPr>
              <w:t>Moderate-quality</w:t>
            </w:r>
            <w:r w:rsidRPr="008B2F8A">
              <w:rPr>
                <w:rFonts w:ascii="Arial Narrow" w:hAnsi="Arial Narrow"/>
              </w:rPr>
              <w:t xml:space="preserve"> evidence suggests surveillance using MRI has better sensitivity for breast cancer than mammography, CBE or ultrasound. Surveillance with both MRI and mammography has better sensitivity than either test alone.</w:t>
            </w:r>
          </w:p>
          <w:p w14:paraId="62D2F95D" w14:textId="46B35EE3" w:rsidR="0093326E" w:rsidRPr="008B2F8A" w:rsidRDefault="0093326E" w:rsidP="00422306">
            <w:pPr>
              <w:spacing w:before="40" w:after="80"/>
              <w:rPr>
                <w:rFonts w:ascii="Arial Narrow" w:hAnsi="Arial Narrow"/>
              </w:rPr>
            </w:pPr>
            <w:r w:rsidRPr="008B2F8A">
              <w:rPr>
                <w:rFonts w:ascii="Arial Narrow" w:hAnsi="Arial Narrow"/>
              </w:rPr>
              <w:t xml:space="preserve">The </w:t>
            </w:r>
            <w:bookmarkStart w:id="786" w:name="OLE_LINK804"/>
            <w:bookmarkStart w:id="787" w:name="OLE_LINK805"/>
            <w:r>
              <w:rPr>
                <w:rFonts w:ascii="Arial Narrow" w:hAnsi="Arial Narrow"/>
              </w:rPr>
              <w:t>Warner et al (</w:t>
            </w:r>
            <w:r w:rsidRPr="008B2F8A">
              <w:rPr>
                <w:rFonts w:ascii="Arial Narrow" w:hAnsi="Arial Narrow"/>
              </w:rPr>
              <w:t>2008</w:t>
            </w:r>
            <w:bookmarkEnd w:id="786"/>
            <w:bookmarkEnd w:id="787"/>
            <w:r w:rsidRPr="008B2F8A">
              <w:rPr>
                <w:rFonts w:ascii="Arial Narrow" w:hAnsi="Arial Narrow"/>
              </w:rPr>
              <w:t>) systematic review estimated breast cancer prevalence among high-risk women undergoing surveillance as ~2%. Using their pooled sensitivities and specificities</w:t>
            </w:r>
            <w:r>
              <w:rPr>
                <w:rFonts w:ascii="Arial Narrow" w:hAnsi="Arial Narrow"/>
              </w:rPr>
              <w:t>,</w:t>
            </w:r>
            <w:r w:rsidRPr="008B2F8A">
              <w:rPr>
                <w:rFonts w:ascii="Arial Narrow" w:hAnsi="Arial Narrow"/>
              </w:rPr>
              <w:t xml:space="preserve"> the results from 1000 combined MRI and mammography surveillance tests would include 17 true-positives, 49 false-positives, 931 true-negatives and 3 false-negatives.</w:t>
            </w:r>
          </w:p>
          <w:p w14:paraId="52B5551A" w14:textId="77777777" w:rsidR="0093326E" w:rsidRPr="008B2F8A" w:rsidRDefault="0093326E" w:rsidP="00422306">
            <w:pPr>
              <w:spacing w:before="40" w:after="80"/>
              <w:rPr>
                <w:rFonts w:ascii="Arial Narrow" w:hAnsi="Arial Narrow"/>
              </w:rPr>
            </w:pPr>
            <w:r w:rsidRPr="008B2F8A">
              <w:rPr>
                <w:rFonts w:ascii="Arial Narrow" w:hAnsi="Arial Narrow"/>
              </w:rPr>
              <w:t>Part B:</w:t>
            </w:r>
          </w:p>
          <w:p w14:paraId="118EAB01" w14:textId="69D7DD3A" w:rsidR="0093326E" w:rsidRPr="008B2F8A" w:rsidRDefault="0093326E" w:rsidP="00422306">
            <w:pPr>
              <w:spacing w:before="40" w:after="80"/>
              <w:rPr>
                <w:rFonts w:ascii="Arial Narrow" w:hAnsi="Arial Narrow"/>
              </w:rPr>
            </w:pPr>
            <w:r w:rsidRPr="008B2F8A">
              <w:rPr>
                <w:rFonts w:ascii="Arial Narrow" w:hAnsi="Arial Narrow"/>
              </w:rPr>
              <w:t>Stage at detection: Very low-quality evidence from two studies suggests that invasive breast cancers diagnosed in mammography</w:t>
            </w:r>
            <w:r>
              <w:rPr>
                <w:rFonts w:ascii="Arial Narrow" w:hAnsi="Arial Narrow"/>
              </w:rPr>
              <w:t>-</w:t>
            </w:r>
            <w:r w:rsidRPr="008B2F8A">
              <w:rPr>
                <w:rFonts w:ascii="Arial Narrow" w:hAnsi="Arial Narrow"/>
              </w:rPr>
              <w:t xml:space="preserve">screened women aged ≤50 years with family history of breast cancer are significantly smaller than those </w:t>
            </w:r>
            <w:r w:rsidRPr="008B2F8A">
              <w:rPr>
                <w:rFonts w:ascii="Arial Narrow" w:hAnsi="Arial Narrow"/>
              </w:rPr>
              <w:lastRenderedPageBreak/>
              <w:t>diagnosed in unscreened women of similar age (</w:t>
            </w:r>
            <w:bookmarkStart w:id="788" w:name="OLE_LINK806"/>
            <w:bookmarkStart w:id="789" w:name="OLE_LINK807"/>
            <w:r w:rsidRPr="008B2F8A">
              <w:rPr>
                <w:rFonts w:ascii="Arial Narrow" w:hAnsi="Arial Narrow"/>
              </w:rPr>
              <w:t>Maurice et al, 2006; Duffy et al, 2010</w:t>
            </w:r>
            <w:bookmarkEnd w:id="788"/>
            <w:bookmarkEnd w:id="789"/>
            <w:r w:rsidRPr="008B2F8A">
              <w:rPr>
                <w:rFonts w:ascii="Arial Narrow" w:hAnsi="Arial Narrow"/>
              </w:rPr>
              <w:t>). In these two studies</w:t>
            </w:r>
            <w:r>
              <w:rPr>
                <w:rFonts w:ascii="Arial Narrow" w:hAnsi="Arial Narrow"/>
              </w:rPr>
              <w:t>,</w:t>
            </w:r>
            <w:r w:rsidRPr="008B2F8A">
              <w:rPr>
                <w:rFonts w:ascii="Arial Narrow" w:hAnsi="Arial Narrow"/>
              </w:rPr>
              <w:t xml:space="preserve"> 28% to 30% of invasive tumours diagnosed during screening were &gt;2 cm in diameter, compared with 45% to 61% of tumours diagnosed in the unscreened comparison groups. Very low-quality evidence from two studies suggests women aged ≤50 </w:t>
            </w:r>
            <w:r>
              <w:rPr>
                <w:rFonts w:ascii="Arial Narrow" w:hAnsi="Arial Narrow"/>
              </w:rPr>
              <w:t xml:space="preserve">years </w:t>
            </w:r>
            <w:r w:rsidRPr="008B2F8A">
              <w:rPr>
                <w:rFonts w:ascii="Arial Narrow" w:hAnsi="Arial Narrow"/>
              </w:rPr>
              <w:t>with family history of breast cancer whose invasive breast cancer was diagnosed during screening were less likely to have positive nodes at diagnosis than unscreened women of similar age diagnosed with breast cancer (Maurice et al, 2006; Duffy et al, 2010). In these two studies</w:t>
            </w:r>
            <w:r>
              <w:rPr>
                <w:rFonts w:ascii="Arial Narrow" w:hAnsi="Arial Narrow"/>
              </w:rPr>
              <w:t>,</w:t>
            </w:r>
            <w:r w:rsidRPr="008B2F8A">
              <w:rPr>
                <w:rFonts w:ascii="Arial Narrow" w:hAnsi="Arial Narrow"/>
              </w:rPr>
              <w:t xml:space="preserve"> 32% to 34% women diagnosed with invasive breast cancer during screening had positive nodes, compared with 47% to 53% of those diagnosed in the unscreened comparison groups.</w:t>
            </w:r>
          </w:p>
          <w:p w14:paraId="2942EFB3" w14:textId="39DBD34D" w:rsidR="0093326E" w:rsidRPr="008B2F8A" w:rsidRDefault="0093326E" w:rsidP="00422306">
            <w:pPr>
              <w:spacing w:before="40" w:after="80"/>
              <w:rPr>
                <w:rFonts w:ascii="Arial Narrow" w:hAnsi="Arial Narrow"/>
              </w:rPr>
            </w:pPr>
            <w:r w:rsidRPr="008B2F8A">
              <w:rPr>
                <w:rFonts w:ascii="Arial Narrow" w:hAnsi="Arial Narrow"/>
              </w:rPr>
              <w:t>Disease</w:t>
            </w:r>
            <w:r>
              <w:rPr>
                <w:rFonts w:ascii="Arial Narrow" w:hAnsi="Arial Narrow"/>
              </w:rPr>
              <w:t>-</w:t>
            </w:r>
            <w:r w:rsidRPr="008B2F8A">
              <w:rPr>
                <w:rFonts w:ascii="Arial Narrow" w:hAnsi="Arial Narrow"/>
              </w:rPr>
              <w:t>specific survival: Very low-quality evidence suggests a disease</w:t>
            </w:r>
            <w:r>
              <w:rPr>
                <w:rFonts w:ascii="Arial Narrow" w:hAnsi="Arial Narrow"/>
              </w:rPr>
              <w:t>-</w:t>
            </w:r>
            <w:r w:rsidRPr="008B2F8A">
              <w:rPr>
                <w:rFonts w:ascii="Arial Narrow" w:hAnsi="Arial Narrow"/>
              </w:rPr>
              <w:t>specific survival benefit with mammographic surveillance in women aged &lt;50 years with a family history of breast cancer.</w:t>
            </w:r>
            <w:r w:rsidRPr="008B2F8A">
              <w:t xml:space="preserve"> </w:t>
            </w:r>
            <w:r w:rsidRPr="008B2F8A">
              <w:rPr>
                <w:rFonts w:ascii="Arial Narrow" w:hAnsi="Arial Narrow"/>
              </w:rPr>
              <w:t>In Maurice et al (2006)</w:t>
            </w:r>
            <w:r>
              <w:rPr>
                <w:rFonts w:ascii="Arial Narrow" w:hAnsi="Arial Narrow"/>
              </w:rPr>
              <w:t>,</w:t>
            </w:r>
            <w:r w:rsidRPr="008B2F8A">
              <w:rPr>
                <w:rFonts w:ascii="Arial Narrow" w:hAnsi="Arial Narrow"/>
              </w:rPr>
              <w:t xml:space="preserve"> death from breast cancer was less likely in women aged &lt;50 with family history whose breast cancer was diagnosed during mammographic surveillance than in a control group of unscreened women of similar age who developed breast cancer (lead time adjusted HR 0.24 [95% CI 0.09–0.66]). Duffy et al (2010) modelled death from breast cancer in a mammographic surveillance study in women with familial history aged &lt;50 years and a control group from another study, using prognostic features at diagnosis and underlying risk. Projected 10-year death from breast cancer was lower in the mammographic surveillance group than in the control group of unscreened women of similar age </w:t>
            </w:r>
            <w:r>
              <w:rPr>
                <w:rFonts w:ascii="Arial Narrow" w:hAnsi="Arial Narrow"/>
              </w:rPr>
              <w:t>(</w:t>
            </w:r>
            <w:r w:rsidRPr="008B2F8A">
              <w:rPr>
                <w:rFonts w:ascii="Arial Narrow" w:hAnsi="Arial Narrow"/>
              </w:rPr>
              <w:t xml:space="preserve">RR 0.80 </w:t>
            </w:r>
            <w:r>
              <w:rPr>
                <w:rFonts w:ascii="Arial Narrow" w:hAnsi="Arial Narrow"/>
              </w:rPr>
              <w:t>[</w:t>
            </w:r>
            <w:r w:rsidRPr="008B2F8A">
              <w:rPr>
                <w:rFonts w:ascii="Arial Narrow" w:hAnsi="Arial Narrow"/>
              </w:rPr>
              <w:t>95% CI 0.66–0.96</w:t>
            </w:r>
            <w:r>
              <w:rPr>
                <w:rFonts w:ascii="Arial Narrow" w:hAnsi="Arial Narrow"/>
              </w:rPr>
              <w:t>]</w:t>
            </w:r>
            <w:r w:rsidRPr="008B2F8A">
              <w:rPr>
                <w:rFonts w:ascii="Arial Narrow" w:hAnsi="Arial Narrow"/>
              </w:rPr>
              <w:t xml:space="preserve">). In </w:t>
            </w:r>
            <w:bookmarkStart w:id="790" w:name="OLE_LINK808"/>
            <w:bookmarkStart w:id="791" w:name="OLE_LINK809"/>
            <w:r w:rsidRPr="008B2F8A">
              <w:rPr>
                <w:rFonts w:ascii="Arial Narrow" w:hAnsi="Arial Narrow"/>
              </w:rPr>
              <w:t>Maurice et al (2012</w:t>
            </w:r>
            <w:bookmarkEnd w:id="790"/>
            <w:bookmarkEnd w:id="791"/>
            <w:r w:rsidRPr="008B2F8A">
              <w:rPr>
                <w:rFonts w:ascii="Arial Narrow" w:hAnsi="Arial Narrow"/>
              </w:rPr>
              <w:t>)</w:t>
            </w:r>
            <w:r>
              <w:rPr>
                <w:rFonts w:ascii="Arial Narrow" w:hAnsi="Arial Narrow"/>
              </w:rPr>
              <w:t>,</w:t>
            </w:r>
            <w:r w:rsidRPr="008B2F8A">
              <w:rPr>
                <w:rFonts w:ascii="Arial Narrow" w:hAnsi="Arial Narrow"/>
              </w:rPr>
              <w:t xml:space="preserve"> death from any cause was less likely in </w:t>
            </w:r>
            <w:r w:rsidRPr="008B2F8A">
              <w:rPr>
                <w:rFonts w:ascii="Arial Narrow" w:hAnsi="Arial Narrow"/>
                <w:i/>
              </w:rPr>
              <w:t>BRCA1</w:t>
            </w:r>
            <w:r w:rsidRPr="008B2F8A">
              <w:rPr>
                <w:rFonts w:ascii="Arial Narrow" w:hAnsi="Arial Narrow"/>
              </w:rPr>
              <w:t>/</w:t>
            </w:r>
            <w:r w:rsidRPr="008B2F8A">
              <w:rPr>
                <w:rFonts w:ascii="Arial Narrow" w:hAnsi="Arial Narrow"/>
                <w:i/>
              </w:rPr>
              <w:t>2</w:t>
            </w:r>
            <w:r w:rsidRPr="008B2F8A">
              <w:rPr>
                <w:rFonts w:ascii="Arial Narrow" w:hAnsi="Arial Narrow"/>
              </w:rPr>
              <w:t xml:space="preserve"> carriers aged 28</w:t>
            </w:r>
            <w:r>
              <w:rPr>
                <w:rFonts w:ascii="Arial Narrow" w:hAnsi="Arial Narrow"/>
              </w:rPr>
              <w:t>–</w:t>
            </w:r>
            <w:r w:rsidRPr="008B2F8A">
              <w:rPr>
                <w:rFonts w:ascii="Arial Narrow" w:hAnsi="Arial Narrow"/>
              </w:rPr>
              <w:t>77 years diagnosed with breast cancer during an intensive mammographic surveillance program than in those diagnosed outside this program (</w:t>
            </w:r>
            <w:bookmarkStart w:id="792" w:name="OLE_LINK326"/>
            <w:bookmarkStart w:id="793" w:name="OLE_LINK327"/>
            <w:r w:rsidRPr="008B2F8A">
              <w:rPr>
                <w:rFonts w:ascii="Arial Narrow" w:hAnsi="Arial Narrow"/>
              </w:rPr>
              <w:t>HR</w:t>
            </w:r>
            <w:bookmarkEnd w:id="792"/>
            <w:bookmarkEnd w:id="793"/>
            <w:r w:rsidRPr="008B2F8A">
              <w:rPr>
                <w:rFonts w:ascii="Arial Narrow" w:hAnsi="Arial Narrow"/>
              </w:rPr>
              <w:t xml:space="preserve"> 0.44 [95% CI 0.25–0.77]). It was unclear, however, whether this estimate was adjusted for lead time bias.</w:t>
            </w:r>
          </w:p>
          <w:p w14:paraId="07F2718F" w14:textId="5D16B474" w:rsidR="0093326E" w:rsidRPr="008B2F8A" w:rsidRDefault="0093326E" w:rsidP="00422306">
            <w:pPr>
              <w:spacing w:before="40" w:after="80"/>
              <w:rPr>
                <w:rFonts w:ascii="Arial Narrow" w:hAnsi="Arial Narrow"/>
              </w:rPr>
            </w:pPr>
            <w:r w:rsidRPr="008B2F8A">
              <w:rPr>
                <w:rFonts w:ascii="Arial Narrow" w:hAnsi="Arial Narrow"/>
              </w:rPr>
              <w:t>Incidence of breast cancer, incidence of radiation</w:t>
            </w:r>
            <w:r>
              <w:rPr>
                <w:rFonts w:ascii="Arial Narrow" w:hAnsi="Arial Narrow"/>
              </w:rPr>
              <w:t>-</w:t>
            </w:r>
            <w:r w:rsidRPr="008B2F8A">
              <w:rPr>
                <w:rFonts w:ascii="Arial Narrow" w:hAnsi="Arial Narrow"/>
              </w:rPr>
              <w:t>induced breast cancer: Low-quality evidence, from case-control studies (</w:t>
            </w:r>
            <w:bookmarkStart w:id="794" w:name="OLE_LINK810"/>
            <w:bookmarkStart w:id="795" w:name="OLE_LINK811"/>
            <w:r w:rsidRPr="008B2F8A">
              <w:rPr>
                <w:rFonts w:ascii="Arial Narrow" w:hAnsi="Arial Narrow"/>
              </w:rPr>
              <w:t>Jansen</w:t>
            </w:r>
            <w:r w:rsidRPr="00E27701">
              <w:rPr>
                <w:rFonts w:ascii="Arial Narrow" w:hAnsi="Arial Narrow"/>
              </w:rPr>
              <w:t>-van der Weide</w:t>
            </w:r>
            <w:r w:rsidRPr="008B2F8A">
              <w:rPr>
                <w:rFonts w:ascii="Arial Narrow" w:hAnsi="Arial Narrow"/>
              </w:rPr>
              <w:t xml:space="preserve"> et al, 2010</w:t>
            </w:r>
            <w:bookmarkEnd w:id="794"/>
            <w:bookmarkEnd w:id="795"/>
            <w:r w:rsidRPr="008B2F8A">
              <w:rPr>
                <w:rFonts w:ascii="Arial Narrow" w:hAnsi="Arial Narrow"/>
              </w:rPr>
              <w:t>), suggests that exposure to low</w:t>
            </w:r>
            <w:r>
              <w:rPr>
                <w:rFonts w:ascii="Arial Narrow" w:hAnsi="Arial Narrow"/>
              </w:rPr>
              <w:t>-</w:t>
            </w:r>
            <w:r w:rsidRPr="008B2F8A">
              <w:rPr>
                <w:rFonts w:ascii="Arial Narrow" w:hAnsi="Arial Narrow"/>
              </w:rPr>
              <w:t xml:space="preserve">dose radiation during screening mammography or chest x-ray is associated with an increased risk of breast cancer in women with a familial or genetic predisposition, </w:t>
            </w:r>
            <w:bookmarkStart w:id="796" w:name="OLE_LINK328"/>
            <w:bookmarkStart w:id="797" w:name="OLE_LINK329"/>
            <w:r w:rsidRPr="008B2F8A">
              <w:rPr>
                <w:rFonts w:ascii="Arial Narrow" w:hAnsi="Arial Narrow"/>
              </w:rPr>
              <w:t xml:space="preserve">OR </w:t>
            </w:r>
            <w:bookmarkEnd w:id="796"/>
            <w:bookmarkEnd w:id="797"/>
            <w:r w:rsidRPr="008B2F8A">
              <w:rPr>
                <w:rFonts w:ascii="Arial Narrow" w:hAnsi="Arial Narrow"/>
              </w:rPr>
              <w:t>1.3 (95% CI 0.9–1.8). There was evidence of a dose</w:t>
            </w:r>
            <w:r>
              <w:rPr>
                <w:rFonts w:ascii="Arial Narrow" w:hAnsi="Arial Narrow"/>
              </w:rPr>
              <w:t>–</w:t>
            </w:r>
            <w:r w:rsidRPr="008B2F8A">
              <w:rPr>
                <w:rFonts w:ascii="Arial Narrow" w:hAnsi="Arial Narrow"/>
              </w:rPr>
              <w:t>response relationship between low</w:t>
            </w:r>
            <w:r>
              <w:rPr>
                <w:rFonts w:ascii="Arial Narrow" w:hAnsi="Arial Narrow"/>
              </w:rPr>
              <w:t>-</w:t>
            </w:r>
            <w:r w:rsidRPr="008B2F8A">
              <w:rPr>
                <w:rFonts w:ascii="Arial Narrow" w:hAnsi="Arial Narrow"/>
              </w:rPr>
              <w:t>dose radiation and breast cancer in this population: exposure to low</w:t>
            </w:r>
            <w:r>
              <w:rPr>
                <w:rFonts w:ascii="Arial Narrow" w:hAnsi="Arial Narrow"/>
              </w:rPr>
              <w:t>-</w:t>
            </w:r>
            <w:r w:rsidRPr="008B2F8A">
              <w:rPr>
                <w:rFonts w:ascii="Arial Narrow" w:hAnsi="Arial Narrow"/>
              </w:rPr>
              <w:t>dose radiation before the age of 20 years (OR 2.0; 95% CI 1.3–3.1) and ≥5 exposures (OR 1.8; 95% CI 1.1–3.0).</w:t>
            </w:r>
          </w:p>
          <w:p w14:paraId="7AFB3205" w14:textId="6DBE0F17" w:rsidR="0093326E" w:rsidRPr="008B2F8A" w:rsidRDefault="0093326E" w:rsidP="00422306">
            <w:pPr>
              <w:spacing w:before="40" w:after="80"/>
              <w:rPr>
                <w:rFonts w:ascii="Arial Narrow" w:hAnsi="Arial Narrow"/>
              </w:rPr>
            </w:pPr>
            <w:r w:rsidRPr="008B2F8A">
              <w:rPr>
                <w:rFonts w:ascii="Arial Narrow" w:hAnsi="Arial Narrow"/>
              </w:rPr>
              <w:lastRenderedPageBreak/>
              <w:t>Health-related quality of life: Low-quality evidence suggests that screening with biannual CBE, annual mammography, annual MRI, and recommendations for monthly breast self-examination has no unfavourable impact on generic short-term health-related quality of life (</w:t>
            </w:r>
            <w:bookmarkStart w:id="798" w:name="OLE_LINK812"/>
            <w:bookmarkStart w:id="799" w:name="OLE_LINK813"/>
            <w:r w:rsidRPr="008B2F8A">
              <w:rPr>
                <w:rFonts w:ascii="Arial Narrow" w:hAnsi="Arial Narrow"/>
              </w:rPr>
              <w:t>Rijnsburger et al, 2004</w:t>
            </w:r>
            <w:bookmarkEnd w:id="798"/>
            <w:bookmarkEnd w:id="799"/>
            <w:r w:rsidRPr="008B2F8A">
              <w:rPr>
                <w:rFonts w:ascii="Arial Narrow" w:hAnsi="Arial Narrow"/>
              </w:rPr>
              <w:t xml:space="preserve">). Rijnsburger et al (2004) recorded pain, discomfort and anxiety experienced by women at high risk of breast cancer during screening tests. The proportion of women who reported pain was 7% during CBE, 86% during mammography and 12% during MRI; 9% experienced discomfort during CBE, 69% during mammography and 45% during MRI; </w:t>
            </w:r>
            <w:r>
              <w:rPr>
                <w:rFonts w:ascii="Arial Narrow" w:hAnsi="Arial Narrow"/>
              </w:rPr>
              <w:t xml:space="preserve">and </w:t>
            </w:r>
            <w:r w:rsidRPr="008B2F8A">
              <w:rPr>
                <w:rFonts w:ascii="Arial Narrow" w:hAnsi="Arial Narrow"/>
              </w:rPr>
              <w:t>22% experienced anxiety during CBE, 28% during mammography and 37% during MRI.</w:t>
            </w:r>
          </w:p>
        </w:tc>
        <w:tc>
          <w:tcPr>
            <w:tcW w:w="3534" w:type="dxa"/>
          </w:tcPr>
          <w:p w14:paraId="11BAD711" w14:textId="77777777" w:rsidR="0093326E" w:rsidRPr="008B2F8A" w:rsidRDefault="0093326E" w:rsidP="00422306">
            <w:pPr>
              <w:spacing w:before="40" w:after="80"/>
              <w:rPr>
                <w:rFonts w:ascii="Arial Narrow" w:hAnsi="Arial Narrow"/>
                <w:i/>
              </w:rPr>
            </w:pPr>
            <w:r w:rsidRPr="008B2F8A">
              <w:rPr>
                <w:rFonts w:ascii="Arial Narrow" w:hAnsi="Arial Narrow"/>
                <w:i/>
              </w:rPr>
              <w:lastRenderedPageBreak/>
              <w:t>Mammographic surveillance</w:t>
            </w:r>
          </w:p>
          <w:p w14:paraId="47D9545B" w14:textId="77777777" w:rsidR="0093326E" w:rsidRPr="008B2F8A" w:rsidRDefault="0093326E" w:rsidP="00422306">
            <w:pPr>
              <w:spacing w:before="40" w:after="80"/>
              <w:rPr>
                <w:rFonts w:ascii="Arial Narrow" w:hAnsi="Arial Narrow"/>
              </w:rPr>
            </w:pPr>
            <w:r w:rsidRPr="008B2F8A">
              <w:rPr>
                <w:rFonts w:ascii="Arial Narrow" w:hAnsi="Arial Narrow"/>
              </w:rPr>
              <w:t>Offer annual mammographic surveillance to women:</w:t>
            </w:r>
          </w:p>
          <w:p w14:paraId="77861533" w14:textId="77777777" w:rsidR="0093326E" w:rsidRPr="008B2F8A" w:rsidRDefault="0093326E" w:rsidP="00E47AB8">
            <w:pPr>
              <w:pStyle w:val="ListParagraph"/>
              <w:numPr>
                <w:ilvl w:val="0"/>
                <w:numId w:val="33"/>
              </w:numPr>
              <w:spacing w:before="40" w:after="80"/>
              <w:ind w:left="182" w:hanging="182"/>
              <w:contextualSpacing w:val="0"/>
              <w:rPr>
                <w:rFonts w:ascii="Arial Narrow" w:hAnsi="Arial Narrow"/>
              </w:rPr>
            </w:pPr>
            <w:r w:rsidRPr="008B2F8A">
              <w:rPr>
                <w:rFonts w:ascii="Arial Narrow" w:hAnsi="Arial Narrow"/>
              </w:rPr>
              <w:t>aged 40–49 years at moderate risk of breast cancer</w:t>
            </w:r>
          </w:p>
          <w:p w14:paraId="6DE8462D" w14:textId="0B82C5A6" w:rsidR="0093326E" w:rsidRPr="008B2F8A" w:rsidRDefault="0093326E" w:rsidP="00E47AB8">
            <w:pPr>
              <w:pStyle w:val="ListParagraph"/>
              <w:numPr>
                <w:ilvl w:val="0"/>
                <w:numId w:val="33"/>
              </w:numPr>
              <w:spacing w:before="40" w:after="80"/>
              <w:ind w:left="182" w:hanging="182"/>
              <w:contextualSpacing w:val="0"/>
              <w:rPr>
                <w:rFonts w:ascii="Arial Narrow" w:hAnsi="Arial Narrow"/>
              </w:rPr>
            </w:pPr>
            <w:r w:rsidRPr="008B2F8A">
              <w:rPr>
                <w:rFonts w:ascii="Arial Narrow" w:hAnsi="Arial Narrow"/>
              </w:rPr>
              <w:t xml:space="preserve">aged 40–59 years at high risk of breast cancer but with a </w:t>
            </w:r>
            <w:r>
              <w:rPr>
                <w:rFonts w:ascii="Arial Narrow" w:hAnsi="Arial Narrow"/>
              </w:rPr>
              <w:t>≤</w:t>
            </w:r>
            <w:r w:rsidRPr="008B2F8A">
              <w:rPr>
                <w:rFonts w:ascii="Arial Narrow" w:hAnsi="Arial Narrow"/>
              </w:rPr>
              <w:t xml:space="preserve">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or </w:t>
            </w:r>
            <w:r w:rsidRPr="008B2F8A">
              <w:rPr>
                <w:rFonts w:ascii="Arial Narrow" w:hAnsi="Arial Narrow"/>
                <w:i/>
              </w:rPr>
              <w:t>TP53</w:t>
            </w:r>
            <w:r w:rsidRPr="008B2F8A">
              <w:rPr>
                <w:rFonts w:ascii="Arial Narrow" w:hAnsi="Arial Narrow"/>
              </w:rPr>
              <w:t xml:space="preserve"> carrier</w:t>
            </w:r>
          </w:p>
          <w:p w14:paraId="02D927E9" w14:textId="1F0B1870" w:rsidR="0093326E" w:rsidRPr="008B2F8A" w:rsidRDefault="0093326E" w:rsidP="00E47AB8">
            <w:pPr>
              <w:pStyle w:val="ListParagraph"/>
              <w:numPr>
                <w:ilvl w:val="0"/>
                <w:numId w:val="33"/>
              </w:numPr>
              <w:spacing w:before="40" w:after="80"/>
              <w:ind w:left="182" w:hanging="182"/>
              <w:contextualSpacing w:val="0"/>
              <w:rPr>
                <w:rFonts w:ascii="Arial Narrow" w:hAnsi="Arial Narrow"/>
              </w:rPr>
            </w:pPr>
            <w:r w:rsidRPr="008B2F8A">
              <w:rPr>
                <w:rFonts w:ascii="Arial Narrow" w:hAnsi="Arial Narrow"/>
              </w:rPr>
              <w:t xml:space="preserve">aged 40–59 years who have not had genetic testing but have a &gt;30%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carrier</w:t>
            </w:r>
          </w:p>
          <w:p w14:paraId="5FDCB6FC" w14:textId="77777777" w:rsidR="0093326E" w:rsidRPr="008B2F8A" w:rsidRDefault="0093326E" w:rsidP="00E47AB8">
            <w:pPr>
              <w:pStyle w:val="ListParagraph"/>
              <w:numPr>
                <w:ilvl w:val="0"/>
                <w:numId w:val="33"/>
              </w:numPr>
              <w:spacing w:before="40" w:after="80"/>
              <w:ind w:left="182" w:hanging="182"/>
              <w:contextualSpacing w:val="0"/>
              <w:rPr>
                <w:rFonts w:ascii="Arial Narrow" w:hAnsi="Arial Narrow"/>
              </w:rPr>
            </w:pPr>
            <w:r w:rsidRPr="008B2F8A">
              <w:rPr>
                <w:rFonts w:ascii="Arial Narrow" w:hAnsi="Arial Narrow"/>
              </w:rPr>
              <w:t xml:space="preserve">aged 40–69 years with a known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w:t>
            </w:r>
          </w:p>
          <w:p w14:paraId="3164DB3C" w14:textId="07B547E0" w:rsidR="0093326E" w:rsidRPr="008B2F8A" w:rsidRDefault="0093326E" w:rsidP="00422306">
            <w:pPr>
              <w:spacing w:before="40" w:after="80"/>
              <w:rPr>
                <w:rFonts w:ascii="Arial Narrow" w:hAnsi="Arial Narrow"/>
              </w:rPr>
            </w:pPr>
            <w:r w:rsidRPr="008B2F8A">
              <w:rPr>
                <w:rFonts w:ascii="Arial Narrow" w:hAnsi="Arial Narrow"/>
              </w:rPr>
              <w:t>Offer mammographic surveillance as part of the population screening program to women:</w:t>
            </w:r>
          </w:p>
          <w:p w14:paraId="053B56AE" w14:textId="677C75BF" w:rsidR="0093326E" w:rsidRPr="008B2F8A" w:rsidRDefault="0093326E" w:rsidP="00B17898">
            <w:pPr>
              <w:pStyle w:val="ListParagraph"/>
              <w:numPr>
                <w:ilvl w:val="0"/>
                <w:numId w:val="34"/>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≥50 years who have not had genetic </w:t>
            </w:r>
            <w:r w:rsidRPr="008B2F8A">
              <w:rPr>
                <w:rFonts w:ascii="Arial Narrow" w:hAnsi="Arial Narrow"/>
              </w:rPr>
              <w:lastRenderedPageBreak/>
              <w:t xml:space="preserve">testing but have a &gt;30% </w:t>
            </w:r>
            <w:r>
              <w:rPr>
                <w:rFonts w:ascii="Arial Narrow" w:hAnsi="Arial Narrow"/>
              </w:rPr>
              <w:t>prob.</w:t>
            </w:r>
            <w:r w:rsidRPr="008B2F8A">
              <w:rPr>
                <w:rFonts w:ascii="Arial Narrow" w:hAnsi="Arial Narrow"/>
              </w:rPr>
              <w:t xml:space="preserve"> of being a </w:t>
            </w:r>
            <w:r w:rsidRPr="008B2F8A">
              <w:rPr>
                <w:rFonts w:ascii="Arial Narrow" w:hAnsi="Arial Narrow"/>
                <w:i/>
              </w:rPr>
              <w:t>TP53</w:t>
            </w:r>
            <w:r w:rsidRPr="008B2F8A">
              <w:rPr>
                <w:rFonts w:ascii="Arial Narrow" w:hAnsi="Arial Narrow"/>
              </w:rPr>
              <w:t xml:space="preserve"> carrier</w:t>
            </w:r>
          </w:p>
          <w:p w14:paraId="5079086F" w14:textId="2B0AA8F9" w:rsidR="0093326E" w:rsidRPr="008B2F8A" w:rsidRDefault="0093326E" w:rsidP="00B17898">
            <w:pPr>
              <w:pStyle w:val="ListParagraph"/>
              <w:numPr>
                <w:ilvl w:val="0"/>
                <w:numId w:val="34"/>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≥60 years at high risk of breast cancer but with a </w:t>
            </w:r>
            <w:r>
              <w:rPr>
                <w:rFonts w:ascii="Arial Narrow" w:hAnsi="Arial Narrow"/>
              </w:rPr>
              <w:t>≤</w:t>
            </w:r>
            <w:r w:rsidRPr="008B2F8A">
              <w:rPr>
                <w:rFonts w:ascii="Arial Narrow" w:hAnsi="Arial Narrow"/>
              </w:rPr>
              <w:t xml:space="preserve">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or </w:t>
            </w:r>
            <w:r w:rsidRPr="008B2F8A">
              <w:rPr>
                <w:rFonts w:ascii="Arial Narrow" w:hAnsi="Arial Narrow"/>
                <w:i/>
              </w:rPr>
              <w:t>TP53</w:t>
            </w:r>
            <w:r w:rsidRPr="008B2F8A">
              <w:rPr>
                <w:rFonts w:ascii="Arial Narrow" w:hAnsi="Arial Narrow"/>
              </w:rPr>
              <w:t xml:space="preserve"> carrier</w:t>
            </w:r>
          </w:p>
          <w:p w14:paraId="4E455F24" w14:textId="6B0E17AA" w:rsidR="0093326E" w:rsidRPr="008B2F8A" w:rsidRDefault="0093326E" w:rsidP="00B17898">
            <w:pPr>
              <w:pStyle w:val="ListParagraph"/>
              <w:numPr>
                <w:ilvl w:val="0"/>
                <w:numId w:val="34"/>
              </w:numPr>
              <w:spacing w:before="40" w:after="80"/>
              <w:ind w:left="182" w:hanging="182"/>
              <w:contextualSpacing w:val="0"/>
              <w:rPr>
                <w:rFonts w:ascii="Arial Narrow" w:hAnsi="Arial Narrow"/>
                <w:color w:val="000000"/>
                <w:lang w:eastAsia="en-US"/>
              </w:rPr>
            </w:pPr>
            <w:r w:rsidRPr="008B2F8A">
              <w:rPr>
                <w:rFonts w:ascii="Arial Narrow" w:hAnsi="Arial Narrow"/>
              </w:rPr>
              <w:t>aged ≥60 at moderate risk of breast cancer</w:t>
            </w:r>
          </w:p>
          <w:p w14:paraId="565FD998" w14:textId="251F05BC" w:rsidR="0093326E" w:rsidRPr="008B2F8A" w:rsidRDefault="0093326E" w:rsidP="00B17898">
            <w:pPr>
              <w:pStyle w:val="ListParagraph"/>
              <w:numPr>
                <w:ilvl w:val="0"/>
                <w:numId w:val="34"/>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≥60 years who have not had genetic testing but have a &gt;30%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carrier</w:t>
            </w:r>
          </w:p>
          <w:p w14:paraId="362B7D2D" w14:textId="322BCC0C" w:rsidR="0093326E" w:rsidRPr="008B2F8A" w:rsidRDefault="0093326E" w:rsidP="00B17898">
            <w:pPr>
              <w:pStyle w:val="ListParagraph"/>
              <w:numPr>
                <w:ilvl w:val="0"/>
                <w:numId w:val="34"/>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≥70 years with a known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w:t>
            </w:r>
          </w:p>
          <w:p w14:paraId="3D6E02D6" w14:textId="77777777" w:rsidR="0093326E" w:rsidRPr="008B2F8A" w:rsidRDefault="0093326E" w:rsidP="00422306">
            <w:pPr>
              <w:spacing w:before="40" w:after="80"/>
              <w:rPr>
                <w:rFonts w:ascii="Arial Narrow" w:hAnsi="Arial Narrow"/>
              </w:rPr>
            </w:pPr>
            <w:r w:rsidRPr="008B2F8A">
              <w:rPr>
                <w:rFonts w:ascii="Arial Narrow" w:hAnsi="Arial Narrow"/>
              </w:rPr>
              <w:t>Consider annual mammographic surveillance for women:</w:t>
            </w:r>
          </w:p>
          <w:p w14:paraId="406F9D44" w14:textId="097D168A" w:rsidR="0093326E" w:rsidRPr="008B2F8A" w:rsidRDefault="0093326E" w:rsidP="00B17898">
            <w:pPr>
              <w:pStyle w:val="ListParagraph"/>
              <w:numPr>
                <w:ilvl w:val="0"/>
                <w:numId w:val="35"/>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30–39 years at high risk of breast cancer but with a </w:t>
            </w:r>
            <w:r>
              <w:rPr>
                <w:rFonts w:ascii="Arial Narrow" w:hAnsi="Arial Narrow"/>
              </w:rPr>
              <w:t>≤</w:t>
            </w:r>
            <w:r w:rsidRPr="008B2F8A">
              <w:rPr>
                <w:rFonts w:ascii="Arial Narrow" w:hAnsi="Arial Narrow"/>
              </w:rPr>
              <w:t xml:space="preserve">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or </w:t>
            </w:r>
            <w:r w:rsidRPr="008B2F8A">
              <w:rPr>
                <w:rFonts w:ascii="Arial Narrow" w:hAnsi="Arial Narrow"/>
                <w:i/>
              </w:rPr>
              <w:t>TP53</w:t>
            </w:r>
            <w:r w:rsidRPr="008B2F8A">
              <w:rPr>
                <w:rFonts w:ascii="Arial Narrow" w:hAnsi="Arial Narrow"/>
              </w:rPr>
              <w:t xml:space="preserve"> carrier</w:t>
            </w:r>
          </w:p>
          <w:p w14:paraId="14F10529" w14:textId="229184AA" w:rsidR="0093326E" w:rsidRPr="008B2F8A" w:rsidRDefault="0093326E" w:rsidP="00B17898">
            <w:pPr>
              <w:pStyle w:val="ListParagraph"/>
              <w:numPr>
                <w:ilvl w:val="0"/>
                <w:numId w:val="35"/>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30–39 years who have not had genetic testing but have a &gt;30%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carrier</w:t>
            </w:r>
          </w:p>
          <w:p w14:paraId="7D5FA5FF" w14:textId="77777777" w:rsidR="0093326E" w:rsidRPr="008B2F8A" w:rsidRDefault="0093326E" w:rsidP="00B17898">
            <w:pPr>
              <w:pStyle w:val="ListParagraph"/>
              <w:numPr>
                <w:ilvl w:val="0"/>
                <w:numId w:val="35"/>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30–39 years with a known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w:t>
            </w:r>
          </w:p>
          <w:p w14:paraId="59701901" w14:textId="77777777" w:rsidR="0093326E" w:rsidRPr="008B2F8A" w:rsidRDefault="0093326E" w:rsidP="00B17898">
            <w:pPr>
              <w:pStyle w:val="ListParagraph"/>
              <w:numPr>
                <w:ilvl w:val="0"/>
                <w:numId w:val="35"/>
              </w:numPr>
              <w:spacing w:before="40" w:after="80"/>
              <w:ind w:left="182" w:hanging="182"/>
              <w:contextualSpacing w:val="0"/>
              <w:rPr>
                <w:rFonts w:ascii="Arial Narrow" w:hAnsi="Arial Narrow"/>
                <w:color w:val="000000"/>
                <w:lang w:eastAsia="en-US"/>
              </w:rPr>
            </w:pPr>
            <w:r w:rsidRPr="008B2F8A">
              <w:rPr>
                <w:rFonts w:ascii="Arial Narrow" w:hAnsi="Arial Narrow"/>
              </w:rPr>
              <w:t>aged 50–59 years at moderate risk of breast cancer.</w:t>
            </w:r>
          </w:p>
          <w:p w14:paraId="3C7C0E76" w14:textId="77777777" w:rsidR="0093326E" w:rsidRPr="008B2F8A" w:rsidRDefault="0093326E" w:rsidP="00422306">
            <w:pPr>
              <w:spacing w:before="40" w:after="80"/>
              <w:rPr>
                <w:rFonts w:ascii="Arial Narrow" w:hAnsi="Arial Narrow"/>
              </w:rPr>
            </w:pPr>
            <w:r w:rsidRPr="008B2F8A">
              <w:rPr>
                <w:rFonts w:ascii="Arial Narrow" w:hAnsi="Arial Narrow"/>
              </w:rPr>
              <w:t>Do not offer mammographic surveillance to women:</w:t>
            </w:r>
          </w:p>
          <w:p w14:paraId="7E438933" w14:textId="77777777" w:rsidR="0093326E" w:rsidRPr="008B2F8A" w:rsidRDefault="0093326E" w:rsidP="00B17898">
            <w:pPr>
              <w:pStyle w:val="ListParagraph"/>
              <w:numPr>
                <w:ilvl w:val="0"/>
                <w:numId w:val="36"/>
              </w:numPr>
              <w:spacing w:before="40" w:after="80"/>
              <w:ind w:left="182" w:hanging="182"/>
              <w:contextualSpacing w:val="0"/>
              <w:rPr>
                <w:rFonts w:ascii="Arial Narrow" w:hAnsi="Arial Narrow"/>
                <w:color w:val="000000"/>
                <w:lang w:eastAsia="en-US"/>
              </w:rPr>
            </w:pPr>
            <w:r w:rsidRPr="008B2F8A">
              <w:rPr>
                <w:rFonts w:ascii="Arial Narrow" w:hAnsi="Arial Narrow"/>
              </w:rPr>
              <w:t>aged 29 years and under</w:t>
            </w:r>
          </w:p>
          <w:p w14:paraId="7FF35C8A" w14:textId="77777777" w:rsidR="0093326E" w:rsidRPr="008B2F8A" w:rsidRDefault="0093326E" w:rsidP="00B17898">
            <w:pPr>
              <w:pStyle w:val="ListParagraph"/>
              <w:numPr>
                <w:ilvl w:val="0"/>
                <w:numId w:val="36"/>
              </w:numPr>
              <w:spacing w:before="40" w:after="80"/>
              <w:ind w:left="182" w:hanging="182"/>
              <w:contextualSpacing w:val="0"/>
              <w:rPr>
                <w:rFonts w:ascii="Arial Narrow" w:hAnsi="Arial Narrow"/>
                <w:color w:val="000000"/>
                <w:lang w:eastAsia="en-US"/>
              </w:rPr>
            </w:pPr>
            <w:r w:rsidRPr="008B2F8A">
              <w:rPr>
                <w:rFonts w:ascii="Arial Narrow" w:hAnsi="Arial Narrow"/>
              </w:rPr>
              <w:t>aged 30–39 years at moderate risk of breast cancer</w:t>
            </w:r>
          </w:p>
          <w:p w14:paraId="36321371" w14:textId="321763CE" w:rsidR="0093326E" w:rsidRPr="008B2F8A" w:rsidRDefault="0093326E" w:rsidP="00B17898">
            <w:pPr>
              <w:pStyle w:val="ListParagraph"/>
              <w:numPr>
                <w:ilvl w:val="0"/>
                <w:numId w:val="36"/>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30–49 years who have not had genetic testing but have a &gt;30% </w:t>
            </w:r>
            <w:r>
              <w:rPr>
                <w:rFonts w:ascii="Arial Narrow" w:hAnsi="Arial Narrow"/>
              </w:rPr>
              <w:t>prob.</w:t>
            </w:r>
            <w:r w:rsidRPr="008B2F8A">
              <w:rPr>
                <w:rFonts w:ascii="Arial Narrow" w:hAnsi="Arial Narrow"/>
              </w:rPr>
              <w:t xml:space="preserve"> of being a </w:t>
            </w:r>
            <w:r w:rsidRPr="008B2F8A">
              <w:rPr>
                <w:rFonts w:ascii="Arial Narrow" w:hAnsi="Arial Narrow"/>
                <w:i/>
              </w:rPr>
              <w:t>TP53</w:t>
            </w:r>
            <w:r w:rsidRPr="008B2F8A">
              <w:rPr>
                <w:rFonts w:ascii="Arial Narrow" w:hAnsi="Arial Narrow"/>
              </w:rPr>
              <w:t xml:space="preserve"> carrier</w:t>
            </w:r>
          </w:p>
          <w:p w14:paraId="3A20B2E3" w14:textId="77777777" w:rsidR="0093326E" w:rsidRPr="008B2F8A" w:rsidRDefault="0093326E" w:rsidP="00B17898">
            <w:pPr>
              <w:pStyle w:val="ListParagraph"/>
              <w:numPr>
                <w:ilvl w:val="0"/>
                <w:numId w:val="36"/>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of any age with a known </w:t>
            </w:r>
            <w:r w:rsidRPr="008B2F8A">
              <w:rPr>
                <w:rFonts w:ascii="Arial Narrow" w:hAnsi="Arial Narrow"/>
                <w:i/>
              </w:rPr>
              <w:t>TP53</w:t>
            </w:r>
            <w:r w:rsidRPr="008B2F8A">
              <w:rPr>
                <w:rFonts w:ascii="Arial Narrow" w:hAnsi="Arial Narrow"/>
              </w:rPr>
              <w:t xml:space="preserve"> mutation.</w:t>
            </w:r>
          </w:p>
          <w:p w14:paraId="137B8A54" w14:textId="77777777" w:rsidR="0093326E" w:rsidRPr="008B2F8A" w:rsidRDefault="0093326E" w:rsidP="00422306">
            <w:pPr>
              <w:spacing w:before="40" w:after="80"/>
              <w:rPr>
                <w:rFonts w:ascii="Arial Narrow" w:hAnsi="Arial Narrow"/>
                <w:i/>
              </w:rPr>
            </w:pPr>
            <w:r w:rsidRPr="008B2F8A">
              <w:rPr>
                <w:rFonts w:ascii="Arial Narrow" w:hAnsi="Arial Narrow"/>
                <w:i/>
              </w:rPr>
              <w:t>MRI surveillance</w:t>
            </w:r>
          </w:p>
          <w:p w14:paraId="05768685" w14:textId="77777777" w:rsidR="0093326E" w:rsidRPr="008B2F8A" w:rsidRDefault="0093326E" w:rsidP="00422306">
            <w:pPr>
              <w:spacing w:before="40" w:after="80"/>
              <w:rPr>
                <w:rFonts w:ascii="Arial Narrow" w:hAnsi="Arial Narrow"/>
              </w:rPr>
            </w:pPr>
            <w:r w:rsidRPr="008B2F8A">
              <w:rPr>
                <w:rFonts w:ascii="Arial Narrow" w:hAnsi="Arial Narrow"/>
              </w:rPr>
              <w:t>Offer annual MRI surveillance to women:</w:t>
            </w:r>
          </w:p>
          <w:p w14:paraId="2F13532A" w14:textId="6B98BF5B" w:rsidR="0093326E" w:rsidRPr="008B2F8A" w:rsidRDefault="0093326E" w:rsidP="00B17898">
            <w:pPr>
              <w:pStyle w:val="ListParagraph"/>
              <w:numPr>
                <w:ilvl w:val="0"/>
                <w:numId w:val="37"/>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30–49 years who have not had genetic testing but have a &gt;30%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carrier</w:t>
            </w:r>
          </w:p>
          <w:p w14:paraId="136A4A9A" w14:textId="77777777" w:rsidR="0093326E" w:rsidRPr="008B2F8A" w:rsidRDefault="0093326E" w:rsidP="00B17898">
            <w:pPr>
              <w:pStyle w:val="ListParagraph"/>
              <w:numPr>
                <w:ilvl w:val="0"/>
                <w:numId w:val="37"/>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30–49 years with a known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w:t>
            </w:r>
          </w:p>
          <w:p w14:paraId="6FBCAF56" w14:textId="25ED4C49" w:rsidR="0093326E" w:rsidRPr="008B2F8A" w:rsidRDefault="0093326E" w:rsidP="00B17898">
            <w:pPr>
              <w:pStyle w:val="ListParagraph"/>
              <w:numPr>
                <w:ilvl w:val="0"/>
                <w:numId w:val="37"/>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20–49 years who have not had genetic testing but have a &gt;30% </w:t>
            </w:r>
            <w:r>
              <w:rPr>
                <w:rFonts w:ascii="Arial Narrow" w:hAnsi="Arial Narrow"/>
              </w:rPr>
              <w:t>prob.</w:t>
            </w:r>
            <w:r w:rsidRPr="008B2F8A">
              <w:rPr>
                <w:rFonts w:ascii="Arial Narrow" w:hAnsi="Arial Narrow"/>
              </w:rPr>
              <w:t xml:space="preserve"> of </w:t>
            </w:r>
            <w:r w:rsidRPr="008B2F8A">
              <w:rPr>
                <w:rFonts w:ascii="Arial Narrow" w:hAnsi="Arial Narrow"/>
              </w:rPr>
              <w:lastRenderedPageBreak/>
              <w:t xml:space="preserve">being a </w:t>
            </w:r>
            <w:r w:rsidRPr="008B2F8A">
              <w:rPr>
                <w:rFonts w:ascii="Arial Narrow" w:hAnsi="Arial Narrow"/>
                <w:i/>
              </w:rPr>
              <w:t>TP53</w:t>
            </w:r>
            <w:r w:rsidRPr="008B2F8A">
              <w:rPr>
                <w:rFonts w:ascii="Arial Narrow" w:hAnsi="Arial Narrow"/>
              </w:rPr>
              <w:t xml:space="preserve"> carrier</w:t>
            </w:r>
          </w:p>
          <w:p w14:paraId="349F7BB1" w14:textId="77777777" w:rsidR="0093326E" w:rsidRPr="008B2F8A" w:rsidRDefault="0093326E" w:rsidP="00B17898">
            <w:pPr>
              <w:pStyle w:val="ListParagraph"/>
              <w:numPr>
                <w:ilvl w:val="0"/>
                <w:numId w:val="37"/>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20–49 years with a known </w:t>
            </w:r>
            <w:r w:rsidRPr="008B2F8A">
              <w:rPr>
                <w:rFonts w:ascii="Arial Narrow" w:hAnsi="Arial Narrow"/>
                <w:i/>
              </w:rPr>
              <w:t>TP53</w:t>
            </w:r>
            <w:r w:rsidRPr="008B2F8A">
              <w:rPr>
                <w:rFonts w:ascii="Arial Narrow" w:hAnsi="Arial Narrow"/>
              </w:rPr>
              <w:t xml:space="preserve"> mutation.</w:t>
            </w:r>
          </w:p>
          <w:p w14:paraId="6558FC1B" w14:textId="77777777" w:rsidR="0093326E" w:rsidRPr="008B2F8A" w:rsidRDefault="0093326E" w:rsidP="00422306">
            <w:pPr>
              <w:spacing w:before="40" w:after="80"/>
              <w:rPr>
                <w:rFonts w:ascii="Arial Narrow" w:hAnsi="Arial Narrow"/>
              </w:rPr>
            </w:pPr>
            <w:r w:rsidRPr="008B2F8A">
              <w:rPr>
                <w:rFonts w:ascii="Arial Narrow" w:hAnsi="Arial Narrow"/>
              </w:rPr>
              <w:t xml:space="preserve">Consider annual MRI surveillance for women aged 50–69 years with a known </w:t>
            </w:r>
            <w:r w:rsidRPr="008B2F8A">
              <w:rPr>
                <w:rFonts w:ascii="Arial Narrow" w:hAnsi="Arial Narrow"/>
                <w:i/>
              </w:rPr>
              <w:t>TP53</w:t>
            </w:r>
            <w:r w:rsidRPr="008B2F8A">
              <w:rPr>
                <w:rFonts w:ascii="Arial Narrow" w:hAnsi="Arial Narrow"/>
              </w:rPr>
              <w:t xml:space="preserve"> mutation.</w:t>
            </w:r>
          </w:p>
          <w:p w14:paraId="21CC8A9A" w14:textId="77777777" w:rsidR="0093326E" w:rsidRPr="008B2F8A" w:rsidRDefault="0093326E" w:rsidP="00422306">
            <w:pPr>
              <w:spacing w:before="40" w:after="80"/>
              <w:rPr>
                <w:rFonts w:ascii="Arial Narrow" w:hAnsi="Arial Narrow"/>
              </w:rPr>
            </w:pPr>
            <w:r w:rsidRPr="008B2F8A">
              <w:rPr>
                <w:rFonts w:ascii="Arial Narrow" w:hAnsi="Arial Narrow"/>
              </w:rPr>
              <w:t>Do not offer MRI to women:</w:t>
            </w:r>
          </w:p>
          <w:p w14:paraId="3EEDF3E9" w14:textId="77777777" w:rsidR="0093326E" w:rsidRPr="008B2F8A" w:rsidRDefault="0093326E" w:rsidP="00B17898">
            <w:pPr>
              <w:pStyle w:val="ListParagraph"/>
              <w:numPr>
                <w:ilvl w:val="0"/>
                <w:numId w:val="38"/>
              </w:numPr>
              <w:spacing w:before="40" w:after="80"/>
              <w:ind w:left="182" w:hanging="182"/>
              <w:contextualSpacing w:val="0"/>
              <w:rPr>
                <w:rFonts w:ascii="Arial Narrow" w:hAnsi="Arial Narrow"/>
                <w:color w:val="000000"/>
                <w:lang w:eastAsia="en-US"/>
              </w:rPr>
            </w:pPr>
            <w:r w:rsidRPr="008B2F8A">
              <w:rPr>
                <w:rFonts w:ascii="Arial Narrow" w:hAnsi="Arial Narrow"/>
              </w:rPr>
              <w:t>of any age at moderate risk of breast cancer</w:t>
            </w:r>
          </w:p>
          <w:p w14:paraId="49B313CD" w14:textId="2405AD2D" w:rsidR="0093326E" w:rsidRPr="008B2F8A" w:rsidRDefault="0093326E" w:rsidP="00B17898">
            <w:pPr>
              <w:pStyle w:val="ListParagraph"/>
              <w:numPr>
                <w:ilvl w:val="0"/>
                <w:numId w:val="38"/>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of any age at high risk of breast cancer but with a </w:t>
            </w:r>
            <w:r>
              <w:rPr>
                <w:rFonts w:ascii="Arial Narrow" w:hAnsi="Arial Narrow"/>
              </w:rPr>
              <w:t>≤</w:t>
            </w:r>
            <w:r w:rsidRPr="008B2F8A">
              <w:rPr>
                <w:rFonts w:ascii="Arial Narrow" w:hAnsi="Arial Narrow"/>
              </w:rPr>
              <w:t xml:space="preserve">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or </w:t>
            </w:r>
            <w:r w:rsidRPr="008B2F8A">
              <w:rPr>
                <w:rFonts w:ascii="Arial Narrow" w:hAnsi="Arial Narrow"/>
                <w:i/>
              </w:rPr>
              <w:t>TP53</w:t>
            </w:r>
            <w:r w:rsidRPr="008B2F8A">
              <w:rPr>
                <w:rFonts w:ascii="Arial Narrow" w:hAnsi="Arial Narrow"/>
              </w:rPr>
              <w:t xml:space="preserve"> carrier</w:t>
            </w:r>
          </w:p>
          <w:p w14:paraId="760B775C" w14:textId="65B3B2D3" w:rsidR="0093326E" w:rsidRPr="008B2F8A" w:rsidRDefault="0093326E" w:rsidP="00B17898">
            <w:pPr>
              <w:pStyle w:val="ListParagraph"/>
              <w:numPr>
                <w:ilvl w:val="0"/>
                <w:numId w:val="38"/>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20–29 years who have not had genetic testing but have a &gt;30%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carrier</w:t>
            </w:r>
          </w:p>
          <w:p w14:paraId="30EF0719" w14:textId="77777777" w:rsidR="0093326E" w:rsidRPr="008B2F8A" w:rsidRDefault="0093326E" w:rsidP="00B17898">
            <w:pPr>
              <w:pStyle w:val="ListParagraph"/>
              <w:numPr>
                <w:ilvl w:val="0"/>
                <w:numId w:val="38"/>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20–29 years with a known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w:t>
            </w:r>
          </w:p>
          <w:p w14:paraId="5CF01B87" w14:textId="67FF5D47" w:rsidR="0093326E" w:rsidRPr="008B2F8A" w:rsidRDefault="0093326E" w:rsidP="00B17898">
            <w:pPr>
              <w:pStyle w:val="ListParagraph"/>
              <w:numPr>
                <w:ilvl w:val="0"/>
                <w:numId w:val="38"/>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50–69 years who have not had genetic testing but have a &gt;30% </w:t>
            </w:r>
            <w:r>
              <w:rPr>
                <w:rFonts w:ascii="Arial Narrow" w:hAnsi="Arial Narrow"/>
              </w:rPr>
              <w:t>prob.</w:t>
            </w:r>
            <w:r w:rsidRPr="008B2F8A">
              <w:rPr>
                <w:rFonts w:ascii="Arial Narrow" w:hAnsi="Arial Narrow"/>
              </w:rPr>
              <w:t xml:space="preserve"> of being a </w:t>
            </w:r>
            <w:r w:rsidRPr="008B2F8A">
              <w:rPr>
                <w:rFonts w:ascii="Arial Narrow" w:hAnsi="Arial Narrow"/>
                <w:i/>
              </w:rPr>
              <w:t>BRCA</w:t>
            </w:r>
            <w:r w:rsidRPr="008B2F8A">
              <w:rPr>
                <w:rFonts w:ascii="Arial Narrow" w:hAnsi="Arial Narrow"/>
              </w:rPr>
              <w:t xml:space="preserve"> or a </w:t>
            </w:r>
            <w:r w:rsidRPr="008B2F8A">
              <w:rPr>
                <w:rFonts w:ascii="Arial Narrow" w:hAnsi="Arial Narrow"/>
                <w:i/>
              </w:rPr>
              <w:t>TP53</w:t>
            </w:r>
            <w:r w:rsidRPr="008B2F8A">
              <w:rPr>
                <w:rFonts w:ascii="Arial Narrow" w:hAnsi="Arial Narrow"/>
              </w:rPr>
              <w:t xml:space="preserve"> carrier, unless mammo</w:t>
            </w:r>
            <w:r>
              <w:rPr>
                <w:rFonts w:ascii="Arial Narrow" w:hAnsi="Arial Narrow"/>
              </w:rPr>
              <w:softHyphen/>
            </w:r>
            <w:r w:rsidRPr="008B2F8A">
              <w:rPr>
                <w:rFonts w:ascii="Arial Narrow" w:hAnsi="Arial Narrow"/>
              </w:rPr>
              <w:t>graphy has shown a dense breast pattern</w:t>
            </w:r>
          </w:p>
          <w:p w14:paraId="025CF4E5" w14:textId="77777777" w:rsidR="0093326E" w:rsidRPr="008B2F8A" w:rsidRDefault="0093326E" w:rsidP="00B17898">
            <w:pPr>
              <w:pStyle w:val="ListParagraph"/>
              <w:numPr>
                <w:ilvl w:val="0"/>
                <w:numId w:val="38"/>
              </w:numPr>
              <w:spacing w:before="40" w:after="80"/>
              <w:ind w:left="182" w:hanging="182"/>
              <w:contextualSpacing w:val="0"/>
              <w:rPr>
                <w:rFonts w:ascii="Arial Narrow" w:hAnsi="Arial Narrow"/>
                <w:color w:val="000000"/>
                <w:lang w:eastAsia="en-US"/>
              </w:rPr>
            </w:pPr>
            <w:r w:rsidRPr="008B2F8A">
              <w:rPr>
                <w:rFonts w:ascii="Arial Narrow" w:hAnsi="Arial Narrow"/>
              </w:rPr>
              <w:t xml:space="preserve">aged 50–69 years with a known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 unless mammography has shown a dense breast pattern.</w:t>
            </w:r>
          </w:p>
        </w:tc>
      </w:tr>
      <w:tr w:rsidR="0093326E" w:rsidRPr="008B2F8A" w14:paraId="3B52584A" w14:textId="77777777" w:rsidTr="0093326E">
        <w:tc>
          <w:tcPr>
            <w:tcW w:w="4940" w:type="dxa"/>
          </w:tcPr>
          <w:p w14:paraId="5B3E7673" w14:textId="02059506" w:rsidR="0093326E" w:rsidRPr="008B2F8A" w:rsidRDefault="0093326E" w:rsidP="00422306">
            <w:pPr>
              <w:spacing w:before="40" w:after="80"/>
              <w:rPr>
                <w:rFonts w:ascii="Arial Narrow" w:hAnsi="Arial Narrow"/>
              </w:rPr>
            </w:pPr>
            <w:r>
              <w:rPr>
                <w:rFonts w:ascii="Arial Narrow" w:hAnsi="Arial Narrow"/>
              </w:rPr>
              <w:lastRenderedPageBreak/>
              <w:t>HIQA, 2013</w:t>
            </w:r>
          </w:p>
        </w:tc>
        <w:tc>
          <w:tcPr>
            <w:tcW w:w="3534" w:type="dxa"/>
          </w:tcPr>
          <w:p w14:paraId="06530E25" w14:textId="77777777" w:rsidR="0093326E" w:rsidRPr="008B2F8A" w:rsidRDefault="0093326E" w:rsidP="00422306">
            <w:pPr>
              <w:spacing w:before="40" w:after="80"/>
              <w:rPr>
                <w:rFonts w:ascii="Arial Narrow" w:hAnsi="Arial Narrow"/>
                <w:i/>
              </w:rPr>
            </w:pPr>
          </w:p>
        </w:tc>
      </w:tr>
      <w:tr w:rsidR="0093326E" w:rsidRPr="008B2F8A" w14:paraId="6E7E31E1" w14:textId="77777777" w:rsidTr="0093326E">
        <w:tc>
          <w:tcPr>
            <w:tcW w:w="4940" w:type="dxa"/>
          </w:tcPr>
          <w:p w14:paraId="4BF7740B" w14:textId="4AAA5C23" w:rsidR="0093326E" w:rsidRPr="008B2F8A" w:rsidRDefault="0093326E" w:rsidP="00422306">
            <w:pPr>
              <w:spacing w:before="40" w:after="80"/>
              <w:rPr>
                <w:rFonts w:ascii="Arial Narrow" w:hAnsi="Arial Narrow"/>
              </w:rPr>
            </w:pPr>
            <w:r w:rsidRPr="008B2F8A">
              <w:rPr>
                <w:rFonts w:ascii="Arial Narrow" w:hAnsi="Arial Narrow"/>
              </w:rPr>
              <w:t>There is limited evidence directly comparing surveillance MRI, film mammography and digital mammography in women &lt;50 years at elevated risk of breast cancer.</w:t>
            </w:r>
          </w:p>
          <w:p w14:paraId="7B74F52A" w14:textId="5B5499DB" w:rsidR="0093326E" w:rsidRPr="008B2F8A" w:rsidRDefault="0093326E" w:rsidP="00422306">
            <w:pPr>
              <w:spacing w:before="40" w:after="80"/>
              <w:rPr>
                <w:rFonts w:ascii="Arial Narrow" w:hAnsi="Arial Narrow"/>
              </w:rPr>
            </w:pPr>
            <w:r w:rsidRPr="008B2F8A">
              <w:rPr>
                <w:rFonts w:ascii="Arial Narrow" w:hAnsi="Arial Narrow"/>
              </w:rPr>
              <w:t>The estimated sensitivity and specificity of MRI for the target population are 0.80 and 0.92, respectively.</w:t>
            </w:r>
            <w:r>
              <w:rPr>
                <w:rFonts w:ascii="Arial Narrow" w:hAnsi="Arial Narrow"/>
              </w:rPr>
              <w:t xml:space="preserve"> </w:t>
            </w:r>
            <w:r w:rsidRPr="008B2F8A">
              <w:rPr>
                <w:rFonts w:ascii="Arial Narrow" w:hAnsi="Arial Narrow"/>
              </w:rPr>
              <w:t>The estimated sensitivity and specificity of digital mammography for the target population are 0.38 and 0.97 respectively. These estimates are based mainly on film mammography owing to the lack of studies comparing digital mammography and MRI in women at elevated risk of breast cancer.</w:t>
            </w:r>
          </w:p>
          <w:p w14:paraId="50EE4E8F" w14:textId="579F5321" w:rsidR="0093326E" w:rsidRPr="008B2F8A" w:rsidRDefault="0093326E" w:rsidP="00422306">
            <w:pPr>
              <w:spacing w:before="40" w:after="80"/>
              <w:rPr>
                <w:rFonts w:ascii="Arial Narrow" w:hAnsi="Arial Narrow"/>
              </w:rPr>
            </w:pPr>
            <w:r w:rsidRPr="008B2F8A">
              <w:rPr>
                <w:rFonts w:ascii="Arial Narrow" w:hAnsi="Arial Narrow"/>
              </w:rPr>
              <w:t>The estimated sensitivity and specificity of combined MRI and digital mammography for the target population are 0.88 and 0.88.</w:t>
            </w:r>
          </w:p>
          <w:p w14:paraId="614898FE" w14:textId="77777777" w:rsidR="0093326E" w:rsidRPr="008B2F8A" w:rsidRDefault="0093326E" w:rsidP="00422306">
            <w:pPr>
              <w:spacing w:before="40" w:after="80"/>
              <w:rPr>
                <w:rFonts w:ascii="Arial Narrow" w:hAnsi="Arial Narrow"/>
              </w:rPr>
            </w:pPr>
            <w:r w:rsidRPr="008B2F8A">
              <w:rPr>
                <w:rFonts w:ascii="Arial Narrow" w:hAnsi="Arial Narrow"/>
              </w:rPr>
              <w:t>The overall effectiveness of a surveillance program for women at elevated risk of breast cancer depends on the combination of age range, imaging modality and surveillance interval used.</w:t>
            </w:r>
          </w:p>
          <w:p w14:paraId="39222855" w14:textId="1644FA66" w:rsidR="0093326E" w:rsidRPr="008B2F8A" w:rsidRDefault="0093326E" w:rsidP="00422306">
            <w:pPr>
              <w:spacing w:before="40" w:after="80"/>
              <w:rPr>
                <w:rFonts w:ascii="Arial Narrow" w:hAnsi="Arial Narrow"/>
              </w:rPr>
            </w:pPr>
            <w:r w:rsidRPr="008B2F8A">
              <w:rPr>
                <w:rFonts w:ascii="Arial Narrow" w:hAnsi="Arial Narrow"/>
              </w:rPr>
              <w:t xml:space="preserve">There is a lack of mortality data on surveillance in women under 50 </w:t>
            </w:r>
            <w:r>
              <w:rPr>
                <w:rFonts w:ascii="Arial Narrow" w:hAnsi="Arial Narrow"/>
              </w:rPr>
              <w:t xml:space="preserve">years </w:t>
            </w:r>
            <w:r w:rsidRPr="008B2F8A">
              <w:rPr>
                <w:rFonts w:ascii="Arial Narrow" w:hAnsi="Arial Narrow"/>
              </w:rPr>
              <w:t xml:space="preserve">at elevated risk of breast cancer. However, there is </w:t>
            </w:r>
            <w:r w:rsidRPr="008B2F8A">
              <w:rPr>
                <w:rFonts w:ascii="Arial Narrow" w:hAnsi="Arial Narrow"/>
              </w:rPr>
              <w:lastRenderedPageBreak/>
              <w:t>evidence of a mortality reduction in average</w:t>
            </w:r>
            <w:r>
              <w:rPr>
                <w:rFonts w:ascii="Arial Narrow" w:hAnsi="Arial Narrow"/>
              </w:rPr>
              <w:t>-</w:t>
            </w:r>
            <w:r w:rsidRPr="008B2F8A">
              <w:rPr>
                <w:rFonts w:ascii="Arial Narrow" w:hAnsi="Arial Narrow"/>
              </w:rPr>
              <w:t>risk populations through earlier detection and treatment.</w:t>
            </w:r>
          </w:p>
          <w:p w14:paraId="6E721978" w14:textId="052ECE8E" w:rsidR="0093326E" w:rsidRPr="008B2F8A" w:rsidRDefault="0093326E" w:rsidP="00422306">
            <w:pPr>
              <w:spacing w:before="40" w:after="80"/>
              <w:rPr>
                <w:rFonts w:ascii="Arial Narrow" w:hAnsi="Arial Narrow"/>
              </w:rPr>
            </w:pPr>
            <w:r w:rsidRPr="008B2F8A">
              <w:rPr>
                <w:rFonts w:ascii="Arial Narrow" w:hAnsi="Arial Narrow"/>
              </w:rPr>
              <w:t>Surveillance has non-mortality effects that are both positive (eg, early detection leading to improved survival) and negative (eg, radiation-induced carcinoma, over-diagnosis and unnecessary biopsies). Ratio of benefits to harms depends on target population.</w:t>
            </w:r>
          </w:p>
          <w:p w14:paraId="2A481392" w14:textId="77777777" w:rsidR="0093326E" w:rsidRPr="008B2F8A" w:rsidRDefault="0093326E" w:rsidP="00422306">
            <w:pPr>
              <w:spacing w:before="40" w:after="80"/>
              <w:rPr>
                <w:rFonts w:ascii="Arial Narrow" w:hAnsi="Arial Narrow"/>
              </w:rPr>
            </w:pPr>
            <w:r w:rsidRPr="008B2F8A">
              <w:rPr>
                <w:rFonts w:ascii="Arial Narrow" w:hAnsi="Arial Narrow"/>
              </w:rPr>
              <w:t>Frequent exposure to radiation through a mammography-based surveillance program from a young age may increase the risk of developing breast cancer.</w:t>
            </w:r>
          </w:p>
        </w:tc>
        <w:tc>
          <w:tcPr>
            <w:tcW w:w="3534" w:type="dxa"/>
          </w:tcPr>
          <w:p w14:paraId="2A238EFF" w14:textId="228C3D69" w:rsidR="0093326E" w:rsidRPr="008B2F8A" w:rsidRDefault="0093326E" w:rsidP="00422306">
            <w:pPr>
              <w:spacing w:before="40" w:after="80"/>
              <w:rPr>
                <w:rFonts w:ascii="Arial Narrow" w:hAnsi="Arial Narrow"/>
              </w:rPr>
            </w:pPr>
            <w:r w:rsidRPr="008B2F8A">
              <w:rPr>
                <w:rFonts w:ascii="Arial Narrow" w:hAnsi="Arial Narrow"/>
              </w:rPr>
              <w:lastRenderedPageBreak/>
              <w:t>For women aged &lt;50 years with identified high</w:t>
            </w:r>
            <w:r>
              <w:rPr>
                <w:rFonts w:ascii="Arial Narrow" w:hAnsi="Arial Narrow"/>
              </w:rPr>
              <w:t>-</w:t>
            </w:r>
            <w:r w:rsidRPr="008B2F8A">
              <w:rPr>
                <w:rFonts w:ascii="Arial Narrow" w:hAnsi="Arial Narrow"/>
              </w:rPr>
              <w:t xml:space="preserve">penetrance genetic mutations other than </w:t>
            </w:r>
            <w:r w:rsidRPr="008B2F8A">
              <w:rPr>
                <w:rFonts w:ascii="Arial Narrow" w:hAnsi="Arial Narrow"/>
                <w:i/>
              </w:rPr>
              <w:t>TP53</w:t>
            </w:r>
            <w:r w:rsidRPr="008B2F8A">
              <w:rPr>
                <w:rFonts w:ascii="Arial Narrow" w:hAnsi="Arial Narrow"/>
              </w:rPr>
              <w:t>, annual MRI from age 30</w:t>
            </w:r>
            <w:r>
              <w:rPr>
                <w:rFonts w:ascii="Arial Narrow" w:hAnsi="Arial Narrow"/>
              </w:rPr>
              <w:t xml:space="preserve"> to </w:t>
            </w:r>
            <w:r w:rsidRPr="008B2F8A">
              <w:rPr>
                <w:rFonts w:ascii="Arial Narrow" w:hAnsi="Arial Narrow"/>
              </w:rPr>
              <w:t xml:space="preserve">49 </w:t>
            </w:r>
            <w:r>
              <w:rPr>
                <w:rFonts w:ascii="Arial Narrow" w:hAnsi="Arial Narrow"/>
              </w:rPr>
              <w:t xml:space="preserve">years </w:t>
            </w:r>
            <w:r w:rsidRPr="008B2F8A">
              <w:rPr>
                <w:rFonts w:ascii="Arial Narrow" w:hAnsi="Arial Narrow"/>
              </w:rPr>
              <w:t>is recommended. The addition of annual digital mammography from age 40</w:t>
            </w:r>
            <w:r>
              <w:rPr>
                <w:rFonts w:ascii="Arial Narrow" w:hAnsi="Arial Narrow"/>
              </w:rPr>
              <w:t xml:space="preserve"> to </w:t>
            </w:r>
            <w:r w:rsidRPr="008B2F8A">
              <w:rPr>
                <w:rFonts w:ascii="Arial Narrow" w:hAnsi="Arial Narrow"/>
              </w:rPr>
              <w:t xml:space="preserve">49 </w:t>
            </w:r>
            <w:r>
              <w:rPr>
                <w:rFonts w:ascii="Arial Narrow" w:hAnsi="Arial Narrow"/>
              </w:rPr>
              <w:t xml:space="preserve">years </w:t>
            </w:r>
            <w:r w:rsidRPr="008B2F8A">
              <w:rPr>
                <w:rFonts w:ascii="Arial Narrow" w:hAnsi="Arial Narrow"/>
              </w:rPr>
              <w:t>could be offered to maintain accordance with current international practice.</w:t>
            </w:r>
          </w:p>
          <w:p w14:paraId="3131A700" w14:textId="791CBD08" w:rsidR="0093326E" w:rsidRPr="008B2F8A" w:rsidRDefault="0093326E" w:rsidP="00422306">
            <w:pPr>
              <w:spacing w:before="40" w:after="80"/>
              <w:rPr>
                <w:rFonts w:ascii="Arial Narrow" w:hAnsi="Arial Narrow"/>
              </w:rPr>
            </w:pPr>
            <w:r w:rsidRPr="008B2F8A">
              <w:rPr>
                <w:rFonts w:ascii="Arial Narrow" w:hAnsi="Arial Narrow"/>
              </w:rPr>
              <w:t xml:space="preserve">For the subgroup with a </w:t>
            </w:r>
            <w:r w:rsidRPr="008B2F8A">
              <w:rPr>
                <w:rFonts w:ascii="Arial Narrow" w:hAnsi="Arial Narrow"/>
                <w:i/>
              </w:rPr>
              <w:t>TP53</w:t>
            </w:r>
            <w:r w:rsidRPr="008B2F8A">
              <w:rPr>
                <w:rFonts w:ascii="Arial Narrow" w:hAnsi="Arial Narrow"/>
              </w:rPr>
              <w:t xml:space="preserve"> mutation, annual MRI surveillance from age 20</w:t>
            </w:r>
            <w:r>
              <w:rPr>
                <w:rFonts w:ascii="Arial Narrow" w:hAnsi="Arial Narrow"/>
              </w:rPr>
              <w:t xml:space="preserve"> to </w:t>
            </w:r>
            <w:r w:rsidRPr="008B2F8A">
              <w:rPr>
                <w:rFonts w:ascii="Arial Narrow" w:hAnsi="Arial Narrow"/>
              </w:rPr>
              <w:t xml:space="preserve">49 </w:t>
            </w:r>
            <w:r>
              <w:rPr>
                <w:rFonts w:ascii="Arial Narrow" w:hAnsi="Arial Narrow"/>
              </w:rPr>
              <w:t xml:space="preserve">years </w:t>
            </w:r>
            <w:r w:rsidRPr="008B2F8A">
              <w:rPr>
                <w:rFonts w:ascii="Arial Narrow" w:hAnsi="Arial Narrow"/>
              </w:rPr>
              <w:t>is recommended.</w:t>
            </w:r>
          </w:p>
          <w:p w14:paraId="58E08716" w14:textId="5D43CB93" w:rsidR="0093326E" w:rsidRPr="008B2F8A" w:rsidRDefault="0093326E" w:rsidP="00422306">
            <w:pPr>
              <w:spacing w:before="40" w:after="80"/>
              <w:rPr>
                <w:rFonts w:ascii="Arial Narrow" w:hAnsi="Arial Narrow"/>
              </w:rPr>
            </w:pPr>
            <w:r w:rsidRPr="008B2F8A">
              <w:rPr>
                <w:rFonts w:ascii="Arial Narrow" w:hAnsi="Arial Narrow"/>
              </w:rPr>
              <w:t>For women at high familial risk with no identified genetic mutations, annual digital mammography from age 40</w:t>
            </w:r>
            <w:r>
              <w:rPr>
                <w:rFonts w:ascii="Arial Narrow" w:hAnsi="Arial Narrow"/>
              </w:rPr>
              <w:t xml:space="preserve"> to </w:t>
            </w:r>
            <w:r w:rsidRPr="008B2F8A">
              <w:rPr>
                <w:rFonts w:ascii="Arial Narrow" w:hAnsi="Arial Narrow"/>
              </w:rPr>
              <w:t xml:space="preserve">49 </w:t>
            </w:r>
            <w:r>
              <w:rPr>
                <w:rFonts w:ascii="Arial Narrow" w:hAnsi="Arial Narrow"/>
              </w:rPr>
              <w:t xml:space="preserve">years </w:t>
            </w:r>
            <w:r w:rsidRPr="008B2F8A">
              <w:rPr>
                <w:rFonts w:ascii="Arial Narrow" w:hAnsi="Arial Narrow"/>
              </w:rPr>
              <w:t>is preferable to existing ad hoc surveillance.</w:t>
            </w:r>
          </w:p>
          <w:p w14:paraId="38AB39E6" w14:textId="62CDBED6" w:rsidR="0093326E" w:rsidRPr="008B2F8A" w:rsidRDefault="0093326E" w:rsidP="00422306">
            <w:pPr>
              <w:spacing w:before="40" w:after="80"/>
              <w:rPr>
                <w:rFonts w:ascii="Arial Narrow" w:hAnsi="Arial Narrow"/>
              </w:rPr>
            </w:pPr>
            <w:r w:rsidRPr="008B2F8A">
              <w:rPr>
                <w:rFonts w:ascii="Arial Narrow" w:hAnsi="Arial Narrow"/>
              </w:rPr>
              <w:t>For women at moderate risk, annual digital mammography from age 40</w:t>
            </w:r>
            <w:r>
              <w:rPr>
                <w:rFonts w:ascii="Arial Narrow" w:hAnsi="Arial Narrow"/>
              </w:rPr>
              <w:t xml:space="preserve"> to </w:t>
            </w:r>
            <w:r w:rsidRPr="008B2F8A">
              <w:rPr>
                <w:rFonts w:ascii="Arial Narrow" w:hAnsi="Arial Narrow"/>
              </w:rPr>
              <w:t xml:space="preserve">49 </w:t>
            </w:r>
            <w:r>
              <w:rPr>
                <w:rFonts w:ascii="Arial Narrow" w:hAnsi="Arial Narrow"/>
              </w:rPr>
              <w:t xml:space="preserve">years </w:t>
            </w:r>
            <w:r w:rsidRPr="008B2F8A">
              <w:rPr>
                <w:rFonts w:ascii="Arial Narrow" w:hAnsi="Arial Narrow"/>
              </w:rPr>
              <w:t>is preferable to existing ad hoc surveillance.</w:t>
            </w:r>
          </w:p>
          <w:p w14:paraId="1BD8FD68" w14:textId="639EEAD6" w:rsidR="0093326E" w:rsidRPr="008B2F8A" w:rsidRDefault="0093326E" w:rsidP="00422306">
            <w:pPr>
              <w:spacing w:before="40" w:after="80"/>
              <w:rPr>
                <w:rFonts w:ascii="Arial Narrow" w:hAnsi="Arial Narrow"/>
              </w:rPr>
            </w:pPr>
            <w:r w:rsidRPr="008B2F8A">
              <w:rPr>
                <w:rFonts w:ascii="Arial Narrow" w:hAnsi="Arial Narrow"/>
              </w:rPr>
              <w:lastRenderedPageBreak/>
              <w:t xml:space="preserve">An organised surveillance program will improve equity of access; it should have </w:t>
            </w:r>
            <w:bookmarkStart w:id="800" w:name="OLE_LINK183"/>
            <w:bookmarkStart w:id="801" w:name="OLE_LINK184"/>
            <w:r w:rsidRPr="008B2F8A">
              <w:rPr>
                <w:rFonts w:ascii="Arial Narrow" w:hAnsi="Arial Narrow"/>
              </w:rPr>
              <w:t xml:space="preserve">key performance indicators </w:t>
            </w:r>
            <w:bookmarkEnd w:id="800"/>
            <w:bookmarkEnd w:id="801"/>
            <w:r w:rsidRPr="008B2F8A">
              <w:rPr>
                <w:rFonts w:ascii="Arial Narrow" w:hAnsi="Arial Narrow"/>
              </w:rPr>
              <w:t>to measure performance against targets or expectations.</w:t>
            </w:r>
          </w:p>
        </w:tc>
      </w:tr>
    </w:tbl>
    <w:p w14:paraId="63E2AB50" w14:textId="27173ED9" w:rsidR="00E47AB8" w:rsidRPr="008B2F8A" w:rsidRDefault="00E47AB8" w:rsidP="00B17898">
      <w:pPr>
        <w:pStyle w:val="TableNotesLast"/>
      </w:pPr>
      <w:r w:rsidRPr="008B2F8A">
        <w:lastRenderedPageBreak/>
        <w:t xml:space="preserve">MSAC = Medical Services Advisory Committee; MRI = magnetic resonance imaging; CBE = clinical breast examination; HR = hazard ratio; RR = risk ratio; OR = odds ratio; CI = confidence interval; </w:t>
      </w:r>
      <w:r w:rsidRPr="00B17898">
        <w:rPr>
          <w:i/>
        </w:rPr>
        <w:t>BRCA1/2</w:t>
      </w:r>
      <w:r w:rsidRPr="008B2F8A">
        <w:t xml:space="preserve"> = breast cancer gene 1 or 2; </w:t>
      </w:r>
      <w:r w:rsidRPr="00B17898">
        <w:rPr>
          <w:i/>
        </w:rPr>
        <w:t>TP53</w:t>
      </w:r>
      <w:r w:rsidRPr="008B2F8A">
        <w:t xml:space="preserve"> = tumour protein p53 gene.</w:t>
      </w:r>
    </w:p>
    <w:p w14:paraId="09D315D3" w14:textId="77777777" w:rsidR="00E47AB8" w:rsidRPr="008B2F8A" w:rsidRDefault="00E47AB8" w:rsidP="00E47AB8">
      <w:pPr>
        <w:pStyle w:val="Heading3"/>
        <w:numPr>
          <w:ilvl w:val="2"/>
          <w:numId w:val="42"/>
        </w:numPr>
      </w:pPr>
      <w:bookmarkStart w:id="802" w:name="_Toc365552167"/>
      <w:bookmarkStart w:id="803" w:name="_Toc383424466"/>
      <w:r w:rsidRPr="008B2F8A">
        <w:t>Diagnostic accuracy</w:t>
      </w:r>
      <w:bookmarkEnd w:id="802"/>
      <w:bookmarkEnd w:id="803"/>
    </w:p>
    <w:p w14:paraId="01F8F980" w14:textId="77777777" w:rsidR="00E47AB8" w:rsidRPr="008B2F8A" w:rsidRDefault="00E47AB8" w:rsidP="00422306">
      <w:pPr>
        <w:pStyle w:val="Heading4"/>
      </w:pPr>
      <w:r w:rsidRPr="008B2F8A">
        <w:t>Sensitivity and specificity</w:t>
      </w:r>
    </w:p>
    <w:p w14:paraId="47885FAB" w14:textId="77777777" w:rsidR="00E47AB8" w:rsidRPr="008B2F8A" w:rsidRDefault="00E47AB8" w:rsidP="00422306">
      <w:pPr>
        <w:spacing w:after="240"/>
      </w:pPr>
      <w:r w:rsidRPr="008B2F8A">
        <w:t xml:space="preserve">The results of all eligible primary studies that compare the sensitivity and specificity of MRI as an additional test to mammography for screening high-risk women (five studies) are summarised in </w:t>
      </w:r>
      <w:r w:rsidRPr="008B2F8A">
        <w:fldChar w:fldCharType="begin"/>
      </w:r>
      <w:r w:rsidRPr="008B2F8A">
        <w:instrText xml:space="preserve"> REF _Ref368310958 \h </w:instrText>
      </w:r>
      <w:r w:rsidRPr="008B2F8A">
        <w:fldChar w:fldCharType="separate"/>
      </w:r>
      <w:r w:rsidR="00B81273" w:rsidRPr="008B2F8A">
        <w:t xml:space="preserve">Table </w:t>
      </w:r>
      <w:r w:rsidR="00B81273">
        <w:rPr>
          <w:noProof/>
        </w:rPr>
        <w:t>B</w:t>
      </w:r>
      <w:r w:rsidR="00B81273" w:rsidRPr="008B2F8A">
        <w:t>.</w:t>
      </w:r>
      <w:r w:rsidR="00B81273">
        <w:rPr>
          <w:noProof/>
        </w:rPr>
        <w:t>25</w:t>
      </w:r>
      <w:r w:rsidRPr="008B2F8A">
        <w:fldChar w:fldCharType="end"/>
      </w:r>
      <w:r w:rsidRPr="008B2F8A">
        <w:t xml:space="preserve">, </w:t>
      </w:r>
      <w:r w:rsidRPr="008B2F8A">
        <w:fldChar w:fldCharType="begin"/>
      </w:r>
      <w:r w:rsidRPr="008B2F8A">
        <w:instrText xml:space="preserve"> REF _Ref368310963 \h </w:instrText>
      </w:r>
      <w:r w:rsidRPr="008B2F8A">
        <w:fldChar w:fldCharType="separate"/>
      </w:r>
      <w:r w:rsidR="00B81273" w:rsidRPr="008B2F8A">
        <w:t xml:space="preserve">Table </w:t>
      </w:r>
      <w:r w:rsidR="00B81273">
        <w:rPr>
          <w:noProof/>
        </w:rPr>
        <w:t>B</w:t>
      </w:r>
      <w:r w:rsidR="00B81273" w:rsidRPr="008B2F8A">
        <w:t>.</w:t>
      </w:r>
      <w:r w:rsidR="00B81273">
        <w:rPr>
          <w:noProof/>
        </w:rPr>
        <w:t>26</w:t>
      </w:r>
      <w:r w:rsidRPr="008B2F8A">
        <w:fldChar w:fldCharType="end"/>
      </w:r>
      <w:r w:rsidRPr="008B2F8A">
        <w:t xml:space="preserve"> and </w:t>
      </w:r>
      <w:r w:rsidRPr="008B2F8A">
        <w:fldChar w:fldCharType="begin"/>
      </w:r>
      <w:r w:rsidRPr="008B2F8A">
        <w:instrText xml:space="preserve"> REF _Ref377651649 \h </w:instrText>
      </w:r>
      <w:r w:rsidRPr="008B2F8A">
        <w:fldChar w:fldCharType="separate"/>
      </w:r>
      <w:r w:rsidR="00B81273" w:rsidRPr="008B2F8A">
        <w:t xml:space="preserve">Table </w:t>
      </w:r>
      <w:r w:rsidR="00B81273">
        <w:rPr>
          <w:noProof/>
        </w:rPr>
        <w:t>B</w:t>
      </w:r>
      <w:r w:rsidR="00B81273" w:rsidRPr="008B2F8A">
        <w:t>.</w:t>
      </w:r>
      <w:r w:rsidR="00B81273">
        <w:rPr>
          <w:noProof/>
        </w:rPr>
        <w:t>27</w:t>
      </w:r>
      <w:r w:rsidRPr="008B2F8A">
        <w:fldChar w:fldCharType="end"/>
      </w:r>
      <w:r w:rsidRPr="008B2F8A">
        <w:t>. All studies reported diagnostic accuracy on a per test, rather than a per patient, basis.</w:t>
      </w:r>
    </w:p>
    <w:p w14:paraId="55CAF77E" w14:textId="527EAD73" w:rsidR="00E47AB8" w:rsidRPr="008B2F8A" w:rsidRDefault="00E47AB8" w:rsidP="00422306">
      <w:r w:rsidRPr="008B2F8A">
        <w:t>Diagnostic accuracy was reported for two thresholds, either any lesions requiring follow-up as positive (</w:t>
      </w:r>
      <w:bookmarkStart w:id="804" w:name="OLE_LINK337"/>
      <w:bookmarkStart w:id="805" w:name="OLE_LINK338"/>
      <w:r w:rsidRPr="008B2F8A">
        <w:t>BI-RADS</w:t>
      </w:r>
      <w:bookmarkEnd w:id="804"/>
      <w:bookmarkEnd w:id="805"/>
      <w:r w:rsidRPr="008B2F8A">
        <w:t xml:space="preserve"> [Breast Imaging Reporting and Data System] 0, 3, 4 or 5) or only suspicious lesions as positive (BI-RADS 4 and 5). In studies where results were reported for both thresholds, diagnostic accuracy followed the expected pattern of reduced sensitivity and increased specificity for the more stringent threshold. Similarly, where studies reported results for mammography alone and mammography combined with ultrasound and CBE, the diagnostic accuracy of the combined tests followed the expected pattern of increased sensitivity and decreased specificity.</w:t>
      </w:r>
    </w:p>
    <w:p w14:paraId="66857B7B" w14:textId="48314DBF" w:rsidR="00E47AB8" w:rsidRPr="008B2F8A" w:rsidRDefault="00E47AB8" w:rsidP="00422306">
      <w:r w:rsidRPr="008B2F8A">
        <w:t>Overall, the studies reported a sensitivity of mammography alone ranging from 0.14 to 0.49</w:t>
      </w:r>
      <w:r>
        <w:t>.</w:t>
      </w:r>
      <w:r w:rsidRPr="008B2F8A">
        <w:t xml:space="preserve"> The addition of MRI to mammography increased sensitivity</w:t>
      </w:r>
      <w:r>
        <w:t>,</w:t>
      </w:r>
      <w:r w:rsidRPr="008B2F8A">
        <w:t xml:space="preserve"> with a range of 0.85 to 0.94. The specificity of mammography alone ranged from 0.89 to 1.00</w:t>
      </w:r>
      <w:r>
        <w:t>.</w:t>
      </w:r>
      <w:r w:rsidRPr="008B2F8A">
        <w:t xml:space="preserve"> The addition of MRI to mammography was lower</w:t>
      </w:r>
      <w:r>
        <w:t>,</w:t>
      </w:r>
      <w:r w:rsidRPr="008B2F8A">
        <w:t xml:space="preserve"> </w:t>
      </w:r>
      <w:r>
        <w:t xml:space="preserve">with a </w:t>
      </w:r>
      <w:r w:rsidRPr="008B2F8A">
        <w:t>rang</w:t>
      </w:r>
      <w:r>
        <w:t>e</w:t>
      </w:r>
      <w:r w:rsidRPr="008B2F8A">
        <w:t xml:space="preserve"> </w:t>
      </w:r>
      <w:r>
        <w:t>of</w:t>
      </w:r>
      <w:r w:rsidRPr="008B2F8A">
        <w:t xml:space="preserve"> 0.77 to 0.96.</w:t>
      </w:r>
    </w:p>
    <w:p w14:paraId="29DF0E4D" w14:textId="268086D6" w:rsidR="00E47AB8" w:rsidRPr="008B2F8A" w:rsidRDefault="00E47AB8" w:rsidP="00422306">
      <w:pPr>
        <w:pStyle w:val="Caption"/>
      </w:pPr>
      <w:bookmarkStart w:id="806" w:name="_Ref368310958"/>
      <w:bookmarkStart w:id="807" w:name="_Toc383424591"/>
      <w:r w:rsidRPr="008B2F8A">
        <w:t xml:space="preserve">Table </w:t>
      </w:r>
      <w:fldSimple w:instr=" STYLEREF 1 \s ">
        <w:r w:rsidR="00B81273">
          <w:rPr>
            <w:noProof/>
          </w:rPr>
          <w:t>B</w:t>
        </w:r>
      </w:fldSimple>
      <w:r w:rsidRPr="008B2F8A">
        <w:t>.</w:t>
      </w:r>
      <w:fldSimple w:instr=" SEQ Table \* ARABIC \s 1 ">
        <w:r w:rsidR="00B81273">
          <w:rPr>
            <w:noProof/>
          </w:rPr>
          <w:t>25</w:t>
        </w:r>
      </w:fldSimple>
      <w:bookmarkEnd w:id="806"/>
      <w:r w:rsidRPr="008B2F8A">
        <w:tab/>
      </w:r>
      <w:bookmarkStart w:id="808" w:name="OLE_LINK1031"/>
      <w:bookmarkStart w:id="809" w:name="OLE_LINK1032"/>
      <w:r w:rsidRPr="008B2F8A">
        <w:t xml:space="preserve">Diagnostic accuracy of breast MRI </w:t>
      </w:r>
      <w:r>
        <w:t>+</w:t>
      </w:r>
      <w:r w:rsidRPr="008B2F8A">
        <w:t xml:space="preserve"> mammography (± ultrasound)</w:t>
      </w:r>
      <w:bookmarkEnd w:id="808"/>
      <w:bookmarkEnd w:id="809"/>
      <w:r w:rsidRPr="008B2F8A">
        <w:t>.</w:t>
      </w:r>
      <w:bookmarkEnd w:id="807"/>
    </w:p>
    <w:tbl>
      <w:tblPr>
        <w:tblStyle w:val="TableGrid"/>
        <w:tblW w:w="8959" w:type="dxa"/>
        <w:tblLayout w:type="fixed"/>
        <w:tblCellMar>
          <w:left w:w="28" w:type="dxa"/>
          <w:right w:w="28" w:type="dxa"/>
        </w:tblCellMar>
        <w:tblLook w:val="04A0" w:firstRow="1" w:lastRow="0" w:firstColumn="1" w:lastColumn="0" w:noHBand="0" w:noVBand="1"/>
        <w:tblCaption w:val="Diagnostic accuracy of breast MRI + mammography (± ultrasound)"/>
      </w:tblPr>
      <w:tblGrid>
        <w:gridCol w:w="1590"/>
        <w:gridCol w:w="1278"/>
        <w:gridCol w:w="1685"/>
        <w:gridCol w:w="293"/>
        <w:gridCol w:w="436"/>
        <w:gridCol w:w="426"/>
        <w:gridCol w:w="568"/>
        <w:gridCol w:w="1420"/>
        <w:gridCol w:w="1263"/>
      </w:tblGrid>
      <w:tr w:rsidR="00E47AB8" w:rsidRPr="008B2F8A" w14:paraId="35EDAB5A" w14:textId="77777777" w:rsidTr="00B17898">
        <w:trPr>
          <w:tblHeader/>
        </w:trPr>
        <w:tc>
          <w:tcPr>
            <w:tcW w:w="1590" w:type="dxa"/>
            <w:vAlign w:val="center"/>
          </w:tcPr>
          <w:p w14:paraId="6D347A09"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278" w:type="dxa"/>
            <w:vAlign w:val="center"/>
          </w:tcPr>
          <w:p w14:paraId="113A91D9" w14:textId="77777777" w:rsidR="00E47AB8" w:rsidRPr="008B2F8A" w:rsidRDefault="00E47AB8" w:rsidP="00422306">
            <w:pPr>
              <w:spacing w:before="40" w:after="80"/>
              <w:rPr>
                <w:rFonts w:ascii="Arial Narrow" w:hAnsi="Arial Narrow"/>
                <w:b/>
              </w:rPr>
            </w:pPr>
            <w:r w:rsidRPr="008B2F8A">
              <w:rPr>
                <w:rFonts w:ascii="Arial Narrow" w:hAnsi="Arial Narrow"/>
                <w:b/>
              </w:rPr>
              <w:t>Tests</w:t>
            </w:r>
          </w:p>
        </w:tc>
        <w:tc>
          <w:tcPr>
            <w:tcW w:w="1685" w:type="dxa"/>
            <w:vAlign w:val="center"/>
          </w:tcPr>
          <w:p w14:paraId="0EF9FEF0" w14:textId="77777777" w:rsidR="00E47AB8" w:rsidRPr="008B2F8A" w:rsidRDefault="00E47AB8" w:rsidP="00422306">
            <w:pPr>
              <w:spacing w:before="40" w:after="80"/>
              <w:rPr>
                <w:rFonts w:ascii="Arial Narrow" w:hAnsi="Arial Narrow"/>
                <w:b/>
              </w:rPr>
            </w:pPr>
            <w:r w:rsidRPr="008B2F8A">
              <w:rPr>
                <w:rFonts w:ascii="Arial Narrow" w:hAnsi="Arial Narrow"/>
                <w:b/>
              </w:rPr>
              <w:t>Positive test</w:t>
            </w:r>
          </w:p>
        </w:tc>
        <w:tc>
          <w:tcPr>
            <w:tcW w:w="293" w:type="dxa"/>
            <w:vAlign w:val="center"/>
          </w:tcPr>
          <w:p w14:paraId="27B5ED25" w14:textId="77777777" w:rsidR="00E47AB8" w:rsidRPr="008B2F8A" w:rsidRDefault="00E47AB8" w:rsidP="00422306">
            <w:pPr>
              <w:spacing w:before="40" w:after="80"/>
              <w:rPr>
                <w:rFonts w:ascii="Arial Narrow" w:hAnsi="Arial Narrow"/>
                <w:b/>
              </w:rPr>
            </w:pPr>
            <w:r w:rsidRPr="008B2F8A">
              <w:rPr>
                <w:rFonts w:ascii="Arial Narrow" w:hAnsi="Arial Narrow"/>
                <w:b/>
              </w:rPr>
              <w:t>TP</w:t>
            </w:r>
          </w:p>
        </w:tc>
        <w:tc>
          <w:tcPr>
            <w:tcW w:w="436" w:type="dxa"/>
            <w:vAlign w:val="center"/>
          </w:tcPr>
          <w:p w14:paraId="09576183" w14:textId="77777777" w:rsidR="00E47AB8" w:rsidRPr="008B2F8A" w:rsidRDefault="00E47AB8" w:rsidP="00422306">
            <w:pPr>
              <w:spacing w:before="40" w:after="80"/>
              <w:rPr>
                <w:rFonts w:ascii="Arial Narrow" w:hAnsi="Arial Narrow"/>
                <w:b/>
              </w:rPr>
            </w:pPr>
            <w:r w:rsidRPr="008B2F8A">
              <w:rPr>
                <w:rFonts w:ascii="Arial Narrow" w:hAnsi="Arial Narrow"/>
                <w:b/>
              </w:rPr>
              <w:t>FP</w:t>
            </w:r>
          </w:p>
        </w:tc>
        <w:tc>
          <w:tcPr>
            <w:tcW w:w="426" w:type="dxa"/>
            <w:vAlign w:val="center"/>
          </w:tcPr>
          <w:p w14:paraId="7844937C" w14:textId="77777777" w:rsidR="00E47AB8" w:rsidRPr="008B2F8A" w:rsidRDefault="00E47AB8" w:rsidP="00422306">
            <w:pPr>
              <w:spacing w:before="40" w:after="80"/>
              <w:rPr>
                <w:rFonts w:ascii="Arial Narrow" w:hAnsi="Arial Narrow"/>
                <w:b/>
              </w:rPr>
            </w:pPr>
            <w:r w:rsidRPr="008B2F8A">
              <w:rPr>
                <w:rFonts w:ascii="Arial Narrow" w:hAnsi="Arial Narrow"/>
                <w:b/>
              </w:rPr>
              <w:t>FN</w:t>
            </w:r>
          </w:p>
        </w:tc>
        <w:tc>
          <w:tcPr>
            <w:tcW w:w="568" w:type="dxa"/>
            <w:vAlign w:val="center"/>
          </w:tcPr>
          <w:p w14:paraId="79DB0563" w14:textId="77777777" w:rsidR="00E47AB8" w:rsidRPr="008B2F8A" w:rsidRDefault="00E47AB8" w:rsidP="00422306">
            <w:pPr>
              <w:spacing w:before="40" w:after="80"/>
              <w:rPr>
                <w:rFonts w:ascii="Arial Narrow" w:hAnsi="Arial Narrow"/>
                <w:b/>
              </w:rPr>
            </w:pPr>
            <w:r w:rsidRPr="008B2F8A">
              <w:rPr>
                <w:rFonts w:ascii="Arial Narrow" w:hAnsi="Arial Narrow"/>
                <w:b/>
              </w:rPr>
              <w:t>TN</w:t>
            </w:r>
          </w:p>
        </w:tc>
        <w:tc>
          <w:tcPr>
            <w:tcW w:w="1420" w:type="dxa"/>
            <w:vAlign w:val="center"/>
          </w:tcPr>
          <w:p w14:paraId="626AA538" w14:textId="77777777" w:rsidR="00E47AB8" w:rsidRPr="008B2F8A" w:rsidRDefault="00E47AB8" w:rsidP="00422306">
            <w:pPr>
              <w:spacing w:before="40" w:after="80"/>
              <w:rPr>
                <w:rFonts w:ascii="Arial Narrow" w:hAnsi="Arial Narrow"/>
                <w:b/>
              </w:rPr>
            </w:pPr>
            <w:r w:rsidRPr="008B2F8A">
              <w:rPr>
                <w:rFonts w:ascii="Arial Narrow" w:hAnsi="Arial Narrow"/>
                <w:b/>
              </w:rPr>
              <w:t>Sensitivity (95% CI)</w:t>
            </w:r>
          </w:p>
        </w:tc>
        <w:tc>
          <w:tcPr>
            <w:tcW w:w="1263" w:type="dxa"/>
            <w:vAlign w:val="center"/>
          </w:tcPr>
          <w:p w14:paraId="305131BB" w14:textId="77777777" w:rsidR="00E47AB8" w:rsidRPr="008B2F8A" w:rsidRDefault="00E47AB8" w:rsidP="00422306">
            <w:pPr>
              <w:spacing w:before="40" w:after="80"/>
              <w:rPr>
                <w:rFonts w:ascii="Arial Narrow" w:hAnsi="Arial Narrow"/>
                <w:b/>
              </w:rPr>
            </w:pPr>
            <w:r w:rsidRPr="008B2F8A">
              <w:rPr>
                <w:rFonts w:ascii="Arial Narrow" w:hAnsi="Arial Narrow"/>
                <w:b/>
              </w:rPr>
              <w:t>Specificity (95% CI)</w:t>
            </w:r>
          </w:p>
        </w:tc>
      </w:tr>
      <w:tr w:rsidR="00E47AB8" w:rsidRPr="008B2F8A" w14:paraId="326DF2FE" w14:textId="77777777" w:rsidTr="00B17898">
        <w:tc>
          <w:tcPr>
            <w:tcW w:w="1590" w:type="dxa"/>
            <w:vAlign w:val="center"/>
          </w:tcPr>
          <w:p w14:paraId="79D35C0E" w14:textId="4A7B35FC" w:rsidR="00E47AB8" w:rsidRPr="008B2F8A" w:rsidRDefault="00E47AB8" w:rsidP="00422306">
            <w:pPr>
              <w:spacing w:before="40" w:after="80"/>
              <w:rPr>
                <w:rFonts w:ascii="Arial Narrow" w:hAnsi="Arial Narrow"/>
              </w:rPr>
            </w:pPr>
            <w:r>
              <w:rPr>
                <w:rFonts w:ascii="Arial Narrow" w:hAnsi="Arial Narrow"/>
              </w:rPr>
              <w:t>Kriege et al, 2006</w:t>
            </w:r>
            <w:r w:rsidR="00F80E4A">
              <w:rPr>
                <w:rFonts w:ascii="Arial Narrow" w:hAnsi="Arial Narrow"/>
              </w:rPr>
              <w:t>b</w:t>
            </w:r>
            <w:r w:rsidRPr="008B2F8A">
              <w:rPr>
                <w:rFonts w:ascii="Arial Narrow" w:hAnsi="Arial Narrow"/>
              </w:rPr>
              <w:t xml:space="preserve"> (MRISC)</w:t>
            </w:r>
            <w:r w:rsidR="00F80E4A">
              <w:rPr>
                <w:rFonts w:ascii="Arial Narrow" w:hAnsi="Arial Narrow"/>
              </w:rPr>
              <w:t>*</w:t>
            </w:r>
          </w:p>
        </w:tc>
        <w:tc>
          <w:tcPr>
            <w:tcW w:w="1278" w:type="dxa"/>
            <w:vAlign w:val="center"/>
          </w:tcPr>
          <w:p w14:paraId="3C7F866A" w14:textId="77777777" w:rsidR="00E47AB8" w:rsidRPr="008B2F8A" w:rsidRDefault="00E47AB8" w:rsidP="00422306">
            <w:pPr>
              <w:spacing w:before="40" w:after="80"/>
              <w:rPr>
                <w:rFonts w:ascii="Arial Narrow" w:hAnsi="Arial Narrow"/>
              </w:rPr>
            </w:pPr>
            <w:r w:rsidRPr="008B2F8A">
              <w:rPr>
                <w:rFonts w:ascii="Arial Narrow" w:hAnsi="Arial Narrow"/>
              </w:rPr>
              <w:t>MRI</w:t>
            </w:r>
            <w:bookmarkStart w:id="810" w:name="OLE_LINK119"/>
            <w:bookmarkStart w:id="811" w:name="OLE_LINK120"/>
            <w:r w:rsidRPr="008B2F8A">
              <w:rPr>
                <w:rFonts w:ascii="Arial Narrow" w:hAnsi="Arial Narrow"/>
              </w:rPr>
              <w:t>​+​</w:t>
            </w:r>
            <w:bookmarkEnd w:id="810"/>
            <w:bookmarkEnd w:id="811"/>
            <w:r w:rsidRPr="008B2F8A">
              <w:rPr>
                <w:rFonts w:ascii="Arial Narrow" w:hAnsi="Arial Narrow"/>
              </w:rPr>
              <w:t>M​+​CBE</w:t>
            </w:r>
          </w:p>
        </w:tc>
        <w:tc>
          <w:tcPr>
            <w:tcW w:w="1685" w:type="dxa"/>
            <w:vAlign w:val="center"/>
          </w:tcPr>
          <w:p w14:paraId="035457C5"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293" w:type="dxa"/>
            <w:vAlign w:val="center"/>
          </w:tcPr>
          <w:p w14:paraId="55B7CA13" w14:textId="77777777" w:rsidR="00E47AB8" w:rsidRPr="008B2F8A" w:rsidRDefault="00E47AB8" w:rsidP="00422306">
            <w:pPr>
              <w:spacing w:before="40" w:after="80"/>
              <w:rPr>
                <w:rFonts w:ascii="Arial Narrow" w:hAnsi="Arial Narrow"/>
              </w:rPr>
            </w:pPr>
            <w:r w:rsidRPr="008B2F8A">
              <w:rPr>
                <w:rFonts w:ascii="Arial Narrow" w:hAnsi="Arial Narrow"/>
              </w:rPr>
              <w:t>28</w:t>
            </w:r>
          </w:p>
        </w:tc>
        <w:tc>
          <w:tcPr>
            <w:tcW w:w="436" w:type="dxa"/>
            <w:vAlign w:val="center"/>
          </w:tcPr>
          <w:p w14:paraId="06D02CE0" w14:textId="77777777" w:rsidR="00E47AB8" w:rsidRPr="008B2F8A" w:rsidRDefault="00E47AB8" w:rsidP="00422306">
            <w:pPr>
              <w:spacing w:before="40" w:after="80"/>
              <w:rPr>
                <w:rFonts w:ascii="Arial Narrow" w:hAnsi="Arial Narrow"/>
              </w:rPr>
            </w:pPr>
            <w:r w:rsidRPr="008B2F8A">
              <w:rPr>
                <w:rFonts w:ascii="Arial Narrow" w:hAnsi="Arial Narrow"/>
              </w:rPr>
              <w:t>456</w:t>
            </w:r>
          </w:p>
        </w:tc>
        <w:tc>
          <w:tcPr>
            <w:tcW w:w="426" w:type="dxa"/>
            <w:vAlign w:val="center"/>
          </w:tcPr>
          <w:p w14:paraId="7B563C0D" w14:textId="77777777" w:rsidR="00E47AB8" w:rsidRPr="008B2F8A" w:rsidRDefault="00E47AB8" w:rsidP="00422306">
            <w:pPr>
              <w:spacing w:before="40" w:after="80"/>
              <w:rPr>
                <w:rFonts w:ascii="Arial Narrow" w:hAnsi="Arial Narrow"/>
              </w:rPr>
            </w:pPr>
            <w:r w:rsidRPr="008B2F8A">
              <w:rPr>
                <w:rFonts w:ascii="Arial Narrow" w:hAnsi="Arial Narrow"/>
              </w:rPr>
              <w:t>5</w:t>
            </w:r>
          </w:p>
        </w:tc>
        <w:tc>
          <w:tcPr>
            <w:tcW w:w="568" w:type="dxa"/>
            <w:vAlign w:val="center"/>
          </w:tcPr>
          <w:p w14:paraId="364AC525" w14:textId="77777777" w:rsidR="00E47AB8" w:rsidRPr="008B2F8A" w:rsidRDefault="00E47AB8" w:rsidP="00422306">
            <w:pPr>
              <w:spacing w:before="40" w:after="80"/>
              <w:rPr>
                <w:rFonts w:ascii="Arial Narrow" w:hAnsi="Arial Narrow"/>
              </w:rPr>
            </w:pPr>
            <w:r w:rsidRPr="008B2F8A">
              <w:rPr>
                <w:rFonts w:ascii="Arial Narrow" w:hAnsi="Arial Narrow"/>
              </w:rPr>
              <w:t>2,619</w:t>
            </w:r>
          </w:p>
        </w:tc>
        <w:tc>
          <w:tcPr>
            <w:tcW w:w="1420" w:type="dxa"/>
            <w:vAlign w:val="center"/>
          </w:tcPr>
          <w:p w14:paraId="6D79F12F" w14:textId="77777777" w:rsidR="00E47AB8" w:rsidRPr="008B2F8A" w:rsidRDefault="00E47AB8" w:rsidP="00422306">
            <w:pPr>
              <w:spacing w:before="40" w:after="80"/>
              <w:rPr>
                <w:rFonts w:ascii="Arial Narrow" w:hAnsi="Arial Narrow"/>
              </w:rPr>
            </w:pPr>
            <w:r w:rsidRPr="008B2F8A">
              <w:rPr>
                <w:rFonts w:ascii="Arial Narrow" w:hAnsi="Arial Narrow"/>
              </w:rPr>
              <w:t>0.85 [0.68, 0.95]</w:t>
            </w:r>
          </w:p>
        </w:tc>
        <w:tc>
          <w:tcPr>
            <w:tcW w:w="1263" w:type="dxa"/>
            <w:vAlign w:val="center"/>
          </w:tcPr>
          <w:p w14:paraId="7A26829E" w14:textId="77777777" w:rsidR="00E47AB8" w:rsidRPr="008B2F8A" w:rsidRDefault="00E47AB8" w:rsidP="00422306">
            <w:pPr>
              <w:spacing w:before="40" w:after="80"/>
              <w:rPr>
                <w:rFonts w:ascii="Arial Narrow" w:hAnsi="Arial Narrow"/>
              </w:rPr>
            </w:pPr>
            <w:r w:rsidRPr="008B2F8A">
              <w:rPr>
                <w:rFonts w:ascii="Arial Narrow" w:hAnsi="Arial Narrow"/>
              </w:rPr>
              <w:t>0.85 [0.84, 0.86]</w:t>
            </w:r>
          </w:p>
        </w:tc>
      </w:tr>
      <w:tr w:rsidR="00E47AB8" w:rsidRPr="008B2F8A" w14:paraId="62571C68" w14:textId="77777777" w:rsidTr="00B17898">
        <w:tc>
          <w:tcPr>
            <w:tcW w:w="1590" w:type="dxa"/>
            <w:vAlign w:val="center"/>
          </w:tcPr>
          <w:p w14:paraId="3F0FBD09" w14:textId="395F46A5" w:rsidR="00E47AB8" w:rsidRPr="008B2F8A" w:rsidRDefault="00E47AB8" w:rsidP="00422306">
            <w:pPr>
              <w:spacing w:before="40" w:after="80"/>
              <w:rPr>
                <w:rFonts w:ascii="Arial Narrow" w:hAnsi="Arial Narrow"/>
              </w:rPr>
            </w:pPr>
            <w:r>
              <w:rPr>
                <w:rFonts w:ascii="Arial Narrow" w:hAnsi="Arial Narrow"/>
              </w:rPr>
              <w:t>Kuhl et al, 2005</w:t>
            </w:r>
          </w:p>
        </w:tc>
        <w:tc>
          <w:tcPr>
            <w:tcW w:w="1278" w:type="dxa"/>
            <w:vAlign w:val="center"/>
          </w:tcPr>
          <w:p w14:paraId="59D3D60A" w14:textId="77777777" w:rsidR="00E47AB8" w:rsidRPr="008B2F8A" w:rsidRDefault="00E47AB8" w:rsidP="00422306">
            <w:pPr>
              <w:spacing w:before="40" w:after="80"/>
              <w:rPr>
                <w:rFonts w:ascii="Arial Narrow" w:hAnsi="Arial Narrow"/>
              </w:rPr>
            </w:pPr>
            <w:r w:rsidRPr="008B2F8A">
              <w:rPr>
                <w:rFonts w:ascii="Arial Narrow" w:hAnsi="Arial Narrow"/>
              </w:rPr>
              <w:t>MRI​+​M</w:t>
            </w:r>
          </w:p>
        </w:tc>
        <w:tc>
          <w:tcPr>
            <w:tcW w:w="1685" w:type="dxa"/>
            <w:vAlign w:val="center"/>
          </w:tcPr>
          <w:p w14:paraId="2EC71A52"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274989B7" w14:textId="77777777" w:rsidR="00E47AB8" w:rsidRPr="008B2F8A" w:rsidRDefault="00E47AB8" w:rsidP="00422306">
            <w:pPr>
              <w:spacing w:before="40" w:after="80"/>
              <w:rPr>
                <w:rFonts w:ascii="Arial Narrow" w:hAnsi="Arial Narrow"/>
              </w:rPr>
            </w:pPr>
            <w:r w:rsidRPr="008B2F8A">
              <w:rPr>
                <w:rFonts w:ascii="Arial Narrow" w:hAnsi="Arial Narrow"/>
              </w:rPr>
              <w:t>40</w:t>
            </w:r>
          </w:p>
        </w:tc>
        <w:tc>
          <w:tcPr>
            <w:tcW w:w="436" w:type="dxa"/>
            <w:vAlign w:val="center"/>
          </w:tcPr>
          <w:p w14:paraId="4B3507B9" w14:textId="77777777" w:rsidR="00E47AB8" w:rsidRPr="008B2F8A" w:rsidRDefault="00E47AB8" w:rsidP="00422306">
            <w:pPr>
              <w:spacing w:before="40" w:after="80"/>
              <w:rPr>
                <w:rFonts w:ascii="Arial Narrow" w:hAnsi="Arial Narrow"/>
              </w:rPr>
            </w:pPr>
            <w:r w:rsidRPr="008B2F8A">
              <w:rPr>
                <w:rFonts w:ascii="Arial Narrow" w:hAnsi="Arial Narrow"/>
              </w:rPr>
              <w:t>55</w:t>
            </w:r>
          </w:p>
        </w:tc>
        <w:tc>
          <w:tcPr>
            <w:tcW w:w="426" w:type="dxa"/>
            <w:vAlign w:val="center"/>
          </w:tcPr>
          <w:p w14:paraId="4C7620AB" w14:textId="77777777" w:rsidR="00E47AB8" w:rsidRPr="008B2F8A" w:rsidRDefault="00E47AB8" w:rsidP="00422306">
            <w:pPr>
              <w:spacing w:before="40" w:after="80"/>
              <w:rPr>
                <w:rFonts w:ascii="Arial Narrow" w:hAnsi="Arial Narrow"/>
              </w:rPr>
            </w:pPr>
            <w:r w:rsidRPr="008B2F8A">
              <w:rPr>
                <w:rFonts w:ascii="Arial Narrow" w:hAnsi="Arial Narrow"/>
              </w:rPr>
              <w:t>3</w:t>
            </w:r>
          </w:p>
        </w:tc>
        <w:tc>
          <w:tcPr>
            <w:tcW w:w="568" w:type="dxa"/>
            <w:vAlign w:val="center"/>
          </w:tcPr>
          <w:p w14:paraId="6AD01F81" w14:textId="77777777" w:rsidR="00E47AB8" w:rsidRPr="008B2F8A" w:rsidRDefault="00E47AB8" w:rsidP="00422306">
            <w:pPr>
              <w:spacing w:before="40" w:after="80"/>
              <w:rPr>
                <w:rFonts w:ascii="Arial Narrow" w:hAnsi="Arial Narrow"/>
              </w:rPr>
            </w:pPr>
            <w:r w:rsidRPr="008B2F8A">
              <w:rPr>
                <w:rFonts w:ascii="Arial Narrow" w:hAnsi="Arial Narrow"/>
              </w:rPr>
              <w:t>1,354</w:t>
            </w:r>
          </w:p>
        </w:tc>
        <w:tc>
          <w:tcPr>
            <w:tcW w:w="1420" w:type="dxa"/>
            <w:vAlign w:val="center"/>
          </w:tcPr>
          <w:p w14:paraId="4D557A78" w14:textId="77777777" w:rsidR="00E47AB8" w:rsidRPr="008B2F8A" w:rsidRDefault="00E47AB8" w:rsidP="00422306">
            <w:pPr>
              <w:spacing w:before="40" w:after="80"/>
              <w:rPr>
                <w:rFonts w:ascii="Arial Narrow" w:hAnsi="Arial Narrow"/>
              </w:rPr>
            </w:pPr>
            <w:r w:rsidRPr="008B2F8A">
              <w:rPr>
                <w:rFonts w:ascii="Arial Narrow" w:hAnsi="Arial Narrow"/>
              </w:rPr>
              <w:t>0.93 [0.81, 0.99]</w:t>
            </w:r>
          </w:p>
        </w:tc>
        <w:tc>
          <w:tcPr>
            <w:tcW w:w="1263" w:type="dxa"/>
            <w:vAlign w:val="center"/>
          </w:tcPr>
          <w:p w14:paraId="634828EE" w14:textId="77777777" w:rsidR="00E47AB8" w:rsidRPr="008B2F8A" w:rsidRDefault="00E47AB8" w:rsidP="00422306">
            <w:pPr>
              <w:spacing w:before="40" w:after="80"/>
              <w:rPr>
                <w:rFonts w:ascii="Arial Narrow" w:hAnsi="Arial Narrow"/>
              </w:rPr>
            </w:pPr>
            <w:r w:rsidRPr="008B2F8A">
              <w:rPr>
                <w:rFonts w:ascii="Arial Narrow" w:hAnsi="Arial Narrow"/>
              </w:rPr>
              <w:t>0.96 [0.95, 0.97]</w:t>
            </w:r>
          </w:p>
        </w:tc>
      </w:tr>
      <w:tr w:rsidR="00E47AB8" w:rsidRPr="008B2F8A" w14:paraId="17DC2DBE" w14:textId="77777777" w:rsidTr="00B17898">
        <w:tc>
          <w:tcPr>
            <w:tcW w:w="1590" w:type="dxa"/>
            <w:vAlign w:val="center"/>
          </w:tcPr>
          <w:p w14:paraId="42E9BBD7" w14:textId="24B26EC6" w:rsidR="00E47AB8" w:rsidRPr="008B2F8A" w:rsidRDefault="00E47AB8" w:rsidP="00B17898">
            <w:pPr>
              <w:spacing w:before="40" w:after="80"/>
              <w:rPr>
                <w:rFonts w:ascii="Arial Narrow" w:hAnsi="Arial Narrow"/>
                <w:lang w:eastAsia="en-US"/>
              </w:rPr>
            </w:pPr>
            <w:r>
              <w:rPr>
                <w:rFonts w:ascii="Arial Narrow" w:hAnsi="Arial Narrow"/>
              </w:rPr>
              <w:t>Leach, 2005</w:t>
            </w:r>
            <w:r w:rsidRPr="008B2F8A">
              <w:rPr>
                <w:rFonts w:ascii="Arial Narrow" w:hAnsi="Arial Narrow"/>
              </w:rPr>
              <w:t xml:space="preserve"> (MARIBS)</w:t>
            </w:r>
          </w:p>
        </w:tc>
        <w:tc>
          <w:tcPr>
            <w:tcW w:w="1278" w:type="dxa"/>
            <w:vAlign w:val="center"/>
          </w:tcPr>
          <w:p w14:paraId="1BD7FCD3" w14:textId="77777777" w:rsidR="00E47AB8" w:rsidRPr="008B2F8A" w:rsidRDefault="00E47AB8" w:rsidP="00422306">
            <w:pPr>
              <w:spacing w:before="40" w:after="80"/>
              <w:rPr>
                <w:rFonts w:ascii="Arial Narrow" w:hAnsi="Arial Narrow"/>
              </w:rPr>
            </w:pPr>
            <w:r w:rsidRPr="008B2F8A">
              <w:rPr>
                <w:rFonts w:ascii="Arial Narrow" w:hAnsi="Arial Narrow"/>
              </w:rPr>
              <w:t>MRI​+​M</w:t>
            </w:r>
          </w:p>
        </w:tc>
        <w:tc>
          <w:tcPr>
            <w:tcW w:w="1685" w:type="dxa"/>
            <w:vAlign w:val="center"/>
          </w:tcPr>
          <w:p w14:paraId="480AFCB3"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293" w:type="dxa"/>
            <w:vAlign w:val="center"/>
          </w:tcPr>
          <w:p w14:paraId="688D34E5" w14:textId="77777777" w:rsidR="00E47AB8" w:rsidRPr="008B2F8A" w:rsidRDefault="00E47AB8" w:rsidP="00422306">
            <w:pPr>
              <w:spacing w:before="40" w:after="80"/>
              <w:rPr>
                <w:rFonts w:ascii="Arial Narrow" w:hAnsi="Arial Narrow"/>
              </w:rPr>
            </w:pPr>
            <w:r w:rsidRPr="008B2F8A">
              <w:rPr>
                <w:rFonts w:ascii="Arial Narrow" w:hAnsi="Arial Narrow"/>
              </w:rPr>
              <w:t>33</w:t>
            </w:r>
          </w:p>
        </w:tc>
        <w:tc>
          <w:tcPr>
            <w:tcW w:w="436" w:type="dxa"/>
            <w:vAlign w:val="center"/>
          </w:tcPr>
          <w:p w14:paraId="0C33152E" w14:textId="77777777" w:rsidR="00E47AB8" w:rsidRPr="008B2F8A" w:rsidRDefault="00E47AB8" w:rsidP="00422306">
            <w:pPr>
              <w:spacing w:before="40" w:after="80"/>
              <w:rPr>
                <w:rFonts w:ascii="Arial Narrow" w:hAnsi="Arial Narrow"/>
              </w:rPr>
            </w:pPr>
            <w:r w:rsidRPr="008B2F8A">
              <w:rPr>
                <w:rFonts w:ascii="Arial Narrow" w:hAnsi="Arial Narrow"/>
              </w:rPr>
              <w:t>428</w:t>
            </w:r>
          </w:p>
        </w:tc>
        <w:tc>
          <w:tcPr>
            <w:tcW w:w="426" w:type="dxa"/>
            <w:vAlign w:val="center"/>
          </w:tcPr>
          <w:p w14:paraId="1EC02CFA" w14:textId="77777777" w:rsidR="00E47AB8" w:rsidRPr="008B2F8A" w:rsidRDefault="00E47AB8" w:rsidP="00422306">
            <w:pPr>
              <w:spacing w:before="40" w:after="80"/>
              <w:rPr>
                <w:rFonts w:ascii="Arial Narrow" w:hAnsi="Arial Narrow"/>
              </w:rPr>
            </w:pPr>
            <w:r w:rsidRPr="008B2F8A">
              <w:rPr>
                <w:rFonts w:ascii="Arial Narrow" w:hAnsi="Arial Narrow"/>
              </w:rPr>
              <w:t>2</w:t>
            </w:r>
          </w:p>
        </w:tc>
        <w:tc>
          <w:tcPr>
            <w:tcW w:w="568" w:type="dxa"/>
            <w:vAlign w:val="center"/>
          </w:tcPr>
          <w:p w14:paraId="4D8A2D30" w14:textId="77777777" w:rsidR="00E47AB8" w:rsidRPr="008B2F8A" w:rsidRDefault="00E47AB8" w:rsidP="00422306">
            <w:pPr>
              <w:spacing w:before="40" w:after="80"/>
              <w:rPr>
                <w:rFonts w:ascii="Arial Narrow" w:hAnsi="Arial Narrow"/>
              </w:rPr>
            </w:pPr>
            <w:r w:rsidRPr="008B2F8A">
              <w:rPr>
                <w:rFonts w:ascii="Arial Narrow" w:hAnsi="Arial Narrow"/>
              </w:rPr>
              <w:t>1,418</w:t>
            </w:r>
          </w:p>
        </w:tc>
        <w:tc>
          <w:tcPr>
            <w:tcW w:w="1420" w:type="dxa"/>
            <w:vAlign w:val="center"/>
          </w:tcPr>
          <w:p w14:paraId="48F47762" w14:textId="77777777" w:rsidR="00E47AB8" w:rsidRPr="008B2F8A" w:rsidRDefault="00E47AB8" w:rsidP="00422306">
            <w:pPr>
              <w:spacing w:before="40" w:after="80"/>
              <w:rPr>
                <w:rFonts w:ascii="Arial Narrow" w:hAnsi="Arial Narrow"/>
              </w:rPr>
            </w:pPr>
            <w:r w:rsidRPr="008B2F8A">
              <w:rPr>
                <w:rFonts w:ascii="Arial Narrow" w:hAnsi="Arial Narrow"/>
              </w:rPr>
              <w:t>0.94 [0.81, 0.99]</w:t>
            </w:r>
          </w:p>
        </w:tc>
        <w:tc>
          <w:tcPr>
            <w:tcW w:w="1263" w:type="dxa"/>
            <w:vAlign w:val="center"/>
          </w:tcPr>
          <w:p w14:paraId="6594C87C" w14:textId="77777777" w:rsidR="00E47AB8" w:rsidRPr="008B2F8A" w:rsidRDefault="00E47AB8" w:rsidP="00422306">
            <w:pPr>
              <w:spacing w:before="40" w:after="80"/>
              <w:rPr>
                <w:rFonts w:ascii="Arial Narrow" w:hAnsi="Arial Narrow"/>
              </w:rPr>
            </w:pPr>
            <w:r w:rsidRPr="008B2F8A">
              <w:rPr>
                <w:rFonts w:ascii="Arial Narrow" w:hAnsi="Arial Narrow"/>
              </w:rPr>
              <w:t>0.77 [0.75, 0.79]</w:t>
            </w:r>
          </w:p>
        </w:tc>
      </w:tr>
      <w:tr w:rsidR="00E47AB8" w:rsidRPr="008B2F8A" w14:paraId="30CB4BD1" w14:textId="77777777" w:rsidTr="00B17898">
        <w:tc>
          <w:tcPr>
            <w:tcW w:w="1590" w:type="dxa"/>
            <w:vAlign w:val="center"/>
          </w:tcPr>
          <w:p w14:paraId="74D38CB0" w14:textId="653BF6A9" w:rsidR="00E47AB8" w:rsidRPr="008B2F8A" w:rsidRDefault="00E47AB8" w:rsidP="00B17898">
            <w:pPr>
              <w:spacing w:before="40" w:after="80"/>
              <w:rPr>
                <w:rFonts w:ascii="Arial Narrow" w:hAnsi="Arial Narrow"/>
                <w:lang w:eastAsia="en-US"/>
              </w:rPr>
            </w:pPr>
            <w:r>
              <w:rPr>
                <w:rFonts w:ascii="Arial Narrow" w:hAnsi="Arial Narrow"/>
              </w:rPr>
              <w:t>Leach, 2005</w:t>
            </w:r>
            <w:r w:rsidRPr="008B2F8A">
              <w:rPr>
                <w:rFonts w:ascii="Arial Narrow" w:hAnsi="Arial Narrow"/>
              </w:rPr>
              <w:t xml:space="preserve"> </w:t>
            </w:r>
            <w:r w:rsidRPr="008B2F8A">
              <w:rPr>
                <w:rFonts w:ascii="Arial Narrow" w:hAnsi="Arial Narrow"/>
              </w:rPr>
              <w:lastRenderedPageBreak/>
              <w:t>(MARIBS)</w:t>
            </w:r>
          </w:p>
        </w:tc>
        <w:tc>
          <w:tcPr>
            <w:tcW w:w="1278" w:type="dxa"/>
            <w:vAlign w:val="center"/>
          </w:tcPr>
          <w:p w14:paraId="72C944C1"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MRI​+​M</w:t>
            </w:r>
          </w:p>
        </w:tc>
        <w:tc>
          <w:tcPr>
            <w:tcW w:w="1685" w:type="dxa"/>
            <w:vAlign w:val="center"/>
          </w:tcPr>
          <w:p w14:paraId="2E5F9407"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23BEAA62" w14:textId="77777777" w:rsidR="00E47AB8" w:rsidRPr="008B2F8A" w:rsidRDefault="00E47AB8" w:rsidP="00422306">
            <w:pPr>
              <w:spacing w:before="40" w:after="80"/>
              <w:rPr>
                <w:rFonts w:ascii="Arial Narrow" w:hAnsi="Arial Narrow"/>
              </w:rPr>
            </w:pPr>
            <w:r w:rsidRPr="008B2F8A">
              <w:rPr>
                <w:rFonts w:ascii="Arial Narrow" w:hAnsi="Arial Narrow"/>
              </w:rPr>
              <w:t>N</w:t>
            </w:r>
            <w:r w:rsidRPr="008B2F8A">
              <w:rPr>
                <w:rFonts w:ascii="Arial Narrow" w:hAnsi="Arial Narrow"/>
              </w:rPr>
              <w:lastRenderedPageBreak/>
              <w:t>R</w:t>
            </w:r>
          </w:p>
        </w:tc>
        <w:tc>
          <w:tcPr>
            <w:tcW w:w="436" w:type="dxa"/>
            <w:vAlign w:val="center"/>
          </w:tcPr>
          <w:p w14:paraId="649B4346"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NR</w:t>
            </w:r>
          </w:p>
        </w:tc>
        <w:tc>
          <w:tcPr>
            <w:tcW w:w="426" w:type="dxa"/>
            <w:vAlign w:val="center"/>
          </w:tcPr>
          <w:p w14:paraId="3370ADD2"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568" w:type="dxa"/>
            <w:vAlign w:val="center"/>
          </w:tcPr>
          <w:p w14:paraId="04C91F85"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32CAD6B5" w14:textId="77777777" w:rsidR="00E47AB8" w:rsidRPr="008B2F8A" w:rsidRDefault="00E47AB8" w:rsidP="00422306">
            <w:pPr>
              <w:spacing w:before="40" w:after="80"/>
              <w:rPr>
                <w:rFonts w:ascii="Arial Narrow" w:hAnsi="Arial Narrow"/>
              </w:rPr>
            </w:pPr>
            <w:r w:rsidRPr="008B2F8A">
              <w:rPr>
                <w:rFonts w:ascii="Arial Narrow" w:hAnsi="Arial Narrow"/>
              </w:rPr>
              <w:t>0.60</w:t>
            </w:r>
            <w:r w:rsidRPr="008B2F8A">
              <w:rPr>
                <w:rFonts w:ascii="Arial Narrow" w:hAnsi="Arial Narrow"/>
                <w:vertAlign w:val="superscript"/>
              </w:rPr>
              <w:t>†</w:t>
            </w:r>
          </w:p>
        </w:tc>
        <w:tc>
          <w:tcPr>
            <w:tcW w:w="1263" w:type="dxa"/>
            <w:vAlign w:val="center"/>
          </w:tcPr>
          <w:p w14:paraId="2A9BA9BC" w14:textId="77777777" w:rsidR="00E47AB8" w:rsidRPr="008B2F8A" w:rsidRDefault="00E47AB8" w:rsidP="00422306">
            <w:pPr>
              <w:spacing w:before="40" w:after="80"/>
              <w:rPr>
                <w:rFonts w:ascii="Arial Narrow" w:hAnsi="Arial Narrow"/>
              </w:rPr>
            </w:pPr>
            <w:r w:rsidRPr="008B2F8A">
              <w:rPr>
                <w:rFonts w:ascii="Arial Narrow" w:hAnsi="Arial Narrow"/>
              </w:rPr>
              <w:t>0.95</w:t>
            </w:r>
            <w:r w:rsidRPr="008B2F8A">
              <w:rPr>
                <w:rFonts w:ascii="Arial Narrow" w:hAnsi="Arial Narrow"/>
                <w:vertAlign w:val="superscript"/>
              </w:rPr>
              <w:t>†</w:t>
            </w:r>
          </w:p>
        </w:tc>
      </w:tr>
      <w:tr w:rsidR="00E47AB8" w:rsidRPr="008B2F8A" w14:paraId="37303073" w14:textId="77777777" w:rsidTr="00B17898">
        <w:tc>
          <w:tcPr>
            <w:tcW w:w="1590" w:type="dxa"/>
            <w:vAlign w:val="center"/>
          </w:tcPr>
          <w:p w14:paraId="02286573" w14:textId="4872A383" w:rsidR="00E47AB8" w:rsidRPr="008B2F8A" w:rsidRDefault="00E47AB8" w:rsidP="00422306">
            <w:pPr>
              <w:spacing w:before="40" w:after="80"/>
              <w:rPr>
                <w:rFonts w:ascii="Arial Narrow" w:hAnsi="Arial Narrow"/>
              </w:rPr>
            </w:pPr>
            <w:r>
              <w:rPr>
                <w:rFonts w:ascii="Arial Narrow" w:hAnsi="Arial Narrow"/>
              </w:rPr>
              <w:lastRenderedPageBreak/>
              <w:t>Warner et al, 2004</w:t>
            </w:r>
          </w:p>
        </w:tc>
        <w:tc>
          <w:tcPr>
            <w:tcW w:w="1278" w:type="dxa"/>
            <w:vAlign w:val="center"/>
          </w:tcPr>
          <w:p w14:paraId="62C89C0E" w14:textId="77777777" w:rsidR="00E47AB8" w:rsidRPr="008B2F8A" w:rsidRDefault="00E47AB8" w:rsidP="00422306">
            <w:pPr>
              <w:spacing w:before="40" w:after="80"/>
              <w:rPr>
                <w:rFonts w:ascii="Arial Narrow" w:hAnsi="Arial Narrow"/>
              </w:rPr>
            </w:pPr>
            <w:r w:rsidRPr="008B2F8A">
              <w:rPr>
                <w:rFonts w:ascii="Arial Narrow" w:hAnsi="Arial Narrow"/>
              </w:rPr>
              <w:t>MRI​+​M​+​CBE</w:t>
            </w:r>
          </w:p>
        </w:tc>
        <w:tc>
          <w:tcPr>
            <w:tcW w:w="1685" w:type="dxa"/>
            <w:vAlign w:val="center"/>
          </w:tcPr>
          <w:p w14:paraId="4517B688"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293" w:type="dxa"/>
            <w:vAlign w:val="center"/>
          </w:tcPr>
          <w:p w14:paraId="39C24A09"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36" w:type="dxa"/>
            <w:vAlign w:val="center"/>
          </w:tcPr>
          <w:p w14:paraId="6D9F11CF"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26" w:type="dxa"/>
            <w:vAlign w:val="center"/>
          </w:tcPr>
          <w:p w14:paraId="0A7B2A8A"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568" w:type="dxa"/>
            <w:vAlign w:val="center"/>
          </w:tcPr>
          <w:p w14:paraId="321B98D2"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67C27BF7" w14:textId="77777777" w:rsidR="00E47AB8" w:rsidRPr="008B2F8A" w:rsidRDefault="00E47AB8" w:rsidP="00422306">
            <w:pPr>
              <w:spacing w:before="40" w:after="80"/>
              <w:rPr>
                <w:rFonts w:ascii="Arial Narrow" w:hAnsi="Arial Narrow"/>
              </w:rPr>
            </w:pPr>
            <w:r w:rsidRPr="008B2F8A">
              <w:rPr>
                <w:rFonts w:ascii="Arial Narrow" w:hAnsi="Arial Narrow"/>
              </w:rPr>
              <w:t>0.90</w:t>
            </w:r>
            <w:r w:rsidRPr="008B2F8A">
              <w:rPr>
                <w:rFonts w:ascii="Arial Narrow" w:hAnsi="Arial Narrow"/>
                <w:vertAlign w:val="superscript"/>
              </w:rPr>
              <w:t>†</w:t>
            </w:r>
          </w:p>
        </w:tc>
        <w:tc>
          <w:tcPr>
            <w:tcW w:w="1263" w:type="dxa"/>
            <w:vAlign w:val="center"/>
          </w:tcPr>
          <w:p w14:paraId="2B1A9E1B" w14:textId="77777777" w:rsidR="00E47AB8" w:rsidRPr="008B2F8A" w:rsidRDefault="00E47AB8" w:rsidP="00422306">
            <w:pPr>
              <w:spacing w:before="40" w:after="80"/>
              <w:rPr>
                <w:rFonts w:ascii="Arial Narrow" w:hAnsi="Arial Narrow"/>
              </w:rPr>
            </w:pPr>
            <w:r w:rsidRPr="008B2F8A">
              <w:rPr>
                <w:rFonts w:ascii="Arial Narrow" w:hAnsi="Arial Narrow"/>
              </w:rPr>
              <w:t>0.80</w:t>
            </w:r>
            <w:r w:rsidRPr="008B2F8A">
              <w:rPr>
                <w:rFonts w:ascii="Arial Narrow" w:hAnsi="Arial Narrow"/>
                <w:vertAlign w:val="superscript"/>
              </w:rPr>
              <w:t>†</w:t>
            </w:r>
          </w:p>
        </w:tc>
      </w:tr>
      <w:tr w:rsidR="00E47AB8" w:rsidRPr="008B2F8A" w14:paraId="5601AEB1" w14:textId="77777777" w:rsidTr="00B17898">
        <w:tc>
          <w:tcPr>
            <w:tcW w:w="1590" w:type="dxa"/>
            <w:vAlign w:val="center"/>
          </w:tcPr>
          <w:p w14:paraId="4EBF7FEC" w14:textId="70F7A491" w:rsidR="00E47AB8" w:rsidRPr="008B2F8A" w:rsidRDefault="00E47AB8" w:rsidP="00422306">
            <w:pPr>
              <w:spacing w:before="40" w:after="80"/>
              <w:rPr>
                <w:rFonts w:ascii="Arial Narrow" w:hAnsi="Arial Narrow"/>
              </w:rPr>
            </w:pPr>
            <w:r>
              <w:rPr>
                <w:rFonts w:ascii="Arial Narrow" w:hAnsi="Arial Narrow"/>
              </w:rPr>
              <w:t>Warner et al, 2004</w:t>
            </w:r>
          </w:p>
        </w:tc>
        <w:tc>
          <w:tcPr>
            <w:tcW w:w="1278" w:type="dxa"/>
            <w:vAlign w:val="center"/>
          </w:tcPr>
          <w:p w14:paraId="239B59E7" w14:textId="77777777" w:rsidR="00E47AB8" w:rsidRPr="008B2F8A" w:rsidRDefault="00E47AB8" w:rsidP="00422306">
            <w:pPr>
              <w:spacing w:before="40" w:after="80"/>
              <w:rPr>
                <w:rFonts w:ascii="Arial Narrow" w:hAnsi="Arial Narrow"/>
              </w:rPr>
            </w:pPr>
            <w:r w:rsidRPr="008B2F8A">
              <w:rPr>
                <w:rFonts w:ascii="Arial Narrow" w:hAnsi="Arial Narrow"/>
              </w:rPr>
              <w:t>MRI​+​M​+​CBE</w:t>
            </w:r>
          </w:p>
        </w:tc>
        <w:tc>
          <w:tcPr>
            <w:tcW w:w="1685" w:type="dxa"/>
            <w:vAlign w:val="center"/>
          </w:tcPr>
          <w:p w14:paraId="19D4AC3E"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0EE07847" w14:textId="77777777" w:rsidR="00E47AB8" w:rsidRPr="008B2F8A" w:rsidRDefault="00E47AB8" w:rsidP="00422306">
            <w:pPr>
              <w:spacing w:before="40" w:after="80"/>
              <w:rPr>
                <w:rFonts w:ascii="Arial Narrow" w:hAnsi="Arial Narrow"/>
              </w:rPr>
            </w:pPr>
            <w:r w:rsidRPr="008B2F8A">
              <w:rPr>
                <w:rFonts w:ascii="Arial Narrow" w:hAnsi="Arial Narrow"/>
              </w:rPr>
              <w:t>18</w:t>
            </w:r>
          </w:p>
        </w:tc>
        <w:tc>
          <w:tcPr>
            <w:tcW w:w="436" w:type="dxa"/>
            <w:vAlign w:val="center"/>
          </w:tcPr>
          <w:p w14:paraId="547306A5"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26" w:type="dxa"/>
            <w:vAlign w:val="center"/>
          </w:tcPr>
          <w:p w14:paraId="5BD2D363" w14:textId="77777777" w:rsidR="00E47AB8" w:rsidRPr="008B2F8A" w:rsidRDefault="00E47AB8" w:rsidP="00422306">
            <w:pPr>
              <w:spacing w:before="40" w:after="80"/>
              <w:rPr>
                <w:rFonts w:ascii="Arial Narrow" w:hAnsi="Arial Narrow"/>
              </w:rPr>
            </w:pPr>
            <w:r w:rsidRPr="008B2F8A">
              <w:rPr>
                <w:rFonts w:ascii="Arial Narrow" w:hAnsi="Arial Narrow"/>
              </w:rPr>
              <w:t>3</w:t>
            </w:r>
          </w:p>
        </w:tc>
        <w:tc>
          <w:tcPr>
            <w:tcW w:w="568" w:type="dxa"/>
            <w:vAlign w:val="center"/>
          </w:tcPr>
          <w:p w14:paraId="420468F0"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3E3A8F36" w14:textId="77777777" w:rsidR="00E47AB8" w:rsidRPr="008B2F8A" w:rsidRDefault="00E47AB8" w:rsidP="00422306">
            <w:pPr>
              <w:spacing w:before="40" w:after="80"/>
              <w:rPr>
                <w:rFonts w:ascii="Arial Narrow" w:hAnsi="Arial Narrow"/>
              </w:rPr>
            </w:pPr>
            <w:r w:rsidRPr="008B2F8A">
              <w:rPr>
                <w:rFonts w:ascii="Arial Narrow" w:hAnsi="Arial Narrow"/>
              </w:rPr>
              <w:t>0.86 [0.64, 0.97]</w:t>
            </w:r>
          </w:p>
        </w:tc>
        <w:tc>
          <w:tcPr>
            <w:tcW w:w="1263" w:type="dxa"/>
            <w:vAlign w:val="center"/>
          </w:tcPr>
          <w:p w14:paraId="6794E428" w14:textId="77777777" w:rsidR="00E47AB8" w:rsidRPr="008B2F8A" w:rsidRDefault="00E47AB8" w:rsidP="00422306">
            <w:pPr>
              <w:spacing w:before="40" w:after="80"/>
              <w:rPr>
                <w:rFonts w:ascii="Arial Narrow" w:hAnsi="Arial Narrow"/>
              </w:rPr>
            </w:pPr>
            <w:r w:rsidRPr="008B2F8A">
              <w:rPr>
                <w:rFonts w:ascii="Arial Narrow" w:hAnsi="Arial Narrow"/>
              </w:rPr>
              <w:t>0.95</w:t>
            </w:r>
            <w:r w:rsidRPr="008B2F8A">
              <w:rPr>
                <w:rFonts w:ascii="Arial Narrow" w:hAnsi="Arial Narrow"/>
                <w:vertAlign w:val="superscript"/>
              </w:rPr>
              <w:t>†</w:t>
            </w:r>
          </w:p>
        </w:tc>
      </w:tr>
      <w:tr w:rsidR="00E47AB8" w:rsidRPr="008B2F8A" w14:paraId="4131C95C" w14:textId="77777777" w:rsidTr="00B17898">
        <w:tc>
          <w:tcPr>
            <w:tcW w:w="1590" w:type="dxa"/>
            <w:vAlign w:val="center"/>
          </w:tcPr>
          <w:p w14:paraId="1997A62D" w14:textId="67712F8E" w:rsidR="00E47AB8" w:rsidRPr="008B2F8A" w:rsidRDefault="00E47AB8" w:rsidP="00422306">
            <w:pPr>
              <w:spacing w:before="40" w:after="80"/>
              <w:rPr>
                <w:rFonts w:ascii="Arial Narrow" w:hAnsi="Arial Narrow"/>
              </w:rPr>
            </w:pPr>
            <w:r>
              <w:rPr>
                <w:rFonts w:ascii="Arial Narrow" w:hAnsi="Arial Narrow"/>
              </w:rPr>
              <w:t>Warner et al, 2004</w:t>
            </w:r>
          </w:p>
        </w:tc>
        <w:tc>
          <w:tcPr>
            <w:tcW w:w="1278" w:type="dxa"/>
            <w:vAlign w:val="center"/>
          </w:tcPr>
          <w:p w14:paraId="69CED912" w14:textId="77777777" w:rsidR="00E47AB8" w:rsidRPr="008B2F8A" w:rsidRDefault="00E47AB8" w:rsidP="00422306">
            <w:pPr>
              <w:spacing w:before="40" w:after="80"/>
              <w:rPr>
                <w:rFonts w:ascii="Arial Narrow" w:hAnsi="Arial Narrow"/>
              </w:rPr>
            </w:pPr>
            <w:r w:rsidRPr="008B2F8A">
              <w:rPr>
                <w:rFonts w:ascii="Arial Narrow" w:hAnsi="Arial Narrow"/>
              </w:rPr>
              <w:t>MRI​+​M​+​U/S​+​CBE</w:t>
            </w:r>
          </w:p>
        </w:tc>
        <w:tc>
          <w:tcPr>
            <w:tcW w:w="1685" w:type="dxa"/>
            <w:vAlign w:val="center"/>
          </w:tcPr>
          <w:p w14:paraId="3F6A87BE"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74E655B1" w14:textId="77777777" w:rsidR="00E47AB8" w:rsidRPr="008B2F8A" w:rsidRDefault="00E47AB8" w:rsidP="00422306">
            <w:pPr>
              <w:spacing w:before="40" w:after="80"/>
              <w:rPr>
                <w:rFonts w:ascii="Arial Narrow" w:hAnsi="Arial Narrow"/>
              </w:rPr>
            </w:pPr>
            <w:r w:rsidRPr="008B2F8A">
              <w:rPr>
                <w:rFonts w:ascii="Arial Narrow" w:hAnsi="Arial Narrow"/>
              </w:rPr>
              <w:t>21</w:t>
            </w:r>
          </w:p>
        </w:tc>
        <w:tc>
          <w:tcPr>
            <w:tcW w:w="436" w:type="dxa"/>
            <w:vAlign w:val="center"/>
          </w:tcPr>
          <w:p w14:paraId="4372670E"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26" w:type="dxa"/>
            <w:vAlign w:val="center"/>
          </w:tcPr>
          <w:p w14:paraId="16E85264" w14:textId="77777777" w:rsidR="00E47AB8" w:rsidRPr="008B2F8A" w:rsidRDefault="00E47AB8" w:rsidP="00422306">
            <w:pPr>
              <w:spacing w:before="40" w:after="80"/>
              <w:rPr>
                <w:rFonts w:ascii="Arial Narrow" w:hAnsi="Arial Narrow"/>
              </w:rPr>
            </w:pPr>
            <w:r w:rsidRPr="008B2F8A">
              <w:rPr>
                <w:rFonts w:ascii="Arial Narrow" w:hAnsi="Arial Narrow"/>
              </w:rPr>
              <w:t>1</w:t>
            </w:r>
          </w:p>
        </w:tc>
        <w:tc>
          <w:tcPr>
            <w:tcW w:w="568" w:type="dxa"/>
            <w:vAlign w:val="center"/>
          </w:tcPr>
          <w:p w14:paraId="69AD72AF"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3E1591CB" w14:textId="77777777" w:rsidR="00E47AB8" w:rsidRPr="008B2F8A" w:rsidRDefault="00E47AB8" w:rsidP="00422306">
            <w:pPr>
              <w:spacing w:before="40" w:after="80"/>
              <w:rPr>
                <w:rFonts w:ascii="Arial Narrow" w:hAnsi="Arial Narrow"/>
              </w:rPr>
            </w:pPr>
            <w:r w:rsidRPr="008B2F8A">
              <w:rPr>
                <w:rFonts w:ascii="Arial Narrow" w:hAnsi="Arial Narrow"/>
              </w:rPr>
              <w:t>0.95 [0.77, 1.00]</w:t>
            </w:r>
          </w:p>
        </w:tc>
        <w:tc>
          <w:tcPr>
            <w:tcW w:w="1263" w:type="dxa"/>
            <w:vAlign w:val="center"/>
          </w:tcPr>
          <w:p w14:paraId="5C86FA00" w14:textId="77777777" w:rsidR="00E47AB8" w:rsidRPr="008B2F8A" w:rsidRDefault="00E47AB8" w:rsidP="00422306">
            <w:pPr>
              <w:spacing w:before="40" w:after="80"/>
              <w:rPr>
                <w:rFonts w:ascii="Arial Narrow" w:hAnsi="Arial Narrow"/>
              </w:rPr>
            </w:pPr>
            <w:r w:rsidRPr="008B2F8A">
              <w:rPr>
                <w:rFonts w:ascii="Arial Narrow" w:hAnsi="Arial Narrow"/>
              </w:rPr>
              <w:t>NR</w:t>
            </w:r>
          </w:p>
        </w:tc>
      </w:tr>
    </w:tbl>
    <w:p w14:paraId="2E06B5D3" w14:textId="3A47D35E" w:rsidR="00E47AB8" w:rsidRPr="008B2F8A" w:rsidRDefault="00F80E4A" w:rsidP="00B17898">
      <w:pPr>
        <w:pStyle w:val="TableNotesLast"/>
      </w:pPr>
      <w:r>
        <w:rPr>
          <w:vertAlign w:val="superscript"/>
        </w:rPr>
        <w:t xml:space="preserve">* </w:t>
      </w:r>
      <w:r>
        <w:t>As reported in HIQA (2013) calculated from data in Table 1 of Kriege et al. (2006b).</w:t>
      </w:r>
      <w:r w:rsidR="00E47AB8" w:rsidRPr="008B2F8A">
        <w:rPr>
          <w:vertAlign w:val="superscript"/>
        </w:rPr>
        <w:t xml:space="preserve">† </w:t>
      </w:r>
      <w:r w:rsidR="00E47AB8" w:rsidRPr="008B2F8A">
        <w:t xml:space="preserve">Reported in </w:t>
      </w:r>
      <w:r w:rsidR="00E47AB8">
        <w:t>Warner et al (</w:t>
      </w:r>
      <w:r w:rsidR="00E47AB8" w:rsidRPr="008B2F8A">
        <w:rPr>
          <w:noProof/>
        </w:rPr>
        <w:t>2008)</w:t>
      </w:r>
      <w:r w:rsidR="00E47AB8" w:rsidRPr="008B2F8A">
        <w:t xml:space="preserve">. 95% CI not reported. M = mammography, MRI = magnetic resonance imaging, CBE = clinical breast examination, U/S = ultrasound; BI-RADS = </w:t>
      </w:r>
      <w:bookmarkStart w:id="812" w:name="OLE_LINK385"/>
      <w:bookmarkStart w:id="813" w:name="OLE_LINK386"/>
      <w:bookmarkStart w:id="814" w:name="OLE_LINK383"/>
      <w:bookmarkStart w:id="815" w:name="OLE_LINK384"/>
      <w:r w:rsidR="00E47AB8" w:rsidRPr="008B2F8A">
        <w:t xml:space="preserve">American College of Radiology </w:t>
      </w:r>
      <w:bookmarkStart w:id="816" w:name="OLE_LINK381"/>
      <w:bookmarkStart w:id="817" w:name="OLE_LINK382"/>
      <w:bookmarkEnd w:id="812"/>
      <w:bookmarkEnd w:id="813"/>
      <w:r w:rsidR="00E47AB8" w:rsidRPr="008B2F8A">
        <w:t>Breast Imaging Reporting and Data System</w:t>
      </w:r>
      <w:bookmarkEnd w:id="816"/>
      <w:bookmarkEnd w:id="817"/>
      <w:r w:rsidR="00E47AB8" w:rsidRPr="008B2F8A">
        <w:t>; NR = not reported; CI = confidence interval; TP = true-positive; FP = false-positive; FN = false-negative; TN = true-negative.</w:t>
      </w:r>
    </w:p>
    <w:p w14:paraId="527A2C9A" w14:textId="77777777" w:rsidR="00E47AB8" w:rsidRPr="008B2F8A" w:rsidRDefault="00E47AB8" w:rsidP="00422306">
      <w:pPr>
        <w:pStyle w:val="Caption"/>
      </w:pPr>
      <w:bookmarkStart w:id="818" w:name="_Ref368310963"/>
      <w:bookmarkStart w:id="819" w:name="_Toc383424592"/>
      <w:r w:rsidRPr="008B2F8A">
        <w:t xml:space="preserve">Table </w:t>
      </w:r>
      <w:fldSimple w:instr=" STYLEREF 1 \s ">
        <w:r w:rsidR="00B81273">
          <w:rPr>
            <w:noProof/>
          </w:rPr>
          <w:t>B</w:t>
        </w:r>
      </w:fldSimple>
      <w:r w:rsidRPr="008B2F8A">
        <w:t>.</w:t>
      </w:r>
      <w:fldSimple w:instr=" SEQ Table \* ARABIC \s 1 ">
        <w:r w:rsidR="00B81273">
          <w:rPr>
            <w:noProof/>
          </w:rPr>
          <w:t>26</w:t>
        </w:r>
      </w:fldSimple>
      <w:bookmarkEnd w:id="818"/>
      <w:r w:rsidRPr="008B2F8A">
        <w:tab/>
      </w:r>
      <w:bookmarkStart w:id="820" w:name="OLE_LINK1033"/>
      <w:bookmarkStart w:id="821" w:name="OLE_LINK1034"/>
      <w:r w:rsidRPr="008B2F8A">
        <w:t>Diagnostic accuracy of breast mammography (± ultrasound)</w:t>
      </w:r>
      <w:bookmarkEnd w:id="820"/>
      <w:bookmarkEnd w:id="821"/>
      <w:r w:rsidRPr="008B2F8A">
        <w:t>.</w:t>
      </w:r>
      <w:bookmarkEnd w:id="819"/>
    </w:p>
    <w:tbl>
      <w:tblPr>
        <w:tblStyle w:val="TableGrid"/>
        <w:tblW w:w="9070" w:type="dxa"/>
        <w:tblLayout w:type="fixed"/>
        <w:tblCellMar>
          <w:left w:w="28" w:type="dxa"/>
          <w:right w:w="28" w:type="dxa"/>
        </w:tblCellMar>
        <w:tblLook w:val="04A0" w:firstRow="1" w:lastRow="0" w:firstColumn="1" w:lastColumn="0" w:noHBand="0" w:noVBand="1"/>
        <w:tblCaption w:val="Diagnostic accuracy of breast mammography (± ultrasound)"/>
      </w:tblPr>
      <w:tblGrid>
        <w:gridCol w:w="1590"/>
        <w:gridCol w:w="1278"/>
        <w:gridCol w:w="1704"/>
        <w:gridCol w:w="293"/>
        <w:gridCol w:w="417"/>
        <w:gridCol w:w="426"/>
        <w:gridCol w:w="568"/>
        <w:gridCol w:w="1420"/>
        <w:gridCol w:w="1374"/>
      </w:tblGrid>
      <w:tr w:rsidR="00E47AB8" w:rsidRPr="008B2F8A" w14:paraId="0D2ACA44" w14:textId="77777777" w:rsidTr="00B17898">
        <w:trPr>
          <w:tblHeader/>
        </w:trPr>
        <w:tc>
          <w:tcPr>
            <w:tcW w:w="1590" w:type="dxa"/>
            <w:vAlign w:val="center"/>
          </w:tcPr>
          <w:p w14:paraId="340DFEB1" w14:textId="77777777" w:rsidR="00E47AB8" w:rsidRPr="008B2F8A" w:rsidRDefault="00E47AB8" w:rsidP="00590B8C">
            <w:pPr>
              <w:keepNext/>
              <w:spacing w:before="40" w:after="80"/>
              <w:rPr>
                <w:rFonts w:ascii="Arial Narrow" w:hAnsi="Arial Narrow"/>
                <w:b/>
              </w:rPr>
            </w:pPr>
            <w:r w:rsidRPr="008B2F8A">
              <w:rPr>
                <w:rFonts w:ascii="Arial Narrow" w:hAnsi="Arial Narrow"/>
                <w:b/>
              </w:rPr>
              <w:t>Study</w:t>
            </w:r>
          </w:p>
        </w:tc>
        <w:tc>
          <w:tcPr>
            <w:tcW w:w="1278" w:type="dxa"/>
            <w:vAlign w:val="center"/>
          </w:tcPr>
          <w:p w14:paraId="17F0919D" w14:textId="77777777" w:rsidR="00E47AB8" w:rsidRPr="008B2F8A" w:rsidRDefault="00E47AB8" w:rsidP="00590B8C">
            <w:pPr>
              <w:keepNext/>
              <w:spacing w:before="40" w:after="80"/>
              <w:rPr>
                <w:rFonts w:ascii="Arial Narrow" w:hAnsi="Arial Narrow"/>
                <w:b/>
              </w:rPr>
            </w:pPr>
            <w:r w:rsidRPr="008B2F8A">
              <w:rPr>
                <w:rFonts w:ascii="Arial Narrow" w:hAnsi="Arial Narrow"/>
                <w:b/>
              </w:rPr>
              <w:t>Tests</w:t>
            </w:r>
          </w:p>
        </w:tc>
        <w:tc>
          <w:tcPr>
            <w:tcW w:w="1704" w:type="dxa"/>
            <w:vAlign w:val="center"/>
          </w:tcPr>
          <w:p w14:paraId="030EE830" w14:textId="77777777" w:rsidR="00E47AB8" w:rsidRPr="008B2F8A" w:rsidRDefault="00E47AB8" w:rsidP="00590B8C">
            <w:pPr>
              <w:keepNext/>
              <w:spacing w:before="40" w:after="80"/>
              <w:rPr>
                <w:rFonts w:ascii="Arial Narrow" w:hAnsi="Arial Narrow"/>
                <w:b/>
              </w:rPr>
            </w:pPr>
            <w:r w:rsidRPr="008B2F8A">
              <w:rPr>
                <w:rFonts w:ascii="Arial Narrow" w:hAnsi="Arial Narrow"/>
                <w:b/>
              </w:rPr>
              <w:t>Positive test</w:t>
            </w:r>
          </w:p>
        </w:tc>
        <w:tc>
          <w:tcPr>
            <w:tcW w:w="293" w:type="dxa"/>
            <w:vAlign w:val="center"/>
          </w:tcPr>
          <w:p w14:paraId="6DEE3D18" w14:textId="77777777" w:rsidR="00E47AB8" w:rsidRPr="008B2F8A" w:rsidRDefault="00E47AB8" w:rsidP="00590B8C">
            <w:pPr>
              <w:keepNext/>
              <w:spacing w:before="40" w:after="80"/>
              <w:rPr>
                <w:rFonts w:ascii="Arial Narrow" w:hAnsi="Arial Narrow"/>
                <w:b/>
              </w:rPr>
            </w:pPr>
            <w:r w:rsidRPr="008B2F8A">
              <w:rPr>
                <w:rFonts w:ascii="Arial Narrow" w:hAnsi="Arial Narrow"/>
                <w:b/>
              </w:rPr>
              <w:t>TP</w:t>
            </w:r>
          </w:p>
        </w:tc>
        <w:tc>
          <w:tcPr>
            <w:tcW w:w="417" w:type="dxa"/>
            <w:vAlign w:val="center"/>
          </w:tcPr>
          <w:p w14:paraId="67AAC2BF" w14:textId="77777777" w:rsidR="00E47AB8" w:rsidRPr="008B2F8A" w:rsidRDefault="00E47AB8" w:rsidP="00590B8C">
            <w:pPr>
              <w:keepNext/>
              <w:spacing w:before="40" w:after="80"/>
              <w:rPr>
                <w:rFonts w:ascii="Arial Narrow" w:hAnsi="Arial Narrow"/>
                <w:b/>
              </w:rPr>
            </w:pPr>
            <w:r w:rsidRPr="008B2F8A">
              <w:rPr>
                <w:rFonts w:ascii="Arial Narrow" w:hAnsi="Arial Narrow"/>
                <w:b/>
              </w:rPr>
              <w:t>FP</w:t>
            </w:r>
          </w:p>
        </w:tc>
        <w:tc>
          <w:tcPr>
            <w:tcW w:w="426" w:type="dxa"/>
            <w:vAlign w:val="center"/>
          </w:tcPr>
          <w:p w14:paraId="1CFE0210" w14:textId="77777777" w:rsidR="00E47AB8" w:rsidRPr="008B2F8A" w:rsidRDefault="00E47AB8" w:rsidP="00590B8C">
            <w:pPr>
              <w:keepNext/>
              <w:spacing w:before="40" w:after="80"/>
              <w:rPr>
                <w:rFonts w:ascii="Arial Narrow" w:hAnsi="Arial Narrow"/>
                <w:b/>
              </w:rPr>
            </w:pPr>
            <w:r w:rsidRPr="008B2F8A">
              <w:rPr>
                <w:rFonts w:ascii="Arial Narrow" w:hAnsi="Arial Narrow"/>
                <w:b/>
              </w:rPr>
              <w:t>FN</w:t>
            </w:r>
          </w:p>
        </w:tc>
        <w:tc>
          <w:tcPr>
            <w:tcW w:w="568" w:type="dxa"/>
            <w:vAlign w:val="center"/>
          </w:tcPr>
          <w:p w14:paraId="57A1F022" w14:textId="77777777" w:rsidR="00E47AB8" w:rsidRPr="008B2F8A" w:rsidRDefault="00E47AB8" w:rsidP="00590B8C">
            <w:pPr>
              <w:keepNext/>
              <w:spacing w:before="40" w:after="80"/>
              <w:rPr>
                <w:rFonts w:ascii="Arial Narrow" w:hAnsi="Arial Narrow"/>
                <w:b/>
              </w:rPr>
            </w:pPr>
            <w:r w:rsidRPr="008B2F8A">
              <w:rPr>
                <w:rFonts w:ascii="Arial Narrow" w:hAnsi="Arial Narrow"/>
                <w:b/>
              </w:rPr>
              <w:t>TN</w:t>
            </w:r>
          </w:p>
        </w:tc>
        <w:tc>
          <w:tcPr>
            <w:tcW w:w="1420" w:type="dxa"/>
            <w:vAlign w:val="center"/>
          </w:tcPr>
          <w:p w14:paraId="7A863DC3" w14:textId="77777777" w:rsidR="00E47AB8" w:rsidRPr="008B2F8A" w:rsidRDefault="00E47AB8" w:rsidP="00590B8C">
            <w:pPr>
              <w:keepNext/>
              <w:spacing w:before="40" w:after="80"/>
              <w:rPr>
                <w:rFonts w:ascii="Arial Narrow" w:hAnsi="Arial Narrow"/>
                <w:b/>
              </w:rPr>
            </w:pPr>
            <w:r w:rsidRPr="008B2F8A">
              <w:rPr>
                <w:rFonts w:ascii="Arial Narrow" w:hAnsi="Arial Narrow"/>
                <w:b/>
              </w:rPr>
              <w:t>Sensitivity (95% CI)</w:t>
            </w:r>
          </w:p>
        </w:tc>
        <w:tc>
          <w:tcPr>
            <w:tcW w:w="1374" w:type="dxa"/>
            <w:vAlign w:val="center"/>
          </w:tcPr>
          <w:p w14:paraId="0AFC53E2" w14:textId="77777777" w:rsidR="00E47AB8" w:rsidRPr="008B2F8A" w:rsidRDefault="00E47AB8" w:rsidP="00590B8C">
            <w:pPr>
              <w:keepNext/>
              <w:spacing w:before="40" w:after="80"/>
              <w:rPr>
                <w:rFonts w:ascii="Arial Narrow" w:hAnsi="Arial Narrow"/>
                <w:b/>
              </w:rPr>
            </w:pPr>
            <w:r w:rsidRPr="008B2F8A">
              <w:rPr>
                <w:rFonts w:ascii="Arial Narrow" w:hAnsi="Arial Narrow"/>
                <w:b/>
              </w:rPr>
              <w:t>Specificity (95% CI)</w:t>
            </w:r>
          </w:p>
        </w:tc>
      </w:tr>
      <w:bookmarkEnd w:id="814"/>
      <w:bookmarkEnd w:id="815"/>
      <w:tr w:rsidR="00E47AB8" w:rsidRPr="008B2F8A" w14:paraId="579388FD" w14:textId="77777777" w:rsidTr="00B17898">
        <w:tc>
          <w:tcPr>
            <w:tcW w:w="1590" w:type="dxa"/>
            <w:vAlign w:val="center"/>
          </w:tcPr>
          <w:p w14:paraId="3D9E38EB" w14:textId="0C4816C6" w:rsidR="00E47AB8" w:rsidRPr="008B2F8A" w:rsidRDefault="00E47AB8" w:rsidP="00590B8C">
            <w:pPr>
              <w:keepNext/>
              <w:spacing w:before="40" w:after="80"/>
              <w:rPr>
                <w:rFonts w:ascii="Arial Narrow" w:hAnsi="Arial Narrow"/>
              </w:rPr>
            </w:pPr>
            <w:r>
              <w:rPr>
                <w:rFonts w:ascii="Arial Narrow" w:hAnsi="Arial Narrow"/>
              </w:rPr>
              <w:t>Kriege et al, 2006</w:t>
            </w:r>
            <w:r w:rsidR="00F80E4A">
              <w:rPr>
                <w:rFonts w:ascii="Arial Narrow" w:hAnsi="Arial Narrow"/>
              </w:rPr>
              <w:t>b</w:t>
            </w:r>
            <w:r w:rsidRPr="008B2F8A">
              <w:rPr>
                <w:rFonts w:ascii="Arial Narrow" w:hAnsi="Arial Narrow"/>
              </w:rPr>
              <w:t xml:space="preserve"> (MRISC)</w:t>
            </w:r>
            <w:r w:rsidR="00F80E4A">
              <w:rPr>
                <w:rFonts w:ascii="Arial Narrow" w:hAnsi="Arial Narrow"/>
              </w:rPr>
              <w:t>*</w:t>
            </w:r>
          </w:p>
        </w:tc>
        <w:tc>
          <w:tcPr>
            <w:tcW w:w="1278" w:type="dxa"/>
            <w:vAlign w:val="center"/>
          </w:tcPr>
          <w:p w14:paraId="79FA5B45" w14:textId="77777777" w:rsidR="00E47AB8" w:rsidRPr="008B2F8A" w:rsidRDefault="00E47AB8" w:rsidP="00590B8C">
            <w:pPr>
              <w:keepNext/>
              <w:spacing w:before="40" w:after="80"/>
              <w:rPr>
                <w:rFonts w:ascii="Arial Narrow" w:hAnsi="Arial Narrow"/>
              </w:rPr>
            </w:pPr>
            <w:r w:rsidRPr="008B2F8A">
              <w:rPr>
                <w:rFonts w:ascii="Arial Narrow" w:hAnsi="Arial Narrow"/>
              </w:rPr>
              <w:t>M​+​CBE</w:t>
            </w:r>
          </w:p>
        </w:tc>
        <w:tc>
          <w:tcPr>
            <w:tcW w:w="1704" w:type="dxa"/>
            <w:vAlign w:val="center"/>
          </w:tcPr>
          <w:p w14:paraId="148C6659" w14:textId="77777777" w:rsidR="00E47AB8" w:rsidRPr="008B2F8A" w:rsidRDefault="00E47AB8" w:rsidP="00590B8C">
            <w:pPr>
              <w:keepNext/>
              <w:spacing w:before="40" w:after="80"/>
              <w:rPr>
                <w:rFonts w:ascii="Arial Narrow" w:hAnsi="Arial Narrow"/>
              </w:rPr>
            </w:pPr>
            <w:r w:rsidRPr="008B2F8A">
              <w:rPr>
                <w:rFonts w:ascii="Arial Narrow" w:hAnsi="Arial Narrow"/>
              </w:rPr>
              <w:t>BI-RADS 0, 3, 4 &amp; 5</w:t>
            </w:r>
          </w:p>
        </w:tc>
        <w:tc>
          <w:tcPr>
            <w:tcW w:w="293" w:type="dxa"/>
            <w:vAlign w:val="center"/>
          </w:tcPr>
          <w:p w14:paraId="693F169B" w14:textId="77777777" w:rsidR="00E47AB8" w:rsidRPr="008B2F8A" w:rsidRDefault="00E47AB8" w:rsidP="00590B8C">
            <w:pPr>
              <w:keepNext/>
              <w:spacing w:before="40" w:after="80"/>
              <w:rPr>
                <w:rFonts w:ascii="Arial Narrow" w:hAnsi="Arial Narrow"/>
              </w:rPr>
            </w:pPr>
            <w:r w:rsidRPr="008B2F8A">
              <w:rPr>
                <w:rFonts w:ascii="Arial Narrow" w:hAnsi="Arial Narrow"/>
              </w:rPr>
              <w:t>12</w:t>
            </w:r>
          </w:p>
        </w:tc>
        <w:tc>
          <w:tcPr>
            <w:tcW w:w="417" w:type="dxa"/>
            <w:vAlign w:val="center"/>
          </w:tcPr>
          <w:p w14:paraId="345333F1" w14:textId="77777777" w:rsidR="00E47AB8" w:rsidRPr="008B2F8A" w:rsidRDefault="00E47AB8" w:rsidP="00590B8C">
            <w:pPr>
              <w:keepNext/>
              <w:spacing w:before="40" w:after="80"/>
              <w:rPr>
                <w:rFonts w:ascii="Arial Narrow" w:hAnsi="Arial Narrow"/>
              </w:rPr>
            </w:pPr>
            <w:r w:rsidRPr="008B2F8A">
              <w:rPr>
                <w:rFonts w:ascii="Arial Narrow" w:hAnsi="Arial Narrow"/>
              </w:rPr>
              <w:t>155</w:t>
            </w:r>
          </w:p>
        </w:tc>
        <w:tc>
          <w:tcPr>
            <w:tcW w:w="426" w:type="dxa"/>
            <w:vAlign w:val="center"/>
          </w:tcPr>
          <w:p w14:paraId="76FC7326" w14:textId="77777777" w:rsidR="00E47AB8" w:rsidRPr="008B2F8A" w:rsidRDefault="00E47AB8" w:rsidP="00590B8C">
            <w:pPr>
              <w:keepNext/>
              <w:spacing w:before="40" w:after="80"/>
              <w:rPr>
                <w:rFonts w:ascii="Arial Narrow" w:hAnsi="Arial Narrow"/>
              </w:rPr>
            </w:pPr>
            <w:r w:rsidRPr="008B2F8A">
              <w:rPr>
                <w:rFonts w:ascii="Arial Narrow" w:hAnsi="Arial Narrow"/>
              </w:rPr>
              <w:t>21</w:t>
            </w:r>
          </w:p>
        </w:tc>
        <w:tc>
          <w:tcPr>
            <w:tcW w:w="568" w:type="dxa"/>
            <w:vAlign w:val="center"/>
          </w:tcPr>
          <w:p w14:paraId="4DDA6766" w14:textId="77777777" w:rsidR="00E47AB8" w:rsidRPr="008B2F8A" w:rsidRDefault="00E47AB8" w:rsidP="00590B8C">
            <w:pPr>
              <w:keepNext/>
              <w:spacing w:before="40" w:after="80"/>
              <w:rPr>
                <w:rFonts w:ascii="Arial Narrow" w:hAnsi="Arial Narrow"/>
              </w:rPr>
            </w:pPr>
            <w:r w:rsidRPr="008B2F8A">
              <w:rPr>
                <w:rFonts w:ascii="Arial Narrow" w:hAnsi="Arial Narrow"/>
              </w:rPr>
              <w:t>2,920</w:t>
            </w:r>
          </w:p>
        </w:tc>
        <w:tc>
          <w:tcPr>
            <w:tcW w:w="1420" w:type="dxa"/>
            <w:vAlign w:val="center"/>
          </w:tcPr>
          <w:p w14:paraId="4EBD91CA" w14:textId="77777777" w:rsidR="00E47AB8" w:rsidRPr="008B2F8A" w:rsidRDefault="00E47AB8" w:rsidP="00590B8C">
            <w:pPr>
              <w:keepNext/>
              <w:spacing w:before="40" w:after="80"/>
              <w:rPr>
                <w:rFonts w:ascii="Arial Narrow" w:hAnsi="Arial Narrow"/>
              </w:rPr>
            </w:pPr>
            <w:r w:rsidRPr="008B2F8A">
              <w:rPr>
                <w:rFonts w:ascii="Arial Narrow" w:hAnsi="Arial Narrow"/>
              </w:rPr>
              <w:t>0.36 [0.20–0.55]</w:t>
            </w:r>
          </w:p>
        </w:tc>
        <w:tc>
          <w:tcPr>
            <w:tcW w:w="1374" w:type="dxa"/>
            <w:vAlign w:val="center"/>
          </w:tcPr>
          <w:p w14:paraId="598ED523" w14:textId="77777777" w:rsidR="00E47AB8" w:rsidRPr="008B2F8A" w:rsidRDefault="00E47AB8" w:rsidP="00590B8C">
            <w:pPr>
              <w:keepNext/>
              <w:spacing w:before="40" w:after="80"/>
              <w:rPr>
                <w:rFonts w:ascii="Arial Narrow" w:hAnsi="Arial Narrow"/>
              </w:rPr>
            </w:pPr>
            <w:r w:rsidRPr="008B2F8A">
              <w:rPr>
                <w:rFonts w:ascii="Arial Narrow" w:hAnsi="Arial Narrow"/>
              </w:rPr>
              <w:t>0.95 [0.94–0.96]</w:t>
            </w:r>
          </w:p>
        </w:tc>
      </w:tr>
      <w:tr w:rsidR="00E47AB8" w:rsidRPr="008B2F8A" w14:paraId="7E266F49" w14:textId="77777777" w:rsidTr="00B17898">
        <w:tc>
          <w:tcPr>
            <w:tcW w:w="1590" w:type="dxa"/>
            <w:vAlign w:val="center"/>
          </w:tcPr>
          <w:p w14:paraId="51FB339E" w14:textId="6D640E8F" w:rsidR="00E47AB8" w:rsidRPr="008B2F8A" w:rsidRDefault="00E47AB8" w:rsidP="00422306">
            <w:pPr>
              <w:spacing w:before="40" w:after="80"/>
              <w:rPr>
                <w:rFonts w:ascii="Arial Narrow" w:hAnsi="Arial Narrow"/>
              </w:rPr>
            </w:pPr>
            <w:r>
              <w:rPr>
                <w:rFonts w:ascii="Arial Narrow" w:hAnsi="Arial Narrow"/>
              </w:rPr>
              <w:t>Kuhl et al, 2005</w:t>
            </w:r>
          </w:p>
        </w:tc>
        <w:tc>
          <w:tcPr>
            <w:tcW w:w="1278" w:type="dxa"/>
            <w:vAlign w:val="center"/>
          </w:tcPr>
          <w:p w14:paraId="2CF808D8" w14:textId="77777777" w:rsidR="00E47AB8" w:rsidRPr="008B2F8A" w:rsidRDefault="00E47AB8" w:rsidP="00422306">
            <w:pPr>
              <w:spacing w:before="40" w:after="80"/>
              <w:rPr>
                <w:rFonts w:ascii="Arial Narrow" w:hAnsi="Arial Narrow"/>
              </w:rPr>
            </w:pPr>
            <w:r w:rsidRPr="008B2F8A">
              <w:rPr>
                <w:rFonts w:ascii="Arial Narrow" w:hAnsi="Arial Narrow"/>
              </w:rPr>
              <w:t>M</w:t>
            </w:r>
          </w:p>
        </w:tc>
        <w:tc>
          <w:tcPr>
            <w:tcW w:w="1704" w:type="dxa"/>
            <w:vAlign w:val="center"/>
          </w:tcPr>
          <w:p w14:paraId="42781525"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13CFFBA5" w14:textId="77777777" w:rsidR="00E47AB8" w:rsidRPr="008B2F8A" w:rsidRDefault="00E47AB8" w:rsidP="00422306">
            <w:pPr>
              <w:spacing w:before="40" w:after="80"/>
              <w:rPr>
                <w:rFonts w:ascii="Arial Narrow" w:hAnsi="Arial Narrow"/>
              </w:rPr>
            </w:pPr>
            <w:r w:rsidRPr="008B2F8A">
              <w:rPr>
                <w:rFonts w:ascii="Arial Narrow" w:hAnsi="Arial Narrow"/>
              </w:rPr>
              <w:t>14</w:t>
            </w:r>
          </w:p>
        </w:tc>
        <w:tc>
          <w:tcPr>
            <w:tcW w:w="417" w:type="dxa"/>
            <w:vAlign w:val="center"/>
          </w:tcPr>
          <w:p w14:paraId="2CF59C32" w14:textId="77777777" w:rsidR="00E47AB8" w:rsidRPr="008B2F8A" w:rsidRDefault="00E47AB8" w:rsidP="00422306">
            <w:pPr>
              <w:spacing w:before="40" w:after="80"/>
              <w:rPr>
                <w:rFonts w:ascii="Arial Narrow" w:hAnsi="Arial Narrow"/>
              </w:rPr>
            </w:pPr>
            <w:r w:rsidRPr="008B2F8A">
              <w:rPr>
                <w:rFonts w:ascii="Arial Narrow" w:hAnsi="Arial Narrow"/>
              </w:rPr>
              <w:t>45</w:t>
            </w:r>
          </w:p>
        </w:tc>
        <w:tc>
          <w:tcPr>
            <w:tcW w:w="426" w:type="dxa"/>
            <w:vAlign w:val="center"/>
          </w:tcPr>
          <w:p w14:paraId="6575E6EE" w14:textId="77777777" w:rsidR="00E47AB8" w:rsidRPr="008B2F8A" w:rsidRDefault="00E47AB8" w:rsidP="00422306">
            <w:pPr>
              <w:spacing w:before="40" w:after="80"/>
              <w:rPr>
                <w:rFonts w:ascii="Arial Narrow" w:hAnsi="Arial Narrow"/>
              </w:rPr>
            </w:pPr>
            <w:r w:rsidRPr="008B2F8A">
              <w:rPr>
                <w:rFonts w:ascii="Arial Narrow" w:hAnsi="Arial Narrow"/>
              </w:rPr>
              <w:t>29</w:t>
            </w:r>
          </w:p>
        </w:tc>
        <w:tc>
          <w:tcPr>
            <w:tcW w:w="568" w:type="dxa"/>
            <w:vAlign w:val="center"/>
          </w:tcPr>
          <w:p w14:paraId="77291E36" w14:textId="77777777" w:rsidR="00E47AB8" w:rsidRPr="008B2F8A" w:rsidRDefault="00E47AB8" w:rsidP="00422306">
            <w:pPr>
              <w:spacing w:before="40" w:after="80"/>
              <w:rPr>
                <w:rFonts w:ascii="Arial Narrow" w:hAnsi="Arial Narrow"/>
              </w:rPr>
            </w:pPr>
            <w:r w:rsidRPr="008B2F8A">
              <w:rPr>
                <w:rFonts w:ascii="Arial Narrow" w:hAnsi="Arial Narrow"/>
              </w:rPr>
              <w:t>1,364</w:t>
            </w:r>
          </w:p>
        </w:tc>
        <w:tc>
          <w:tcPr>
            <w:tcW w:w="1420" w:type="dxa"/>
            <w:vAlign w:val="center"/>
          </w:tcPr>
          <w:p w14:paraId="7F78F114" w14:textId="77777777" w:rsidR="00E47AB8" w:rsidRPr="008B2F8A" w:rsidRDefault="00E47AB8" w:rsidP="00422306">
            <w:pPr>
              <w:spacing w:before="40" w:after="80"/>
              <w:rPr>
                <w:rFonts w:ascii="Arial Narrow" w:hAnsi="Arial Narrow"/>
              </w:rPr>
            </w:pPr>
            <w:r w:rsidRPr="008B2F8A">
              <w:rPr>
                <w:rFonts w:ascii="Arial Narrow" w:hAnsi="Arial Narrow"/>
              </w:rPr>
              <w:t>0.33 [0.19–0.49]</w:t>
            </w:r>
          </w:p>
        </w:tc>
        <w:tc>
          <w:tcPr>
            <w:tcW w:w="1374" w:type="dxa"/>
            <w:vAlign w:val="center"/>
          </w:tcPr>
          <w:p w14:paraId="5DC58905" w14:textId="77777777" w:rsidR="00E47AB8" w:rsidRPr="008B2F8A" w:rsidRDefault="00E47AB8" w:rsidP="00422306">
            <w:pPr>
              <w:spacing w:before="40" w:after="80"/>
              <w:rPr>
                <w:rFonts w:ascii="Arial Narrow" w:hAnsi="Arial Narrow"/>
              </w:rPr>
            </w:pPr>
            <w:r w:rsidRPr="008B2F8A">
              <w:rPr>
                <w:rFonts w:ascii="Arial Narrow" w:hAnsi="Arial Narrow"/>
              </w:rPr>
              <w:t>0.97 [0.96–0.98]</w:t>
            </w:r>
          </w:p>
        </w:tc>
      </w:tr>
      <w:tr w:rsidR="00E47AB8" w:rsidRPr="008B2F8A" w14:paraId="2D0D98E4" w14:textId="77777777" w:rsidTr="00B17898">
        <w:tc>
          <w:tcPr>
            <w:tcW w:w="1590" w:type="dxa"/>
            <w:vAlign w:val="center"/>
          </w:tcPr>
          <w:p w14:paraId="238847FF" w14:textId="328F7B29" w:rsidR="00E47AB8" w:rsidRPr="008B2F8A" w:rsidRDefault="00E47AB8" w:rsidP="00422306">
            <w:pPr>
              <w:spacing w:before="40" w:after="80"/>
              <w:rPr>
                <w:rFonts w:ascii="Arial Narrow" w:hAnsi="Arial Narrow"/>
              </w:rPr>
            </w:pPr>
            <w:r>
              <w:rPr>
                <w:rFonts w:ascii="Arial Narrow" w:hAnsi="Arial Narrow"/>
              </w:rPr>
              <w:t>Kuhl et al, 2005</w:t>
            </w:r>
          </w:p>
        </w:tc>
        <w:tc>
          <w:tcPr>
            <w:tcW w:w="1278" w:type="dxa"/>
            <w:vAlign w:val="center"/>
          </w:tcPr>
          <w:p w14:paraId="3E3EBA82" w14:textId="77777777" w:rsidR="00E47AB8" w:rsidRPr="008B2F8A" w:rsidRDefault="00E47AB8" w:rsidP="00422306">
            <w:pPr>
              <w:spacing w:before="40" w:after="80"/>
              <w:rPr>
                <w:rFonts w:ascii="Arial Narrow" w:hAnsi="Arial Narrow"/>
              </w:rPr>
            </w:pPr>
            <w:r w:rsidRPr="008B2F8A">
              <w:rPr>
                <w:rFonts w:ascii="Arial Narrow" w:hAnsi="Arial Narrow"/>
              </w:rPr>
              <w:t>M​+​U/S</w:t>
            </w:r>
          </w:p>
        </w:tc>
        <w:tc>
          <w:tcPr>
            <w:tcW w:w="1704" w:type="dxa"/>
            <w:vAlign w:val="center"/>
          </w:tcPr>
          <w:p w14:paraId="0785E1E6"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3637F1C6" w14:textId="77777777" w:rsidR="00E47AB8" w:rsidRPr="008B2F8A" w:rsidRDefault="00E47AB8" w:rsidP="00422306">
            <w:pPr>
              <w:spacing w:before="40" w:after="80"/>
              <w:rPr>
                <w:rFonts w:ascii="Arial Narrow" w:hAnsi="Arial Narrow"/>
              </w:rPr>
            </w:pPr>
            <w:r w:rsidRPr="008B2F8A">
              <w:rPr>
                <w:rFonts w:ascii="Arial Narrow" w:hAnsi="Arial Narrow"/>
              </w:rPr>
              <w:t>21</w:t>
            </w:r>
          </w:p>
        </w:tc>
        <w:tc>
          <w:tcPr>
            <w:tcW w:w="417" w:type="dxa"/>
            <w:vAlign w:val="center"/>
          </w:tcPr>
          <w:p w14:paraId="1B42FBC5" w14:textId="77777777" w:rsidR="00E47AB8" w:rsidRPr="008B2F8A" w:rsidRDefault="00E47AB8" w:rsidP="00422306">
            <w:pPr>
              <w:spacing w:before="40" w:after="80"/>
              <w:rPr>
                <w:rFonts w:ascii="Arial Narrow" w:hAnsi="Arial Narrow"/>
              </w:rPr>
            </w:pPr>
            <w:r w:rsidRPr="008B2F8A">
              <w:rPr>
                <w:rFonts w:ascii="Arial Narrow" w:hAnsi="Arial Narrow"/>
              </w:rPr>
              <w:t>155</w:t>
            </w:r>
          </w:p>
        </w:tc>
        <w:tc>
          <w:tcPr>
            <w:tcW w:w="426" w:type="dxa"/>
            <w:vAlign w:val="center"/>
          </w:tcPr>
          <w:p w14:paraId="73C168F0" w14:textId="77777777" w:rsidR="00E47AB8" w:rsidRPr="008B2F8A" w:rsidRDefault="00E47AB8" w:rsidP="00422306">
            <w:pPr>
              <w:spacing w:before="40" w:after="80"/>
              <w:rPr>
                <w:rFonts w:ascii="Arial Narrow" w:hAnsi="Arial Narrow"/>
              </w:rPr>
            </w:pPr>
            <w:r w:rsidRPr="008B2F8A">
              <w:rPr>
                <w:rFonts w:ascii="Arial Narrow" w:hAnsi="Arial Narrow"/>
              </w:rPr>
              <w:t>22</w:t>
            </w:r>
          </w:p>
        </w:tc>
        <w:tc>
          <w:tcPr>
            <w:tcW w:w="568" w:type="dxa"/>
            <w:vAlign w:val="center"/>
          </w:tcPr>
          <w:p w14:paraId="5DE3BE1D" w14:textId="77777777" w:rsidR="00E47AB8" w:rsidRPr="008B2F8A" w:rsidRDefault="00E47AB8" w:rsidP="00422306">
            <w:pPr>
              <w:spacing w:before="40" w:after="80"/>
              <w:rPr>
                <w:rFonts w:ascii="Arial Narrow" w:hAnsi="Arial Narrow"/>
              </w:rPr>
            </w:pPr>
            <w:r w:rsidRPr="008B2F8A">
              <w:rPr>
                <w:rFonts w:ascii="Arial Narrow" w:hAnsi="Arial Narrow"/>
              </w:rPr>
              <w:t>1,254</w:t>
            </w:r>
          </w:p>
        </w:tc>
        <w:tc>
          <w:tcPr>
            <w:tcW w:w="1420" w:type="dxa"/>
            <w:vAlign w:val="center"/>
          </w:tcPr>
          <w:p w14:paraId="0501535A" w14:textId="77777777" w:rsidR="00E47AB8" w:rsidRPr="008B2F8A" w:rsidRDefault="00E47AB8" w:rsidP="00422306">
            <w:pPr>
              <w:spacing w:before="40" w:after="80"/>
              <w:rPr>
                <w:rFonts w:ascii="Arial Narrow" w:hAnsi="Arial Narrow"/>
              </w:rPr>
            </w:pPr>
            <w:r w:rsidRPr="008B2F8A">
              <w:rPr>
                <w:rFonts w:ascii="Arial Narrow" w:hAnsi="Arial Narrow"/>
              </w:rPr>
              <w:t>0.49 [0.33–0.65]</w:t>
            </w:r>
          </w:p>
        </w:tc>
        <w:tc>
          <w:tcPr>
            <w:tcW w:w="1374" w:type="dxa"/>
            <w:vAlign w:val="center"/>
          </w:tcPr>
          <w:p w14:paraId="1EE75DFE" w14:textId="77777777" w:rsidR="00E47AB8" w:rsidRPr="008B2F8A" w:rsidRDefault="00E47AB8" w:rsidP="00422306">
            <w:pPr>
              <w:spacing w:before="40" w:after="80"/>
              <w:rPr>
                <w:rFonts w:ascii="Arial Narrow" w:hAnsi="Arial Narrow"/>
              </w:rPr>
            </w:pPr>
            <w:r w:rsidRPr="008B2F8A">
              <w:rPr>
                <w:rFonts w:ascii="Arial Narrow" w:hAnsi="Arial Narrow"/>
              </w:rPr>
              <w:t>0.89 [0.87–0.91]</w:t>
            </w:r>
          </w:p>
        </w:tc>
      </w:tr>
      <w:tr w:rsidR="00E47AB8" w:rsidRPr="008B2F8A" w14:paraId="1F5A4582" w14:textId="77777777" w:rsidTr="00B17898">
        <w:tc>
          <w:tcPr>
            <w:tcW w:w="1590" w:type="dxa"/>
            <w:vAlign w:val="center"/>
          </w:tcPr>
          <w:p w14:paraId="7DAF1E78" w14:textId="282E577D" w:rsidR="00E47AB8" w:rsidRPr="008B2F8A" w:rsidRDefault="00E47AB8" w:rsidP="00B17898">
            <w:pPr>
              <w:spacing w:before="40" w:after="80"/>
              <w:rPr>
                <w:rFonts w:ascii="Arial Narrow" w:hAnsi="Arial Narrow"/>
                <w:lang w:eastAsia="en-US"/>
              </w:rPr>
            </w:pPr>
            <w:r>
              <w:rPr>
                <w:rFonts w:ascii="Arial Narrow" w:hAnsi="Arial Narrow"/>
              </w:rPr>
              <w:t>Leach, 2005</w:t>
            </w:r>
            <w:r w:rsidRPr="008B2F8A">
              <w:rPr>
                <w:rFonts w:ascii="Arial Narrow" w:hAnsi="Arial Narrow"/>
              </w:rPr>
              <w:t xml:space="preserve"> (MARIBS)</w:t>
            </w:r>
          </w:p>
        </w:tc>
        <w:tc>
          <w:tcPr>
            <w:tcW w:w="1278" w:type="dxa"/>
            <w:vAlign w:val="center"/>
          </w:tcPr>
          <w:p w14:paraId="4230D1E9" w14:textId="77777777" w:rsidR="00E47AB8" w:rsidRPr="008B2F8A" w:rsidRDefault="00E47AB8" w:rsidP="00422306">
            <w:pPr>
              <w:spacing w:before="40" w:after="80"/>
              <w:rPr>
                <w:rFonts w:ascii="Arial Narrow" w:hAnsi="Arial Narrow"/>
              </w:rPr>
            </w:pPr>
            <w:r w:rsidRPr="008B2F8A">
              <w:rPr>
                <w:rFonts w:ascii="Arial Narrow" w:hAnsi="Arial Narrow"/>
              </w:rPr>
              <w:t>M</w:t>
            </w:r>
          </w:p>
        </w:tc>
        <w:tc>
          <w:tcPr>
            <w:tcW w:w="1704" w:type="dxa"/>
            <w:vAlign w:val="center"/>
          </w:tcPr>
          <w:p w14:paraId="65F1BC45"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293" w:type="dxa"/>
            <w:vAlign w:val="center"/>
          </w:tcPr>
          <w:p w14:paraId="05D0A11A" w14:textId="77777777" w:rsidR="00E47AB8" w:rsidRPr="008B2F8A" w:rsidRDefault="00E47AB8" w:rsidP="00422306">
            <w:pPr>
              <w:spacing w:before="40" w:after="80"/>
              <w:rPr>
                <w:rFonts w:ascii="Arial Narrow" w:hAnsi="Arial Narrow"/>
              </w:rPr>
            </w:pPr>
            <w:r w:rsidRPr="008B2F8A">
              <w:rPr>
                <w:rFonts w:ascii="Arial Narrow" w:hAnsi="Arial Narrow"/>
              </w:rPr>
              <w:t>14</w:t>
            </w:r>
          </w:p>
        </w:tc>
        <w:tc>
          <w:tcPr>
            <w:tcW w:w="417" w:type="dxa"/>
            <w:vAlign w:val="center"/>
          </w:tcPr>
          <w:p w14:paraId="2FC1037D" w14:textId="77777777" w:rsidR="00E47AB8" w:rsidRPr="008B2F8A" w:rsidRDefault="00E47AB8" w:rsidP="00422306">
            <w:pPr>
              <w:spacing w:before="40" w:after="80"/>
              <w:rPr>
                <w:rFonts w:ascii="Arial Narrow" w:hAnsi="Arial Narrow"/>
              </w:rPr>
            </w:pPr>
            <w:r w:rsidRPr="008B2F8A">
              <w:rPr>
                <w:rFonts w:ascii="Arial Narrow" w:hAnsi="Arial Narrow"/>
              </w:rPr>
              <w:t>121</w:t>
            </w:r>
          </w:p>
        </w:tc>
        <w:tc>
          <w:tcPr>
            <w:tcW w:w="426" w:type="dxa"/>
            <w:vAlign w:val="center"/>
          </w:tcPr>
          <w:p w14:paraId="1AAFB039" w14:textId="77777777" w:rsidR="00E47AB8" w:rsidRPr="008B2F8A" w:rsidRDefault="00E47AB8" w:rsidP="00422306">
            <w:pPr>
              <w:spacing w:before="40" w:after="80"/>
              <w:rPr>
                <w:rFonts w:ascii="Arial Narrow" w:hAnsi="Arial Narrow"/>
              </w:rPr>
            </w:pPr>
            <w:r w:rsidRPr="008B2F8A">
              <w:rPr>
                <w:rFonts w:ascii="Arial Narrow" w:hAnsi="Arial Narrow"/>
              </w:rPr>
              <w:t>21</w:t>
            </w:r>
          </w:p>
        </w:tc>
        <w:tc>
          <w:tcPr>
            <w:tcW w:w="568" w:type="dxa"/>
            <w:vAlign w:val="center"/>
          </w:tcPr>
          <w:p w14:paraId="61083E11" w14:textId="77777777" w:rsidR="00E47AB8" w:rsidRPr="008B2F8A" w:rsidRDefault="00E47AB8" w:rsidP="00422306">
            <w:pPr>
              <w:spacing w:before="40" w:after="80"/>
              <w:rPr>
                <w:rFonts w:ascii="Arial Narrow" w:hAnsi="Arial Narrow"/>
              </w:rPr>
            </w:pPr>
            <w:r w:rsidRPr="008B2F8A">
              <w:rPr>
                <w:rFonts w:ascii="Arial Narrow" w:hAnsi="Arial Narrow"/>
              </w:rPr>
              <w:t>1,725</w:t>
            </w:r>
          </w:p>
        </w:tc>
        <w:tc>
          <w:tcPr>
            <w:tcW w:w="1420" w:type="dxa"/>
            <w:vAlign w:val="center"/>
          </w:tcPr>
          <w:p w14:paraId="1441F755" w14:textId="77777777" w:rsidR="00E47AB8" w:rsidRPr="008B2F8A" w:rsidRDefault="00E47AB8" w:rsidP="00422306">
            <w:pPr>
              <w:spacing w:before="40" w:after="80"/>
              <w:rPr>
                <w:rFonts w:ascii="Arial Narrow" w:hAnsi="Arial Narrow"/>
              </w:rPr>
            </w:pPr>
            <w:r w:rsidRPr="008B2F8A">
              <w:rPr>
                <w:rFonts w:ascii="Arial Narrow" w:hAnsi="Arial Narrow"/>
              </w:rPr>
              <w:t>0.40 [0.24–0.58]</w:t>
            </w:r>
          </w:p>
        </w:tc>
        <w:tc>
          <w:tcPr>
            <w:tcW w:w="1374" w:type="dxa"/>
            <w:vAlign w:val="center"/>
          </w:tcPr>
          <w:p w14:paraId="41BA3399" w14:textId="77777777" w:rsidR="00E47AB8" w:rsidRPr="008B2F8A" w:rsidRDefault="00E47AB8" w:rsidP="00422306">
            <w:pPr>
              <w:spacing w:before="40" w:after="80"/>
              <w:rPr>
                <w:rFonts w:ascii="Arial Narrow" w:hAnsi="Arial Narrow"/>
              </w:rPr>
            </w:pPr>
            <w:r w:rsidRPr="008B2F8A">
              <w:rPr>
                <w:rFonts w:ascii="Arial Narrow" w:hAnsi="Arial Narrow"/>
              </w:rPr>
              <w:t>0.93 [0.92–0.95]</w:t>
            </w:r>
          </w:p>
        </w:tc>
      </w:tr>
      <w:tr w:rsidR="00E47AB8" w:rsidRPr="008B2F8A" w14:paraId="7777396D" w14:textId="77777777" w:rsidTr="00B17898">
        <w:tc>
          <w:tcPr>
            <w:tcW w:w="1590" w:type="dxa"/>
            <w:vAlign w:val="center"/>
          </w:tcPr>
          <w:p w14:paraId="6529464B" w14:textId="4DF23F76" w:rsidR="00E47AB8" w:rsidRPr="008B2F8A" w:rsidRDefault="00E47AB8" w:rsidP="00B17898">
            <w:pPr>
              <w:spacing w:before="40" w:after="80"/>
              <w:rPr>
                <w:rFonts w:ascii="Arial Narrow" w:hAnsi="Arial Narrow"/>
                <w:lang w:eastAsia="en-US"/>
              </w:rPr>
            </w:pPr>
            <w:r>
              <w:rPr>
                <w:rFonts w:ascii="Arial Narrow" w:hAnsi="Arial Narrow"/>
              </w:rPr>
              <w:t>Leach, 2005</w:t>
            </w:r>
            <w:r w:rsidRPr="008B2F8A">
              <w:rPr>
                <w:rFonts w:ascii="Arial Narrow" w:hAnsi="Arial Narrow"/>
              </w:rPr>
              <w:t xml:space="preserve"> (MARIBS)</w:t>
            </w:r>
          </w:p>
        </w:tc>
        <w:tc>
          <w:tcPr>
            <w:tcW w:w="1278" w:type="dxa"/>
            <w:vAlign w:val="center"/>
          </w:tcPr>
          <w:p w14:paraId="7B7AA2AE" w14:textId="77777777" w:rsidR="00E47AB8" w:rsidRPr="008B2F8A" w:rsidRDefault="00E47AB8" w:rsidP="00422306">
            <w:pPr>
              <w:spacing w:before="40" w:after="80"/>
              <w:rPr>
                <w:rFonts w:ascii="Arial Narrow" w:hAnsi="Arial Narrow"/>
              </w:rPr>
            </w:pPr>
            <w:r w:rsidRPr="008B2F8A">
              <w:rPr>
                <w:rFonts w:ascii="Arial Narrow" w:hAnsi="Arial Narrow"/>
              </w:rPr>
              <w:t>M</w:t>
            </w:r>
          </w:p>
        </w:tc>
        <w:tc>
          <w:tcPr>
            <w:tcW w:w="1704" w:type="dxa"/>
            <w:vAlign w:val="center"/>
          </w:tcPr>
          <w:p w14:paraId="2ABFDB95"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1D57AC09"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17" w:type="dxa"/>
            <w:vAlign w:val="center"/>
          </w:tcPr>
          <w:p w14:paraId="476FA4FE"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26" w:type="dxa"/>
            <w:vAlign w:val="center"/>
          </w:tcPr>
          <w:p w14:paraId="2119884E"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568" w:type="dxa"/>
            <w:vAlign w:val="center"/>
          </w:tcPr>
          <w:p w14:paraId="6B8EDE9E"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62FF3BC6" w14:textId="77777777" w:rsidR="00E47AB8" w:rsidRPr="008B2F8A" w:rsidRDefault="00E47AB8" w:rsidP="00422306">
            <w:pPr>
              <w:spacing w:before="40" w:after="80"/>
              <w:rPr>
                <w:rFonts w:ascii="Arial Narrow" w:hAnsi="Arial Narrow"/>
              </w:rPr>
            </w:pPr>
            <w:r w:rsidRPr="008B2F8A">
              <w:rPr>
                <w:rFonts w:ascii="Arial Narrow" w:hAnsi="Arial Narrow"/>
              </w:rPr>
              <w:t>0.14</w:t>
            </w:r>
            <w:r w:rsidRPr="008B2F8A">
              <w:rPr>
                <w:rFonts w:ascii="Arial Narrow" w:hAnsi="Arial Narrow"/>
                <w:vertAlign w:val="superscript"/>
              </w:rPr>
              <w:t>†</w:t>
            </w:r>
          </w:p>
        </w:tc>
        <w:tc>
          <w:tcPr>
            <w:tcW w:w="1374" w:type="dxa"/>
            <w:vAlign w:val="center"/>
          </w:tcPr>
          <w:p w14:paraId="74A4F5D1" w14:textId="77777777" w:rsidR="00E47AB8" w:rsidRPr="008B2F8A" w:rsidRDefault="00E47AB8" w:rsidP="00422306">
            <w:pPr>
              <w:spacing w:before="40" w:after="80"/>
              <w:rPr>
                <w:rFonts w:ascii="Arial Narrow" w:hAnsi="Arial Narrow"/>
              </w:rPr>
            </w:pPr>
            <w:r w:rsidRPr="008B2F8A">
              <w:rPr>
                <w:rFonts w:ascii="Arial Narrow" w:hAnsi="Arial Narrow"/>
              </w:rPr>
              <w:t>0.98</w:t>
            </w:r>
            <w:r w:rsidRPr="008B2F8A">
              <w:rPr>
                <w:rFonts w:ascii="Arial Narrow" w:hAnsi="Arial Narrow"/>
                <w:vertAlign w:val="superscript"/>
              </w:rPr>
              <w:t>†</w:t>
            </w:r>
          </w:p>
        </w:tc>
      </w:tr>
      <w:tr w:rsidR="00E47AB8" w:rsidRPr="008B2F8A" w14:paraId="28F1AB58" w14:textId="77777777" w:rsidTr="00B17898">
        <w:tc>
          <w:tcPr>
            <w:tcW w:w="1590" w:type="dxa"/>
            <w:vAlign w:val="center"/>
          </w:tcPr>
          <w:p w14:paraId="33E2F705" w14:textId="61796BB4" w:rsidR="00E47AB8" w:rsidRPr="008B2F8A" w:rsidRDefault="00E47AB8" w:rsidP="00422306">
            <w:pPr>
              <w:spacing w:before="40" w:after="80"/>
              <w:rPr>
                <w:rFonts w:ascii="Arial Narrow" w:hAnsi="Arial Narrow"/>
              </w:rPr>
            </w:pPr>
            <w:r>
              <w:rPr>
                <w:rFonts w:ascii="Arial Narrow" w:hAnsi="Arial Narrow"/>
              </w:rPr>
              <w:t>Warner et al, 2004</w:t>
            </w:r>
          </w:p>
        </w:tc>
        <w:tc>
          <w:tcPr>
            <w:tcW w:w="1278" w:type="dxa"/>
            <w:vAlign w:val="center"/>
          </w:tcPr>
          <w:p w14:paraId="252B4E5D" w14:textId="77777777" w:rsidR="00E47AB8" w:rsidRPr="008B2F8A" w:rsidRDefault="00E47AB8" w:rsidP="00422306">
            <w:pPr>
              <w:spacing w:before="40" w:after="80"/>
              <w:rPr>
                <w:rFonts w:ascii="Arial Narrow" w:hAnsi="Arial Narrow"/>
              </w:rPr>
            </w:pPr>
            <w:r w:rsidRPr="008B2F8A">
              <w:rPr>
                <w:rFonts w:ascii="Arial Narrow" w:hAnsi="Arial Narrow"/>
              </w:rPr>
              <w:t>M</w:t>
            </w:r>
          </w:p>
        </w:tc>
        <w:tc>
          <w:tcPr>
            <w:tcW w:w="1704" w:type="dxa"/>
            <w:vAlign w:val="center"/>
          </w:tcPr>
          <w:p w14:paraId="096A0D92"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293" w:type="dxa"/>
            <w:vAlign w:val="center"/>
          </w:tcPr>
          <w:p w14:paraId="44974DF7"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17" w:type="dxa"/>
            <w:vAlign w:val="center"/>
          </w:tcPr>
          <w:p w14:paraId="7B96D1D8"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26" w:type="dxa"/>
            <w:vAlign w:val="center"/>
          </w:tcPr>
          <w:p w14:paraId="63FD58DB"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568" w:type="dxa"/>
            <w:vAlign w:val="center"/>
          </w:tcPr>
          <w:p w14:paraId="0946C079"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7A529F8B" w14:textId="77777777" w:rsidR="00E47AB8" w:rsidRPr="008B2F8A" w:rsidRDefault="00E47AB8" w:rsidP="00422306">
            <w:pPr>
              <w:spacing w:before="40" w:after="80"/>
              <w:rPr>
                <w:rFonts w:ascii="Arial Narrow" w:hAnsi="Arial Narrow"/>
              </w:rPr>
            </w:pPr>
            <w:r w:rsidRPr="008B2F8A">
              <w:rPr>
                <w:rFonts w:ascii="Arial Narrow" w:hAnsi="Arial Narrow"/>
              </w:rPr>
              <w:t>0.36</w:t>
            </w:r>
            <w:r w:rsidRPr="008B2F8A">
              <w:rPr>
                <w:rFonts w:ascii="Arial Narrow" w:hAnsi="Arial Narrow"/>
                <w:vertAlign w:val="superscript"/>
              </w:rPr>
              <w:t>†</w:t>
            </w:r>
          </w:p>
        </w:tc>
        <w:tc>
          <w:tcPr>
            <w:tcW w:w="1374" w:type="dxa"/>
            <w:vAlign w:val="center"/>
          </w:tcPr>
          <w:p w14:paraId="4EBFA389" w14:textId="77777777" w:rsidR="00E47AB8" w:rsidRPr="008B2F8A" w:rsidRDefault="00E47AB8" w:rsidP="00422306">
            <w:pPr>
              <w:spacing w:before="40" w:after="80"/>
              <w:rPr>
                <w:rFonts w:ascii="Arial Narrow" w:hAnsi="Arial Narrow"/>
              </w:rPr>
            </w:pPr>
            <w:r w:rsidRPr="008B2F8A">
              <w:rPr>
                <w:rFonts w:ascii="Arial Narrow" w:hAnsi="Arial Narrow"/>
              </w:rPr>
              <w:t>0.99</w:t>
            </w:r>
            <w:r w:rsidRPr="008B2F8A">
              <w:rPr>
                <w:rFonts w:ascii="Arial Narrow" w:hAnsi="Arial Narrow"/>
                <w:vertAlign w:val="superscript"/>
              </w:rPr>
              <w:t>†</w:t>
            </w:r>
          </w:p>
        </w:tc>
      </w:tr>
      <w:tr w:rsidR="00E47AB8" w:rsidRPr="008B2F8A" w14:paraId="5A8562AA" w14:textId="77777777" w:rsidTr="00B17898">
        <w:tc>
          <w:tcPr>
            <w:tcW w:w="1590" w:type="dxa"/>
            <w:vAlign w:val="center"/>
          </w:tcPr>
          <w:p w14:paraId="5A470A03" w14:textId="0A25D06E" w:rsidR="00E47AB8" w:rsidRPr="008B2F8A" w:rsidRDefault="00E47AB8" w:rsidP="00422306">
            <w:pPr>
              <w:spacing w:before="40" w:after="80"/>
              <w:rPr>
                <w:rFonts w:ascii="Arial Narrow" w:hAnsi="Arial Narrow"/>
              </w:rPr>
            </w:pPr>
            <w:r>
              <w:rPr>
                <w:rFonts w:ascii="Arial Narrow" w:hAnsi="Arial Narrow"/>
              </w:rPr>
              <w:t>Warner et al, 2004</w:t>
            </w:r>
          </w:p>
        </w:tc>
        <w:tc>
          <w:tcPr>
            <w:tcW w:w="1278" w:type="dxa"/>
            <w:vAlign w:val="center"/>
          </w:tcPr>
          <w:p w14:paraId="7257F405" w14:textId="77777777" w:rsidR="00E47AB8" w:rsidRPr="008B2F8A" w:rsidRDefault="00E47AB8" w:rsidP="00422306">
            <w:pPr>
              <w:spacing w:before="40" w:after="80"/>
              <w:rPr>
                <w:rFonts w:ascii="Arial Narrow" w:hAnsi="Arial Narrow"/>
              </w:rPr>
            </w:pPr>
            <w:r w:rsidRPr="008B2F8A">
              <w:rPr>
                <w:rFonts w:ascii="Arial Narrow" w:hAnsi="Arial Narrow"/>
              </w:rPr>
              <w:t>M</w:t>
            </w:r>
          </w:p>
        </w:tc>
        <w:tc>
          <w:tcPr>
            <w:tcW w:w="1704" w:type="dxa"/>
            <w:vAlign w:val="center"/>
          </w:tcPr>
          <w:p w14:paraId="33396957"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3C8AFC75" w14:textId="77777777" w:rsidR="00E47AB8" w:rsidRPr="008B2F8A" w:rsidRDefault="00E47AB8" w:rsidP="00422306">
            <w:pPr>
              <w:spacing w:before="40" w:after="80"/>
              <w:rPr>
                <w:rFonts w:ascii="Arial Narrow" w:hAnsi="Arial Narrow"/>
              </w:rPr>
            </w:pPr>
            <w:r w:rsidRPr="008B2F8A">
              <w:rPr>
                <w:rFonts w:ascii="Arial Narrow" w:hAnsi="Arial Narrow"/>
              </w:rPr>
              <w:t>8</w:t>
            </w:r>
          </w:p>
        </w:tc>
        <w:tc>
          <w:tcPr>
            <w:tcW w:w="417" w:type="dxa"/>
            <w:vAlign w:val="center"/>
          </w:tcPr>
          <w:p w14:paraId="3B03E3C7" w14:textId="77777777" w:rsidR="00E47AB8" w:rsidRPr="008B2F8A" w:rsidRDefault="00E47AB8" w:rsidP="00422306">
            <w:pPr>
              <w:spacing w:before="40" w:after="80"/>
              <w:rPr>
                <w:rFonts w:ascii="Arial Narrow" w:hAnsi="Arial Narrow"/>
              </w:rPr>
            </w:pPr>
            <w:r w:rsidRPr="008B2F8A">
              <w:rPr>
                <w:rFonts w:ascii="Arial Narrow" w:hAnsi="Arial Narrow"/>
              </w:rPr>
              <w:t>1</w:t>
            </w:r>
          </w:p>
        </w:tc>
        <w:tc>
          <w:tcPr>
            <w:tcW w:w="426" w:type="dxa"/>
            <w:vAlign w:val="center"/>
          </w:tcPr>
          <w:p w14:paraId="1F4629E1" w14:textId="77777777" w:rsidR="00E47AB8" w:rsidRPr="008B2F8A" w:rsidRDefault="00E47AB8" w:rsidP="00422306">
            <w:pPr>
              <w:spacing w:before="40" w:after="80"/>
              <w:rPr>
                <w:rFonts w:ascii="Arial Narrow" w:hAnsi="Arial Narrow"/>
              </w:rPr>
            </w:pPr>
            <w:r w:rsidRPr="008B2F8A">
              <w:rPr>
                <w:rFonts w:ascii="Arial Narrow" w:hAnsi="Arial Narrow"/>
              </w:rPr>
              <w:t>14</w:t>
            </w:r>
          </w:p>
        </w:tc>
        <w:tc>
          <w:tcPr>
            <w:tcW w:w="568" w:type="dxa"/>
            <w:vAlign w:val="center"/>
          </w:tcPr>
          <w:p w14:paraId="61C15562" w14:textId="77777777" w:rsidR="00E47AB8" w:rsidRPr="008B2F8A" w:rsidRDefault="00E47AB8" w:rsidP="00422306">
            <w:pPr>
              <w:spacing w:before="40" w:after="80"/>
              <w:rPr>
                <w:rFonts w:ascii="Arial Narrow" w:hAnsi="Arial Narrow"/>
              </w:rPr>
            </w:pPr>
            <w:r w:rsidRPr="008B2F8A">
              <w:rPr>
                <w:rFonts w:ascii="Arial Narrow" w:hAnsi="Arial Narrow"/>
              </w:rPr>
              <w:t>434</w:t>
            </w:r>
          </w:p>
        </w:tc>
        <w:tc>
          <w:tcPr>
            <w:tcW w:w="1420" w:type="dxa"/>
            <w:vAlign w:val="center"/>
          </w:tcPr>
          <w:p w14:paraId="50F576BA" w14:textId="77777777" w:rsidR="00E47AB8" w:rsidRPr="008B2F8A" w:rsidRDefault="00E47AB8" w:rsidP="00422306">
            <w:pPr>
              <w:spacing w:before="40" w:after="80"/>
              <w:rPr>
                <w:rFonts w:ascii="Arial Narrow" w:hAnsi="Arial Narrow"/>
              </w:rPr>
            </w:pPr>
            <w:r w:rsidRPr="008B2F8A">
              <w:rPr>
                <w:rFonts w:ascii="Arial Narrow" w:hAnsi="Arial Narrow"/>
              </w:rPr>
              <w:t>0.36 [0.17–0.59]</w:t>
            </w:r>
          </w:p>
        </w:tc>
        <w:tc>
          <w:tcPr>
            <w:tcW w:w="1374" w:type="dxa"/>
            <w:vAlign w:val="center"/>
          </w:tcPr>
          <w:p w14:paraId="73D8AD83" w14:textId="77777777" w:rsidR="00E47AB8" w:rsidRPr="008B2F8A" w:rsidRDefault="00E47AB8" w:rsidP="00422306">
            <w:pPr>
              <w:spacing w:before="40" w:after="80"/>
              <w:rPr>
                <w:rFonts w:ascii="Arial Narrow" w:hAnsi="Arial Narrow"/>
              </w:rPr>
            </w:pPr>
            <w:r w:rsidRPr="008B2F8A">
              <w:rPr>
                <w:rFonts w:ascii="Arial Narrow" w:hAnsi="Arial Narrow"/>
              </w:rPr>
              <w:t>1.00 [0.99–1.00]</w:t>
            </w:r>
          </w:p>
        </w:tc>
      </w:tr>
      <w:tr w:rsidR="00E47AB8" w:rsidRPr="008B2F8A" w14:paraId="7A087B5B" w14:textId="77777777" w:rsidTr="00B17898">
        <w:tc>
          <w:tcPr>
            <w:tcW w:w="1590" w:type="dxa"/>
            <w:vAlign w:val="center"/>
          </w:tcPr>
          <w:p w14:paraId="4A26F923" w14:textId="67B9BEFC" w:rsidR="00E47AB8" w:rsidRPr="008B2F8A" w:rsidRDefault="00E47AB8" w:rsidP="00422306">
            <w:pPr>
              <w:spacing w:before="40" w:after="80"/>
              <w:rPr>
                <w:rFonts w:ascii="Arial Narrow" w:hAnsi="Arial Narrow"/>
              </w:rPr>
            </w:pPr>
            <w:r>
              <w:rPr>
                <w:rFonts w:ascii="Arial Narrow" w:hAnsi="Arial Narrow"/>
              </w:rPr>
              <w:t>Warner et al, 2004</w:t>
            </w:r>
          </w:p>
        </w:tc>
        <w:tc>
          <w:tcPr>
            <w:tcW w:w="1278" w:type="dxa"/>
            <w:vAlign w:val="center"/>
          </w:tcPr>
          <w:p w14:paraId="54308456" w14:textId="77777777" w:rsidR="00E47AB8" w:rsidRPr="008B2F8A" w:rsidRDefault="00E47AB8" w:rsidP="00422306">
            <w:pPr>
              <w:spacing w:before="40" w:after="80"/>
              <w:rPr>
                <w:rFonts w:ascii="Arial Narrow" w:hAnsi="Arial Narrow"/>
              </w:rPr>
            </w:pPr>
            <w:r w:rsidRPr="008B2F8A">
              <w:rPr>
                <w:rFonts w:ascii="Arial Narrow" w:hAnsi="Arial Narrow"/>
              </w:rPr>
              <w:t>M​+​U/S​+​CBE</w:t>
            </w:r>
          </w:p>
        </w:tc>
        <w:tc>
          <w:tcPr>
            <w:tcW w:w="1704" w:type="dxa"/>
            <w:vAlign w:val="center"/>
          </w:tcPr>
          <w:p w14:paraId="6451C22A"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2F92A6D1" w14:textId="77777777" w:rsidR="00E47AB8" w:rsidRPr="008B2F8A" w:rsidRDefault="00E47AB8" w:rsidP="00422306">
            <w:pPr>
              <w:spacing w:before="40" w:after="80"/>
              <w:rPr>
                <w:rFonts w:ascii="Arial Narrow" w:hAnsi="Arial Narrow"/>
              </w:rPr>
            </w:pPr>
            <w:r w:rsidRPr="008B2F8A">
              <w:rPr>
                <w:rFonts w:ascii="Arial Narrow" w:hAnsi="Arial Narrow"/>
              </w:rPr>
              <w:t>14</w:t>
            </w:r>
          </w:p>
        </w:tc>
        <w:tc>
          <w:tcPr>
            <w:tcW w:w="417" w:type="dxa"/>
            <w:vAlign w:val="center"/>
          </w:tcPr>
          <w:p w14:paraId="2816666F"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26" w:type="dxa"/>
            <w:vAlign w:val="center"/>
          </w:tcPr>
          <w:p w14:paraId="7E64873D" w14:textId="77777777" w:rsidR="00E47AB8" w:rsidRPr="008B2F8A" w:rsidRDefault="00E47AB8" w:rsidP="00422306">
            <w:pPr>
              <w:spacing w:before="40" w:after="80"/>
              <w:rPr>
                <w:rFonts w:ascii="Arial Narrow" w:hAnsi="Arial Narrow"/>
              </w:rPr>
            </w:pPr>
            <w:r w:rsidRPr="008B2F8A">
              <w:rPr>
                <w:rFonts w:ascii="Arial Narrow" w:hAnsi="Arial Narrow"/>
              </w:rPr>
              <w:t>8</w:t>
            </w:r>
          </w:p>
        </w:tc>
        <w:tc>
          <w:tcPr>
            <w:tcW w:w="568" w:type="dxa"/>
            <w:vAlign w:val="center"/>
          </w:tcPr>
          <w:p w14:paraId="71A523F8"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6761E830" w14:textId="77777777" w:rsidR="00E47AB8" w:rsidRPr="008B2F8A" w:rsidRDefault="00E47AB8" w:rsidP="00422306">
            <w:pPr>
              <w:spacing w:before="40" w:after="80"/>
              <w:rPr>
                <w:rFonts w:ascii="Arial Narrow" w:hAnsi="Arial Narrow"/>
              </w:rPr>
            </w:pPr>
            <w:r w:rsidRPr="008B2F8A">
              <w:rPr>
                <w:rFonts w:ascii="Arial Narrow" w:hAnsi="Arial Narrow"/>
              </w:rPr>
              <w:t>0.64 [0.41–0.83]</w:t>
            </w:r>
          </w:p>
        </w:tc>
        <w:tc>
          <w:tcPr>
            <w:tcW w:w="1374" w:type="dxa"/>
            <w:vAlign w:val="center"/>
          </w:tcPr>
          <w:p w14:paraId="32156676" w14:textId="77777777" w:rsidR="00E47AB8" w:rsidRPr="008B2F8A" w:rsidRDefault="00E47AB8" w:rsidP="00422306">
            <w:pPr>
              <w:spacing w:before="40" w:after="80"/>
              <w:rPr>
                <w:rFonts w:ascii="Arial Narrow" w:hAnsi="Arial Narrow"/>
              </w:rPr>
            </w:pPr>
            <w:r w:rsidRPr="008B2F8A">
              <w:rPr>
                <w:rFonts w:ascii="Arial Narrow" w:hAnsi="Arial Narrow"/>
              </w:rPr>
              <w:t>NR</w:t>
            </w:r>
          </w:p>
        </w:tc>
      </w:tr>
      <w:tr w:rsidR="00E47AB8" w:rsidRPr="008B2F8A" w14:paraId="6C3C2B9C" w14:textId="77777777" w:rsidTr="00B17898">
        <w:tc>
          <w:tcPr>
            <w:tcW w:w="1590" w:type="dxa"/>
            <w:vAlign w:val="center"/>
          </w:tcPr>
          <w:p w14:paraId="32713EA1" w14:textId="5BE0BE22" w:rsidR="00E47AB8" w:rsidRPr="008B2F8A" w:rsidRDefault="00E47AB8" w:rsidP="00422306">
            <w:pPr>
              <w:spacing w:before="40" w:after="80"/>
              <w:rPr>
                <w:rFonts w:ascii="Arial Narrow" w:hAnsi="Arial Narrow"/>
              </w:rPr>
            </w:pPr>
            <w:r>
              <w:rPr>
                <w:rFonts w:ascii="Arial Narrow" w:hAnsi="Arial Narrow"/>
              </w:rPr>
              <w:t>Sardanelli et al, 2011</w:t>
            </w:r>
          </w:p>
        </w:tc>
        <w:tc>
          <w:tcPr>
            <w:tcW w:w="1278" w:type="dxa"/>
            <w:vAlign w:val="center"/>
          </w:tcPr>
          <w:p w14:paraId="3D7C87F8" w14:textId="77777777" w:rsidR="00E47AB8" w:rsidRPr="008B2F8A" w:rsidRDefault="00E47AB8" w:rsidP="00422306">
            <w:pPr>
              <w:spacing w:before="40" w:after="80"/>
              <w:rPr>
                <w:rFonts w:ascii="Arial Narrow" w:hAnsi="Arial Narrow"/>
              </w:rPr>
            </w:pPr>
            <w:r w:rsidRPr="008B2F8A">
              <w:rPr>
                <w:rFonts w:ascii="Arial Narrow" w:hAnsi="Arial Narrow"/>
              </w:rPr>
              <w:t>M</w:t>
            </w:r>
          </w:p>
        </w:tc>
        <w:tc>
          <w:tcPr>
            <w:tcW w:w="1704" w:type="dxa"/>
            <w:vAlign w:val="center"/>
          </w:tcPr>
          <w:p w14:paraId="6D791AFE"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293" w:type="dxa"/>
            <w:vAlign w:val="center"/>
          </w:tcPr>
          <w:p w14:paraId="5A0D83AC" w14:textId="77777777" w:rsidR="00E47AB8" w:rsidRPr="008B2F8A" w:rsidRDefault="00E47AB8" w:rsidP="00422306">
            <w:pPr>
              <w:spacing w:before="40" w:after="80"/>
              <w:rPr>
                <w:rFonts w:ascii="Arial Narrow" w:hAnsi="Arial Narrow"/>
              </w:rPr>
            </w:pPr>
            <w:r w:rsidRPr="008B2F8A">
              <w:rPr>
                <w:rFonts w:ascii="Arial Narrow" w:hAnsi="Arial Narrow"/>
              </w:rPr>
              <w:t>10</w:t>
            </w:r>
          </w:p>
        </w:tc>
        <w:tc>
          <w:tcPr>
            <w:tcW w:w="417" w:type="dxa"/>
            <w:vAlign w:val="center"/>
          </w:tcPr>
          <w:p w14:paraId="538151FF" w14:textId="77777777" w:rsidR="00E47AB8" w:rsidRPr="008B2F8A" w:rsidRDefault="00E47AB8" w:rsidP="00422306">
            <w:pPr>
              <w:spacing w:before="40" w:after="80"/>
              <w:rPr>
                <w:rFonts w:ascii="Arial Narrow" w:hAnsi="Arial Narrow"/>
              </w:rPr>
            </w:pPr>
            <w:r w:rsidRPr="008B2F8A">
              <w:rPr>
                <w:rFonts w:ascii="Arial Narrow" w:hAnsi="Arial Narrow"/>
              </w:rPr>
              <w:t>8</w:t>
            </w:r>
          </w:p>
        </w:tc>
        <w:tc>
          <w:tcPr>
            <w:tcW w:w="426" w:type="dxa"/>
            <w:vAlign w:val="center"/>
          </w:tcPr>
          <w:p w14:paraId="23338EC9" w14:textId="77777777" w:rsidR="00E47AB8" w:rsidRPr="008B2F8A" w:rsidRDefault="00E47AB8" w:rsidP="00422306">
            <w:pPr>
              <w:spacing w:before="40" w:after="80"/>
              <w:rPr>
                <w:rFonts w:ascii="Arial Narrow" w:hAnsi="Arial Narrow"/>
              </w:rPr>
            </w:pPr>
            <w:r w:rsidRPr="008B2F8A">
              <w:rPr>
                <w:rFonts w:ascii="Arial Narrow" w:hAnsi="Arial Narrow"/>
              </w:rPr>
              <w:t>12</w:t>
            </w:r>
          </w:p>
        </w:tc>
        <w:tc>
          <w:tcPr>
            <w:tcW w:w="568" w:type="dxa"/>
            <w:vAlign w:val="center"/>
          </w:tcPr>
          <w:p w14:paraId="0BF9851F" w14:textId="77777777" w:rsidR="00E47AB8" w:rsidRPr="008B2F8A" w:rsidRDefault="00E47AB8" w:rsidP="00422306">
            <w:pPr>
              <w:spacing w:before="40" w:after="80"/>
              <w:rPr>
                <w:rFonts w:ascii="Arial Narrow" w:hAnsi="Arial Narrow"/>
              </w:rPr>
            </w:pPr>
            <w:r w:rsidRPr="008B2F8A">
              <w:rPr>
                <w:rFonts w:ascii="Arial Narrow" w:hAnsi="Arial Narrow"/>
              </w:rPr>
              <w:t>628</w:t>
            </w:r>
          </w:p>
        </w:tc>
        <w:tc>
          <w:tcPr>
            <w:tcW w:w="1420" w:type="dxa"/>
            <w:vAlign w:val="center"/>
          </w:tcPr>
          <w:p w14:paraId="7E74B067" w14:textId="77777777" w:rsidR="00E47AB8" w:rsidRPr="008B2F8A" w:rsidRDefault="00E47AB8" w:rsidP="00422306">
            <w:pPr>
              <w:spacing w:before="40" w:after="80"/>
              <w:rPr>
                <w:rFonts w:ascii="Arial Narrow" w:hAnsi="Arial Narrow"/>
              </w:rPr>
            </w:pPr>
            <w:r w:rsidRPr="008B2F8A">
              <w:rPr>
                <w:rFonts w:ascii="Arial Narrow" w:hAnsi="Arial Narrow"/>
              </w:rPr>
              <w:t>0.45 [0.24–0.68]</w:t>
            </w:r>
          </w:p>
        </w:tc>
        <w:tc>
          <w:tcPr>
            <w:tcW w:w="1374" w:type="dxa"/>
            <w:vAlign w:val="center"/>
          </w:tcPr>
          <w:p w14:paraId="5DA05DD2" w14:textId="77777777" w:rsidR="00E47AB8" w:rsidRPr="008B2F8A" w:rsidRDefault="00E47AB8" w:rsidP="00422306">
            <w:pPr>
              <w:spacing w:before="40" w:after="80"/>
              <w:rPr>
                <w:rFonts w:ascii="Arial Narrow" w:hAnsi="Arial Narrow"/>
              </w:rPr>
            </w:pPr>
            <w:r w:rsidRPr="008B2F8A">
              <w:rPr>
                <w:rFonts w:ascii="Arial Narrow" w:hAnsi="Arial Narrow"/>
              </w:rPr>
              <w:t>0.99 [0.98–0.99]</w:t>
            </w:r>
          </w:p>
        </w:tc>
      </w:tr>
    </w:tbl>
    <w:p w14:paraId="5B61F635" w14:textId="406E1D08" w:rsidR="00E47AB8" w:rsidRPr="008B2F8A" w:rsidRDefault="00F80E4A" w:rsidP="00B17898">
      <w:pPr>
        <w:pStyle w:val="TableNotesLast"/>
      </w:pPr>
      <w:bookmarkStart w:id="822" w:name="_Ref368310966"/>
      <w:r>
        <w:rPr>
          <w:vertAlign w:val="superscript"/>
        </w:rPr>
        <w:t xml:space="preserve">* </w:t>
      </w:r>
      <w:r>
        <w:t xml:space="preserve">As reported in HIQA (2013) calculated from data in Table 1 of Kriege et al. (2006b). </w:t>
      </w:r>
      <w:r w:rsidR="00E47AB8" w:rsidRPr="008B2F8A">
        <w:rPr>
          <w:vertAlign w:val="superscript"/>
        </w:rPr>
        <w:t xml:space="preserve">† </w:t>
      </w:r>
      <w:r w:rsidR="00E47AB8" w:rsidRPr="008B2F8A">
        <w:t xml:space="preserve">Reported in </w:t>
      </w:r>
      <w:r w:rsidR="00E47AB8">
        <w:t>Warner et al (</w:t>
      </w:r>
      <w:r w:rsidR="00E47AB8" w:rsidRPr="008B2F8A">
        <w:rPr>
          <w:noProof/>
        </w:rPr>
        <w:t>2008)</w:t>
      </w:r>
      <w:r w:rsidR="00E47AB8" w:rsidRPr="008B2F8A">
        <w:t>. 95% CI not reported. M = mammography, CBE = clinical breast examination, U/S = ultrasound; BI-RADS = American college of Radiology Breast Imaging Reporting and Data System; NR = not reported; CI = confidence interval; TP = true-positive; FP = false-positive; FN = false-negative; TN = true-negative.</w:t>
      </w:r>
    </w:p>
    <w:p w14:paraId="582F36E1" w14:textId="77777777" w:rsidR="00E47AB8" w:rsidRPr="008B2F8A" w:rsidRDefault="00E47AB8" w:rsidP="00422306">
      <w:pPr>
        <w:pStyle w:val="Caption"/>
      </w:pPr>
      <w:bookmarkStart w:id="823" w:name="_Ref377651649"/>
      <w:bookmarkStart w:id="824" w:name="_Toc383424593"/>
      <w:r w:rsidRPr="008B2F8A">
        <w:t xml:space="preserve">Table </w:t>
      </w:r>
      <w:fldSimple w:instr=" STYLEREF 1 \s ">
        <w:r w:rsidR="00B81273">
          <w:rPr>
            <w:noProof/>
          </w:rPr>
          <w:t>B</w:t>
        </w:r>
      </w:fldSimple>
      <w:r w:rsidRPr="008B2F8A">
        <w:t>.</w:t>
      </w:r>
      <w:fldSimple w:instr=" SEQ Table \* ARABIC \s 1 ">
        <w:r w:rsidR="00B81273">
          <w:rPr>
            <w:noProof/>
          </w:rPr>
          <w:t>27</w:t>
        </w:r>
      </w:fldSimple>
      <w:bookmarkEnd w:id="822"/>
      <w:bookmarkEnd w:id="823"/>
      <w:r w:rsidRPr="008B2F8A">
        <w:tab/>
      </w:r>
      <w:bookmarkStart w:id="825" w:name="OLE_LINK1035"/>
      <w:bookmarkStart w:id="826" w:name="OLE_LINK1036"/>
      <w:r w:rsidRPr="008B2F8A">
        <w:t>Diagnostic accuracy of breast MRI alone</w:t>
      </w:r>
      <w:bookmarkEnd w:id="825"/>
      <w:bookmarkEnd w:id="826"/>
      <w:r w:rsidRPr="008B2F8A">
        <w:t>.</w:t>
      </w:r>
      <w:bookmarkEnd w:id="824"/>
    </w:p>
    <w:tbl>
      <w:tblPr>
        <w:tblStyle w:val="TableGrid"/>
        <w:tblW w:w="9070" w:type="dxa"/>
        <w:tblCellMar>
          <w:left w:w="28" w:type="dxa"/>
          <w:right w:w="28" w:type="dxa"/>
        </w:tblCellMar>
        <w:tblLook w:val="04A0" w:firstRow="1" w:lastRow="0" w:firstColumn="1" w:lastColumn="0" w:noHBand="0" w:noVBand="1"/>
        <w:tblCaption w:val="Diagnostic accuracy of breast MRI alone"/>
      </w:tblPr>
      <w:tblGrid>
        <w:gridCol w:w="2868"/>
        <w:gridCol w:w="1666"/>
        <w:gridCol w:w="317"/>
        <w:gridCol w:w="431"/>
        <w:gridCol w:w="426"/>
        <w:gridCol w:w="568"/>
        <w:gridCol w:w="1420"/>
        <w:gridCol w:w="1374"/>
      </w:tblGrid>
      <w:tr w:rsidR="00E47AB8" w:rsidRPr="008B2F8A" w14:paraId="718E9CF1" w14:textId="77777777" w:rsidTr="00B17898">
        <w:trPr>
          <w:tblHeader/>
        </w:trPr>
        <w:tc>
          <w:tcPr>
            <w:tcW w:w="2868" w:type="dxa"/>
            <w:vAlign w:val="center"/>
          </w:tcPr>
          <w:p w14:paraId="26593799"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666" w:type="dxa"/>
            <w:vAlign w:val="center"/>
          </w:tcPr>
          <w:p w14:paraId="47B6A499" w14:textId="77777777" w:rsidR="00E47AB8" w:rsidRPr="008B2F8A" w:rsidRDefault="00E47AB8" w:rsidP="00422306">
            <w:pPr>
              <w:spacing w:before="40" w:after="80"/>
              <w:rPr>
                <w:rFonts w:ascii="Arial Narrow" w:hAnsi="Arial Narrow"/>
                <w:b/>
              </w:rPr>
            </w:pPr>
            <w:r w:rsidRPr="008B2F8A">
              <w:rPr>
                <w:rFonts w:ascii="Arial Narrow" w:hAnsi="Arial Narrow"/>
                <w:b/>
              </w:rPr>
              <w:t>Positive test</w:t>
            </w:r>
          </w:p>
        </w:tc>
        <w:tc>
          <w:tcPr>
            <w:tcW w:w="317" w:type="dxa"/>
            <w:vAlign w:val="center"/>
          </w:tcPr>
          <w:p w14:paraId="44D56E61" w14:textId="77777777" w:rsidR="00E47AB8" w:rsidRPr="008B2F8A" w:rsidRDefault="00E47AB8" w:rsidP="00422306">
            <w:pPr>
              <w:spacing w:before="40" w:after="80"/>
              <w:rPr>
                <w:rFonts w:ascii="Arial Narrow" w:hAnsi="Arial Narrow"/>
                <w:b/>
              </w:rPr>
            </w:pPr>
            <w:r w:rsidRPr="008B2F8A">
              <w:rPr>
                <w:rFonts w:ascii="Arial Narrow" w:hAnsi="Arial Narrow"/>
                <w:b/>
              </w:rPr>
              <w:t>TP</w:t>
            </w:r>
          </w:p>
        </w:tc>
        <w:tc>
          <w:tcPr>
            <w:tcW w:w="431" w:type="dxa"/>
            <w:vAlign w:val="center"/>
          </w:tcPr>
          <w:p w14:paraId="4AF84F30" w14:textId="77777777" w:rsidR="00E47AB8" w:rsidRPr="008B2F8A" w:rsidRDefault="00E47AB8" w:rsidP="00422306">
            <w:pPr>
              <w:spacing w:before="40" w:after="80"/>
              <w:rPr>
                <w:rFonts w:ascii="Arial Narrow" w:hAnsi="Arial Narrow"/>
                <w:b/>
              </w:rPr>
            </w:pPr>
            <w:r w:rsidRPr="008B2F8A">
              <w:rPr>
                <w:rFonts w:ascii="Arial Narrow" w:hAnsi="Arial Narrow"/>
                <w:b/>
              </w:rPr>
              <w:t>FP</w:t>
            </w:r>
          </w:p>
        </w:tc>
        <w:tc>
          <w:tcPr>
            <w:tcW w:w="426" w:type="dxa"/>
            <w:vAlign w:val="center"/>
          </w:tcPr>
          <w:p w14:paraId="3302B702" w14:textId="77777777" w:rsidR="00E47AB8" w:rsidRPr="008B2F8A" w:rsidRDefault="00E47AB8" w:rsidP="00422306">
            <w:pPr>
              <w:spacing w:before="40" w:after="80"/>
              <w:rPr>
                <w:rFonts w:ascii="Arial Narrow" w:hAnsi="Arial Narrow"/>
                <w:b/>
              </w:rPr>
            </w:pPr>
            <w:r w:rsidRPr="008B2F8A">
              <w:rPr>
                <w:rFonts w:ascii="Arial Narrow" w:hAnsi="Arial Narrow"/>
                <w:b/>
              </w:rPr>
              <w:t>FN</w:t>
            </w:r>
          </w:p>
        </w:tc>
        <w:tc>
          <w:tcPr>
            <w:tcW w:w="568" w:type="dxa"/>
            <w:vAlign w:val="center"/>
          </w:tcPr>
          <w:p w14:paraId="0A33A803" w14:textId="77777777" w:rsidR="00E47AB8" w:rsidRPr="008B2F8A" w:rsidRDefault="00E47AB8" w:rsidP="00422306">
            <w:pPr>
              <w:spacing w:before="40" w:after="80"/>
              <w:rPr>
                <w:rFonts w:ascii="Arial Narrow" w:hAnsi="Arial Narrow"/>
                <w:b/>
              </w:rPr>
            </w:pPr>
            <w:r w:rsidRPr="008B2F8A">
              <w:rPr>
                <w:rFonts w:ascii="Arial Narrow" w:hAnsi="Arial Narrow"/>
                <w:b/>
              </w:rPr>
              <w:t>TN</w:t>
            </w:r>
          </w:p>
        </w:tc>
        <w:tc>
          <w:tcPr>
            <w:tcW w:w="1420" w:type="dxa"/>
            <w:vAlign w:val="center"/>
          </w:tcPr>
          <w:p w14:paraId="7AC13E39" w14:textId="77777777" w:rsidR="00E47AB8" w:rsidRPr="008B2F8A" w:rsidRDefault="00E47AB8" w:rsidP="00422306">
            <w:pPr>
              <w:spacing w:before="40" w:after="80"/>
              <w:rPr>
                <w:rFonts w:ascii="Arial Narrow" w:hAnsi="Arial Narrow"/>
                <w:b/>
              </w:rPr>
            </w:pPr>
            <w:r w:rsidRPr="008B2F8A">
              <w:rPr>
                <w:rFonts w:ascii="Arial Narrow" w:hAnsi="Arial Narrow"/>
                <w:b/>
              </w:rPr>
              <w:t>Sensitivity (95% CI)</w:t>
            </w:r>
          </w:p>
        </w:tc>
        <w:tc>
          <w:tcPr>
            <w:tcW w:w="1374" w:type="dxa"/>
            <w:vAlign w:val="center"/>
          </w:tcPr>
          <w:p w14:paraId="627D0751" w14:textId="77777777" w:rsidR="00E47AB8" w:rsidRPr="008B2F8A" w:rsidRDefault="00E47AB8" w:rsidP="00422306">
            <w:pPr>
              <w:spacing w:before="40" w:after="80"/>
              <w:rPr>
                <w:rFonts w:ascii="Arial Narrow" w:hAnsi="Arial Narrow"/>
                <w:b/>
              </w:rPr>
            </w:pPr>
            <w:r w:rsidRPr="008B2F8A">
              <w:rPr>
                <w:rFonts w:ascii="Arial Narrow" w:hAnsi="Arial Narrow"/>
                <w:b/>
              </w:rPr>
              <w:t>Specificity (95% CI)</w:t>
            </w:r>
          </w:p>
        </w:tc>
      </w:tr>
      <w:tr w:rsidR="00E47AB8" w:rsidRPr="008B2F8A" w14:paraId="3943E24F" w14:textId="77777777" w:rsidTr="00B17898">
        <w:tc>
          <w:tcPr>
            <w:tcW w:w="2868" w:type="dxa"/>
            <w:vAlign w:val="center"/>
          </w:tcPr>
          <w:p w14:paraId="0727C6AF" w14:textId="0C4C7B1E" w:rsidR="00E47AB8" w:rsidRPr="008B2F8A" w:rsidRDefault="00E47AB8" w:rsidP="00422306">
            <w:pPr>
              <w:spacing w:before="40" w:after="80"/>
              <w:rPr>
                <w:rFonts w:ascii="Arial Narrow" w:hAnsi="Arial Narrow"/>
              </w:rPr>
            </w:pPr>
            <w:r>
              <w:rPr>
                <w:rFonts w:ascii="Arial Narrow" w:hAnsi="Arial Narrow"/>
              </w:rPr>
              <w:t>Kriege et al, 2006</w:t>
            </w:r>
            <w:r w:rsidR="00F80E4A">
              <w:rPr>
                <w:rFonts w:ascii="Arial Narrow" w:hAnsi="Arial Narrow"/>
              </w:rPr>
              <w:t>b</w:t>
            </w:r>
            <w:r w:rsidRPr="008B2F8A">
              <w:rPr>
                <w:rFonts w:ascii="Arial Narrow" w:hAnsi="Arial Narrow"/>
              </w:rPr>
              <w:t xml:space="preserve"> (MRISC)</w:t>
            </w:r>
            <w:r w:rsidR="00F80E4A">
              <w:rPr>
                <w:rFonts w:ascii="Arial Narrow" w:hAnsi="Arial Narrow"/>
              </w:rPr>
              <w:t>*</w:t>
            </w:r>
          </w:p>
        </w:tc>
        <w:tc>
          <w:tcPr>
            <w:tcW w:w="1666" w:type="dxa"/>
            <w:vAlign w:val="center"/>
          </w:tcPr>
          <w:p w14:paraId="1BFDE83D"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317" w:type="dxa"/>
            <w:vAlign w:val="center"/>
          </w:tcPr>
          <w:p w14:paraId="76C33CA1" w14:textId="77777777" w:rsidR="00E47AB8" w:rsidRPr="008B2F8A" w:rsidRDefault="00E47AB8" w:rsidP="00422306">
            <w:pPr>
              <w:spacing w:before="40" w:after="80"/>
              <w:rPr>
                <w:rFonts w:ascii="Arial Narrow" w:hAnsi="Arial Narrow"/>
              </w:rPr>
            </w:pPr>
            <w:r w:rsidRPr="008B2F8A">
              <w:rPr>
                <w:rFonts w:ascii="Arial Narrow" w:hAnsi="Arial Narrow"/>
              </w:rPr>
              <w:t>23</w:t>
            </w:r>
          </w:p>
        </w:tc>
        <w:tc>
          <w:tcPr>
            <w:tcW w:w="431" w:type="dxa"/>
            <w:vAlign w:val="center"/>
          </w:tcPr>
          <w:p w14:paraId="3AF9EFD7" w14:textId="77777777" w:rsidR="00E47AB8" w:rsidRPr="008B2F8A" w:rsidRDefault="00E47AB8" w:rsidP="00422306">
            <w:pPr>
              <w:spacing w:before="40" w:after="80"/>
              <w:rPr>
                <w:rFonts w:ascii="Arial Narrow" w:hAnsi="Arial Narrow"/>
              </w:rPr>
            </w:pPr>
            <w:r w:rsidRPr="008B2F8A">
              <w:rPr>
                <w:rFonts w:ascii="Arial Narrow" w:hAnsi="Arial Narrow"/>
              </w:rPr>
              <w:t>328</w:t>
            </w:r>
          </w:p>
        </w:tc>
        <w:tc>
          <w:tcPr>
            <w:tcW w:w="426" w:type="dxa"/>
            <w:vAlign w:val="center"/>
          </w:tcPr>
          <w:p w14:paraId="2172CE9E" w14:textId="77777777" w:rsidR="00E47AB8" w:rsidRPr="008B2F8A" w:rsidRDefault="00E47AB8" w:rsidP="00422306">
            <w:pPr>
              <w:spacing w:before="40" w:after="80"/>
              <w:rPr>
                <w:rFonts w:ascii="Arial Narrow" w:hAnsi="Arial Narrow"/>
              </w:rPr>
            </w:pPr>
            <w:r w:rsidRPr="008B2F8A">
              <w:rPr>
                <w:rFonts w:ascii="Arial Narrow" w:hAnsi="Arial Narrow"/>
              </w:rPr>
              <w:t>10</w:t>
            </w:r>
          </w:p>
        </w:tc>
        <w:tc>
          <w:tcPr>
            <w:tcW w:w="568" w:type="dxa"/>
            <w:vAlign w:val="center"/>
          </w:tcPr>
          <w:p w14:paraId="4C6D5020" w14:textId="77777777" w:rsidR="00E47AB8" w:rsidRPr="008B2F8A" w:rsidRDefault="00E47AB8" w:rsidP="00422306">
            <w:pPr>
              <w:spacing w:before="40" w:after="80"/>
              <w:rPr>
                <w:rFonts w:ascii="Arial Narrow" w:hAnsi="Arial Narrow"/>
              </w:rPr>
            </w:pPr>
            <w:r w:rsidRPr="008B2F8A">
              <w:rPr>
                <w:rFonts w:ascii="Arial Narrow" w:hAnsi="Arial Narrow"/>
              </w:rPr>
              <w:t>2747</w:t>
            </w:r>
          </w:p>
        </w:tc>
        <w:tc>
          <w:tcPr>
            <w:tcW w:w="1420" w:type="dxa"/>
            <w:vAlign w:val="center"/>
          </w:tcPr>
          <w:p w14:paraId="18A7B577" w14:textId="77777777" w:rsidR="00E47AB8" w:rsidRPr="008B2F8A" w:rsidRDefault="00E47AB8" w:rsidP="00422306">
            <w:pPr>
              <w:spacing w:before="40" w:after="80"/>
              <w:rPr>
                <w:rFonts w:ascii="Arial Narrow" w:hAnsi="Arial Narrow"/>
              </w:rPr>
            </w:pPr>
            <w:r w:rsidRPr="008B2F8A">
              <w:rPr>
                <w:rFonts w:ascii="Arial Narrow" w:hAnsi="Arial Narrow"/>
              </w:rPr>
              <w:t>0.70 [0.51–0.84]</w:t>
            </w:r>
          </w:p>
        </w:tc>
        <w:tc>
          <w:tcPr>
            <w:tcW w:w="1374" w:type="dxa"/>
            <w:vAlign w:val="center"/>
          </w:tcPr>
          <w:p w14:paraId="74E967E6" w14:textId="77777777" w:rsidR="00E47AB8" w:rsidRPr="008B2F8A" w:rsidRDefault="00E47AB8" w:rsidP="00422306">
            <w:pPr>
              <w:spacing w:before="40" w:after="80"/>
              <w:rPr>
                <w:rFonts w:ascii="Arial Narrow" w:hAnsi="Arial Narrow"/>
              </w:rPr>
            </w:pPr>
            <w:r w:rsidRPr="008B2F8A">
              <w:rPr>
                <w:rFonts w:ascii="Arial Narrow" w:hAnsi="Arial Narrow"/>
              </w:rPr>
              <w:t>0.89 [0.88–0.90]</w:t>
            </w:r>
          </w:p>
        </w:tc>
      </w:tr>
      <w:tr w:rsidR="00E47AB8" w:rsidRPr="008B2F8A" w14:paraId="27861271" w14:textId="77777777" w:rsidTr="00B17898">
        <w:tc>
          <w:tcPr>
            <w:tcW w:w="2868" w:type="dxa"/>
            <w:vAlign w:val="center"/>
          </w:tcPr>
          <w:p w14:paraId="7C4DBEFF" w14:textId="0228CDF3" w:rsidR="00E47AB8" w:rsidRPr="008B2F8A" w:rsidRDefault="00E47AB8" w:rsidP="00422306">
            <w:pPr>
              <w:spacing w:before="40" w:after="80"/>
              <w:rPr>
                <w:rFonts w:ascii="Arial Narrow" w:hAnsi="Arial Narrow"/>
              </w:rPr>
            </w:pPr>
            <w:r>
              <w:rPr>
                <w:rFonts w:ascii="Arial Narrow" w:hAnsi="Arial Narrow"/>
              </w:rPr>
              <w:t>Kuhl et al, 2005</w:t>
            </w:r>
          </w:p>
        </w:tc>
        <w:tc>
          <w:tcPr>
            <w:tcW w:w="1666" w:type="dxa"/>
            <w:vAlign w:val="center"/>
          </w:tcPr>
          <w:p w14:paraId="4DA535B8"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317" w:type="dxa"/>
            <w:vAlign w:val="center"/>
          </w:tcPr>
          <w:p w14:paraId="560AC210" w14:textId="77777777" w:rsidR="00E47AB8" w:rsidRPr="008B2F8A" w:rsidRDefault="00E47AB8" w:rsidP="00422306">
            <w:pPr>
              <w:spacing w:before="40" w:after="80"/>
              <w:rPr>
                <w:rFonts w:ascii="Arial Narrow" w:hAnsi="Arial Narrow"/>
              </w:rPr>
            </w:pPr>
            <w:r w:rsidRPr="008B2F8A">
              <w:rPr>
                <w:rFonts w:ascii="Arial Narrow" w:hAnsi="Arial Narrow"/>
              </w:rPr>
              <w:t>39</w:t>
            </w:r>
          </w:p>
        </w:tc>
        <w:tc>
          <w:tcPr>
            <w:tcW w:w="431" w:type="dxa"/>
            <w:vAlign w:val="center"/>
          </w:tcPr>
          <w:p w14:paraId="75C3C111" w14:textId="77777777" w:rsidR="00E47AB8" w:rsidRPr="008B2F8A" w:rsidRDefault="00E47AB8" w:rsidP="00422306">
            <w:pPr>
              <w:spacing w:before="40" w:after="80"/>
              <w:rPr>
                <w:rFonts w:ascii="Arial Narrow" w:hAnsi="Arial Narrow"/>
              </w:rPr>
            </w:pPr>
            <w:r w:rsidRPr="008B2F8A">
              <w:rPr>
                <w:rFonts w:ascii="Arial Narrow" w:hAnsi="Arial Narrow"/>
              </w:rPr>
              <w:t>39</w:t>
            </w:r>
          </w:p>
        </w:tc>
        <w:tc>
          <w:tcPr>
            <w:tcW w:w="426" w:type="dxa"/>
            <w:vAlign w:val="center"/>
          </w:tcPr>
          <w:p w14:paraId="71D2A089" w14:textId="77777777" w:rsidR="00E47AB8" w:rsidRPr="008B2F8A" w:rsidRDefault="00E47AB8" w:rsidP="00422306">
            <w:pPr>
              <w:spacing w:before="40" w:after="80"/>
              <w:rPr>
                <w:rFonts w:ascii="Arial Narrow" w:hAnsi="Arial Narrow"/>
              </w:rPr>
            </w:pPr>
            <w:r w:rsidRPr="008B2F8A">
              <w:rPr>
                <w:rFonts w:ascii="Arial Narrow" w:hAnsi="Arial Narrow"/>
              </w:rPr>
              <w:t>4</w:t>
            </w:r>
          </w:p>
        </w:tc>
        <w:tc>
          <w:tcPr>
            <w:tcW w:w="568" w:type="dxa"/>
            <w:vAlign w:val="center"/>
          </w:tcPr>
          <w:p w14:paraId="38658F3F" w14:textId="77777777" w:rsidR="00E47AB8" w:rsidRPr="008B2F8A" w:rsidRDefault="00E47AB8" w:rsidP="00422306">
            <w:pPr>
              <w:spacing w:before="40" w:after="80"/>
              <w:rPr>
                <w:rFonts w:ascii="Arial Narrow" w:hAnsi="Arial Narrow"/>
              </w:rPr>
            </w:pPr>
            <w:r w:rsidRPr="008B2F8A">
              <w:rPr>
                <w:rFonts w:ascii="Arial Narrow" w:hAnsi="Arial Narrow"/>
              </w:rPr>
              <w:t>1370</w:t>
            </w:r>
          </w:p>
        </w:tc>
        <w:tc>
          <w:tcPr>
            <w:tcW w:w="1420" w:type="dxa"/>
            <w:vAlign w:val="center"/>
          </w:tcPr>
          <w:p w14:paraId="2B3537E2" w14:textId="77777777" w:rsidR="00E47AB8" w:rsidRPr="008B2F8A" w:rsidRDefault="00E47AB8" w:rsidP="00422306">
            <w:pPr>
              <w:spacing w:before="40" w:after="80"/>
              <w:rPr>
                <w:rFonts w:ascii="Arial Narrow" w:hAnsi="Arial Narrow"/>
              </w:rPr>
            </w:pPr>
            <w:r w:rsidRPr="008B2F8A">
              <w:rPr>
                <w:rFonts w:ascii="Arial Narrow" w:hAnsi="Arial Narrow"/>
              </w:rPr>
              <w:t>0.91 [0.78–0.97]</w:t>
            </w:r>
          </w:p>
        </w:tc>
        <w:tc>
          <w:tcPr>
            <w:tcW w:w="1374" w:type="dxa"/>
            <w:vAlign w:val="center"/>
          </w:tcPr>
          <w:p w14:paraId="33ADA455" w14:textId="77777777" w:rsidR="00E47AB8" w:rsidRPr="008B2F8A" w:rsidRDefault="00E47AB8" w:rsidP="00422306">
            <w:pPr>
              <w:spacing w:before="40" w:after="80"/>
              <w:rPr>
                <w:rFonts w:ascii="Arial Narrow" w:hAnsi="Arial Narrow"/>
              </w:rPr>
            </w:pPr>
            <w:r w:rsidRPr="008B2F8A">
              <w:rPr>
                <w:rFonts w:ascii="Arial Narrow" w:hAnsi="Arial Narrow"/>
              </w:rPr>
              <w:t>0.97 [0.96–0.98]</w:t>
            </w:r>
          </w:p>
        </w:tc>
      </w:tr>
      <w:tr w:rsidR="00E47AB8" w:rsidRPr="008B2F8A" w14:paraId="205046E5" w14:textId="77777777" w:rsidTr="00B17898">
        <w:tc>
          <w:tcPr>
            <w:tcW w:w="2868" w:type="dxa"/>
            <w:vAlign w:val="center"/>
          </w:tcPr>
          <w:p w14:paraId="5D7E506A" w14:textId="0AC55AE3" w:rsidR="00E47AB8" w:rsidRPr="008B2F8A" w:rsidRDefault="00E47AB8" w:rsidP="00B17898">
            <w:pPr>
              <w:spacing w:before="40" w:after="80"/>
              <w:rPr>
                <w:rFonts w:ascii="Arial Narrow" w:hAnsi="Arial Narrow"/>
                <w:lang w:eastAsia="en-US"/>
              </w:rPr>
            </w:pPr>
            <w:r>
              <w:rPr>
                <w:rFonts w:ascii="Arial Narrow" w:hAnsi="Arial Narrow"/>
              </w:rPr>
              <w:t>Leach, 2005</w:t>
            </w:r>
            <w:r w:rsidRPr="008B2F8A">
              <w:rPr>
                <w:rFonts w:ascii="Arial Narrow" w:hAnsi="Arial Narrow"/>
              </w:rPr>
              <w:t xml:space="preserve"> (MARIBS)</w:t>
            </w:r>
          </w:p>
        </w:tc>
        <w:tc>
          <w:tcPr>
            <w:tcW w:w="1666" w:type="dxa"/>
            <w:vAlign w:val="center"/>
          </w:tcPr>
          <w:p w14:paraId="51DFEAC4"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317" w:type="dxa"/>
            <w:vAlign w:val="center"/>
          </w:tcPr>
          <w:p w14:paraId="163E4F80" w14:textId="77777777" w:rsidR="00E47AB8" w:rsidRPr="008B2F8A" w:rsidRDefault="00E47AB8" w:rsidP="00422306">
            <w:pPr>
              <w:spacing w:before="40" w:after="80"/>
              <w:rPr>
                <w:rFonts w:ascii="Arial Narrow" w:hAnsi="Arial Narrow"/>
              </w:rPr>
            </w:pPr>
            <w:r w:rsidRPr="008B2F8A">
              <w:rPr>
                <w:rFonts w:ascii="Arial Narrow" w:hAnsi="Arial Narrow"/>
              </w:rPr>
              <w:t>27</w:t>
            </w:r>
          </w:p>
        </w:tc>
        <w:tc>
          <w:tcPr>
            <w:tcW w:w="431" w:type="dxa"/>
            <w:vAlign w:val="center"/>
          </w:tcPr>
          <w:p w14:paraId="6F7CA35C" w14:textId="77777777" w:rsidR="00E47AB8" w:rsidRPr="008B2F8A" w:rsidRDefault="00E47AB8" w:rsidP="00422306">
            <w:pPr>
              <w:spacing w:before="40" w:after="80"/>
              <w:rPr>
                <w:rFonts w:ascii="Arial Narrow" w:hAnsi="Arial Narrow"/>
              </w:rPr>
            </w:pPr>
            <w:r w:rsidRPr="008B2F8A">
              <w:rPr>
                <w:rFonts w:ascii="Arial Narrow" w:hAnsi="Arial Narrow"/>
              </w:rPr>
              <w:t>344</w:t>
            </w:r>
          </w:p>
        </w:tc>
        <w:tc>
          <w:tcPr>
            <w:tcW w:w="426" w:type="dxa"/>
            <w:vAlign w:val="center"/>
          </w:tcPr>
          <w:p w14:paraId="1B93F3AA" w14:textId="77777777" w:rsidR="00E47AB8" w:rsidRPr="008B2F8A" w:rsidRDefault="00E47AB8" w:rsidP="00422306">
            <w:pPr>
              <w:spacing w:before="40" w:after="80"/>
              <w:rPr>
                <w:rFonts w:ascii="Arial Narrow" w:hAnsi="Arial Narrow"/>
              </w:rPr>
            </w:pPr>
            <w:r w:rsidRPr="008B2F8A">
              <w:rPr>
                <w:rFonts w:ascii="Arial Narrow" w:hAnsi="Arial Narrow"/>
              </w:rPr>
              <w:t>8</w:t>
            </w:r>
          </w:p>
        </w:tc>
        <w:tc>
          <w:tcPr>
            <w:tcW w:w="568" w:type="dxa"/>
            <w:vAlign w:val="center"/>
          </w:tcPr>
          <w:p w14:paraId="15F78253" w14:textId="77777777" w:rsidR="00E47AB8" w:rsidRPr="008B2F8A" w:rsidRDefault="00E47AB8" w:rsidP="00422306">
            <w:pPr>
              <w:spacing w:before="40" w:after="80"/>
              <w:rPr>
                <w:rFonts w:ascii="Arial Narrow" w:hAnsi="Arial Narrow"/>
              </w:rPr>
            </w:pPr>
            <w:r w:rsidRPr="008B2F8A">
              <w:rPr>
                <w:rFonts w:ascii="Arial Narrow" w:hAnsi="Arial Narrow"/>
              </w:rPr>
              <w:t>1502</w:t>
            </w:r>
          </w:p>
        </w:tc>
        <w:tc>
          <w:tcPr>
            <w:tcW w:w="1420" w:type="dxa"/>
            <w:vAlign w:val="center"/>
          </w:tcPr>
          <w:p w14:paraId="534F5B28" w14:textId="77777777" w:rsidR="00E47AB8" w:rsidRPr="008B2F8A" w:rsidRDefault="00E47AB8" w:rsidP="00422306">
            <w:pPr>
              <w:spacing w:before="40" w:after="80"/>
              <w:rPr>
                <w:rFonts w:ascii="Arial Narrow" w:hAnsi="Arial Narrow"/>
              </w:rPr>
            </w:pPr>
            <w:r w:rsidRPr="008B2F8A">
              <w:rPr>
                <w:rFonts w:ascii="Arial Narrow" w:hAnsi="Arial Narrow"/>
              </w:rPr>
              <w:t>0.77 [0.60–0.90]</w:t>
            </w:r>
          </w:p>
        </w:tc>
        <w:tc>
          <w:tcPr>
            <w:tcW w:w="1374" w:type="dxa"/>
            <w:vAlign w:val="center"/>
          </w:tcPr>
          <w:p w14:paraId="2668DF6E" w14:textId="77777777" w:rsidR="00E47AB8" w:rsidRPr="008B2F8A" w:rsidRDefault="00E47AB8" w:rsidP="00422306">
            <w:pPr>
              <w:spacing w:before="40" w:after="80"/>
              <w:rPr>
                <w:rFonts w:ascii="Arial Narrow" w:hAnsi="Arial Narrow"/>
              </w:rPr>
            </w:pPr>
            <w:r w:rsidRPr="008B2F8A">
              <w:rPr>
                <w:rFonts w:ascii="Arial Narrow" w:hAnsi="Arial Narrow"/>
              </w:rPr>
              <w:t>0.81 [0.80–0.83]</w:t>
            </w:r>
          </w:p>
        </w:tc>
      </w:tr>
      <w:tr w:rsidR="00E47AB8" w:rsidRPr="008B2F8A" w14:paraId="3F6E8327" w14:textId="77777777" w:rsidTr="00B17898">
        <w:tc>
          <w:tcPr>
            <w:tcW w:w="2868" w:type="dxa"/>
            <w:vAlign w:val="center"/>
          </w:tcPr>
          <w:p w14:paraId="42BC810E" w14:textId="37C79F16" w:rsidR="00E47AB8" w:rsidRPr="008B2F8A" w:rsidRDefault="00E47AB8" w:rsidP="00B17898">
            <w:pPr>
              <w:spacing w:before="40" w:after="80"/>
              <w:rPr>
                <w:rFonts w:ascii="Arial Narrow" w:hAnsi="Arial Narrow"/>
                <w:lang w:eastAsia="en-US"/>
              </w:rPr>
            </w:pPr>
            <w:r>
              <w:rPr>
                <w:rFonts w:ascii="Arial Narrow" w:hAnsi="Arial Narrow"/>
              </w:rPr>
              <w:lastRenderedPageBreak/>
              <w:t>Leach, 2005</w:t>
            </w:r>
            <w:r w:rsidRPr="008B2F8A">
              <w:rPr>
                <w:rFonts w:ascii="Arial Narrow" w:hAnsi="Arial Narrow"/>
              </w:rPr>
              <w:t xml:space="preserve"> (MARIBS)</w:t>
            </w:r>
          </w:p>
        </w:tc>
        <w:tc>
          <w:tcPr>
            <w:tcW w:w="1666" w:type="dxa"/>
            <w:vAlign w:val="center"/>
          </w:tcPr>
          <w:p w14:paraId="54AFC2F6"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317" w:type="dxa"/>
            <w:vAlign w:val="center"/>
          </w:tcPr>
          <w:p w14:paraId="75D73F24"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31" w:type="dxa"/>
            <w:vAlign w:val="center"/>
          </w:tcPr>
          <w:p w14:paraId="5D9E37DF"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26" w:type="dxa"/>
            <w:vAlign w:val="center"/>
          </w:tcPr>
          <w:p w14:paraId="19D24027"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568" w:type="dxa"/>
            <w:vAlign w:val="center"/>
          </w:tcPr>
          <w:p w14:paraId="31F3DF5A"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73CC4899" w14:textId="77777777" w:rsidR="00E47AB8" w:rsidRPr="008B2F8A" w:rsidRDefault="00E47AB8" w:rsidP="00422306">
            <w:pPr>
              <w:spacing w:before="40" w:after="80"/>
              <w:rPr>
                <w:rFonts w:ascii="Arial Narrow" w:hAnsi="Arial Narrow"/>
              </w:rPr>
            </w:pPr>
            <w:r w:rsidRPr="008B2F8A">
              <w:rPr>
                <w:rFonts w:ascii="Arial Narrow" w:hAnsi="Arial Narrow"/>
              </w:rPr>
              <w:t>0.51</w:t>
            </w:r>
            <w:r w:rsidRPr="008B2F8A">
              <w:rPr>
                <w:rFonts w:ascii="Arial Narrow" w:hAnsi="Arial Narrow"/>
                <w:vertAlign w:val="superscript"/>
              </w:rPr>
              <w:t>†</w:t>
            </w:r>
          </w:p>
        </w:tc>
        <w:tc>
          <w:tcPr>
            <w:tcW w:w="1374" w:type="dxa"/>
            <w:vAlign w:val="center"/>
          </w:tcPr>
          <w:p w14:paraId="7F0A0BAA" w14:textId="77777777" w:rsidR="00E47AB8" w:rsidRPr="008B2F8A" w:rsidRDefault="00E47AB8" w:rsidP="00422306">
            <w:pPr>
              <w:spacing w:before="40" w:after="80"/>
              <w:rPr>
                <w:rFonts w:ascii="Arial Narrow" w:hAnsi="Arial Narrow"/>
              </w:rPr>
            </w:pPr>
            <w:r w:rsidRPr="008B2F8A">
              <w:rPr>
                <w:rFonts w:ascii="Arial Narrow" w:hAnsi="Arial Narrow"/>
              </w:rPr>
              <w:t>0.96</w:t>
            </w:r>
            <w:r w:rsidRPr="008B2F8A">
              <w:rPr>
                <w:rFonts w:ascii="Arial Narrow" w:hAnsi="Arial Narrow"/>
                <w:vertAlign w:val="superscript"/>
              </w:rPr>
              <w:t>†</w:t>
            </w:r>
          </w:p>
        </w:tc>
      </w:tr>
      <w:tr w:rsidR="00E47AB8" w:rsidRPr="008B2F8A" w14:paraId="1514FB40" w14:textId="77777777" w:rsidTr="00B17898">
        <w:tc>
          <w:tcPr>
            <w:tcW w:w="2868" w:type="dxa"/>
            <w:vAlign w:val="center"/>
          </w:tcPr>
          <w:p w14:paraId="0DAA3587" w14:textId="002EE949" w:rsidR="00E47AB8" w:rsidRPr="008B2F8A" w:rsidRDefault="00E47AB8" w:rsidP="00422306">
            <w:pPr>
              <w:spacing w:before="40" w:after="80"/>
              <w:rPr>
                <w:rFonts w:ascii="Arial Narrow" w:hAnsi="Arial Narrow"/>
              </w:rPr>
            </w:pPr>
            <w:r>
              <w:rPr>
                <w:rFonts w:ascii="Arial Narrow" w:hAnsi="Arial Narrow"/>
              </w:rPr>
              <w:t>Warner et al, 2004</w:t>
            </w:r>
          </w:p>
        </w:tc>
        <w:tc>
          <w:tcPr>
            <w:tcW w:w="1666" w:type="dxa"/>
            <w:vAlign w:val="center"/>
          </w:tcPr>
          <w:p w14:paraId="55D44506" w14:textId="77777777" w:rsidR="00E47AB8" w:rsidRPr="008B2F8A" w:rsidRDefault="00E47AB8" w:rsidP="00422306">
            <w:pPr>
              <w:spacing w:before="40" w:after="80"/>
              <w:rPr>
                <w:rFonts w:ascii="Arial Narrow" w:hAnsi="Arial Narrow"/>
              </w:rPr>
            </w:pPr>
            <w:r w:rsidRPr="008B2F8A">
              <w:rPr>
                <w:rFonts w:ascii="Arial Narrow" w:hAnsi="Arial Narrow"/>
              </w:rPr>
              <w:t>BI-RADS 0, 3, 4 &amp; 5</w:t>
            </w:r>
          </w:p>
        </w:tc>
        <w:tc>
          <w:tcPr>
            <w:tcW w:w="317" w:type="dxa"/>
            <w:vAlign w:val="center"/>
          </w:tcPr>
          <w:p w14:paraId="4B68CDDF"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31" w:type="dxa"/>
            <w:vAlign w:val="center"/>
          </w:tcPr>
          <w:p w14:paraId="0EAEC3EC"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426" w:type="dxa"/>
            <w:vAlign w:val="center"/>
          </w:tcPr>
          <w:p w14:paraId="619EFB64"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568" w:type="dxa"/>
            <w:vAlign w:val="center"/>
          </w:tcPr>
          <w:p w14:paraId="2B1F102F"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1420" w:type="dxa"/>
            <w:vAlign w:val="center"/>
          </w:tcPr>
          <w:p w14:paraId="61BCA148" w14:textId="77777777" w:rsidR="00E47AB8" w:rsidRPr="008B2F8A" w:rsidRDefault="00E47AB8" w:rsidP="00422306">
            <w:pPr>
              <w:spacing w:before="40" w:after="80"/>
              <w:rPr>
                <w:rFonts w:ascii="Arial Narrow" w:hAnsi="Arial Narrow"/>
              </w:rPr>
            </w:pPr>
            <w:r w:rsidRPr="008B2F8A">
              <w:rPr>
                <w:rFonts w:ascii="Arial Narrow" w:hAnsi="Arial Narrow"/>
              </w:rPr>
              <w:t>0.82</w:t>
            </w:r>
            <w:r w:rsidRPr="008B2F8A">
              <w:rPr>
                <w:rFonts w:ascii="Arial Narrow" w:hAnsi="Arial Narrow"/>
                <w:vertAlign w:val="superscript"/>
              </w:rPr>
              <w:t>†</w:t>
            </w:r>
          </w:p>
        </w:tc>
        <w:tc>
          <w:tcPr>
            <w:tcW w:w="1374" w:type="dxa"/>
            <w:vAlign w:val="center"/>
          </w:tcPr>
          <w:p w14:paraId="1C842891" w14:textId="77777777" w:rsidR="00E47AB8" w:rsidRPr="008B2F8A" w:rsidRDefault="00E47AB8" w:rsidP="00422306">
            <w:pPr>
              <w:spacing w:before="40" w:after="80"/>
              <w:rPr>
                <w:rFonts w:ascii="Arial Narrow" w:hAnsi="Arial Narrow"/>
              </w:rPr>
            </w:pPr>
            <w:r w:rsidRPr="008B2F8A">
              <w:rPr>
                <w:rFonts w:ascii="Arial Narrow" w:hAnsi="Arial Narrow"/>
              </w:rPr>
              <w:t>0.81</w:t>
            </w:r>
            <w:r w:rsidRPr="008B2F8A">
              <w:rPr>
                <w:rFonts w:ascii="Arial Narrow" w:hAnsi="Arial Narrow"/>
                <w:vertAlign w:val="superscript"/>
              </w:rPr>
              <w:t>†</w:t>
            </w:r>
          </w:p>
        </w:tc>
      </w:tr>
      <w:tr w:rsidR="00E47AB8" w:rsidRPr="008B2F8A" w14:paraId="51D0FE0C" w14:textId="77777777" w:rsidTr="00B17898">
        <w:tc>
          <w:tcPr>
            <w:tcW w:w="2868" w:type="dxa"/>
            <w:vAlign w:val="center"/>
          </w:tcPr>
          <w:p w14:paraId="60F77F0B" w14:textId="22B84447" w:rsidR="00E47AB8" w:rsidRPr="008B2F8A" w:rsidRDefault="00E47AB8" w:rsidP="00422306">
            <w:pPr>
              <w:spacing w:before="40" w:after="80"/>
              <w:rPr>
                <w:rFonts w:ascii="Arial Narrow" w:hAnsi="Arial Narrow"/>
              </w:rPr>
            </w:pPr>
            <w:r>
              <w:rPr>
                <w:rFonts w:ascii="Arial Narrow" w:hAnsi="Arial Narrow"/>
              </w:rPr>
              <w:t>Warner et al, 2004</w:t>
            </w:r>
          </w:p>
        </w:tc>
        <w:tc>
          <w:tcPr>
            <w:tcW w:w="1666" w:type="dxa"/>
            <w:vAlign w:val="center"/>
          </w:tcPr>
          <w:p w14:paraId="11D1BD10"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317" w:type="dxa"/>
            <w:vAlign w:val="center"/>
          </w:tcPr>
          <w:p w14:paraId="364ED027" w14:textId="77777777" w:rsidR="00E47AB8" w:rsidRPr="008B2F8A" w:rsidRDefault="00E47AB8" w:rsidP="00422306">
            <w:pPr>
              <w:spacing w:before="40" w:after="80"/>
              <w:rPr>
                <w:rFonts w:ascii="Arial Narrow" w:hAnsi="Arial Narrow"/>
              </w:rPr>
            </w:pPr>
            <w:r w:rsidRPr="008B2F8A">
              <w:rPr>
                <w:rFonts w:ascii="Arial Narrow" w:hAnsi="Arial Narrow"/>
              </w:rPr>
              <w:t>17</w:t>
            </w:r>
          </w:p>
        </w:tc>
        <w:tc>
          <w:tcPr>
            <w:tcW w:w="431" w:type="dxa"/>
            <w:vAlign w:val="center"/>
          </w:tcPr>
          <w:p w14:paraId="08942AA2" w14:textId="77777777" w:rsidR="00E47AB8" w:rsidRPr="008B2F8A" w:rsidRDefault="00E47AB8" w:rsidP="00422306">
            <w:pPr>
              <w:spacing w:before="40" w:after="80"/>
              <w:rPr>
                <w:rFonts w:ascii="Arial Narrow" w:hAnsi="Arial Narrow"/>
              </w:rPr>
            </w:pPr>
            <w:r w:rsidRPr="008B2F8A">
              <w:rPr>
                <w:rFonts w:ascii="Arial Narrow" w:hAnsi="Arial Narrow"/>
              </w:rPr>
              <w:t>20</w:t>
            </w:r>
          </w:p>
        </w:tc>
        <w:tc>
          <w:tcPr>
            <w:tcW w:w="426" w:type="dxa"/>
            <w:vAlign w:val="center"/>
          </w:tcPr>
          <w:p w14:paraId="373440C0" w14:textId="77777777" w:rsidR="00E47AB8" w:rsidRPr="008B2F8A" w:rsidRDefault="00E47AB8" w:rsidP="00422306">
            <w:pPr>
              <w:spacing w:before="40" w:after="80"/>
              <w:rPr>
                <w:rFonts w:ascii="Arial Narrow" w:hAnsi="Arial Narrow"/>
              </w:rPr>
            </w:pPr>
            <w:r w:rsidRPr="008B2F8A">
              <w:rPr>
                <w:rFonts w:ascii="Arial Narrow" w:hAnsi="Arial Narrow"/>
              </w:rPr>
              <w:t>5</w:t>
            </w:r>
          </w:p>
        </w:tc>
        <w:tc>
          <w:tcPr>
            <w:tcW w:w="568" w:type="dxa"/>
            <w:vAlign w:val="center"/>
          </w:tcPr>
          <w:p w14:paraId="6AA4CC8E" w14:textId="77777777" w:rsidR="00E47AB8" w:rsidRPr="008B2F8A" w:rsidRDefault="00E47AB8" w:rsidP="00422306">
            <w:pPr>
              <w:spacing w:before="40" w:after="80"/>
              <w:rPr>
                <w:rFonts w:ascii="Arial Narrow" w:hAnsi="Arial Narrow"/>
              </w:rPr>
            </w:pPr>
            <w:r w:rsidRPr="008B2F8A">
              <w:rPr>
                <w:rFonts w:ascii="Arial Narrow" w:hAnsi="Arial Narrow"/>
              </w:rPr>
              <w:t>415</w:t>
            </w:r>
          </w:p>
        </w:tc>
        <w:tc>
          <w:tcPr>
            <w:tcW w:w="1420" w:type="dxa"/>
            <w:vAlign w:val="center"/>
          </w:tcPr>
          <w:p w14:paraId="4F485660" w14:textId="77777777" w:rsidR="00E47AB8" w:rsidRPr="008B2F8A" w:rsidRDefault="00E47AB8" w:rsidP="00422306">
            <w:pPr>
              <w:spacing w:before="40" w:after="80"/>
              <w:rPr>
                <w:rFonts w:ascii="Arial Narrow" w:hAnsi="Arial Narrow"/>
              </w:rPr>
            </w:pPr>
            <w:r w:rsidRPr="008B2F8A">
              <w:rPr>
                <w:rFonts w:ascii="Arial Narrow" w:hAnsi="Arial Narrow"/>
              </w:rPr>
              <w:t>0.77 [0.55–0.92]</w:t>
            </w:r>
          </w:p>
        </w:tc>
        <w:tc>
          <w:tcPr>
            <w:tcW w:w="1374" w:type="dxa"/>
            <w:vAlign w:val="center"/>
          </w:tcPr>
          <w:p w14:paraId="25268535" w14:textId="77777777" w:rsidR="00E47AB8" w:rsidRPr="008B2F8A" w:rsidRDefault="00E47AB8" w:rsidP="00422306">
            <w:pPr>
              <w:spacing w:before="40" w:after="80"/>
              <w:rPr>
                <w:rFonts w:ascii="Arial Narrow" w:hAnsi="Arial Narrow"/>
              </w:rPr>
            </w:pPr>
            <w:r w:rsidRPr="008B2F8A">
              <w:rPr>
                <w:rFonts w:ascii="Arial Narrow" w:hAnsi="Arial Narrow"/>
              </w:rPr>
              <w:t>0.95 [0.93–0.97]</w:t>
            </w:r>
          </w:p>
        </w:tc>
      </w:tr>
      <w:tr w:rsidR="00E47AB8" w:rsidRPr="008B2F8A" w14:paraId="2F399BB8" w14:textId="77777777" w:rsidTr="00B17898">
        <w:tc>
          <w:tcPr>
            <w:tcW w:w="2868" w:type="dxa"/>
            <w:vAlign w:val="center"/>
          </w:tcPr>
          <w:p w14:paraId="59AEEA40" w14:textId="12201876" w:rsidR="00E47AB8" w:rsidRPr="008B2F8A" w:rsidRDefault="00E47AB8" w:rsidP="00422306">
            <w:pPr>
              <w:spacing w:before="40" w:after="80"/>
              <w:rPr>
                <w:rFonts w:ascii="Arial Narrow" w:hAnsi="Arial Narrow"/>
              </w:rPr>
            </w:pPr>
            <w:r>
              <w:rPr>
                <w:rFonts w:ascii="Arial Narrow" w:hAnsi="Arial Narrow"/>
              </w:rPr>
              <w:t>Sardanelli et al, 2011</w:t>
            </w:r>
          </w:p>
        </w:tc>
        <w:tc>
          <w:tcPr>
            <w:tcW w:w="1666" w:type="dxa"/>
            <w:vAlign w:val="center"/>
          </w:tcPr>
          <w:p w14:paraId="265D7590" w14:textId="77777777" w:rsidR="00E47AB8" w:rsidRPr="008B2F8A" w:rsidRDefault="00E47AB8" w:rsidP="00422306">
            <w:pPr>
              <w:spacing w:before="40" w:after="80"/>
              <w:rPr>
                <w:rFonts w:ascii="Arial Narrow" w:hAnsi="Arial Narrow"/>
              </w:rPr>
            </w:pPr>
            <w:r w:rsidRPr="008B2F8A">
              <w:rPr>
                <w:rFonts w:ascii="Arial Narrow" w:hAnsi="Arial Narrow"/>
              </w:rPr>
              <w:t>BI-RADS 4 &amp; 5</w:t>
            </w:r>
          </w:p>
        </w:tc>
        <w:tc>
          <w:tcPr>
            <w:tcW w:w="317" w:type="dxa"/>
            <w:vAlign w:val="center"/>
          </w:tcPr>
          <w:p w14:paraId="6A73E6C2" w14:textId="77777777" w:rsidR="00E47AB8" w:rsidRPr="008B2F8A" w:rsidRDefault="00E47AB8" w:rsidP="00422306">
            <w:pPr>
              <w:spacing w:before="40" w:after="80"/>
              <w:rPr>
                <w:rFonts w:ascii="Arial Narrow" w:hAnsi="Arial Narrow"/>
              </w:rPr>
            </w:pPr>
            <w:r w:rsidRPr="008B2F8A">
              <w:rPr>
                <w:rFonts w:ascii="Arial Narrow" w:hAnsi="Arial Narrow"/>
              </w:rPr>
              <w:t>16</w:t>
            </w:r>
          </w:p>
        </w:tc>
        <w:tc>
          <w:tcPr>
            <w:tcW w:w="431" w:type="dxa"/>
            <w:vAlign w:val="center"/>
          </w:tcPr>
          <w:p w14:paraId="7B688B52" w14:textId="77777777" w:rsidR="00E47AB8" w:rsidRPr="008B2F8A" w:rsidRDefault="00E47AB8" w:rsidP="00422306">
            <w:pPr>
              <w:spacing w:before="40" w:after="80"/>
              <w:rPr>
                <w:rFonts w:ascii="Arial Narrow" w:hAnsi="Arial Narrow"/>
              </w:rPr>
            </w:pPr>
            <w:r w:rsidRPr="008B2F8A">
              <w:rPr>
                <w:rFonts w:ascii="Arial Narrow" w:hAnsi="Arial Narrow"/>
              </w:rPr>
              <w:t>21</w:t>
            </w:r>
          </w:p>
        </w:tc>
        <w:tc>
          <w:tcPr>
            <w:tcW w:w="426" w:type="dxa"/>
            <w:vAlign w:val="center"/>
          </w:tcPr>
          <w:p w14:paraId="74B5C9BD" w14:textId="77777777" w:rsidR="00E47AB8" w:rsidRPr="008B2F8A" w:rsidRDefault="00E47AB8" w:rsidP="00422306">
            <w:pPr>
              <w:spacing w:before="40" w:after="80"/>
              <w:rPr>
                <w:rFonts w:ascii="Arial Narrow" w:hAnsi="Arial Narrow"/>
              </w:rPr>
            </w:pPr>
            <w:r w:rsidRPr="008B2F8A">
              <w:rPr>
                <w:rFonts w:ascii="Arial Narrow" w:hAnsi="Arial Narrow"/>
              </w:rPr>
              <w:t>2</w:t>
            </w:r>
          </w:p>
        </w:tc>
        <w:tc>
          <w:tcPr>
            <w:tcW w:w="568" w:type="dxa"/>
            <w:vAlign w:val="center"/>
          </w:tcPr>
          <w:p w14:paraId="7D0948B9" w14:textId="77777777" w:rsidR="00E47AB8" w:rsidRPr="008B2F8A" w:rsidRDefault="00E47AB8" w:rsidP="00422306">
            <w:pPr>
              <w:spacing w:before="40" w:after="80"/>
              <w:rPr>
                <w:rFonts w:ascii="Arial Narrow" w:hAnsi="Arial Narrow"/>
              </w:rPr>
            </w:pPr>
            <w:r w:rsidRPr="008B2F8A">
              <w:rPr>
                <w:rFonts w:ascii="Arial Narrow" w:hAnsi="Arial Narrow"/>
              </w:rPr>
              <w:t>595</w:t>
            </w:r>
          </w:p>
        </w:tc>
        <w:tc>
          <w:tcPr>
            <w:tcW w:w="1420" w:type="dxa"/>
            <w:vAlign w:val="center"/>
          </w:tcPr>
          <w:p w14:paraId="6837E527" w14:textId="77777777" w:rsidR="00E47AB8" w:rsidRPr="008B2F8A" w:rsidRDefault="00E47AB8" w:rsidP="00422306">
            <w:pPr>
              <w:spacing w:before="40" w:after="80"/>
              <w:rPr>
                <w:rFonts w:ascii="Arial Narrow" w:hAnsi="Arial Narrow"/>
              </w:rPr>
            </w:pPr>
            <w:r w:rsidRPr="008B2F8A">
              <w:rPr>
                <w:rFonts w:ascii="Arial Narrow" w:hAnsi="Arial Narrow"/>
              </w:rPr>
              <w:t>0.89 [0.65–0.99]</w:t>
            </w:r>
          </w:p>
        </w:tc>
        <w:tc>
          <w:tcPr>
            <w:tcW w:w="1374" w:type="dxa"/>
            <w:vAlign w:val="center"/>
          </w:tcPr>
          <w:p w14:paraId="435F046D" w14:textId="77777777" w:rsidR="00E47AB8" w:rsidRPr="008B2F8A" w:rsidRDefault="00E47AB8" w:rsidP="00422306">
            <w:pPr>
              <w:spacing w:before="40" w:after="80"/>
              <w:rPr>
                <w:rFonts w:ascii="Arial Narrow" w:hAnsi="Arial Narrow"/>
              </w:rPr>
            </w:pPr>
            <w:r w:rsidRPr="008B2F8A">
              <w:rPr>
                <w:rFonts w:ascii="Arial Narrow" w:hAnsi="Arial Narrow"/>
              </w:rPr>
              <w:t>0.97 [0.95–0.98]</w:t>
            </w:r>
          </w:p>
        </w:tc>
      </w:tr>
    </w:tbl>
    <w:p w14:paraId="5017BEAE" w14:textId="3F2CCDB8" w:rsidR="00E47AB8" w:rsidRPr="008B2F8A" w:rsidRDefault="00F80E4A" w:rsidP="00B17898">
      <w:pPr>
        <w:pStyle w:val="TableNotesLast"/>
      </w:pPr>
      <w:r>
        <w:rPr>
          <w:vertAlign w:val="superscript"/>
        </w:rPr>
        <w:t xml:space="preserve">* </w:t>
      </w:r>
      <w:r>
        <w:t xml:space="preserve">As reported in HIQA (2013) calculated from data in Table 1 of Kriege et al. (2006b). </w:t>
      </w:r>
      <w:r w:rsidR="00E47AB8" w:rsidRPr="008B2F8A">
        <w:rPr>
          <w:vertAlign w:val="superscript"/>
        </w:rPr>
        <w:t xml:space="preserve">† </w:t>
      </w:r>
      <w:r w:rsidR="00E47AB8" w:rsidRPr="008B2F8A">
        <w:t xml:space="preserve">Reported in </w:t>
      </w:r>
      <w:r w:rsidR="00E47AB8">
        <w:t>Warner et al (</w:t>
      </w:r>
      <w:r w:rsidR="00E47AB8" w:rsidRPr="008B2F8A">
        <w:rPr>
          <w:noProof/>
        </w:rPr>
        <w:t>2008)</w:t>
      </w:r>
      <w:r w:rsidR="00E47AB8" w:rsidRPr="008B2F8A">
        <w:t>. 95% CI not reported. BI-RADS = American college of Radiology Breast Imaging Reporting and Data System; NR = not reported; CI = confidence interval; TP = true-positive; FP = false-positive; FN = false-negative; TN = true-negative.</w:t>
      </w:r>
    </w:p>
    <w:p w14:paraId="39FAF513" w14:textId="296EB203" w:rsidR="00E47AB8" w:rsidRPr="008B2F8A" w:rsidRDefault="00E47AB8" w:rsidP="00422306">
      <w:r w:rsidRPr="008B2F8A">
        <w:t xml:space="preserve">In a meta-analysis undertaken for the HIQA (2013) review, the combined sensitivity and specificity of breast MRI </w:t>
      </w:r>
      <w:r>
        <w:t>+</w:t>
      </w:r>
      <w:r w:rsidRPr="008B2F8A">
        <w:t xml:space="preserve"> mammography </w:t>
      </w:r>
      <w:r>
        <w:t>were</w:t>
      </w:r>
      <w:r w:rsidRPr="008B2F8A">
        <w:t xml:space="preserve"> 0.88 (0.78–0.93) and 0.88 (0.73–0.93) respectively. Th</w:t>
      </w:r>
      <w:r>
        <w:t>os</w:t>
      </w:r>
      <w:r w:rsidRPr="008B2F8A">
        <w:t xml:space="preserve">e of mammography alone </w:t>
      </w:r>
      <w:r>
        <w:t>were</w:t>
      </w:r>
      <w:r w:rsidRPr="008B2F8A">
        <w:t xml:space="preserve"> 0.38 (0.26–0.51) and 0.92 (0.80–0.96) respectively.</w:t>
      </w:r>
    </w:p>
    <w:p w14:paraId="6B98A7E6" w14:textId="77777777" w:rsidR="00E47AB8" w:rsidRPr="008B2F8A" w:rsidRDefault="00E47AB8" w:rsidP="00422306">
      <w:pPr>
        <w:pStyle w:val="Heading4"/>
      </w:pPr>
      <w:r w:rsidRPr="008B2F8A">
        <w:t>Additional cancer yield</w:t>
      </w:r>
    </w:p>
    <w:p w14:paraId="5A6E2621" w14:textId="7C0D77CB" w:rsidR="00E47AB8" w:rsidRPr="008B2F8A" w:rsidRDefault="00E47AB8" w:rsidP="00422306">
      <w:r w:rsidRPr="008B2F8A">
        <w:t>The additional cancer yield of MRI in women with negative findings on conventional testing ranged from 5.1 to 24.1 additional cancers per 1000 screening rounds (</w:t>
      </w:r>
      <w:r w:rsidRPr="008B2F8A">
        <w:fldChar w:fldCharType="begin"/>
      </w:r>
      <w:r w:rsidRPr="008B2F8A">
        <w:instrText xml:space="preserve"> REF _Ref368559372 \h </w:instrText>
      </w:r>
      <w:r w:rsidRPr="008B2F8A">
        <w:fldChar w:fldCharType="separate"/>
      </w:r>
      <w:r w:rsidR="00B81273" w:rsidRPr="008B2F8A">
        <w:t xml:space="preserve">Table </w:t>
      </w:r>
      <w:r w:rsidR="00B81273">
        <w:rPr>
          <w:noProof/>
        </w:rPr>
        <w:t>B</w:t>
      </w:r>
      <w:r w:rsidR="00B81273" w:rsidRPr="008B2F8A">
        <w:t>.</w:t>
      </w:r>
      <w:r w:rsidR="00B81273">
        <w:rPr>
          <w:noProof/>
        </w:rPr>
        <w:t>28</w:t>
      </w:r>
      <w:r w:rsidRPr="008B2F8A">
        <w:fldChar w:fldCharType="end"/>
      </w:r>
      <w:r w:rsidRPr="008B2F8A">
        <w:t>). The incremental sensitivity was similar for studies at either end of this range (49%–50%)</w:t>
      </w:r>
      <w:r>
        <w:t>,</w:t>
      </w:r>
      <w:r w:rsidRPr="008B2F8A">
        <w:t xml:space="preserve"> but the studies were conducted in populations with different risk levels</w:t>
      </w:r>
      <w:r>
        <w:t>,</w:t>
      </w:r>
      <w:r w:rsidRPr="008B2F8A">
        <w:t xml:space="preserve"> which are reflected in the different yields. The incremental yield and sensitivity </w:t>
      </w:r>
      <w:r>
        <w:t>were</w:t>
      </w:r>
      <w:r w:rsidRPr="008B2F8A">
        <w:t xml:space="preserve"> lower when MRI was added to mammography </w:t>
      </w:r>
      <w:r>
        <w:t>+</w:t>
      </w:r>
      <w:r w:rsidRPr="008B2F8A">
        <w:t xml:space="preserve"> ultrasound </w:t>
      </w:r>
      <w:r>
        <w:t>than in</w:t>
      </w:r>
      <w:r w:rsidRPr="008B2F8A">
        <w:t xml:space="preserve"> mammography alone.</w:t>
      </w:r>
    </w:p>
    <w:p w14:paraId="4EB99854" w14:textId="77777777" w:rsidR="00E47AB8" w:rsidRPr="008B2F8A" w:rsidRDefault="00E47AB8" w:rsidP="00422306">
      <w:pPr>
        <w:pStyle w:val="Caption"/>
      </w:pPr>
      <w:bookmarkStart w:id="827" w:name="_Ref368559372"/>
      <w:bookmarkStart w:id="828" w:name="_Ref368648701"/>
      <w:bookmarkStart w:id="829" w:name="_Toc383424594"/>
      <w:r w:rsidRPr="008B2F8A">
        <w:t xml:space="preserve">Table </w:t>
      </w:r>
      <w:fldSimple w:instr=" STYLEREF 1 \s ">
        <w:r w:rsidR="00B81273">
          <w:rPr>
            <w:noProof/>
          </w:rPr>
          <w:t>B</w:t>
        </w:r>
      </w:fldSimple>
      <w:r w:rsidRPr="008B2F8A">
        <w:t>.</w:t>
      </w:r>
      <w:fldSimple w:instr=" SEQ Table \* ARABIC \s 1 ">
        <w:r w:rsidR="00B81273">
          <w:rPr>
            <w:noProof/>
          </w:rPr>
          <w:t>28</w:t>
        </w:r>
      </w:fldSimple>
      <w:bookmarkEnd w:id="827"/>
      <w:r w:rsidRPr="008B2F8A">
        <w:tab/>
      </w:r>
      <w:bookmarkStart w:id="830" w:name="OLE_LINK1037"/>
      <w:bookmarkStart w:id="831" w:name="OLE_LINK1038"/>
      <w:r w:rsidRPr="008B2F8A">
        <w:t>Incremental cancer yield of MRI over conventional testing</w:t>
      </w:r>
      <w:bookmarkEnd w:id="828"/>
      <w:bookmarkEnd w:id="830"/>
      <w:bookmarkEnd w:id="831"/>
      <w:r w:rsidRPr="008B2F8A">
        <w:t>.</w:t>
      </w:r>
      <w:bookmarkEnd w:id="829"/>
    </w:p>
    <w:tbl>
      <w:tblPr>
        <w:tblStyle w:val="TableGrid"/>
        <w:tblW w:w="9070" w:type="dxa"/>
        <w:tblCellMar>
          <w:left w:w="28" w:type="dxa"/>
          <w:right w:w="28" w:type="dxa"/>
        </w:tblCellMar>
        <w:tblLook w:val="04A0" w:firstRow="1" w:lastRow="0" w:firstColumn="1" w:lastColumn="0" w:noHBand="0" w:noVBand="1"/>
        <w:tblCaption w:val="Incremental cancer yield of MRI over conventional testing"/>
      </w:tblPr>
      <w:tblGrid>
        <w:gridCol w:w="1057"/>
        <w:gridCol w:w="1472"/>
        <w:gridCol w:w="1445"/>
        <w:gridCol w:w="1034"/>
        <w:gridCol w:w="1216"/>
        <w:gridCol w:w="1436"/>
        <w:gridCol w:w="1410"/>
      </w:tblGrid>
      <w:tr w:rsidR="00E47AB8" w:rsidRPr="008B2F8A" w14:paraId="4A016ECC" w14:textId="77777777" w:rsidTr="00422306">
        <w:trPr>
          <w:tblHeader/>
        </w:trPr>
        <w:tc>
          <w:tcPr>
            <w:tcW w:w="0" w:type="auto"/>
            <w:vAlign w:val="bottom"/>
          </w:tcPr>
          <w:p w14:paraId="4115AE46"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0" w:type="auto"/>
            <w:vAlign w:val="bottom"/>
          </w:tcPr>
          <w:p w14:paraId="77CB9283"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Conventional testing</w:t>
            </w:r>
          </w:p>
        </w:tc>
        <w:tc>
          <w:tcPr>
            <w:tcW w:w="0" w:type="auto"/>
            <w:vAlign w:val="bottom"/>
          </w:tcPr>
          <w:p w14:paraId="57C098AF"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Prevalence of breast cancer (1st screening round)</w:t>
            </w:r>
          </w:p>
        </w:tc>
        <w:tc>
          <w:tcPr>
            <w:tcW w:w="0" w:type="auto"/>
            <w:vAlign w:val="bottom"/>
          </w:tcPr>
          <w:p w14:paraId="12AE5D66"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Total breast cancers detected</w:t>
            </w:r>
          </w:p>
        </w:tc>
        <w:tc>
          <w:tcPr>
            <w:tcW w:w="0" w:type="auto"/>
            <w:vAlign w:val="bottom"/>
          </w:tcPr>
          <w:p w14:paraId="4641D424"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Incremental Cancer yield</w:t>
            </w:r>
          </w:p>
        </w:tc>
        <w:tc>
          <w:tcPr>
            <w:tcW w:w="0" w:type="auto"/>
            <w:vAlign w:val="bottom"/>
          </w:tcPr>
          <w:p w14:paraId="66744ADC"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Incremental yield per 1000 screening rounds</w:t>
            </w:r>
          </w:p>
        </w:tc>
        <w:tc>
          <w:tcPr>
            <w:tcW w:w="0" w:type="auto"/>
            <w:vAlign w:val="bottom"/>
          </w:tcPr>
          <w:p w14:paraId="1668B556"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Incremental sensitivity (95% CI) using MRI</w:t>
            </w:r>
          </w:p>
        </w:tc>
      </w:tr>
      <w:tr w:rsidR="00E47AB8" w:rsidRPr="008B2F8A" w14:paraId="31A2A8E0" w14:textId="77777777" w:rsidTr="00422306">
        <w:tc>
          <w:tcPr>
            <w:tcW w:w="0" w:type="auto"/>
            <w:vAlign w:val="center"/>
          </w:tcPr>
          <w:p w14:paraId="340457AF" w14:textId="6F60139D" w:rsidR="00E47AB8" w:rsidRPr="008B2F8A" w:rsidRDefault="00E47AB8" w:rsidP="00422306">
            <w:pPr>
              <w:spacing w:before="40" w:after="80"/>
              <w:rPr>
                <w:rFonts w:ascii="Arial Narrow" w:hAnsi="Arial Narrow"/>
              </w:rPr>
            </w:pPr>
            <w:r>
              <w:rPr>
                <w:rFonts w:ascii="Arial Narrow" w:hAnsi="Arial Narrow"/>
              </w:rPr>
              <w:t>Kriege et al, 2006</w:t>
            </w:r>
            <w:r w:rsidR="00BD6D68">
              <w:rPr>
                <w:rFonts w:ascii="Arial Narrow" w:hAnsi="Arial Narrow"/>
              </w:rPr>
              <w:t>b</w:t>
            </w:r>
            <w:r w:rsidRPr="008B2F8A">
              <w:rPr>
                <w:rFonts w:ascii="Arial Narrow" w:hAnsi="Arial Narrow"/>
              </w:rPr>
              <w:t xml:space="preserve"> (MRISC)</w:t>
            </w:r>
          </w:p>
        </w:tc>
        <w:tc>
          <w:tcPr>
            <w:tcW w:w="0" w:type="auto"/>
            <w:vAlign w:val="center"/>
          </w:tcPr>
          <w:p w14:paraId="25A4AAAB" w14:textId="77777777" w:rsidR="00E47AB8" w:rsidRPr="008B2F8A" w:rsidRDefault="00E47AB8" w:rsidP="00422306">
            <w:pPr>
              <w:spacing w:before="40" w:after="80"/>
              <w:jc w:val="center"/>
              <w:rPr>
                <w:rFonts w:ascii="Arial Narrow" w:hAnsi="Arial Narrow"/>
              </w:rPr>
            </w:pPr>
            <w:r w:rsidRPr="008B2F8A">
              <w:rPr>
                <w:rFonts w:ascii="Arial Narrow" w:hAnsi="Arial Narrow"/>
              </w:rPr>
              <w:t>Mammography</w:t>
            </w:r>
          </w:p>
        </w:tc>
        <w:tc>
          <w:tcPr>
            <w:tcW w:w="0" w:type="auto"/>
            <w:vAlign w:val="center"/>
          </w:tcPr>
          <w:p w14:paraId="393430A6" w14:textId="77777777" w:rsidR="00E47AB8" w:rsidRPr="008B2F8A" w:rsidRDefault="00E47AB8" w:rsidP="00422306">
            <w:pPr>
              <w:spacing w:before="40" w:after="80"/>
              <w:jc w:val="center"/>
              <w:rPr>
                <w:rFonts w:ascii="Arial Narrow" w:hAnsi="Arial Narrow"/>
              </w:rPr>
            </w:pPr>
            <w:r w:rsidRPr="008B2F8A">
              <w:rPr>
                <w:rFonts w:ascii="Arial Narrow" w:hAnsi="Arial Narrow"/>
              </w:rPr>
              <w:t>26/1723 (2%)</w:t>
            </w:r>
          </w:p>
        </w:tc>
        <w:tc>
          <w:tcPr>
            <w:tcW w:w="0" w:type="auto"/>
            <w:vAlign w:val="center"/>
          </w:tcPr>
          <w:p w14:paraId="223B1192" w14:textId="77777777" w:rsidR="00E47AB8" w:rsidRPr="008B2F8A" w:rsidRDefault="00E47AB8" w:rsidP="00422306">
            <w:pPr>
              <w:spacing w:before="40" w:after="80"/>
              <w:jc w:val="center"/>
              <w:rPr>
                <w:rFonts w:ascii="Arial Narrow" w:hAnsi="Arial Narrow"/>
              </w:rPr>
            </w:pPr>
            <w:r w:rsidRPr="008B2F8A">
              <w:rPr>
                <w:rFonts w:ascii="Arial Narrow" w:hAnsi="Arial Narrow"/>
              </w:rPr>
              <w:t>33</w:t>
            </w:r>
          </w:p>
        </w:tc>
        <w:tc>
          <w:tcPr>
            <w:tcW w:w="0" w:type="auto"/>
            <w:vAlign w:val="center"/>
          </w:tcPr>
          <w:p w14:paraId="4F1DC988" w14:textId="77777777" w:rsidR="00E47AB8" w:rsidRPr="008B2F8A" w:rsidRDefault="00E47AB8" w:rsidP="00422306">
            <w:pPr>
              <w:spacing w:before="40" w:after="80"/>
              <w:jc w:val="center"/>
              <w:rPr>
                <w:rFonts w:ascii="Arial Narrow" w:hAnsi="Arial Narrow"/>
              </w:rPr>
            </w:pPr>
            <w:r w:rsidRPr="008B2F8A">
              <w:rPr>
                <w:rFonts w:ascii="Arial Narrow" w:hAnsi="Arial Narrow"/>
              </w:rPr>
              <w:t>16/3108</w:t>
            </w:r>
          </w:p>
        </w:tc>
        <w:tc>
          <w:tcPr>
            <w:tcW w:w="0" w:type="auto"/>
            <w:vAlign w:val="center"/>
          </w:tcPr>
          <w:p w14:paraId="44C948CA" w14:textId="77777777" w:rsidR="00E47AB8" w:rsidRPr="008B2F8A" w:rsidRDefault="00E47AB8" w:rsidP="00422306">
            <w:pPr>
              <w:spacing w:before="40" w:after="80"/>
              <w:jc w:val="center"/>
              <w:rPr>
                <w:rFonts w:ascii="Arial Narrow" w:hAnsi="Arial Narrow"/>
              </w:rPr>
            </w:pPr>
            <w:r w:rsidRPr="008B2F8A">
              <w:rPr>
                <w:rFonts w:ascii="Arial Narrow" w:hAnsi="Arial Narrow"/>
              </w:rPr>
              <w:t>5.1</w:t>
            </w:r>
          </w:p>
        </w:tc>
        <w:tc>
          <w:tcPr>
            <w:tcW w:w="0" w:type="auto"/>
            <w:vAlign w:val="center"/>
          </w:tcPr>
          <w:p w14:paraId="78FA33D0" w14:textId="77777777" w:rsidR="00E47AB8" w:rsidRPr="008B2F8A" w:rsidRDefault="00E47AB8" w:rsidP="00422306">
            <w:pPr>
              <w:spacing w:before="40" w:after="80"/>
              <w:jc w:val="center"/>
              <w:rPr>
                <w:rFonts w:ascii="Arial Narrow" w:hAnsi="Arial Narrow"/>
              </w:rPr>
            </w:pPr>
            <w:r w:rsidRPr="008B2F8A">
              <w:rPr>
                <w:rFonts w:ascii="Arial Narrow" w:hAnsi="Arial Narrow"/>
              </w:rPr>
              <w:t>49%</w:t>
            </w:r>
          </w:p>
        </w:tc>
      </w:tr>
      <w:tr w:rsidR="00E47AB8" w:rsidRPr="008B2F8A" w14:paraId="097FC14E" w14:textId="77777777" w:rsidTr="00422306">
        <w:tc>
          <w:tcPr>
            <w:tcW w:w="0" w:type="auto"/>
            <w:vAlign w:val="center"/>
          </w:tcPr>
          <w:p w14:paraId="48356C05" w14:textId="0DBF1903" w:rsidR="00E47AB8" w:rsidRPr="008B2F8A" w:rsidRDefault="00E47AB8" w:rsidP="00422306">
            <w:pPr>
              <w:spacing w:before="40" w:after="80"/>
              <w:rPr>
                <w:rFonts w:ascii="Arial Narrow" w:hAnsi="Arial Narrow"/>
              </w:rPr>
            </w:pPr>
            <w:r>
              <w:rPr>
                <w:rFonts w:ascii="Arial Narrow" w:hAnsi="Arial Narrow"/>
              </w:rPr>
              <w:t>Kuhl et al, 2005</w:t>
            </w:r>
          </w:p>
        </w:tc>
        <w:tc>
          <w:tcPr>
            <w:tcW w:w="0" w:type="auto"/>
            <w:vAlign w:val="center"/>
          </w:tcPr>
          <w:p w14:paraId="447DE311" w14:textId="77777777" w:rsidR="00E47AB8" w:rsidRPr="008B2F8A" w:rsidRDefault="00E47AB8" w:rsidP="00422306">
            <w:pPr>
              <w:spacing w:before="40" w:after="80"/>
              <w:jc w:val="center"/>
              <w:rPr>
                <w:rFonts w:ascii="Arial Narrow" w:hAnsi="Arial Narrow"/>
              </w:rPr>
            </w:pPr>
            <w:r w:rsidRPr="008B2F8A">
              <w:rPr>
                <w:rFonts w:ascii="Arial Narrow" w:hAnsi="Arial Narrow"/>
              </w:rPr>
              <w:t>Mammography</w:t>
            </w:r>
          </w:p>
        </w:tc>
        <w:tc>
          <w:tcPr>
            <w:tcW w:w="0" w:type="auto"/>
            <w:vAlign w:val="center"/>
          </w:tcPr>
          <w:p w14:paraId="2C7CE88E" w14:textId="77777777" w:rsidR="00E47AB8" w:rsidRPr="008B2F8A" w:rsidRDefault="00E47AB8" w:rsidP="00422306">
            <w:pPr>
              <w:spacing w:before="40" w:after="80"/>
              <w:jc w:val="center"/>
              <w:rPr>
                <w:rFonts w:ascii="Arial Narrow" w:hAnsi="Arial Narrow"/>
              </w:rPr>
            </w:pPr>
            <w:r w:rsidRPr="008B2F8A">
              <w:rPr>
                <w:rFonts w:ascii="Arial Narrow" w:hAnsi="Arial Narrow"/>
              </w:rPr>
              <w:t>14/529 (3%)</w:t>
            </w:r>
          </w:p>
        </w:tc>
        <w:tc>
          <w:tcPr>
            <w:tcW w:w="0" w:type="auto"/>
            <w:vAlign w:val="center"/>
          </w:tcPr>
          <w:p w14:paraId="4EF26035" w14:textId="77777777" w:rsidR="00E47AB8" w:rsidRPr="008B2F8A" w:rsidRDefault="00E47AB8" w:rsidP="00422306">
            <w:pPr>
              <w:spacing w:before="40" w:after="80"/>
              <w:jc w:val="center"/>
              <w:rPr>
                <w:rFonts w:ascii="Arial Narrow" w:hAnsi="Arial Narrow"/>
              </w:rPr>
            </w:pPr>
            <w:r w:rsidRPr="008B2F8A">
              <w:rPr>
                <w:rFonts w:ascii="Arial Narrow" w:hAnsi="Arial Narrow"/>
              </w:rPr>
              <w:t>43 (41 patients)</w:t>
            </w:r>
          </w:p>
        </w:tc>
        <w:tc>
          <w:tcPr>
            <w:tcW w:w="0" w:type="auto"/>
            <w:vAlign w:val="center"/>
          </w:tcPr>
          <w:p w14:paraId="4361BC2D" w14:textId="77777777" w:rsidR="00E47AB8" w:rsidRPr="008B2F8A" w:rsidRDefault="00E47AB8" w:rsidP="00422306">
            <w:pPr>
              <w:spacing w:before="40" w:after="80"/>
              <w:jc w:val="center"/>
              <w:rPr>
                <w:rFonts w:ascii="Arial Narrow" w:hAnsi="Arial Narrow"/>
              </w:rPr>
            </w:pPr>
            <w:r w:rsidRPr="008B2F8A">
              <w:rPr>
                <w:rFonts w:ascii="Arial Narrow" w:hAnsi="Arial Narrow"/>
              </w:rPr>
              <w:t>26/1452</w:t>
            </w:r>
          </w:p>
        </w:tc>
        <w:tc>
          <w:tcPr>
            <w:tcW w:w="0" w:type="auto"/>
            <w:vAlign w:val="center"/>
          </w:tcPr>
          <w:p w14:paraId="177CEBE8" w14:textId="77777777" w:rsidR="00E47AB8" w:rsidRPr="008B2F8A" w:rsidRDefault="00E47AB8" w:rsidP="00422306">
            <w:pPr>
              <w:spacing w:before="40" w:after="80"/>
              <w:jc w:val="center"/>
              <w:rPr>
                <w:rFonts w:ascii="Arial Narrow" w:hAnsi="Arial Narrow"/>
              </w:rPr>
            </w:pPr>
            <w:r w:rsidRPr="008B2F8A">
              <w:rPr>
                <w:rFonts w:ascii="Arial Narrow" w:hAnsi="Arial Narrow"/>
              </w:rPr>
              <w:t>17.9</w:t>
            </w:r>
          </w:p>
        </w:tc>
        <w:tc>
          <w:tcPr>
            <w:tcW w:w="0" w:type="auto"/>
            <w:vAlign w:val="center"/>
          </w:tcPr>
          <w:p w14:paraId="2E72E9CA" w14:textId="77777777" w:rsidR="00E47AB8" w:rsidRPr="008B2F8A" w:rsidRDefault="00E47AB8" w:rsidP="00422306">
            <w:pPr>
              <w:spacing w:before="40" w:after="80"/>
              <w:jc w:val="center"/>
              <w:rPr>
                <w:rFonts w:ascii="Arial Narrow" w:hAnsi="Arial Narrow"/>
              </w:rPr>
            </w:pPr>
            <w:r w:rsidRPr="008B2F8A">
              <w:rPr>
                <w:rFonts w:ascii="Arial Narrow" w:hAnsi="Arial Narrow"/>
              </w:rPr>
              <w:t>60% (45–76)</w:t>
            </w:r>
          </w:p>
        </w:tc>
      </w:tr>
      <w:tr w:rsidR="00E47AB8" w:rsidRPr="008B2F8A" w14:paraId="1D9F4229" w14:textId="77777777" w:rsidTr="00422306">
        <w:tc>
          <w:tcPr>
            <w:tcW w:w="0" w:type="auto"/>
            <w:vAlign w:val="center"/>
          </w:tcPr>
          <w:p w14:paraId="0527756D" w14:textId="772F3857" w:rsidR="00E47AB8" w:rsidRPr="008B2F8A" w:rsidRDefault="00E47AB8" w:rsidP="00422306">
            <w:pPr>
              <w:spacing w:before="40" w:after="80"/>
              <w:rPr>
                <w:rFonts w:ascii="Arial Narrow" w:hAnsi="Arial Narrow"/>
              </w:rPr>
            </w:pPr>
            <w:r>
              <w:rPr>
                <w:rFonts w:ascii="Arial Narrow" w:hAnsi="Arial Narrow"/>
              </w:rPr>
              <w:t>Kuhl et al, 2005</w:t>
            </w:r>
          </w:p>
        </w:tc>
        <w:tc>
          <w:tcPr>
            <w:tcW w:w="0" w:type="auto"/>
            <w:vAlign w:val="center"/>
          </w:tcPr>
          <w:p w14:paraId="55D090E4" w14:textId="77777777" w:rsidR="00E47AB8" w:rsidRPr="008B2F8A" w:rsidRDefault="00E47AB8" w:rsidP="00422306">
            <w:pPr>
              <w:spacing w:before="40" w:after="80"/>
              <w:jc w:val="center"/>
              <w:rPr>
                <w:rFonts w:ascii="Arial Narrow" w:hAnsi="Arial Narrow"/>
              </w:rPr>
            </w:pPr>
            <w:r w:rsidRPr="008B2F8A">
              <w:rPr>
                <w:rFonts w:ascii="Arial Narrow" w:hAnsi="Arial Narrow"/>
              </w:rPr>
              <w:t>Mammography ​+​ ultrasound</w:t>
            </w:r>
          </w:p>
        </w:tc>
        <w:tc>
          <w:tcPr>
            <w:tcW w:w="0" w:type="auto"/>
            <w:vAlign w:val="center"/>
          </w:tcPr>
          <w:p w14:paraId="3D5360CE" w14:textId="77777777" w:rsidR="00E47AB8" w:rsidRPr="008B2F8A" w:rsidRDefault="00E47AB8" w:rsidP="00422306">
            <w:pPr>
              <w:spacing w:before="40" w:after="80"/>
              <w:jc w:val="center"/>
              <w:rPr>
                <w:rFonts w:ascii="Arial Narrow" w:hAnsi="Arial Narrow"/>
              </w:rPr>
            </w:pPr>
            <w:r w:rsidRPr="008B2F8A">
              <w:rPr>
                <w:rFonts w:ascii="Arial Narrow" w:hAnsi="Arial Narrow"/>
              </w:rPr>
              <w:t>14/529 (3%)</w:t>
            </w:r>
          </w:p>
        </w:tc>
        <w:tc>
          <w:tcPr>
            <w:tcW w:w="0" w:type="auto"/>
            <w:vAlign w:val="center"/>
          </w:tcPr>
          <w:p w14:paraId="42B5A0D8" w14:textId="77777777" w:rsidR="00E47AB8" w:rsidRPr="008B2F8A" w:rsidRDefault="00E47AB8" w:rsidP="00422306">
            <w:pPr>
              <w:spacing w:before="40" w:after="80"/>
              <w:jc w:val="center"/>
              <w:rPr>
                <w:rFonts w:ascii="Arial Narrow" w:hAnsi="Arial Narrow"/>
              </w:rPr>
            </w:pPr>
            <w:r w:rsidRPr="008B2F8A">
              <w:rPr>
                <w:rFonts w:ascii="Arial Narrow" w:hAnsi="Arial Narrow"/>
              </w:rPr>
              <w:t>43 (41 patients)</w:t>
            </w:r>
          </w:p>
        </w:tc>
        <w:tc>
          <w:tcPr>
            <w:tcW w:w="0" w:type="auto"/>
            <w:vAlign w:val="center"/>
          </w:tcPr>
          <w:p w14:paraId="4CE8486C" w14:textId="77777777" w:rsidR="00E47AB8" w:rsidRPr="008B2F8A" w:rsidRDefault="00E47AB8" w:rsidP="00422306">
            <w:pPr>
              <w:spacing w:before="40" w:after="80"/>
              <w:jc w:val="center"/>
              <w:rPr>
                <w:rFonts w:ascii="Arial Narrow" w:hAnsi="Arial Narrow"/>
              </w:rPr>
            </w:pPr>
            <w:r w:rsidRPr="008B2F8A">
              <w:rPr>
                <w:rFonts w:ascii="Arial Narrow" w:hAnsi="Arial Narrow"/>
              </w:rPr>
              <w:t>19/1452</w:t>
            </w:r>
          </w:p>
        </w:tc>
        <w:tc>
          <w:tcPr>
            <w:tcW w:w="0" w:type="auto"/>
            <w:vAlign w:val="center"/>
          </w:tcPr>
          <w:p w14:paraId="062F3BCB" w14:textId="77777777" w:rsidR="00E47AB8" w:rsidRPr="008B2F8A" w:rsidRDefault="00E47AB8" w:rsidP="00422306">
            <w:pPr>
              <w:spacing w:before="40" w:after="80"/>
              <w:jc w:val="center"/>
              <w:rPr>
                <w:rFonts w:ascii="Arial Narrow" w:hAnsi="Arial Narrow"/>
              </w:rPr>
            </w:pPr>
            <w:r w:rsidRPr="008B2F8A">
              <w:rPr>
                <w:rFonts w:ascii="Arial Narrow" w:hAnsi="Arial Narrow"/>
              </w:rPr>
              <w:t>13.1</w:t>
            </w:r>
          </w:p>
        </w:tc>
        <w:tc>
          <w:tcPr>
            <w:tcW w:w="0" w:type="auto"/>
            <w:vAlign w:val="center"/>
          </w:tcPr>
          <w:p w14:paraId="5D158514" w14:textId="77777777" w:rsidR="00E47AB8" w:rsidRPr="008B2F8A" w:rsidRDefault="00E47AB8" w:rsidP="00422306">
            <w:pPr>
              <w:spacing w:before="40" w:after="80"/>
              <w:jc w:val="center"/>
              <w:rPr>
                <w:rFonts w:ascii="Arial Narrow" w:hAnsi="Arial Narrow"/>
              </w:rPr>
            </w:pPr>
            <w:r w:rsidRPr="008B2F8A">
              <w:rPr>
                <w:rFonts w:ascii="Arial Narrow" w:hAnsi="Arial Narrow"/>
              </w:rPr>
              <w:t>44% (27–61)</w:t>
            </w:r>
          </w:p>
        </w:tc>
      </w:tr>
      <w:tr w:rsidR="00E47AB8" w:rsidRPr="008B2F8A" w14:paraId="45DEEB16" w14:textId="77777777" w:rsidTr="00422306">
        <w:tc>
          <w:tcPr>
            <w:tcW w:w="0" w:type="auto"/>
            <w:vAlign w:val="center"/>
          </w:tcPr>
          <w:p w14:paraId="01B9D5F9" w14:textId="093F9580" w:rsidR="00E47AB8" w:rsidRPr="008B2F8A" w:rsidRDefault="00E47AB8" w:rsidP="00B17898">
            <w:pPr>
              <w:spacing w:before="40" w:after="80"/>
              <w:rPr>
                <w:rFonts w:ascii="Arial Narrow" w:hAnsi="Arial Narrow"/>
                <w:color w:val="000000"/>
                <w:lang w:eastAsia="en-US"/>
              </w:rPr>
            </w:pPr>
            <w:r>
              <w:rPr>
                <w:rFonts w:ascii="Arial Narrow" w:hAnsi="Arial Narrow"/>
              </w:rPr>
              <w:t>Leach, 2005</w:t>
            </w:r>
            <w:r w:rsidRPr="008B2F8A">
              <w:rPr>
                <w:rFonts w:ascii="Arial Narrow" w:hAnsi="Arial Narrow"/>
              </w:rPr>
              <w:t xml:space="preserve"> (MARIBS)</w:t>
            </w:r>
          </w:p>
        </w:tc>
        <w:tc>
          <w:tcPr>
            <w:tcW w:w="0" w:type="auto"/>
            <w:vAlign w:val="center"/>
          </w:tcPr>
          <w:p w14:paraId="515251FA" w14:textId="77777777" w:rsidR="00E47AB8" w:rsidRPr="008B2F8A" w:rsidRDefault="00E47AB8" w:rsidP="00422306">
            <w:pPr>
              <w:spacing w:before="40" w:after="80"/>
              <w:jc w:val="center"/>
              <w:rPr>
                <w:rFonts w:ascii="Arial Narrow" w:hAnsi="Arial Narrow"/>
              </w:rPr>
            </w:pPr>
            <w:r w:rsidRPr="008B2F8A">
              <w:rPr>
                <w:rFonts w:ascii="Arial Narrow" w:hAnsi="Arial Narrow"/>
              </w:rPr>
              <w:t>Mammography</w:t>
            </w:r>
          </w:p>
        </w:tc>
        <w:tc>
          <w:tcPr>
            <w:tcW w:w="0" w:type="auto"/>
            <w:vAlign w:val="center"/>
          </w:tcPr>
          <w:p w14:paraId="5E1FB737" w14:textId="77777777" w:rsidR="00E47AB8" w:rsidRPr="008B2F8A" w:rsidRDefault="00E47AB8" w:rsidP="00422306">
            <w:pPr>
              <w:spacing w:before="40" w:after="80"/>
              <w:jc w:val="center"/>
              <w:rPr>
                <w:rFonts w:ascii="Arial Narrow" w:hAnsi="Arial Narrow"/>
              </w:rPr>
            </w:pPr>
            <w:r w:rsidRPr="008B2F8A">
              <w:rPr>
                <w:rFonts w:ascii="Arial Narrow" w:hAnsi="Arial Narrow"/>
              </w:rPr>
              <w:t>20/649 (3%)</w:t>
            </w:r>
          </w:p>
        </w:tc>
        <w:tc>
          <w:tcPr>
            <w:tcW w:w="0" w:type="auto"/>
            <w:vAlign w:val="center"/>
          </w:tcPr>
          <w:p w14:paraId="01C4B032" w14:textId="77777777" w:rsidR="00E47AB8" w:rsidRPr="008B2F8A" w:rsidRDefault="00E47AB8" w:rsidP="00422306">
            <w:pPr>
              <w:spacing w:before="40" w:after="80"/>
              <w:jc w:val="center"/>
              <w:rPr>
                <w:rFonts w:ascii="Arial Narrow" w:hAnsi="Arial Narrow"/>
              </w:rPr>
            </w:pPr>
            <w:r w:rsidRPr="008B2F8A">
              <w:rPr>
                <w:rFonts w:ascii="Arial Narrow" w:hAnsi="Arial Narrow"/>
              </w:rPr>
              <w:t>35</w:t>
            </w:r>
          </w:p>
        </w:tc>
        <w:tc>
          <w:tcPr>
            <w:tcW w:w="0" w:type="auto"/>
            <w:vAlign w:val="center"/>
          </w:tcPr>
          <w:p w14:paraId="71A82143" w14:textId="77777777" w:rsidR="00E47AB8" w:rsidRPr="008B2F8A" w:rsidRDefault="00E47AB8" w:rsidP="00422306">
            <w:pPr>
              <w:spacing w:before="40" w:after="80"/>
              <w:jc w:val="center"/>
              <w:rPr>
                <w:rFonts w:ascii="Arial Narrow" w:hAnsi="Arial Narrow"/>
              </w:rPr>
            </w:pPr>
            <w:r w:rsidRPr="008B2F8A">
              <w:rPr>
                <w:rFonts w:ascii="Arial Narrow" w:hAnsi="Arial Narrow"/>
              </w:rPr>
              <w:t>19/1881</w:t>
            </w:r>
          </w:p>
        </w:tc>
        <w:tc>
          <w:tcPr>
            <w:tcW w:w="0" w:type="auto"/>
            <w:vAlign w:val="center"/>
          </w:tcPr>
          <w:p w14:paraId="5A1102E6" w14:textId="77777777" w:rsidR="00E47AB8" w:rsidRPr="008B2F8A" w:rsidRDefault="00E47AB8" w:rsidP="00422306">
            <w:pPr>
              <w:spacing w:before="40" w:after="80"/>
              <w:jc w:val="center"/>
              <w:rPr>
                <w:rFonts w:ascii="Arial Narrow" w:hAnsi="Arial Narrow"/>
              </w:rPr>
            </w:pPr>
            <w:r w:rsidRPr="008B2F8A">
              <w:rPr>
                <w:rFonts w:ascii="Arial Narrow" w:hAnsi="Arial Narrow"/>
              </w:rPr>
              <w:t>10.1</w:t>
            </w:r>
          </w:p>
        </w:tc>
        <w:tc>
          <w:tcPr>
            <w:tcW w:w="0" w:type="auto"/>
            <w:vAlign w:val="center"/>
          </w:tcPr>
          <w:p w14:paraId="59A91030" w14:textId="77777777" w:rsidR="00E47AB8" w:rsidRPr="008B2F8A" w:rsidRDefault="00E47AB8" w:rsidP="00422306">
            <w:pPr>
              <w:spacing w:before="40" w:after="80"/>
              <w:jc w:val="center"/>
              <w:rPr>
                <w:rFonts w:ascii="Arial Narrow" w:hAnsi="Arial Narrow"/>
              </w:rPr>
            </w:pPr>
            <w:r w:rsidRPr="008B2F8A">
              <w:rPr>
                <w:rFonts w:ascii="Arial Narrow" w:hAnsi="Arial Narrow"/>
              </w:rPr>
              <w:t>54% (36–72)</w:t>
            </w:r>
          </w:p>
        </w:tc>
      </w:tr>
      <w:tr w:rsidR="00E47AB8" w:rsidRPr="008B2F8A" w14:paraId="5331A781" w14:textId="77777777" w:rsidTr="00422306">
        <w:tc>
          <w:tcPr>
            <w:tcW w:w="0" w:type="auto"/>
            <w:vAlign w:val="center"/>
          </w:tcPr>
          <w:p w14:paraId="13ED892E" w14:textId="67571495" w:rsidR="00E47AB8" w:rsidRPr="008B2F8A" w:rsidRDefault="00E47AB8" w:rsidP="00422306">
            <w:pPr>
              <w:spacing w:before="40" w:after="80"/>
              <w:rPr>
                <w:rFonts w:ascii="Arial Narrow" w:hAnsi="Arial Narrow"/>
              </w:rPr>
            </w:pPr>
            <w:r>
              <w:rPr>
                <w:rFonts w:ascii="Arial Narrow" w:hAnsi="Arial Narrow"/>
              </w:rPr>
              <w:t>Warner et al, 2004</w:t>
            </w:r>
          </w:p>
        </w:tc>
        <w:tc>
          <w:tcPr>
            <w:tcW w:w="0" w:type="auto"/>
            <w:vAlign w:val="center"/>
          </w:tcPr>
          <w:p w14:paraId="1AB4698D" w14:textId="77777777" w:rsidR="00E47AB8" w:rsidRPr="008B2F8A" w:rsidRDefault="00E47AB8" w:rsidP="00422306">
            <w:pPr>
              <w:spacing w:before="40" w:after="80"/>
              <w:jc w:val="center"/>
              <w:rPr>
                <w:rFonts w:ascii="Arial Narrow" w:hAnsi="Arial Narrow"/>
              </w:rPr>
            </w:pPr>
            <w:r w:rsidRPr="008B2F8A">
              <w:rPr>
                <w:rFonts w:ascii="Arial Narrow" w:hAnsi="Arial Narrow"/>
              </w:rPr>
              <w:t>Mammography</w:t>
            </w:r>
          </w:p>
        </w:tc>
        <w:tc>
          <w:tcPr>
            <w:tcW w:w="0" w:type="auto"/>
            <w:vAlign w:val="center"/>
          </w:tcPr>
          <w:p w14:paraId="164216C6" w14:textId="77777777" w:rsidR="00E47AB8" w:rsidRPr="008B2F8A" w:rsidRDefault="00E47AB8" w:rsidP="00422306">
            <w:pPr>
              <w:spacing w:before="40" w:after="80"/>
              <w:jc w:val="center"/>
              <w:rPr>
                <w:rFonts w:ascii="Arial Narrow" w:hAnsi="Arial Narrow"/>
              </w:rPr>
            </w:pPr>
            <w:r w:rsidRPr="008B2F8A">
              <w:rPr>
                <w:rFonts w:ascii="Arial Narrow" w:hAnsi="Arial Narrow"/>
              </w:rPr>
              <w:t>13/236 (6%)</w:t>
            </w:r>
          </w:p>
        </w:tc>
        <w:tc>
          <w:tcPr>
            <w:tcW w:w="0" w:type="auto"/>
            <w:vAlign w:val="center"/>
          </w:tcPr>
          <w:p w14:paraId="00706786" w14:textId="77777777" w:rsidR="00E47AB8" w:rsidRPr="008B2F8A" w:rsidRDefault="00E47AB8" w:rsidP="00422306">
            <w:pPr>
              <w:spacing w:before="40" w:after="80"/>
              <w:jc w:val="center"/>
              <w:rPr>
                <w:rFonts w:ascii="Arial Narrow" w:hAnsi="Arial Narrow"/>
              </w:rPr>
            </w:pPr>
            <w:r w:rsidRPr="008B2F8A">
              <w:rPr>
                <w:rFonts w:ascii="Arial Narrow" w:hAnsi="Arial Narrow"/>
              </w:rPr>
              <w:t>22 (21 patients)</w:t>
            </w:r>
          </w:p>
        </w:tc>
        <w:tc>
          <w:tcPr>
            <w:tcW w:w="0" w:type="auto"/>
            <w:vAlign w:val="center"/>
          </w:tcPr>
          <w:p w14:paraId="73403EFE" w14:textId="77777777" w:rsidR="00E47AB8" w:rsidRPr="008B2F8A" w:rsidRDefault="00E47AB8" w:rsidP="00422306">
            <w:pPr>
              <w:spacing w:before="40" w:after="80"/>
              <w:jc w:val="center"/>
              <w:rPr>
                <w:rFonts w:ascii="Arial Narrow" w:hAnsi="Arial Narrow"/>
              </w:rPr>
            </w:pPr>
            <w:r w:rsidRPr="008B2F8A">
              <w:rPr>
                <w:rFonts w:ascii="Arial Narrow" w:hAnsi="Arial Narrow"/>
              </w:rPr>
              <w:t>11/457</w:t>
            </w:r>
          </w:p>
        </w:tc>
        <w:tc>
          <w:tcPr>
            <w:tcW w:w="0" w:type="auto"/>
            <w:vAlign w:val="center"/>
          </w:tcPr>
          <w:p w14:paraId="02BD82C6" w14:textId="77777777" w:rsidR="00E47AB8" w:rsidRPr="008B2F8A" w:rsidRDefault="00E47AB8" w:rsidP="00422306">
            <w:pPr>
              <w:spacing w:before="40" w:after="80"/>
              <w:jc w:val="center"/>
              <w:rPr>
                <w:rFonts w:ascii="Arial Narrow" w:hAnsi="Arial Narrow"/>
              </w:rPr>
            </w:pPr>
            <w:r w:rsidRPr="008B2F8A">
              <w:rPr>
                <w:rFonts w:ascii="Arial Narrow" w:hAnsi="Arial Narrow"/>
              </w:rPr>
              <w:t>24.1</w:t>
            </w:r>
          </w:p>
        </w:tc>
        <w:tc>
          <w:tcPr>
            <w:tcW w:w="0" w:type="auto"/>
            <w:vAlign w:val="center"/>
          </w:tcPr>
          <w:p w14:paraId="3B4EA58B" w14:textId="77777777" w:rsidR="00E47AB8" w:rsidRPr="008B2F8A" w:rsidRDefault="00E47AB8" w:rsidP="00422306">
            <w:pPr>
              <w:spacing w:before="40" w:after="80"/>
              <w:jc w:val="center"/>
              <w:rPr>
                <w:rFonts w:ascii="Arial Narrow" w:hAnsi="Arial Narrow"/>
              </w:rPr>
            </w:pPr>
            <w:r w:rsidRPr="008B2F8A">
              <w:rPr>
                <w:rFonts w:ascii="Arial Narrow" w:hAnsi="Arial Narrow"/>
              </w:rPr>
              <w:t>50% (25–75)</w:t>
            </w:r>
          </w:p>
        </w:tc>
      </w:tr>
      <w:tr w:rsidR="00E47AB8" w:rsidRPr="008B2F8A" w14:paraId="2D7D94A6" w14:textId="77777777" w:rsidTr="00422306">
        <w:tc>
          <w:tcPr>
            <w:tcW w:w="0" w:type="auto"/>
          </w:tcPr>
          <w:p w14:paraId="32F3E0D2" w14:textId="12BD841B" w:rsidR="00E47AB8" w:rsidRPr="008B2F8A" w:rsidRDefault="00E47AB8" w:rsidP="00422306">
            <w:pPr>
              <w:spacing w:before="40" w:after="80"/>
              <w:rPr>
                <w:rFonts w:ascii="Arial Narrow" w:hAnsi="Arial Narrow"/>
              </w:rPr>
            </w:pPr>
            <w:r>
              <w:rPr>
                <w:rFonts w:ascii="Arial Narrow" w:hAnsi="Arial Narrow"/>
              </w:rPr>
              <w:t>Warner et al, 2004</w:t>
            </w:r>
          </w:p>
        </w:tc>
        <w:tc>
          <w:tcPr>
            <w:tcW w:w="0" w:type="auto"/>
          </w:tcPr>
          <w:p w14:paraId="5104B3C7" w14:textId="77777777" w:rsidR="00E47AB8" w:rsidRPr="008B2F8A" w:rsidRDefault="00E47AB8" w:rsidP="00422306">
            <w:pPr>
              <w:spacing w:before="40" w:after="80"/>
              <w:jc w:val="center"/>
              <w:rPr>
                <w:rFonts w:ascii="Arial Narrow" w:hAnsi="Arial Narrow"/>
              </w:rPr>
            </w:pPr>
            <w:r w:rsidRPr="008B2F8A">
              <w:rPr>
                <w:rFonts w:ascii="Arial Narrow" w:hAnsi="Arial Narrow"/>
              </w:rPr>
              <w:t>Mammography ​+​ ultrasound ​+​ CBE</w:t>
            </w:r>
          </w:p>
        </w:tc>
        <w:tc>
          <w:tcPr>
            <w:tcW w:w="0" w:type="auto"/>
            <w:vAlign w:val="center"/>
          </w:tcPr>
          <w:p w14:paraId="3C71AAD1" w14:textId="77777777" w:rsidR="00E47AB8" w:rsidRPr="008B2F8A" w:rsidRDefault="00E47AB8" w:rsidP="00422306">
            <w:pPr>
              <w:spacing w:before="40" w:after="80"/>
              <w:jc w:val="center"/>
              <w:rPr>
                <w:rFonts w:ascii="Arial Narrow" w:hAnsi="Arial Narrow"/>
              </w:rPr>
            </w:pPr>
            <w:r w:rsidRPr="008B2F8A">
              <w:rPr>
                <w:rFonts w:ascii="Arial Narrow" w:hAnsi="Arial Narrow"/>
              </w:rPr>
              <w:t>13/236 (6%)</w:t>
            </w:r>
          </w:p>
        </w:tc>
        <w:tc>
          <w:tcPr>
            <w:tcW w:w="0" w:type="auto"/>
          </w:tcPr>
          <w:p w14:paraId="6FB2DF60" w14:textId="77777777" w:rsidR="00E47AB8" w:rsidRPr="008B2F8A" w:rsidRDefault="00E47AB8" w:rsidP="00422306">
            <w:pPr>
              <w:spacing w:before="40" w:after="80"/>
              <w:jc w:val="center"/>
              <w:rPr>
                <w:rFonts w:ascii="Arial Narrow" w:hAnsi="Arial Narrow"/>
              </w:rPr>
            </w:pPr>
            <w:r w:rsidRPr="008B2F8A">
              <w:rPr>
                <w:rFonts w:ascii="Arial Narrow" w:hAnsi="Arial Narrow"/>
              </w:rPr>
              <w:t>22 (21 patients)</w:t>
            </w:r>
          </w:p>
        </w:tc>
        <w:tc>
          <w:tcPr>
            <w:tcW w:w="0" w:type="auto"/>
            <w:vAlign w:val="center"/>
          </w:tcPr>
          <w:p w14:paraId="3C3062B5" w14:textId="77777777" w:rsidR="00E47AB8" w:rsidRPr="008B2F8A" w:rsidRDefault="00E47AB8" w:rsidP="00422306">
            <w:pPr>
              <w:spacing w:before="40" w:after="80"/>
              <w:jc w:val="center"/>
              <w:rPr>
                <w:rFonts w:ascii="Arial Narrow" w:hAnsi="Arial Narrow"/>
              </w:rPr>
            </w:pPr>
            <w:r w:rsidRPr="008B2F8A">
              <w:rPr>
                <w:rFonts w:ascii="Arial Narrow" w:hAnsi="Arial Narrow"/>
              </w:rPr>
              <w:t>7/457</w:t>
            </w:r>
          </w:p>
        </w:tc>
        <w:tc>
          <w:tcPr>
            <w:tcW w:w="0" w:type="auto"/>
            <w:vAlign w:val="center"/>
          </w:tcPr>
          <w:p w14:paraId="274784E9" w14:textId="77777777" w:rsidR="00E47AB8" w:rsidRPr="008B2F8A" w:rsidRDefault="00E47AB8" w:rsidP="00422306">
            <w:pPr>
              <w:spacing w:before="40" w:after="80"/>
              <w:jc w:val="center"/>
              <w:rPr>
                <w:rFonts w:ascii="Arial Narrow" w:hAnsi="Arial Narrow"/>
              </w:rPr>
            </w:pPr>
            <w:r w:rsidRPr="008B2F8A">
              <w:rPr>
                <w:rFonts w:ascii="Arial Narrow" w:hAnsi="Arial Narrow"/>
              </w:rPr>
              <w:t>15.3</w:t>
            </w:r>
          </w:p>
        </w:tc>
        <w:tc>
          <w:tcPr>
            <w:tcW w:w="0" w:type="auto"/>
            <w:vAlign w:val="center"/>
          </w:tcPr>
          <w:p w14:paraId="7DC2993C" w14:textId="77777777" w:rsidR="00E47AB8" w:rsidRPr="008B2F8A" w:rsidRDefault="00E47AB8" w:rsidP="00422306">
            <w:pPr>
              <w:spacing w:before="40" w:after="80"/>
              <w:jc w:val="center"/>
              <w:rPr>
                <w:rFonts w:ascii="Arial Narrow" w:hAnsi="Arial Narrow"/>
              </w:rPr>
            </w:pPr>
            <w:r w:rsidRPr="008B2F8A">
              <w:rPr>
                <w:rFonts w:ascii="Arial Narrow" w:hAnsi="Arial Narrow"/>
              </w:rPr>
              <w:t>31% (10–54)</w:t>
            </w:r>
          </w:p>
        </w:tc>
      </w:tr>
    </w:tbl>
    <w:p w14:paraId="45BC75E7" w14:textId="77777777" w:rsidR="00E47AB8" w:rsidRPr="008B2F8A" w:rsidRDefault="00E47AB8" w:rsidP="00B17898">
      <w:pPr>
        <w:pStyle w:val="TableNotesLast"/>
      </w:pPr>
      <w:r w:rsidRPr="008B2F8A">
        <w:t>MRI = magnetic resonance imaging; CBE = clinical breast examination; CI = confidence interval.</w:t>
      </w:r>
    </w:p>
    <w:p w14:paraId="6A03F156" w14:textId="77777777" w:rsidR="00E47AB8" w:rsidRPr="008B2F8A" w:rsidRDefault="00E47AB8" w:rsidP="00422306">
      <w:pPr>
        <w:pStyle w:val="Heading4"/>
      </w:pPr>
      <w:r w:rsidRPr="008B2F8A">
        <w:lastRenderedPageBreak/>
        <w:t>Test recall rates</w:t>
      </w:r>
    </w:p>
    <w:p w14:paraId="344E68F4" w14:textId="262537C6" w:rsidR="00E47AB8" w:rsidRPr="008B2F8A" w:rsidRDefault="00E47AB8" w:rsidP="00422306">
      <w:r w:rsidRPr="008B2F8A">
        <w:t xml:space="preserve">One study reported patient recall rates following screening </w:t>
      </w:r>
      <w:r w:rsidRPr="008B2F8A">
        <w:rPr>
          <w:noProof/>
        </w:rPr>
        <w:t>(</w:t>
      </w:r>
      <w:bookmarkStart w:id="832" w:name="OLE_LINK814"/>
      <w:bookmarkStart w:id="833" w:name="OLE_LINK815"/>
      <w:r>
        <w:rPr>
          <w:noProof/>
        </w:rPr>
        <w:t>Leach, 2005</w:t>
      </w:r>
      <w:bookmarkEnd w:id="832"/>
      <w:bookmarkEnd w:id="833"/>
      <w:r w:rsidRPr="008B2F8A">
        <w:rPr>
          <w:noProof/>
        </w:rPr>
        <w:t>)</w:t>
      </w:r>
      <w:r w:rsidRPr="008B2F8A">
        <w:t>. The proportion of participants recall</w:t>
      </w:r>
      <w:r>
        <w:t>ed</w:t>
      </w:r>
      <w:r w:rsidRPr="008B2F8A">
        <w:t xml:space="preserve"> for any further investigation was 15%</w:t>
      </w:r>
      <w:r>
        <w:t>,</w:t>
      </w:r>
      <w:r w:rsidRPr="008B2F8A">
        <w:t xml:space="preserve"> and th</w:t>
      </w:r>
      <w:r>
        <w:t>at</w:t>
      </w:r>
      <w:r w:rsidRPr="008B2F8A">
        <w:t xml:space="preserve"> for fine-needle aspiration cytology or biopsy was 6%. </w:t>
      </w:r>
      <w:r>
        <w:t>That</w:t>
      </w:r>
      <w:r w:rsidRPr="008B2F8A">
        <w:t xml:space="preserve"> for MRI </w:t>
      </w:r>
      <w:r>
        <w:t>+</w:t>
      </w:r>
      <w:r w:rsidRPr="008B2F8A">
        <w:t xml:space="preserve"> mammography </w:t>
      </w:r>
      <w:r>
        <w:t>was</w:t>
      </w:r>
      <w:r w:rsidRPr="008B2F8A">
        <w:t xml:space="preserve"> higher than for mammography alone (12.7% vs 3.9% per woman year)</w:t>
      </w:r>
      <w:r>
        <w:t>,</w:t>
      </w:r>
      <w:r w:rsidRPr="008B2F8A">
        <w:t xml:space="preserve"> as were false-positive biopsy rates (5% vs 1.5%).</w:t>
      </w:r>
    </w:p>
    <w:p w14:paraId="3F1D2405" w14:textId="77777777" w:rsidR="00E47AB8" w:rsidRPr="008B2F8A" w:rsidRDefault="00E47AB8" w:rsidP="00E47AB8">
      <w:pPr>
        <w:pStyle w:val="Heading3"/>
        <w:numPr>
          <w:ilvl w:val="2"/>
          <w:numId w:val="42"/>
        </w:numPr>
      </w:pPr>
      <w:bookmarkStart w:id="834" w:name="_Toc365552168"/>
      <w:bookmarkStart w:id="835" w:name="_Ref377651894"/>
      <w:bookmarkStart w:id="836" w:name="_Ref377651898"/>
      <w:bookmarkStart w:id="837" w:name="_Ref377651901"/>
      <w:bookmarkStart w:id="838" w:name="_Toc383424467"/>
      <w:r w:rsidRPr="008B2F8A">
        <w:t>Health outcomes</w:t>
      </w:r>
      <w:bookmarkEnd w:id="834"/>
      <w:bookmarkEnd w:id="835"/>
      <w:bookmarkEnd w:id="836"/>
      <w:bookmarkEnd w:id="837"/>
      <w:bookmarkEnd w:id="838"/>
    </w:p>
    <w:p w14:paraId="5BFBA350" w14:textId="77777777" w:rsidR="00E47AB8" w:rsidRPr="008B2F8A" w:rsidRDefault="00E47AB8" w:rsidP="00422306">
      <w:pPr>
        <w:pStyle w:val="Heading4"/>
      </w:pPr>
      <w:r w:rsidRPr="008B2F8A">
        <w:t>Overall survival</w:t>
      </w:r>
    </w:p>
    <w:p w14:paraId="5FB5298C" w14:textId="77777777" w:rsidR="00E47AB8" w:rsidRPr="008B2F8A" w:rsidRDefault="00E47AB8" w:rsidP="00422306">
      <w:r w:rsidRPr="008B2F8A">
        <w:t xml:space="preserve">Two included diagnostic accuracy studies and one excluded observational cohort study reported survival outcomes from women undergoing MRI surveillance. As there is no comparative group for these outcomes, they are not reported here. However, a brief description of their findings is presented in </w:t>
      </w:r>
      <w:r w:rsidRPr="008B2F8A">
        <w:fldChar w:fldCharType="begin"/>
      </w:r>
      <w:r w:rsidRPr="008B2F8A">
        <w:instrText xml:space="preserve"> REF _Ref374610455 \h </w:instrText>
      </w:r>
      <w:r w:rsidRPr="008B2F8A">
        <w:fldChar w:fldCharType="separate"/>
      </w:r>
      <w:r w:rsidR="00B81273" w:rsidRPr="008B2F8A">
        <w:t xml:space="preserve">Appendix </w:t>
      </w:r>
      <w:r w:rsidR="00B81273">
        <w:rPr>
          <w:noProof/>
        </w:rPr>
        <w:t>3</w:t>
      </w:r>
      <w:r w:rsidRPr="008B2F8A">
        <w:fldChar w:fldCharType="end"/>
      </w:r>
      <w:r w:rsidRPr="008B2F8A">
        <w:t>.</w:t>
      </w:r>
    </w:p>
    <w:p w14:paraId="4407D8DE" w14:textId="5B6C061E" w:rsidR="00E47AB8" w:rsidRPr="008B2F8A" w:rsidRDefault="00E47AB8" w:rsidP="00422306">
      <w:r w:rsidRPr="008B2F8A">
        <w:t xml:space="preserve">A prospective randomised controlled trial reporting on breast cancer mortality would provide the most valid assessment of the relative effectiveness of different screening programs for high-risk women. However, such a trial is not feasible owing to requirements </w:t>
      </w:r>
      <w:r>
        <w:t xml:space="preserve">for </w:t>
      </w:r>
      <w:r w:rsidRPr="008B2F8A">
        <w:t>sample size and follow-up period</w:t>
      </w:r>
      <w:r>
        <w:t>,</w:t>
      </w:r>
      <w:r w:rsidRPr="008B2F8A">
        <w:t xml:space="preserve"> patient acceptability and the ethics of randomisation </w:t>
      </w:r>
      <w:r w:rsidRPr="008B2F8A">
        <w:rPr>
          <w:noProof/>
        </w:rPr>
        <w:t>(see MSAC, 2006, p. 21</w:t>
      </w:r>
      <w:r>
        <w:rPr>
          <w:noProof/>
        </w:rPr>
        <w:t>,</w:t>
      </w:r>
      <w:r w:rsidRPr="008B2F8A">
        <w:rPr>
          <w:noProof/>
        </w:rPr>
        <w:t xml:space="preserve"> for further discussion)</w:t>
      </w:r>
      <w:r w:rsidRPr="008B2F8A">
        <w:t>.</w:t>
      </w:r>
    </w:p>
    <w:p w14:paraId="7C17A3E5" w14:textId="099BE61B" w:rsidR="00E47AB8" w:rsidRPr="008B2F8A" w:rsidRDefault="00E47AB8" w:rsidP="00422306">
      <w:r w:rsidRPr="008B2F8A">
        <w:t>Therefore</w:t>
      </w:r>
      <w:r>
        <w:t>,</w:t>
      </w:r>
      <w:r w:rsidRPr="008B2F8A">
        <w:t xml:space="preserve"> alternative methods for evaluating the impact of breast MRI screening are required</w:t>
      </w:r>
      <w:r>
        <w:t>,</w:t>
      </w:r>
      <w:r w:rsidRPr="008B2F8A">
        <w:t xml:space="preserve"> including large accuracy studies designed to test the hypothesis that the addition of breast MRI detects cases at an earlier stage or </w:t>
      </w:r>
      <w:r>
        <w:t xml:space="preserve">at a </w:t>
      </w:r>
      <w:r w:rsidRPr="008B2F8A">
        <w:t>lower grade than cases mammography alone.</w:t>
      </w:r>
    </w:p>
    <w:p w14:paraId="31F793EF" w14:textId="77777777" w:rsidR="00E47AB8" w:rsidRPr="008B2F8A" w:rsidRDefault="00E47AB8" w:rsidP="00422306">
      <w:pPr>
        <w:pStyle w:val="Heading4"/>
      </w:pPr>
      <w:r w:rsidRPr="008B2F8A">
        <w:t>Stage shift</w:t>
      </w:r>
    </w:p>
    <w:p w14:paraId="01F30887" w14:textId="3CD756E0" w:rsidR="00E47AB8" w:rsidRPr="008B2F8A" w:rsidRDefault="00E47AB8" w:rsidP="00422306">
      <w:r w:rsidRPr="008B2F8A">
        <w:t>Four included primary studies reported on the size, lymph node status or grade of invasive cancers (</w:t>
      </w:r>
      <w:r w:rsidRPr="008B2F8A">
        <w:fldChar w:fldCharType="begin"/>
      </w:r>
      <w:r w:rsidRPr="008B2F8A">
        <w:instrText xml:space="preserve"> REF _Ref368566286 \h </w:instrText>
      </w:r>
      <w:r w:rsidRPr="008B2F8A">
        <w:fldChar w:fldCharType="separate"/>
      </w:r>
      <w:r w:rsidR="00B81273" w:rsidRPr="008B2F8A">
        <w:t xml:space="preserve">Table </w:t>
      </w:r>
      <w:r w:rsidR="00B81273">
        <w:rPr>
          <w:noProof/>
        </w:rPr>
        <w:t>B</w:t>
      </w:r>
      <w:r w:rsidR="00B81273" w:rsidRPr="008B2F8A">
        <w:t>.</w:t>
      </w:r>
      <w:r w:rsidR="00B81273">
        <w:rPr>
          <w:noProof/>
        </w:rPr>
        <w:t>29</w:t>
      </w:r>
      <w:r w:rsidRPr="008B2F8A">
        <w:fldChar w:fldCharType="end"/>
      </w:r>
      <w:r w:rsidRPr="008B2F8A">
        <w:t>) by test type. The interpretation of these findings is limited by the small number of cases identified in each study (range 16–51).</w:t>
      </w:r>
    </w:p>
    <w:p w14:paraId="639AC835" w14:textId="092CAB14" w:rsidR="00E47AB8" w:rsidRPr="008B2F8A" w:rsidRDefault="00E47AB8" w:rsidP="00422306">
      <w:r w:rsidRPr="008B2F8A">
        <w:t>Two studies reported on the characteristics of cancers detected by a combination of MRI and mammography versus mammography alone (</w:t>
      </w:r>
      <w:r>
        <w:rPr>
          <w:noProof/>
        </w:rPr>
        <w:t>Leach, 2005</w:t>
      </w:r>
      <w:r w:rsidRPr="008B2F8A">
        <w:rPr>
          <w:noProof/>
        </w:rPr>
        <w:t>; Warner et al, 2008)</w:t>
      </w:r>
      <w:r w:rsidRPr="008B2F8A">
        <w:t xml:space="preserve">. </w:t>
      </w:r>
      <w:r>
        <w:t>Leach (2005)</w:t>
      </w:r>
      <w:r w:rsidRPr="008B2F8A">
        <w:t xml:space="preserve"> observed that the addition of breast MRI detected a similar proportion of invasive cancers &lt;10 mm </w:t>
      </w:r>
      <w:r>
        <w:t xml:space="preserve">across </w:t>
      </w:r>
      <w:r w:rsidRPr="008B2F8A">
        <w:t>as mammography (breast MRI 36% of cases detected, mammography 44%) but a higher proportion of node</w:t>
      </w:r>
      <w:r>
        <w:t>-</w:t>
      </w:r>
      <w:r w:rsidRPr="008B2F8A">
        <w:t xml:space="preserve">negative invasive cancers (breast MRI 79%, mammography 67%). In contrast, Warner et al </w:t>
      </w:r>
      <w:r w:rsidRPr="008B2F8A">
        <w:rPr>
          <w:noProof/>
        </w:rPr>
        <w:t>(2004)</w:t>
      </w:r>
      <w:r w:rsidRPr="008B2F8A">
        <w:t xml:space="preserve"> observed that breast MRI detected a higher proportion of cancers &lt;10 mm </w:t>
      </w:r>
      <w:r>
        <w:t xml:space="preserve">across </w:t>
      </w:r>
      <w:r w:rsidRPr="008B2F8A">
        <w:t>than mammography (breast MRI 38% of cases detected, mammography 20%) but a similar proportion of node</w:t>
      </w:r>
      <w:r>
        <w:t>-</w:t>
      </w:r>
      <w:r w:rsidRPr="008B2F8A">
        <w:t>negative disease (breast MRI 92%, mammography 100%). None of these differences were statistically significant.</w:t>
      </w:r>
    </w:p>
    <w:p w14:paraId="43FF76B1" w14:textId="53B5C990" w:rsidR="00E47AB8" w:rsidRPr="008B2F8A" w:rsidRDefault="00E47AB8" w:rsidP="00422306">
      <w:r>
        <w:t>Kriege et al (</w:t>
      </w:r>
      <w:r w:rsidRPr="008B2F8A">
        <w:rPr>
          <w:noProof/>
        </w:rPr>
        <w:t>2007)</w:t>
      </w:r>
      <w:r w:rsidRPr="008B2F8A">
        <w:t xml:space="preserve"> compared the characteristics of cancers detected </w:t>
      </w:r>
      <w:r>
        <w:t xml:space="preserve">by </w:t>
      </w:r>
      <w:r w:rsidRPr="008B2F8A">
        <w:t>MRI</w:t>
      </w:r>
      <w:r>
        <w:t xml:space="preserve"> </w:t>
      </w:r>
      <w:r w:rsidRPr="008B2F8A">
        <w:t xml:space="preserve">only (20 cancers) with </w:t>
      </w:r>
      <w:r>
        <w:t xml:space="preserve">those of cancers detected by </w:t>
      </w:r>
      <w:r w:rsidRPr="008B2F8A">
        <w:t>other screen</w:t>
      </w:r>
      <w:r>
        <w:t>ing</w:t>
      </w:r>
      <w:r w:rsidRPr="008B2F8A">
        <w:t xml:space="preserve"> (21 cancers). Tumour characteristics were not available for all evaluable cancers. Comparison of tumour size, lymph node status, histological differentiation grade, mitotic activity index, oestrogen receptor status and histology type by detection method showed that the extra cases detected by MRI alone were more often lymph node negative than the cases detected by other imaging or palpation (94% vs 59%, </w:t>
      </w:r>
      <w:r w:rsidRPr="008B2F8A">
        <w:rPr>
          <w:i/>
        </w:rPr>
        <w:t>P</w:t>
      </w:r>
      <w:r w:rsidRPr="008B2F8A">
        <w:t xml:space="preserve"> = 0.02). MRI-only–detected cancers also appeared to be smaller than cancers detected by other methods</w:t>
      </w:r>
      <w:r>
        <w:t>,</w:t>
      </w:r>
      <w:r w:rsidRPr="008B2F8A">
        <w:t xml:space="preserve"> but this difference was not statistically significant (cancers &lt;1 cm</w:t>
      </w:r>
      <w:r>
        <w:t>:</w:t>
      </w:r>
      <w:r w:rsidRPr="008B2F8A">
        <w:t xml:space="preserve"> MRI-only 58%, other methods 31%, </w:t>
      </w:r>
      <w:r w:rsidRPr="008B2F8A">
        <w:rPr>
          <w:i/>
        </w:rPr>
        <w:t>P</w:t>
      </w:r>
      <w:r w:rsidRPr="008B2F8A">
        <w:t xml:space="preserve"> = 0.11).</w:t>
      </w:r>
    </w:p>
    <w:p w14:paraId="3A794230" w14:textId="00028AFC" w:rsidR="00E47AB8" w:rsidRPr="008B2F8A" w:rsidRDefault="00E47AB8" w:rsidP="00422306">
      <w:r w:rsidRPr="008B2F8A">
        <w:lastRenderedPageBreak/>
        <w:t>These findings provide some evidence that including breast MRI in screening programs for high-risk women may lead to a favourable stage shift in the detection of breast cancer. However, the magnitude of the clinical benefit associated with the detection of earlier</w:t>
      </w:r>
      <w:r>
        <w:t>-</w:t>
      </w:r>
      <w:r w:rsidRPr="008B2F8A">
        <w:t>stage disease has not been measured.</w:t>
      </w:r>
    </w:p>
    <w:p w14:paraId="58ECF5C4" w14:textId="77777777" w:rsidR="00E47AB8" w:rsidRPr="008B2F8A" w:rsidRDefault="00E47AB8" w:rsidP="00422306">
      <w:pPr>
        <w:pStyle w:val="Caption"/>
        <w:ind w:left="1440" w:hanging="1440"/>
      </w:pPr>
      <w:bookmarkStart w:id="839" w:name="_Ref368566286"/>
      <w:bookmarkStart w:id="840" w:name="_Toc383424595"/>
      <w:r w:rsidRPr="008B2F8A">
        <w:t xml:space="preserve">Table </w:t>
      </w:r>
      <w:fldSimple w:instr=" STYLEREF 1 \s ">
        <w:r w:rsidR="00B81273">
          <w:rPr>
            <w:noProof/>
          </w:rPr>
          <w:t>B</w:t>
        </w:r>
      </w:fldSimple>
      <w:r w:rsidRPr="008B2F8A">
        <w:t>.</w:t>
      </w:r>
      <w:fldSimple w:instr=" SEQ Table \* ARABIC \s 1 ">
        <w:r w:rsidR="00B81273">
          <w:rPr>
            <w:noProof/>
          </w:rPr>
          <w:t>29</w:t>
        </w:r>
      </w:fldSimple>
      <w:bookmarkEnd w:id="839"/>
      <w:r w:rsidRPr="008B2F8A">
        <w:tab/>
      </w:r>
      <w:bookmarkStart w:id="841" w:name="OLE_LINK1039"/>
      <w:bookmarkStart w:id="842" w:name="OLE_LINK1040"/>
      <w:r w:rsidRPr="008B2F8A">
        <w:t>Cancer stage, grade and nodal status for cases detected at screening of high-risk women</w:t>
      </w:r>
      <w:bookmarkEnd w:id="841"/>
      <w:bookmarkEnd w:id="842"/>
      <w:r w:rsidRPr="008B2F8A">
        <w:t>.</w:t>
      </w:r>
      <w:bookmarkEnd w:id="840"/>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ancer stage, grade and nodal status for cases detected at screening of high-risk women"/>
      </w:tblPr>
      <w:tblGrid>
        <w:gridCol w:w="1022"/>
        <w:gridCol w:w="628"/>
        <w:gridCol w:w="410"/>
        <w:gridCol w:w="510"/>
        <w:gridCol w:w="776"/>
        <w:gridCol w:w="776"/>
        <w:gridCol w:w="776"/>
        <w:gridCol w:w="678"/>
        <w:gridCol w:w="740"/>
        <w:gridCol w:w="642"/>
        <w:gridCol w:w="688"/>
        <w:gridCol w:w="740"/>
        <w:gridCol w:w="684"/>
      </w:tblGrid>
      <w:tr w:rsidR="00E47AB8" w:rsidRPr="008B2F8A" w14:paraId="3B5DDC35" w14:textId="77777777" w:rsidTr="00B17898">
        <w:trPr>
          <w:tblHeader/>
        </w:trPr>
        <w:tc>
          <w:tcPr>
            <w:tcW w:w="563" w:type="pct"/>
            <w:vAlign w:val="bottom"/>
          </w:tcPr>
          <w:p w14:paraId="159D413D" w14:textId="77777777" w:rsidR="00E47AB8" w:rsidRPr="008B2F8A" w:rsidRDefault="00E47AB8" w:rsidP="00590B8C">
            <w:pPr>
              <w:keepNext/>
              <w:spacing w:before="40" w:after="80"/>
              <w:rPr>
                <w:rFonts w:ascii="Arial Narrow" w:hAnsi="Arial Narrow"/>
                <w:b/>
                <w:bCs/>
                <w:sz w:val="20"/>
                <w:szCs w:val="20"/>
                <w:lang w:eastAsia="en-AU"/>
              </w:rPr>
            </w:pPr>
            <w:r w:rsidRPr="008B2F8A">
              <w:rPr>
                <w:rFonts w:ascii="Arial Narrow" w:hAnsi="Arial Narrow"/>
                <w:b/>
                <w:bCs/>
                <w:sz w:val="20"/>
                <w:szCs w:val="20"/>
                <w:lang w:eastAsia="en-AU"/>
              </w:rPr>
              <w:t>Author</w:t>
            </w:r>
          </w:p>
        </w:tc>
        <w:tc>
          <w:tcPr>
            <w:tcW w:w="853" w:type="pct"/>
            <w:gridSpan w:val="3"/>
            <w:vAlign w:val="bottom"/>
          </w:tcPr>
          <w:p w14:paraId="4CDC7D41" w14:textId="77777777" w:rsidR="00E47AB8" w:rsidRPr="008B2F8A" w:rsidRDefault="00E47AB8" w:rsidP="00590B8C">
            <w:pPr>
              <w:keepNext/>
              <w:spacing w:before="40" w:after="80"/>
              <w:jc w:val="center"/>
              <w:rPr>
                <w:rFonts w:ascii="Arial Narrow" w:hAnsi="Arial Narrow"/>
                <w:b/>
                <w:bCs/>
                <w:sz w:val="20"/>
                <w:szCs w:val="20"/>
                <w:lang w:eastAsia="en-AU"/>
              </w:rPr>
            </w:pPr>
            <w:r w:rsidRPr="008B2F8A">
              <w:rPr>
                <w:rFonts w:ascii="Arial Narrow" w:hAnsi="Arial Narrow"/>
                <w:b/>
                <w:bCs/>
                <w:sz w:val="20"/>
                <w:szCs w:val="20"/>
                <w:lang w:eastAsia="en-AU"/>
              </w:rPr>
              <w:t>No. of invasive breast cancer cases (number of in-situ cancers)</w:t>
            </w:r>
          </w:p>
        </w:tc>
        <w:tc>
          <w:tcPr>
            <w:tcW w:w="1283" w:type="pct"/>
            <w:gridSpan w:val="3"/>
            <w:vAlign w:val="bottom"/>
          </w:tcPr>
          <w:p w14:paraId="41BDF404" w14:textId="77777777" w:rsidR="00E47AB8" w:rsidRPr="008B2F8A" w:rsidRDefault="00E47AB8" w:rsidP="00590B8C">
            <w:pPr>
              <w:keepNext/>
              <w:spacing w:before="40" w:after="80"/>
              <w:jc w:val="center"/>
              <w:rPr>
                <w:rFonts w:ascii="Arial Narrow" w:hAnsi="Arial Narrow"/>
                <w:b/>
                <w:bCs/>
                <w:sz w:val="20"/>
                <w:szCs w:val="20"/>
                <w:lang w:eastAsia="en-AU"/>
              </w:rPr>
            </w:pPr>
            <w:r w:rsidRPr="008B2F8A">
              <w:rPr>
                <w:rFonts w:ascii="Arial Narrow" w:hAnsi="Arial Narrow"/>
                <w:b/>
                <w:bCs/>
                <w:sz w:val="20"/>
                <w:szCs w:val="20"/>
                <w:lang w:eastAsia="en-AU"/>
              </w:rPr>
              <w:t>Invasive cancer cases &lt;10 mm (% of all invasive cancers detected by modality)</w:t>
            </w:r>
          </w:p>
        </w:tc>
        <w:tc>
          <w:tcPr>
            <w:tcW w:w="1136" w:type="pct"/>
            <w:gridSpan w:val="3"/>
            <w:vAlign w:val="bottom"/>
          </w:tcPr>
          <w:p w14:paraId="2F470948" w14:textId="77777777" w:rsidR="00E47AB8" w:rsidRPr="008B2F8A" w:rsidRDefault="00E47AB8" w:rsidP="00590B8C">
            <w:pPr>
              <w:keepNext/>
              <w:spacing w:before="40" w:after="80"/>
              <w:jc w:val="center"/>
              <w:rPr>
                <w:rFonts w:ascii="Arial Narrow" w:hAnsi="Arial Narrow"/>
                <w:b/>
                <w:bCs/>
                <w:sz w:val="20"/>
                <w:szCs w:val="20"/>
                <w:lang w:eastAsia="en-AU"/>
              </w:rPr>
            </w:pPr>
            <w:r w:rsidRPr="008B2F8A">
              <w:rPr>
                <w:rFonts w:ascii="Arial Narrow" w:hAnsi="Arial Narrow"/>
                <w:b/>
                <w:bCs/>
                <w:sz w:val="20"/>
                <w:szCs w:val="20"/>
                <w:lang w:eastAsia="en-AU"/>
              </w:rPr>
              <w:t>Negative lymph node/micrometastases (% of all invasive cancers detected by modality)</w:t>
            </w:r>
          </w:p>
        </w:tc>
        <w:tc>
          <w:tcPr>
            <w:tcW w:w="1164" w:type="pct"/>
            <w:gridSpan w:val="3"/>
            <w:vAlign w:val="bottom"/>
          </w:tcPr>
          <w:p w14:paraId="533BE21A" w14:textId="77777777" w:rsidR="00E47AB8" w:rsidRPr="008B2F8A" w:rsidRDefault="00E47AB8" w:rsidP="00590B8C">
            <w:pPr>
              <w:keepNext/>
              <w:spacing w:before="40" w:after="80"/>
              <w:jc w:val="center"/>
              <w:rPr>
                <w:rFonts w:ascii="Arial Narrow" w:hAnsi="Arial Narrow"/>
                <w:b/>
                <w:bCs/>
                <w:sz w:val="20"/>
                <w:szCs w:val="20"/>
                <w:lang w:eastAsia="en-AU"/>
              </w:rPr>
            </w:pPr>
            <w:r w:rsidRPr="008B2F8A">
              <w:rPr>
                <w:rFonts w:ascii="Arial Narrow" w:hAnsi="Arial Narrow"/>
                <w:b/>
                <w:bCs/>
                <w:sz w:val="20"/>
                <w:szCs w:val="20"/>
                <w:lang w:eastAsia="en-AU"/>
              </w:rPr>
              <w:t>Histological grade</w:t>
            </w:r>
          </w:p>
        </w:tc>
      </w:tr>
      <w:tr w:rsidR="00E47AB8" w:rsidRPr="008B2F8A" w14:paraId="07ADC4C1" w14:textId="77777777" w:rsidTr="00B17898">
        <w:tc>
          <w:tcPr>
            <w:tcW w:w="563" w:type="pct"/>
            <w:vAlign w:val="bottom"/>
          </w:tcPr>
          <w:p w14:paraId="1AD5B226" w14:textId="77777777" w:rsidR="00E47AB8" w:rsidRPr="008B2F8A" w:rsidRDefault="00E47AB8" w:rsidP="00422306">
            <w:pPr>
              <w:spacing w:before="40" w:after="80"/>
              <w:rPr>
                <w:rFonts w:ascii="Arial Narrow" w:hAnsi="Arial Narrow"/>
                <w:b/>
                <w:sz w:val="20"/>
                <w:szCs w:val="20"/>
                <w:lang w:eastAsia="en-AU"/>
              </w:rPr>
            </w:pPr>
          </w:p>
        </w:tc>
        <w:tc>
          <w:tcPr>
            <w:tcW w:w="346" w:type="pct"/>
            <w:vAlign w:val="bottom"/>
          </w:tcPr>
          <w:p w14:paraId="13202DEE" w14:textId="77777777" w:rsidR="00E47AB8" w:rsidRPr="008B2F8A" w:rsidRDefault="00E47AB8" w:rsidP="00422306">
            <w:pPr>
              <w:spacing w:before="40" w:after="80"/>
              <w:jc w:val="center"/>
              <w:rPr>
                <w:rFonts w:ascii="Arial Narrow" w:hAnsi="Arial Narrow" w:cs="Arial"/>
                <w:b/>
                <w:sz w:val="20"/>
                <w:szCs w:val="20"/>
                <w:lang w:eastAsia="en-AU"/>
              </w:rPr>
            </w:pPr>
            <w:r w:rsidRPr="008B2F8A">
              <w:rPr>
                <w:rFonts w:ascii="Arial Narrow" w:hAnsi="Arial Narrow" w:cs="Arial"/>
                <w:b/>
                <w:sz w:val="20"/>
                <w:szCs w:val="20"/>
                <w:lang w:eastAsia="en-AU"/>
              </w:rPr>
              <w:t xml:space="preserve">MRI </w:t>
            </w:r>
            <w:r w:rsidRPr="008B2F8A">
              <w:rPr>
                <w:rFonts w:ascii="Arial Narrow" w:hAnsi="Arial Narrow"/>
              </w:rPr>
              <w:t>​+​</w:t>
            </w:r>
            <w:r w:rsidRPr="008B2F8A">
              <w:rPr>
                <w:rFonts w:ascii="Arial Narrow" w:hAnsi="Arial Narrow" w:cs="Arial"/>
                <w:b/>
                <w:sz w:val="20"/>
                <w:szCs w:val="20"/>
                <w:lang w:eastAsia="en-AU"/>
              </w:rPr>
              <w:t xml:space="preserve"> M</w:t>
            </w:r>
          </w:p>
        </w:tc>
        <w:tc>
          <w:tcPr>
            <w:tcW w:w="226" w:type="pct"/>
            <w:vAlign w:val="bottom"/>
          </w:tcPr>
          <w:p w14:paraId="548EB9EF" w14:textId="77777777" w:rsidR="00E47AB8" w:rsidRPr="008B2F8A" w:rsidRDefault="00E47AB8" w:rsidP="00422306">
            <w:pPr>
              <w:spacing w:before="40" w:after="80"/>
              <w:jc w:val="center"/>
              <w:rPr>
                <w:rFonts w:ascii="Arial Narrow" w:hAnsi="Arial Narrow"/>
                <w:b/>
                <w:sz w:val="20"/>
                <w:szCs w:val="20"/>
                <w:lang w:eastAsia="en-AU"/>
              </w:rPr>
            </w:pPr>
            <w:r w:rsidRPr="008B2F8A">
              <w:rPr>
                <w:rFonts w:ascii="Arial Narrow" w:hAnsi="Arial Narrow"/>
                <w:b/>
                <w:sz w:val="20"/>
                <w:szCs w:val="20"/>
                <w:lang w:eastAsia="en-AU"/>
              </w:rPr>
              <w:t>M</w:t>
            </w:r>
          </w:p>
        </w:tc>
        <w:tc>
          <w:tcPr>
            <w:tcW w:w="281" w:type="pct"/>
            <w:vAlign w:val="bottom"/>
          </w:tcPr>
          <w:p w14:paraId="027FE1B1" w14:textId="77777777" w:rsidR="00E47AB8" w:rsidRPr="008B2F8A" w:rsidRDefault="00E47AB8" w:rsidP="00422306">
            <w:pPr>
              <w:spacing w:before="40" w:after="80"/>
              <w:jc w:val="center"/>
              <w:rPr>
                <w:rFonts w:ascii="Arial Narrow" w:hAnsi="Arial Narrow" w:cs="Arial"/>
                <w:b/>
                <w:sz w:val="20"/>
                <w:szCs w:val="20"/>
                <w:lang w:eastAsia="en-AU"/>
              </w:rPr>
            </w:pPr>
            <w:r w:rsidRPr="008B2F8A">
              <w:rPr>
                <w:rFonts w:ascii="Arial Narrow" w:hAnsi="Arial Narrow" w:cs="Arial"/>
                <w:b/>
                <w:sz w:val="20"/>
                <w:szCs w:val="20"/>
                <w:lang w:eastAsia="en-AU"/>
              </w:rPr>
              <w:t>MRI</w:t>
            </w:r>
          </w:p>
        </w:tc>
        <w:tc>
          <w:tcPr>
            <w:tcW w:w="428" w:type="pct"/>
            <w:vAlign w:val="bottom"/>
          </w:tcPr>
          <w:p w14:paraId="7F01EAEF" w14:textId="77777777" w:rsidR="00E47AB8" w:rsidRPr="008B2F8A" w:rsidRDefault="00E47AB8" w:rsidP="00422306">
            <w:pPr>
              <w:spacing w:before="40" w:after="80"/>
              <w:jc w:val="center"/>
              <w:rPr>
                <w:rFonts w:ascii="Arial Narrow" w:hAnsi="Arial Narrow" w:cs="Arial"/>
                <w:b/>
                <w:sz w:val="20"/>
                <w:szCs w:val="20"/>
                <w:lang w:eastAsia="en-AU"/>
              </w:rPr>
            </w:pPr>
            <w:r w:rsidRPr="008B2F8A">
              <w:rPr>
                <w:rFonts w:ascii="Arial Narrow" w:hAnsi="Arial Narrow" w:cs="Arial"/>
                <w:b/>
                <w:sz w:val="20"/>
                <w:szCs w:val="20"/>
                <w:lang w:eastAsia="en-AU"/>
              </w:rPr>
              <w:t xml:space="preserve">MRI </w:t>
            </w:r>
            <w:r w:rsidRPr="008B2F8A">
              <w:rPr>
                <w:rFonts w:ascii="Arial Narrow" w:hAnsi="Arial Narrow"/>
              </w:rPr>
              <w:t>​+​</w:t>
            </w:r>
            <w:r w:rsidRPr="008B2F8A">
              <w:rPr>
                <w:rFonts w:ascii="Arial Narrow" w:hAnsi="Arial Narrow" w:cs="Arial"/>
                <w:b/>
                <w:sz w:val="20"/>
                <w:szCs w:val="20"/>
                <w:lang w:eastAsia="en-AU"/>
              </w:rPr>
              <w:t xml:space="preserve"> M</w:t>
            </w:r>
          </w:p>
        </w:tc>
        <w:tc>
          <w:tcPr>
            <w:tcW w:w="428" w:type="pct"/>
            <w:vAlign w:val="bottom"/>
          </w:tcPr>
          <w:p w14:paraId="079ED668" w14:textId="77777777" w:rsidR="00E47AB8" w:rsidRPr="008B2F8A" w:rsidRDefault="00E47AB8" w:rsidP="00422306">
            <w:pPr>
              <w:spacing w:before="40" w:after="80"/>
              <w:jc w:val="center"/>
              <w:rPr>
                <w:rFonts w:ascii="Arial Narrow" w:hAnsi="Arial Narrow"/>
                <w:b/>
                <w:sz w:val="20"/>
                <w:szCs w:val="20"/>
                <w:lang w:eastAsia="en-AU"/>
              </w:rPr>
            </w:pPr>
            <w:r w:rsidRPr="008B2F8A">
              <w:rPr>
                <w:rFonts w:ascii="Arial Narrow" w:hAnsi="Arial Narrow"/>
                <w:b/>
                <w:sz w:val="20"/>
                <w:szCs w:val="20"/>
                <w:lang w:eastAsia="en-AU"/>
              </w:rPr>
              <w:t>M</w:t>
            </w:r>
          </w:p>
        </w:tc>
        <w:tc>
          <w:tcPr>
            <w:tcW w:w="428" w:type="pct"/>
            <w:vAlign w:val="bottom"/>
          </w:tcPr>
          <w:p w14:paraId="7393F678" w14:textId="77777777" w:rsidR="00E47AB8" w:rsidRPr="008B2F8A" w:rsidRDefault="00E47AB8" w:rsidP="00422306">
            <w:pPr>
              <w:spacing w:before="40" w:after="80"/>
              <w:jc w:val="center"/>
              <w:rPr>
                <w:rFonts w:ascii="Arial Narrow" w:hAnsi="Arial Narrow" w:cs="Arial"/>
                <w:b/>
                <w:sz w:val="20"/>
                <w:szCs w:val="20"/>
                <w:lang w:eastAsia="en-AU"/>
              </w:rPr>
            </w:pPr>
            <w:r w:rsidRPr="008B2F8A">
              <w:rPr>
                <w:rFonts w:ascii="Arial Narrow" w:hAnsi="Arial Narrow" w:cs="Arial"/>
                <w:b/>
                <w:sz w:val="20"/>
                <w:szCs w:val="20"/>
                <w:lang w:eastAsia="en-AU"/>
              </w:rPr>
              <w:t>MRI</w:t>
            </w:r>
          </w:p>
        </w:tc>
        <w:tc>
          <w:tcPr>
            <w:tcW w:w="374" w:type="pct"/>
            <w:vAlign w:val="bottom"/>
          </w:tcPr>
          <w:p w14:paraId="0E635D9F" w14:textId="77777777" w:rsidR="00E47AB8" w:rsidRPr="008B2F8A" w:rsidRDefault="00E47AB8" w:rsidP="00422306">
            <w:pPr>
              <w:spacing w:before="40" w:after="80"/>
              <w:jc w:val="center"/>
              <w:rPr>
                <w:rFonts w:ascii="Arial Narrow" w:hAnsi="Arial Narrow" w:cs="Arial"/>
                <w:b/>
                <w:sz w:val="20"/>
                <w:szCs w:val="20"/>
                <w:lang w:eastAsia="en-AU"/>
              </w:rPr>
            </w:pPr>
            <w:r w:rsidRPr="008B2F8A">
              <w:rPr>
                <w:rFonts w:ascii="Arial Narrow" w:hAnsi="Arial Narrow" w:cs="Arial"/>
                <w:b/>
                <w:sz w:val="20"/>
                <w:szCs w:val="20"/>
                <w:lang w:eastAsia="en-AU"/>
              </w:rPr>
              <w:t xml:space="preserve">MRI </w:t>
            </w:r>
            <w:r w:rsidRPr="008B2F8A">
              <w:rPr>
                <w:rFonts w:ascii="Arial Narrow" w:hAnsi="Arial Narrow"/>
              </w:rPr>
              <w:t>​+​</w:t>
            </w:r>
            <w:r w:rsidRPr="008B2F8A">
              <w:rPr>
                <w:rFonts w:ascii="Arial Narrow" w:hAnsi="Arial Narrow" w:cs="Arial"/>
                <w:b/>
                <w:sz w:val="20"/>
                <w:szCs w:val="20"/>
                <w:lang w:eastAsia="en-AU"/>
              </w:rPr>
              <w:t xml:space="preserve"> M</w:t>
            </w:r>
          </w:p>
        </w:tc>
        <w:tc>
          <w:tcPr>
            <w:tcW w:w="408" w:type="pct"/>
            <w:vAlign w:val="bottom"/>
          </w:tcPr>
          <w:p w14:paraId="150B5257" w14:textId="77777777" w:rsidR="00E47AB8" w:rsidRPr="008B2F8A" w:rsidRDefault="00E47AB8" w:rsidP="00422306">
            <w:pPr>
              <w:spacing w:before="40" w:after="80"/>
              <w:jc w:val="center"/>
              <w:rPr>
                <w:rFonts w:ascii="Arial Narrow" w:hAnsi="Arial Narrow"/>
                <w:b/>
                <w:sz w:val="20"/>
                <w:szCs w:val="20"/>
                <w:lang w:eastAsia="en-AU"/>
              </w:rPr>
            </w:pPr>
            <w:r w:rsidRPr="008B2F8A">
              <w:rPr>
                <w:rFonts w:ascii="Arial Narrow" w:hAnsi="Arial Narrow"/>
                <w:b/>
                <w:sz w:val="20"/>
                <w:szCs w:val="20"/>
                <w:lang w:eastAsia="en-AU"/>
              </w:rPr>
              <w:t>M</w:t>
            </w:r>
          </w:p>
        </w:tc>
        <w:tc>
          <w:tcPr>
            <w:tcW w:w="354" w:type="pct"/>
            <w:vAlign w:val="bottom"/>
          </w:tcPr>
          <w:p w14:paraId="6E628235" w14:textId="77777777" w:rsidR="00E47AB8" w:rsidRPr="008B2F8A" w:rsidRDefault="00E47AB8" w:rsidP="00422306">
            <w:pPr>
              <w:spacing w:before="40" w:after="80"/>
              <w:jc w:val="center"/>
              <w:rPr>
                <w:rFonts w:ascii="Arial Narrow" w:hAnsi="Arial Narrow" w:cs="Arial"/>
                <w:b/>
                <w:sz w:val="20"/>
                <w:szCs w:val="20"/>
                <w:lang w:eastAsia="en-AU"/>
              </w:rPr>
            </w:pPr>
            <w:r w:rsidRPr="008B2F8A">
              <w:rPr>
                <w:rFonts w:ascii="Arial Narrow" w:hAnsi="Arial Narrow" w:cs="Arial"/>
                <w:b/>
                <w:sz w:val="20"/>
                <w:szCs w:val="20"/>
                <w:lang w:eastAsia="en-AU"/>
              </w:rPr>
              <w:t>MRI</w:t>
            </w:r>
          </w:p>
        </w:tc>
        <w:tc>
          <w:tcPr>
            <w:tcW w:w="379" w:type="pct"/>
            <w:vAlign w:val="bottom"/>
          </w:tcPr>
          <w:p w14:paraId="542A2AB5" w14:textId="77777777" w:rsidR="00E47AB8" w:rsidRPr="008B2F8A" w:rsidRDefault="00E47AB8" w:rsidP="00422306">
            <w:pPr>
              <w:spacing w:before="40" w:after="80"/>
              <w:jc w:val="center"/>
              <w:rPr>
                <w:rFonts w:ascii="Arial Narrow" w:hAnsi="Arial Narrow" w:cs="Arial"/>
                <w:b/>
                <w:sz w:val="20"/>
                <w:szCs w:val="20"/>
                <w:lang w:eastAsia="en-AU"/>
              </w:rPr>
            </w:pPr>
            <w:r w:rsidRPr="008B2F8A">
              <w:rPr>
                <w:rFonts w:ascii="Arial Narrow" w:hAnsi="Arial Narrow" w:cs="Arial"/>
                <w:b/>
                <w:sz w:val="20"/>
                <w:szCs w:val="20"/>
                <w:lang w:eastAsia="en-AU"/>
              </w:rPr>
              <w:t xml:space="preserve">MRI </w:t>
            </w:r>
            <w:r w:rsidRPr="008B2F8A">
              <w:rPr>
                <w:rFonts w:ascii="Arial Narrow" w:hAnsi="Arial Narrow"/>
              </w:rPr>
              <w:t>​+​</w:t>
            </w:r>
            <w:r w:rsidRPr="008B2F8A">
              <w:rPr>
                <w:rFonts w:ascii="Arial Narrow" w:hAnsi="Arial Narrow" w:cs="Arial"/>
                <w:b/>
                <w:sz w:val="20"/>
                <w:szCs w:val="20"/>
                <w:lang w:eastAsia="en-AU"/>
              </w:rPr>
              <w:t xml:space="preserve"> M</w:t>
            </w:r>
          </w:p>
        </w:tc>
        <w:tc>
          <w:tcPr>
            <w:tcW w:w="408" w:type="pct"/>
            <w:vAlign w:val="bottom"/>
          </w:tcPr>
          <w:p w14:paraId="70B53A8B" w14:textId="77777777" w:rsidR="00E47AB8" w:rsidRPr="008B2F8A" w:rsidRDefault="00E47AB8" w:rsidP="00422306">
            <w:pPr>
              <w:spacing w:before="40" w:after="80"/>
              <w:jc w:val="center"/>
              <w:rPr>
                <w:rFonts w:ascii="Arial Narrow" w:hAnsi="Arial Narrow"/>
                <w:b/>
                <w:sz w:val="20"/>
                <w:szCs w:val="20"/>
                <w:lang w:eastAsia="en-AU"/>
              </w:rPr>
            </w:pPr>
            <w:r w:rsidRPr="008B2F8A">
              <w:rPr>
                <w:rFonts w:ascii="Arial Narrow" w:hAnsi="Arial Narrow"/>
                <w:b/>
                <w:sz w:val="20"/>
                <w:szCs w:val="20"/>
                <w:lang w:eastAsia="en-AU"/>
              </w:rPr>
              <w:t>M</w:t>
            </w:r>
          </w:p>
        </w:tc>
        <w:tc>
          <w:tcPr>
            <w:tcW w:w="377" w:type="pct"/>
            <w:vAlign w:val="bottom"/>
          </w:tcPr>
          <w:p w14:paraId="7393C9B3" w14:textId="77777777" w:rsidR="00E47AB8" w:rsidRPr="008B2F8A" w:rsidRDefault="00E47AB8" w:rsidP="00422306">
            <w:pPr>
              <w:spacing w:before="40" w:after="80"/>
              <w:jc w:val="center"/>
              <w:rPr>
                <w:rFonts w:ascii="Arial Narrow" w:hAnsi="Arial Narrow"/>
                <w:b/>
                <w:sz w:val="20"/>
                <w:szCs w:val="20"/>
                <w:lang w:eastAsia="en-AU"/>
              </w:rPr>
            </w:pPr>
            <w:r w:rsidRPr="008B2F8A">
              <w:rPr>
                <w:rFonts w:ascii="Arial Narrow" w:hAnsi="Arial Narrow"/>
                <w:b/>
                <w:sz w:val="20"/>
                <w:szCs w:val="20"/>
                <w:lang w:eastAsia="en-AU"/>
              </w:rPr>
              <w:t>MRI</w:t>
            </w:r>
          </w:p>
        </w:tc>
      </w:tr>
      <w:tr w:rsidR="00E47AB8" w:rsidRPr="008B2F8A" w14:paraId="31978DE7" w14:textId="77777777" w:rsidTr="00B17898">
        <w:tc>
          <w:tcPr>
            <w:tcW w:w="563" w:type="pct"/>
          </w:tcPr>
          <w:p w14:paraId="3061C2CE" w14:textId="7C9A87B6" w:rsidR="00E47AB8" w:rsidRPr="008B2F8A" w:rsidRDefault="00E47AB8">
            <w:pPr>
              <w:spacing w:before="40" w:after="80"/>
              <w:rPr>
                <w:rFonts w:ascii="Arial Narrow" w:hAnsi="Arial Narrow"/>
                <w:sz w:val="20"/>
                <w:szCs w:val="20"/>
                <w:lang w:eastAsia="en-AU"/>
              </w:rPr>
            </w:pPr>
            <w:r>
              <w:rPr>
                <w:rFonts w:ascii="Arial Narrow" w:hAnsi="Arial Narrow"/>
                <w:sz w:val="20"/>
                <w:szCs w:val="20"/>
                <w:lang w:eastAsia="en-AU"/>
              </w:rPr>
              <w:t>Leach</w:t>
            </w:r>
            <w:r w:rsidR="00BE02D0">
              <w:rPr>
                <w:rFonts w:ascii="Arial Narrow" w:hAnsi="Arial Narrow"/>
                <w:sz w:val="20"/>
                <w:szCs w:val="20"/>
                <w:lang w:eastAsia="en-AU"/>
              </w:rPr>
              <w:t xml:space="preserve"> et al</w:t>
            </w:r>
            <w:r>
              <w:rPr>
                <w:rFonts w:ascii="Arial Narrow" w:hAnsi="Arial Narrow"/>
                <w:sz w:val="20"/>
                <w:szCs w:val="20"/>
                <w:lang w:eastAsia="en-AU"/>
              </w:rPr>
              <w:t>, 2005</w:t>
            </w:r>
          </w:p>
        </w:tc>
        <w:tc>
          <w:tcPr>
            <w:tcW w:w="346" w:type="pct"/>
          </w:tcPr>
          <w:p w14:paraId="317B367F" w14:textId="77777777" w:rsidR="00E47AB8" w:rsidRPr="008B2F8A" w:rsidRDefault="00E47AB8" w:rsidP="00422306">
            <w:pPr>
              <w:spacing w:before="40" w:after="80"/>
              <w:jc w:val="center"/>
              <w:rPr>
                <w:rFonts w:ascii="Arial Narrow" w:hAnsi="Arial Narrow" w:cs="Arial"/>
                <w:sz w:val="20"/>
                <w:szCs w:val="20"/>
                <w:lang w:eastAsia="en-AU"/>
              </w:rPr>
            </w:pPr>
            <w:r w:rsidRPr="008B2F8A">
              <w:rPr>
                <w:rFonts w:ascii="Arial Narrow" w:hAnsi="Arial Narrow" w:cs="Arial"/>
                <w:sz w:val="20"/>
                <w:szCs w:val="20"/>
                <w:lang w:eastAsia="en-AU"/>
              </w:rPr>
              <w:t>28</w:t>
            </w:r>
          </w:p>
        </w:tc>
        <w:tc>
          <w:tcPr>
            <w:tcW w:w="226" w:type="pct"/>
          </w:tcPr>
          <w:p w14:paraId="5EE681EC"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cs="Arial"/>
                <w:sz w:val="20"/>
                <w:szCs w:val="20"/>
                <w:lang w:eastAsia="en-AU"/>
              </w:rPr>
              <w:t>9</w:t>
            </w:r>
          </w:p>
        </w:tc>
        <w:tc>
          <w:tcPr>
            <w:tcW w:w="281" w:type="pct"/>
          </w:tcPr>
          <w:p w14:paraId="4C132821"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19</w:t>
            </w:r>
          </w:p>
        </w:tc>
        <w:tc>
          <w:tcPr>
            <w:tcW w:w="428" w:type="pct"/>
          </w:tcPr>
          <w:p w14:paraId="15F75B53" w14:textId="77777777" w:rsidR="00E47AB8" w:rsidRPr="008B2F8A" w:rsidRDefault="00E47AB8" w:rsidP="00422306">
            <w:pPr>
              <w:spacing w:before="40" w:after="80"/>
              <w:jc w:val="center"/>
              <w:rPr>
                <w:rFonts w:ascii="Arial Narrow" w:hAnsi="Arial Narrow" w:cs="Arial"/>
                <w:sz w:val="20"/>
                <w:szCs w:val="20"/>
                <w:lang w:eastAsia="en-AU"/>
              </w:rPr>
            </w:pPr>
            <w:r w:rsidRPr="008B2F8A">
              <w:rPr>
                <w:rFonts w:ascii="Arial Narrow" w:hAnsi="Arial Narrow"/>
                <w:sz w:val="20"/>
                <w:szCs w:val="20"/>
                <w:lang w:eastAsia="en-AU"/>
              </w:rPr>
              <w:t>11/29 (38%)</w:t>
            </w:r>
          </w:p>
        </w:tc>
        <w:tc>
          <w:tcPr>
            <w:tcW w:w="428" w:type="pct"/>
          </w:tcPr>
          <w:p w14:paraId="4D7730C1"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4/9 (44%)</w:t>
            </w:r>
          </w:p>
          <w:p w14:paraId="70963F64"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i/>
                <w:sz w:val="20"/>
                <w:szCs w:val="20"/>
                <w:lang w:eastAsia="en-AU"/>
              </w:rPr>
              <w:t>P</w:t>
            </w:r>
            <w:r w:rsidRPr="008B2F8A">
              <w:rPr>
                <w:rFonts w:ascii="Arial Narrow" w:hAnsi="Arial Narrow"/>
                <w:sz w:val="20"/>
                <w:szCs w:val="20"/>
                <w:lang w:eastAsia="en-AU"/>
              </w:rPr>
              <w:t xml:space="preserve"> = 0.71</w:t>
            </w:r>
            <w:r w:rsidRPr="008B2F8A">
              <w:rPr>
                <w:rFonts w:ascii="Arial Narrow" w:hAnsi="Arial Narrow"/>
                <w:sz w:val="20"/>
                <w:szCs w:val="20"/>
                <w:vertAlign w:val="superscript"/>
                <w:lang w:eastAsia="en-AU"/>
              </w:rPr>
              <w:t>1</w:t>
            </w:r>
          </w:p>
        </w:tc>
        <w:tc>
          <w:tcPr>
            <w:tcW w:w="428" w:type="pct"/>
          </w:tcPr>
          <w:p w14:paraId="4F0AD304"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6/19 (32%)</w:t>
            </w:r>
          </w:p>
        </w:tc>
        <w:tc>
          <w:tcPr>
            <w:tcW w:w="374" w:type="pct"/>
          </w:tcPr>
          <w:p w14:paraId="6D4E2BAC"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19/24 (79%)</w:t>
            </w:r>
          </w:p>
        </w:tc>
        <w:tc>
          <w:tcPr>
            <w:tcW w:w="408" w:type="pct"/>
          </w:tcPr>
          <w:p w14:paraId="6AEE62E9"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6/9 (67%)</w:t>
            </w:r>
          </w:p>
          <w:p w14:paraId="5655878B" w14:textId="77777777" w:rsidR="00E47AB8" w:rsidRPr="008B2F8A" w:rsidRDefault="00E47AB8" w:rsidP="00422306">
            <w:pPr>
              <w:spacing w:before="40" w:after="80"/>
              <w:jc w:val="center"/>
              <w:rPr>
                <w:rFonts w:ascii="Arial Narrow" w:hAnsi="Arial Narrow"/>
                <w:i/>
                <w:sz w:val="20"/>
                <w:szCs w:val="20"/>
                <w:lang w:eastAsia="en-AU"/>
              </w:rPr>
            </w:pPr>
            <w:r w:rsidRPr="008B2F8A">
              <w:rPr>
                <w:rFonts w:ascii="Arial Narrow" w:hAnsi="Arial Narrow"/>
                <w:i/>
                <w:sz w:val="20"/>
                <w:szCs w:val="20"/>
                <w:lang w:eastAsia="en-AU"/>
              </w:rPr>
              <w:t>P</w:t>
            </w:r>
            <w:r w:rsidRPr="008B2F8A">
              <w:rPr>
                <w:rFonts w:ascii="Arial Narrow" w:hAnsi="Arial Narrow"/>
                <w:sz w:val="20"/>
                <w:szCs w:val="20"/>
                <w:lang w:eastAsia="en-AU"/>
              </w:rPr>
              <w:t xml:space="preserve"> = 0.65</w:t>
            </w:r>
            <w:r w:rsidRPr="008B2F8A">
              <w:rPr>
                <w:rFonts w:ascii="Arial Narrow" w:hAnsi="Arial Narrow"/>
                <w:sz w:val="20"/>
                <w:szCs w:val="20"/>
                <w:vertAlign w:val="superscript"/>
                <w:lang w:eastAsia="en-AU"/>
              </w:rPr>
              <w:t>1</w:t>
            </w:r>
          </w:p>
        </w:tc>
        <w:tc>
          <w:tcPr>
            <w:tcW w:w="354" w:type="pct"/>
          </w:tcPr>
          <w:p w14:paraId="2A3DC5ED"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13/15 (87%)</w:t>
            </w:r>
          </w:p>
        </w:tc>
        <w:tc>
          <w:tcPr>
            <w:tcW w:w="379" w:type="pct"/>
          </w:tcPr>
          <w:p w14:paraId="1EDED431"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G1 3/28 (11%), G3 18/28 (64%)</w:t>
            </w:r>
          </w:p>
        </w:tc>
        <w:tc>
          <w:tcPr>
            <w:tcW w:w="408" w:type="pct"/>
          </w:tcPr>
          <w:p w14:paraId="657F0D07" w14:textId="77777777" w:rsidR="00E47AB8" w:rsidRPr="008B2F8A" w:rsidRDefault="00E47AB8" w:rsidP="00422306">
            <w:pPr>
              <w:spacing w:before="40" w:after="80"/>
              <w:jc w:val="center"/>
              <w:rPr>
                <w:rFonts w:ascii="Arial Narrow" w:hAnsi="Arial Narrow"/>
                <w:i/>
                <w:sz w:val="20"/>
                <w:szCs w:val="20"/>
                <w:lang w:eastAsia="en-AU"/>
              </w:rPr>
            </w:pPr>
            <w:r w:rsidRPr="008B2F8A">
              <w:rPr>
                <w:rFonts w:ascii="Arial Narrow" w:hAnsi="Arial Narrow"/>
                <w:sz w:val="20"/>
                <w:szCs w:val="20"/>
                <w:lang w:eastAsia="en-AU"/>
              </w:rPr>
              <w:t>G1 0/9 (0%), G3 7/9 (78%)</w:t>
            </w:r>
          </w:p>
        </w:tc>
        <w:tc>
          <w:tcPr>
            <w:tcW w:w="377" w:type="pct"/>
          </w:tcPr>
          <w:p w14:paraId="5623AC58"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G1 3/25 (12%), G3 17/25 (68%)</w:t>
            </w:r>
          </w:p>
        </w:tc>
      </w:tr>
      <w:tr w:rsidR="00E47AB8" w:rsidRPr="008B2F8A" w14:paraId="7CA45609" w14:textId="77777777" w:rsidTr="00B17898">
        <w:tc>
          <w:tcPr>
            <w:tcW w:w="563" w:type="pct"/>
          </w:tcPr>
          <w:p w14:paraId="1E2B99E8" w14:textId="4F554ABA" w:rsidR="00E47AB8" w:rsidRPr="008B2F8A" w:rsidRDefault="00E47AB8" w:rsidP="00422306">
            <w:pPr>
              <w:spacing w:before="40" w:after="80"/>
              <w:rPr>
                <w:rFonts w:ascii="Arial Narrow" w:hAnsi="Arial Narrow"/>
                <w:sz w:val="20"/>
                <w:szCs w:val="20"/>
                <w:lang w:eastAsia="en-AU"/>
              </w:rPr>
            </w:pPr>
            <w:r>
              <w:rPr>
                <w:rFonts w:ascii="Arial Narrow" w:hAnsi="Arial Narrow"/>
                <w:sz w:val="20"/>
                <w:szCs w:val="20"/>
                <w:lang w:eastAsia="en-AU"/>
              </w:rPr>
              <w:t>Warner et al, 2004</w:t>
            </w:r>
          </w:p>
        </w:tc>
        <w:tc>
          <w:tcPr>
            <w:tcW w:w="346" w:type="pct"/>
          </w:tcPr>
          <w:p w14:paraId="09BC1B99"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13</w:t>
            </w:r>
          </w:p>
        </w:tc>
        <w:tc>
          <w:tcPr>
            <w:tcW w:w="226" w:type="pct"/>
          </w:tcPr>
          <w:p w14:paraId="107B668C"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5</w:t>
            </w:r>
          </w:p>
        </w:tc>
        <w:tc>
          <w:tcPr>
            <w:tcW w:w="281" w:type="pct"/>
          </w:tcPr>
          <w:p w14:paraId="6919B18B"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13</w:t>
            </w:r>
          </w:p>
        </w:tc>
        <w:tc>
          <w:tcPr>
            <w:tcW w:w="428" w:type="pct"/>
          </w:tcPr>
          <w:p w14:paraId="19BD138A"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5/13 (38%)</w:t>
            </w:r>
          </w:p>
        </w:tc>
        <w:tc>
          <w:tcPr>
            <w:tcW w:w="428" w:type="pct"/>
          </w:tcPr>
          <w:p w14:paraId="05A35A25"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1/5 (20%)</w:t>
            </w:r>
          </w:p>
          <w:p w14:paraId="66C5FC14"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i/>
                <w:sz w:val="20"/>
                <w:szCs w:val="20"/>
                <w:lang w:eastAsia="en-AU"/>
              </w:rPr>
              <w:t>P</w:t>
            </w:r>
            <w:r w:rsidRPr="008B2F8A">
              <w:rPr>
                <w:rFonts w:ascii="Arial Narrow" w:hAnsi="Arial Narrow"/>
                <w:sz w:val="20"/>
                <w:szCs w:val="20"/>
                <w:lang w:eastAsia="en-AU"/>
              </w:rPr>
              <w:t xml:space="preserve"> = 0.62</w:t>
            </w:r>
            <w:r w:rsidRPr="008B2F8A">
              <w:rPr>
                <w:rFonts w:ascii="Arial Narrow" w:hAnsi="Arial Narrow"/>
                <w:sz w:val="20"/>
                <w:szCs w:val="20"/>
                <w:vertAlign w:val="superscript"/>
                <w:lang w:eastAsia="en-AU"/>
              </w:rPr>
              <w:t>1</w:t>
            </w:r>
          </w:p>
        </w:tc>
        <w:tc>
          <w:tcPr>
            <w:tcW w:w="428" w:type="pct"/>
          </w:tcPr>
          <w:p w14:paraId="546485C6"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5/13 (38%)</w:t>
            </w:r>
          </w:p>
        </w:tc>
        <w:tc>
          <w:tcPr>
            <w:tcW w:w="374" w:type="pct"/>
          </w:tcPr>
          <w:p w14:paraId="2F6CD618"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11/12 (92%)</w:t>
            </w:r>
          </w:p>
        </w:tc>
        <w:tc>
          <w:tcPr>
            <w:tcW w:w="408" w:type="pct"/>
          </w:tcPr>
          <w:p w14:paraId="7D5E3666"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4/4 (100%)</w:t>
            </w:r>
          </w:p>
          <w:p w14:paraId="2259E589"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i/>
                <w:sz w:val="20"/>
                <w:szCs w:val="20"/>
                <w:lang w:eastAsia="en-AU"/>
              </w:rPr>
              <w:t>P</w:t>
            </w:r>
            <w:r w:rsidRPr="008B2F8A">
              <w:rPr>
                <w:rFonts w:ascii="Arial Narrow" w:hAnsi="Arial Narrow"/>
                <w:sz w:val="20"/>
                <w:szCs w:val="20"/>
                <w:lang w:eastAsia="en-AU"/>
              </w:rPr>
              <w:t xml:space="preserve"> = 1.00</w:t>
            </w:r>
            <w:r w:rsidRPr="008B2F8A">
              <w:rPr>
                <w:rFonts w:ascii="Arial Narrow" w:hAnsi="Arial Narrow"/>
                <w:sz w:val="20"/>
                <w:szCs w:val="20"/>
                <w:vertAlign w:val="superscript"/>
                <w:lang w:eastAsia="en-AU"/>
              </w:rPr>
              <w:t>1</w:t>
            </w:r>
          </w:p>
        </w:tc>
        <w:tc>
          <w:tcPr>
            <w:tcW w:w="354" w:type="pct"/>
          </w:tcPr>
          <w:p w14:paraId="6DC7839F"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11/12 (92%)</w:t>
            </w:r>
          </w:p>
        </w:tc>
        <w:tc>
          <w:tcPr>
            <w:tcW w:w="379" w:type="pct"/>
          </w:tcPr>
          <w:p w14:paraId="1A115636"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NR</w:t>
            </w:r>
          </w:p>
        </w:tc>
        <w:tc>
          <w:tcPr>
            <w:tcW w:w="408" w:type="pct"/>
          </w:tcPr>
          <w:p w14:paraId="26251B61"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NR</w:t>
            </w:r>
          </w:p>
        </w:tc>
        <w:tc>
          <w:tcPr>
            <w:tcW w:w="377" w:type="pct"/>
          </w:tcPr>
          <w:p w14:paraId="78980FD5"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NR</w:t>
            </w:r>
          </w:p>
        </w:tc>
      </w:tr>
      <w:tr w:rsidR="00E47AB8" w:rsidRPr="008B2F8A" w14:paraId="64326A84" w14:textId="77777777" w:rsidTr="00B17898">
        <w:trPr>
          <w:cantSplit/>
        </w:trPr>
        <w:tc>
          <w:tcPr>
            <w:tcW w:w="563" w:type="pct"/>
          </w:tcPr>
          <w:p w14:paraId="47859A9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Kriege </w:t>
            </w:r>
            <w:r>
              <w:rPr>
                <w:rFonts w:ascii="Arial Narrow" w:hAnsi="Arial Narrow"/>
                <w:sz w:val="20"/>
                <w:szCs w:val="20"/>
                <w:lang w:eastAsia="en-AU"/>
              </w:rPr>
              <w:t xml:space="preserve">et al, </w:t>
            </w:r>
            <w:r w:rsidRPr="008B2F8A">
              <w:rPr>
                <w:rFonts w:ascii="Arial Narrow" w:hAnsi="Arial Narrow"/>
                <w:sz w:val="20"/>
                <w:szCs w:val="20"/>
                <w:lang w:eastAsia="en-AU"/>
              </w:rPr>
              <w:t>2007</w:t>
            </w:r>
            <w:r w:rsidRPr="008B2F8A">
              <w:rPr>
                <w:rFonts w:ascii="Arial Narrow" w:hAnsi="Arial Narrow"/>
                <w:sz w:val="20"/>
                <w:szCs w:val="20"/>
                <w:vertAlign w:val="superscript"/>
                <w:lang w:eastAsia="en-AU"/>
              </w:rPr>
              <w:t>†</w:t>
            </w:r>
          </w:p>
        </w:tc>
        <w:tc>
          <w:tcPr>
            <w:tcW w:w="346" w:type="pct"/>
          </w:tcPr>
          <w:p w14:paraId="6B898945"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22</w:t>
            </w:r>
          </w:p>
        </w:tc>
        <w:tc>
          <w:tcPr>
            <w:tcW w:w="226" w:type="pct"/>
          </w:tcPr>
          <w:p w14:paraId="16640F29"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8</w:t>
            </w:r>
          </w:p>
        </w:tc>
        <w:tc>
          <w:tcPr>
            <w:tcW w:w="281" w:type="pct"/>
          </w:tcPr>
          <w:p w14:paraId="17A64B60"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10</w:t>
            </w:r>
          </w:p>
        </w:tc>
        <w:tc>
          <w:tcPr>
            <w:tcW w:w="428" w:type="pct"/>
          </w:tcPr>
          <w:p w14:paraId="61A64D2F" w14:textId="77777777" w:rsidR="00E47AB8" w:rsidRPr="008B2F8A" w:rsidRDefault="00E47AB8" w:rsidP="00422306">
            <w:pPr>
              <w:spacing w:before="40" w:after="80"/>
              <w:jc w:val="center"/>
              <w:rPr>
                <w:rFonts w:ascii="Arial Narrow" w:hAnsi="Arial Narrow"/>
                <w:sz w:val="20"/>
                <w:szCs w:val="20"/>
                <w:lang w:eastAsia="en-AU"/>
              </w:rPr>
            </w:pPr>
          </w:p>
        </w:tc>
        <w:tc>
          <w:tcPr>
            <w:tcW w:w="428" w:type="pct"/>
          </w:tcPr>
          <w:p w14:paraId="43EBDD77"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Other screen: 5/21 (31%)</w:t>
            </w:r>
          </w:p>
          <w:p w14:paraId="4A9BEC75"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i/>
                <w:sz w:val="20"/>
                <w:szCs w:val="20"/>
                <w:lang w:eastAsia="en-AU"/>
              </w:rPr>
              <w:t>P</w:t>
            </w:r>
            <w:r w:rsidRPr="008B2F8A">
              <w:rPr>
                <w:rFonts w:ascii="Arial Narrow" w:hAnsi="Arial Narrow"/>
                <w:sz w:val="20"/>
                <w:szCs w:val="20"/>
                <w:lang w:eastAsia="en-AU"/>
              </w:rPr>
              <w:t xml:space="preserve"> = 0.11</w:t>
            </w:r>
            <w:r w:rsidRPr="008B2F8A">
              <w:rPr>
                <w:rFonts w:ascii="Arial Narrow" w:hAnsi="Arial Narrow"/>
                <w:sz w:val="20"/>
                <w:szCs w:val="20"/>
                <w:vertAlign w:val="superscript"/>
                <w:lang w:eastAsia="en-AU"/>
              </w:rPr>
              <w:t>3</w:t>
            </w:r>
          </w:p>
        </w:tc>
        <w:tc>
          <w:tcPr>
            <w:tcW w:w="428" w:type="pct"/>
          </w:tcPr>
          <w:p w14:paraId="5ACB1041"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11/20 (58%)</w:t>
            </w:r>
          </w:p>
        </w:tc>
        <w:tc>
          <w:tcPr>
            <w:tcW w:w="374" w:type="pct"/>
          </w:tcPr>
          <w:p w14:paraId="3B3B7FF4" w14:textId="77777777" w:rsidR="00E47AB8" w:rsidRPr="008B2F8A" w:rsidRDefault="00E47AB8" w:rsidP="00422306">
            <w:pPr>
              <w:spacing w:before="40" w:after="80"/>
              <w:jc w:val="center"/>
              <w:rPr>
                <w:rFonts w:ascii="Arial Narrow" w:hAnsi="Arial Narrow"/>
                <w:sz w:val="20"/>
                <w:szCs w:val="20"/>
                <w:lang w:eastAsia="en-AU"/>
              </w:rPr>
            </w:pPr>
          </w:p>
        </w:tc>
        <w:tc>
          <w:tcPr>
            <w:tcW w:w="408" w:type="pct"/>
          </w:tcPr>
          <w:p w14:paraId="74A89485"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Other screen: 9/21 (56%)</w:t>
            </w:r>
          </w:p>
          <w:p w14:paraId="0256AD34"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i/>
                <w:sz w:val="20"/>
                <w:szCs w:val="20"/>
                <w:lang w:eastAsia="en-AU"/>
              </w:rPr>
              <w:t>P</w:t>
            </w:r>
            <w:r w:rsidRPr="008B2F8A">
              <w:rPr>
                <w:rFonts w:ascii="Arial Narrow" w:hAnsi="Arial Narrow"/>
                <w:sz w:val="20"/>
                <w:szCs w:val="20"/>
                <w:lang w:eastAsia="en-AU"/>
              </w:rPr>
              <w:t xml:space="preserve"> = 0.02</w:t>
            </w:r>
            <w:r w:rsidRPr="008B2F8A">
              <w:rPr>
                <w:rFonts w:ascii="Arial Narrow" w:hAnsi="Arial Narrow"/>
                <w:sz w:val="20"/>
                <w:szCs w:val="20"/>
                <w:vertAlign w:val="superscript"/>
                <w:lang w:eastAsia="en-AU"/>
              </w:rPr>
              <w:t>3</w:t>
            </w:r>
          </w:p>
        </w:tc>
        <w:tc>
          <w:tcPr>
            <w:tcW w:w="354" w:type="pct"/>
          </w:tcPr>
          <w:p w14:paraId="523F532B"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16/20 (94%)</w:t>
            </w:r>
          </w:p>
        </w:tc>
        <w:tc>
          <w:tcPr>
            <w:tcW w:w="379" w:type="pct"/>
          </w:tcPr>
          <w:p w14:paraId="62668A10" w14:textId="77777777" w:rsidR="00E47AB8" w:rsidRPr="008B2F8A" w:rsidRDefault="00E47AB8" w:rsidP="00422306">
            <w:pPr>
              <w:spacing w:before="40" w:after="80"/>
              <w:jc w:val="center"/>
              <w:rPr>
                <w:rFonts w:ascii="Arial Narrow" w:hAnsi="Arial Narrow"/>
                <w:sz w:val="20"/>
                <w:szCs w:val="20"/>
                <w:lang w:eastAsia="en-AU"/>
              </w:rPr>
            </w:pPr>
          </w:p>
        </w:tc>
        <w:tc>
          <w:tcPr>
            <w:tcW w:w="408" w:type="pct"/>
          </w:tcPr>
          <w:p w14:paraId="12CB78CF"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Other screen:</w:t>
            </w:r>
          </w:p>
          <w:p w14:paraId="22E64D61"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G1 7/21 (44%), G3 5/21 (31%)</w:t>
            </w:r>
          </w:p>
        </w:tc>
        <w:tc>
          <w:tcPr>
            <w:tcW w:w="377" w:type="pct"/>
          </w:tcPr>
          <w:p w14:paraId="78335435"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G1 11/20 (58%), G3 5/20 (26%)</w:t>
            </w:r>
          </w:p>
        </w:tc>
      </w:tr>
      <w:tr w:rsidR="00E47AB8" w:rsidRPr="008B2F8A" w14:paraId="6855D4AA" w14:textId="77777777" w:rsidTr="00B17898">
        <w:tc>
          <w:tcPr>
            <w:tcW w:w="563" w:type="pct"/>
          </w:tcPr>
          <w:p w14:paraId="7D2D2E21" w14:textId="1620A1B5" w:rsidR="00E47AB8" w:rsidRPr="008B2F8A" w:rsidRDefault="00E47AB8" w:rsidP="00422306">
            <w:pPr>
              <w:spacing w:before="40" w:after="80"/>
              <w:rPr>
                <w:rFonts w:ascii="Arial Narrow" w:hAnsi="Arial Narrow"/>
                <w:sz w:val="20"/>
                <w:szCs w:val="20"/>
                <w:lang w:eastAsia="en-AU"/>
              </w:rPr>
            </w:pPr>
            <w:r>
              <w:rPr>
                <w:rFonts w:ascii="Arial Narrow" w:hAnsi="Arial Narrow"/>
                <w:sz w:val="20"/>
                <w:szCs w:val="20"/>
                <w:lang w:eastAsia="en-AU"/>
              </w:rPr>
              <w:t>Kuhl et al, 2005</w:t>
            </w:r>
          </w:p>
        </w:tc>
        <w:tc>
          <w:tcPr>
            <w:tcW w:w="346" w:type="pct"/>
          </w:tcPr>
          <w:p w14:paraId="494FA292" w14:textId="77777777" w:rsidR="00E47AB8" w:rsidRPr="008B2F8A" w:rsidRDefault="00E47AB8" w:rsidP="00422306">
            <w:pPr>
              <w:spacing w:before="40" w:after="80"/>
              <w:jc w:val="center"/>
              <w:rPr>
                <w:rFonts w:ascii="Arial Narrow" w:hAnsi="Arial Narrow"/>
                <w:sz w:val="20"/>
                <w:szCs w:val="20"/>
                <w:lang w:eastAsia="en-AU"/>
              </w:rPr>
            </w:pPr>
          </w:p>
        </w:tc>
        <w:tc>
          <w:tcPr>
            <w:tcW w:w="226" w:type="pct"/>
          </w:tcPr>
          <w:p w14:paraId="0F1C9B2D"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10 (4)</w:t>
            </w:r>
          </w:p>
        </w:tc>
        <w:tc>
          <w:tcPr>
            <w:tcW w:w="281" w:type="pct"/>
          </w:tcPr>
          <w:p w14:paraId="5779C28C"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31 (8)</w:t>
            </w:r>
          </w:p>
        </w:tc>
        <w:tc>
          <w:tcPr>
            <w:tcW w:w="428" w:type="pct"/>
          </w:tcPr>
          <w:p w14:paraId="75294D59" w14:textId="77777777" w:rsidR="00E47AB8" w:rsidRPr="008B2F8A" w:rsidRDefault="00E47AB8" w:rsidP="00422306">
            <w:pPr>
              <w:spacing w:before="40" w:after="80"/>
              <w:jc w:val="center"/>
              <w:rPr>
                <w:rFonts w:ascii="Arial Narrow" w:hAnsi="Arial Narrow"/>
                <w:sz w:val="20"/>
                <w:szCs w:val="20"/>
                <w:lang w:eastAsia="en-AU"/>
              </w:rPr>
            </w:pPr>
          </w:p>
        </w:tc>
        <w:tc>
          <w:tcPr>
            <w:tcW w:w="428" w:type="pct"/>
          </w:tcPr>
          <w:p w14:paraId="4C893D07"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5/14 (36%)</w:t>
            </w:r>
          </w:p>
          <w:p w14:paraId="47F70C62"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i/>
                <w:sz w:val="20"/>
                <w:szCs w:val="20"/>
                <w:lang w:eastAsia="en-AU"/>
              </w:rPr>
              <w:t xml:space="preserve">P </w:t>
            </w:r>
            <w:r w:rsidRPr="008B2F8A">
              <w:rPr>
                <w:rFonts w:ascii="Arial Narrow" w:hAnsi="Arial Narrow"/>
                <w:sz w:val="20"/>
                <w:szCs w:val="20"/>
                <w:lang w:eastAsia="en-AU"/>
              </w:rPr>
              <w:t>= 0.21</w:t>
            </w:r>
            <w:r w:rsidRPr="008B2F8A">
              <w:rPr>
                <w:rFonts w:ascii="Arial Narrow" w:hAnsi="Arial Narrow"/>
                <w:sz w:val="20"/>
                <w:szCs w:val="20"/>
                <w:vertAlign w:val="superscript"/>
                <w:lang w:eastAsia="en-AU"/>
              </w:rPr>
              <w:t>2</w:t>
            </w:r>
          </w:p>
        </w:tc>
        <w:tc>
          <w:tcPr>
            <w:tcW w:w="428" w:type="pct"/>
          </w:tcPr>
          <w:p w14:paraId="6BA2F972"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23/39 (59%)</w:t>
            </w:r>
          </w:p>
        </w:tc>
        <w:tc>
          <w:tcPr>
            <w:tcW w:w="374" w:type="pct"/>
          </w:tcPr>
          <w:p w14:paraId="66486F31" w14:textId="77777777" w:rsidR="00E47AB8" w:rsidRPr="008B2F8A" w:rsidRDefault="00E47AB8" w:rsidP="00422306">
            <w:pPr>
              <w:spacing w:before="40" w:after="80"/>
              <w:jc w:val="center"/>
              <w:rPr>
                <w:rFonts w:ascii="Arial Narrow" w:hAnsi="Arial Narrow"/>
                <w:sz w:val="20"/>
                <w:szCs w:val="20"/>
                <w:lang w:eastAsia="en-AU"/>
              </w:rPr>
            </w:pPr>
          </w:p>
        </w:tc>
        <w:tc>
          <w:tcPr>
            <w:tcW w:w="408" w:type="pct"/>
          </w:tcPr>
          <w:p w14:paraId="03DE907C"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6/10 (60%)</w:t>
            </w:r>
          </w:p>
          <w:p w14:paraId="0C5984D2"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i/>
                <w:sz w:val="20"/>
                <w:szCs w:val="20"/>
                <w:lang w:eastAsia="en-AU"/>
              </w:rPr>
              <w:t xml:space="preserve">P </w:t>
            </w:r>
            <w:r w:rsidRPr="008B2F8A">
              <w:rPr>
                <w:rFonts w:ascii="Arial Narrow" w:hAnsi="Arial Narrow"/>
                <w:sz w:val="20"/>
                <w:szCs w:val="20"/>
                <w:lang w:eastAsia="en-AU"/>
              </w:rPr>
              <w:t>= 0.19</w:t>
            </w:r>
            <w:r w:rsidRPr="008B2F8A">
              <w:rPr>
                <w:rFonts w:ascii="Arial Narrow" w:hAnsi="Arial Narrow"/>
                <w:sz w:val="20"/>
                <w:szCs w:val="20"/>
                <w:vertAlign w:val="superscript"/>
                <w:lang w:eastAsia="en-AU"/>
              </w:rPr>
              <w:t>2</w:t>
            </w:r>
          </w:p>
        </w:tc>
        <w:tc>
          <w:tcPr>
            <w:tcW w:w="354" w:type="pct"/>
          </w:tcPr>
          <w:p w14:paraId="6149205D"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26/31 (84%)</w:t>
            </w:r>
          </w:p>
        </w:tc>
        <w:tc>
          <w:tcPr>
            <w:tcW w:w="379" w:type="pct"/>
          </w:tcPr>
          <w:p w14:paraId="4D6B72D7"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NR</w:t>
            </w:r>
          </w:p>
        </w:tc>
        <w:tc>
          <w:tcPr>
            <w:tcW w:w="408" w:type="pct"/>
          </w:tcPr>
          <w:p w14:paraId="2E2180E4"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NR</w:t>
            </w:r>
          </w:p>
        </w:tc>
        <w:tc>
          <w:tcPr>
            <w:tcW w:w="377" w:type="pct"/>
          </w:tcPr>
          <w:p w14:paraId="565A7C0D" w14:textId="77777777" w:rsidR="00E47AB8" w:rsidRPr="008B2F8A" w:rsidRDefault="00E47AB8" w:rsidP="00422306">
            <w:pPr>
              <w:spacing w:before="40" w:after="80"/>
              <w:jc w:val="center"/>
              <w:rPr>
                <w:rFonts w:ascii="Arial Narrow" w:hAnsi="Arial Narrow"/>
                <w:sz w:val="20"/>
                <w:szCs w:val="20"/>
                <w:lang w:eastAsia="en-AU"/>
              </w:rPr>
            </w:pPr>
            <w:r w:rsidRPr="008B2F8A">
              <w:rPr>
                <w:rFonts w:ascii="Arial Narrow" w:hAnsi="Arial Narrow"/>
                <w:sz w:val="20"/>
                <w:szCs w:val="20"/>
                <w:lang w:eastAsia="en-AU"/>
              </w:rPr>
              <w:t>NR</w:t>
            </w:r>
          </w:p>
        </w:tc>
      </w:tr>
    </w:tbl>
    <w:p w14:paraId="3FCC64B6" w14:textId="45E22F1D" w:rsidR="00E47AB8" w:rsidRPr="008B2F8A" w:rsidRDefault="00E47AB8" w:rsidP="00422306">
      <w:pPr>
        <w:pStyle w:val="TableNotesFirst"/>
        <w:spacing w:line="276" w:lineRule="auto"/>
        <w:rPr>
          <w:szCs w:val="18"/>
        </w:rPr>
      </w:pPr>
      <w:r w:rsidRPr="008B2F8A">
        <w:rPr>
          <w:szCs w:val="18"/>
          <w:vertAlign w:val="superscript"/>
        </w:rPr>
        <w:t xml:space="preserve">† </w:t>
      </w:r>
      <w:r w:rsidRPr="008B2F8A">
        <w:rPr>
          <w:szCs w:val="18"/>
        </w:rPr>
        <w:t xml:space="preserve">Study includes all women </w:t>
      </w:r>
      <w:r w:rsidRPr="008B2F8A">
        <w:rPr>
          <w:noProof/>
          <w:szCs w:val="18"/>
        </w:rPr>
        <w:t>(Kriege et al, 2007)</w:t>
      </w:r>
      <w:r>
        <w:rPr>
          <w:noProof/>
          <w:szCs w:val="18"/>
        </w:rPr>
        <w:t>,</w:t>
      </w:r>
      <w:r w:rsidRPr="008B2F8A">
        <w:rPr>
          <w:szCs w:val="18"/>
        </w:rPr>
        <w:t xml:space="preserve"> </w:t>
      </w:r>
      <w:r>
        <w:rPr>
          <w:szCs w:val="18"/>
        </w:rPr>
        <w:t>but</w:t>
      </w:r>
      <w:r w:rsidRPr="008B2F8A">
        <w:rPr>
          <w:szCs w:val="18"/>
        </w:rPr>
        <w:t xml:space="preserve"> sensitivity and specificity for this report include only pre-menopausal women </w:t>
      </w:r>
      <w:r w:rsidRPr="008B2F8A">
        <w:rPr>
          <w:noProof/>
          <w:szCs w:val="18"/>
        </w:rPr>
        <w:t>(Kriege et al, 2006b)</w:t>
      </w:r>
      <w:r w:rsidRPr="008B2F8A">
        <w:rPr>
          <w:szCs w:val="18"/>
        </w:rPr>
        <w:t>. MRI = magnetic resonance imaging; G = histological grade of tumour</w:t>
      </w:r>
      <w:r>
        <w:rPr>
          <w:szCs w:val="18"/>
        </w:rPr>
        <w:t>;</w:t>
      </w:r>
      <w:r w:rsidRPr="008B2F8A">
        <w:rPr>
          <w:szCs w:val="18"/>
        </w:rPr>
        <w:t xml:space="preserve"> M = mammography</w:t>
      </w:r>
      <w:r>
        <w:rPr>
          <w:szCs w:val="18"/>
        </w:rPr>
        <w:t>;</w:t>
      </w:r>
      <w:r w:rsidRPr="008B2F8A">
        <w:rPr>
          <w:szCs w:val="18"/>
        </w:rPr>
        <w:t xml:space="preserve"> NR = not reported.</w:t>
      </w:r>
    </w:p>
    <w:p w14:paraId="1F4063A0" w14:textId="11364C92" w:rsidR="00E47AB8" w:rsidRPr="008B2F8A" w:rsidRDefault="00E47AB8" w:rsidP="00422306">
      <w:pPr>
        <w:pStyle w:val="TableNotesMiddle"/>
        <w:spacing w:line="276" w:lineRule="auto"/>
        <w:rPr>
          <w:szCs w:val="18"/>
        </w:rPr>
      </w:pPr>
      <w:r w:rsidRPr="008B2F8A">
        <w:rPr>
          <w:szCs w:val="18"/>
        </w:rPr>
        <w:t xml:space="preserve">1. 2-sided Fisher’s exact test MRI </w:t>
      </w:r>
      <w:r>
        <w:rPr>
          <w:szCs w:val="18"/>
        </w:rPr>
        <w:t>+</w:t>
      </w:r>
      <w:r w:rsidRPr="008B2F8A">
        <w:rPr>
          <w:szCs w:val="18"/>
        </w:rPr>
        <w:t xml:space="preserve"> mammography versus mammography.</w:t>
      </w:r>
    </w:p>
    <w:p w14:paraId="043AABDF" w14:textId="77777777" w:rsidR="00E47AB8" w:rsidRPr="008B2F8A" w:rsidRDefault="00E47AB8" w:rsidP="00422306">
      <w:pPr>
        <w:pStyle w:val="TableNotesLast"/>
        <w:spacing w:after="0" w:line="276" w:lineRule="auto"/>
        <w:rPr>
          <w:szCs w:val="18"/>
        </w:rPr>
      </w:pPr>
      <w:r w:rsidRPr="008B2F8A">
        <w:rPr>
          <w:szCs w:val="18"/>
        </w:rPr>
        <w:t>2. 2-sided Fisher’s exact test MRI versus mammography.</w:t>
      </w:r>
    </w:p>
    <w:p w14:paraId="59E04D12" w14:textId="77777777" w:rsidR="00E47AB8" w:rsidRPr="008B2F8A" w:rsidRDefault="00E47AB8" w:rsidP="00422306">
      <w:pPr>
        <w:pStyle w:val="TableNotesLast"/>
        <w:spacing w:line="276" w:lineRule="auto"/>
        <w:rPr>
          <w:szCs w:val="18"/>
        </w:rPr>
      </w:pPr>
      <w:r w:rsidRPr="008B2F8A">
        <w:rPr>
          <w:szCs w:val="18"/>
        </w:rPr>
        <w:t>3. 2-sided Fisher’s exact test MRI versus other screen detected.</w:t>
      </w:r>
    </w:p>
    <w:p w14:paraId="0CF99B30" w14:textId="77777777" w:rsidR="00E47AB8" w:rsidRPr="008B2F8A" w:rsidRDefault="00E47AB8" w:rsidP="00422306">
      <w:pPr>
        <w:pStyle w:val="Heading4"/>
      </w:pPr>
      <w:bookmarkStart w:id="843" w:name="_Toc365552169"/>
      <w:r w:rsidRPr="008B2F8A">
        <w:t>Treatment effect</w:t>
      </w:r>
    </w:p>
    <w:p w14:paraId="5EC32646" w14:textId="3F4E2E45" w:rsidR="00E47AB8" w:rsidRPr="008B2F8A" w:rsidRDefault="00E47AB8" w:rsidP="00422306">
      <w:r w:rsidRPr="008B2F8A">
        <w:t xml:space="preserve">If the addition of breast MRI is proposed to detect cases at an earlier stage or </w:t>
      </w:r>
      <w:r>
        <w:t xml:space="preserve">at a </w:t>
      </w:r>
      <w:r w:rsidRPr="008B2F8A">
        <w:t xml:space="preserve">lower grade than mammography alone, treatment at this earlier stage or grade </w:t>
      </w:r>
      <w:r>
        <w:t>sh</w:t>
      </w:r>
      <w:r w:rsidRPr="008B2F8A">
        <w:t>ould reduce mortality. This review did not identify any studies comparing treatment outcomes for breast cancer cases detected by MRI and mammography in young high-risk women. Therefore, the relevant evidence comes from:</w:t>
      </w:r>
    </w:p>
    <w:p w14:paraId="7FA04137" w14:textId="77777777" w:rsidR="00E47AB8" w:rsidRPr="008B2F8A" w:rsidRDefault="00E47AB8" w:rsidP="00E47AB8">
      <w:pPr>
        <w:pStyle w:val="ListParagraph"/>
        <w:numPr>
          <w:ilvl w:val="0"/>
          <w:numId w:val="48"/>
        </w:numPr>
      </w:pPr>
      <w:r w:rsidRPr="008B2F8A">
        <w:t>outcomes from mammogram screen-detected versus clinically detected cases in average-risk patients</w:t>
      </w:r>
    </w:p>
    <w:p w14:paraId="41F2C980" w14:textId="77777777" w:rsidR="00E47AB8" w:rsidRDefault="00E47AB8" w:rsidP="00E47AB8">
      <w:pPr>
        <w:pStyle w:val="ListParagraph"/>
        <w:numPr>
          <w:ilvl w:val="0"/>
          <w:numId w:val="48"/>
        </w:numPr>
      </w:pPr>
      <w:r w:rsidRPr="008B2F8A">
        <w:t>outcomes for cases detected in high-risk women by stage and grade.</w:t>
      </w:r>
    </w:p>
    <w:p w14:paraId="1258EE33" w14:textId="77777777" w:rsidR="00141137" w:rsidRPr="008B2F8A" w:rsidRDefault="00141137" w:rsidP="00141137">
      <w:pPr>
        <w:pStyle w:val="ListParagraph"/>
      </w:pPr>
    </w:p>
    <w:p w14:paraId="1A290A58" w14:textId="3551D54C" w:rsidR="00E47AB8" w:rsidRPr="00141137" w:rsidRDefault="00E47AB8" w:rsidP="00141137">
      <w:pPr>
        <w:pStyle w:val="ListParagraph"/>
        <w:numPr>
          <w:ilvl w:val="0"/>
          <w:numId w:val="130"/>
        </w:numPr>
        <w:rPr>
          <w:i/>
        </w:rPr>
      </w:pPr>
      <w:r w:rsidRPr="00141137">
        <w:rPr>
          <w:i/>
        </w:rPr>
        <w:lastRenderedPageBreak/>
        <w:t>Mammogram screen–detected versus clinically detected cases</w:t>
      </w:r>
    </w:p>
    <w:p w14:paraId="337E9974" w14:textId="79492206" w:rsidR="00E47AB8" w:rsidRPr="008B2F8A" w:rsidRDefault="00E47AB8" w:rsidP="00422306">
      <w:r w:rsidRPr="008B2F8A">
        <w:t xml:space="preserve">Meta-analyses of randomised controlled trials have established that early detection of breast cancer by mammography reduced breast cancer mortality in patients </w:t>
      </w:r>
      <w:r>
        <w:t>at</w:t>
      </w:r>
      <w:r w:rsidRPr="008B2F8A">
        <w:t xml:space="preserve"> average risk (</w:t>
      </w:r>
      <w:r w:rsidRPr="008B2F8A">
        <w:rPr>
          <w:noProof/>
        </w:rPr>
        <w:t>Broeders et al, 2012; G</w:t>
      </w:r>
      <w:r>
        <w:rPr>
          <w:noProof/>
        </w:rPr>
        <w:t>ø</w:t>
      </w:r>
      <w:r w:rsidRPr="008B2F8A">
        <w:rPr>
          <w:noProof/>
        </w:rPr>
        <w:t>tzsche &amp; Jorgensen, 2013; Independent UK Panel on Breast Cancer Screening, 2012; US</w:t>
      </w:r>
      <w:r>
        <w:rPr>
          <w:noProof/>
        </w:rPr>
        <w:t xml:space="preserve"> </w:t>
      </w:r>
      <w:r w:rsidRPr="008B2F8A">
        <w:rPr>
          <w:noProof/>
        </w:rPr>
        <w:t>PSTF, 2009),</w:t>
      </w:r>
      <w:r w:rsidRPr="008B2F8A">
        <w:t xml:space="preserve"> but the magnitude</w:t>
      </w:r>
      <w:r>
        <w:t>s</w:t>
      </w:r>
      <w:r w:rsidRPr="008B2F8A">
        <w:t xml:space="preserve"> of the benefits and harms differ and the findings remain controversial. The benefits of mammographic screening </w:t>
      </w:r>
      <w:r>
        <w:t>may be</w:t>
      </w:r>
      <w:r w:rsidRPr="008B2F8A">
        <w:t xml:space="preserve"> more modest in women younger than 50 years. For women aged 39–49 </w:t>
      </w:r>
      <w:r>
        <w:t xml:space="preserve">years, </w:t>
      </w:r>
      <w:bookmarkStart w:id="844" w:name="OLE_LINK339"/>
      <w:bookmarkStart w:id="845" w:name="OLE_LINK340"/>
      <w:bookmarkStart w:id="846" w:name="OLE_LINK816"/>
      <w:bookmarkStart w:id="847" w:name="OLE_LINK817"/>
      <w:r w:rsidRPr="008B2F8A">
        <w:t>US</w:t>
      </w:r>
      <w:r>
        <w:t xml:space="preserve"> </w:t>
      </w:r>
      <w:r w:rsidRPr="008B2F8A">
        <w:t xml:space="preserve">PSTF </w:t>
      </w:r>
      <w:bookmarkEnd w:id="844"/>
      <w:bookmarkEnd w:id="845"/>
      <w:r w:rsidRPr="008B2F8A">
        <w:t>(2009</w:t>
      </w:r>
      <w:bookmarkEnd w:id="846"/>
      <w:bookmarkEnd w:id="847"/>
      <w:r w:rsidRPr="008B2F8A">
        <w:t xml:space="preserve">) </w:t>
      </w:r>
      <w:r>
        <w:t>reported</w:t>
      </w:r>
      <w:r w:rsidRPr="008B2F8A">
        <w:t xml:space="preserve"> a relative risk for breast cancer death of 0.85 (</w:t>
      </w:r>
      <w:r w:rsidR="00E9203D">
        <w:t xml:space="preserve">95% </w:t>
      </w:r>
      <w:r w:rsidRPr="008B2F8A">
        <w:t>CI 0.75–0.96; eight trials) and a number needed to invite for screening of 1904 (</w:t>
      </w:r>
      <w:r w:rsidR="00E9203D">
        <w:t xml:space="preserve">95% </w:t>
      </w:r>
      <w:r w:rsidRPr="008B2F8A">
        <w:t>CI 929–6378) to prevent one breast cancer death.</w:t>
      </w:r>
    </w:p>
    <w:p w14:paraId="1AD1B58F" w14:textId="3BF3E3AF" w:rsidR="00E47AB8" w:rsidRPr="008B2F8A" w:rsidRDefault="00E47AB8" w:rsidP="00422306">
      <w:r w:rsidRPr="008B2F8A">
        <w:t xml:space="preserve">The following factors were listed in the MSAC </w:t>
      </w:r>
      <w:r>
        <w:t xml:space="preserve">(2006) </w:t>
      </w:r>
      <w:r w:rsidRPr="008B2F8A">
        <w:t>assessment as limiting the applicability of evidence from mammography screening trials:</w:t>
      </w:r>
    </w:p>
    <w:p w14:paraId="7A2EEE2F" w14:textId="44CD03D1" w:rsidR="00E47AB8" w:rsidRPr="008B2F8A" w:rsidRDefault="00E47AB8" w:rsidP="00E47AB8">
      <w:pPr>
        <w:pStyle w:val="ListParagraph"/>
        <w:numPr>
          <w:ilvl w:val="0"/>
          <w:numId w:val="49"/>
        </w:numPr>
      </w:pPr>
      <w:r w:rsidRPr="008B2F8A">
        <w:t xml:space="preserve">Breast cancers in women with a genetic predisposition show different characteristics, including a higher proportion of aggressive tumours, </w:t>
      </w:r>
      <w:r>
        <w:t>from</w:t>
      </w:r>
      <w:r w:rsidRPr="008B2F8A">
        <w:t xml:space="preserve"> sporadic breast cancers</w:t>
      </w:r>
      <w:r>
        <w:t>,</w:t>
      </w:r>
      <w:r w:rsidRPr="008B2F8A">
        <w:t xml:space="preserve"> and early detection may not bring the same survival benefits as for sporadic cancers.</w:t>
      </w:r>
    </w:p>
    <w:p w14:paraId="718C48B1" w14:textId="74576542" w:rsidR="00141137" w:rsidRDefault="00E47AB8" w:rsidP="00141137">
      <w:pPr>
        <w:pStyle w:val="ListParagraph"/>
        <w:numPr>
          <w:ilvl w:val="0"/>
          <w:numId w:val="49"/>
        </w:numPr>
        <w:tabs>
          <w:tab w:val="left" w:pos="2982"/>
        </w:tabs>
      </w:pPr>
      <w:r w:rsidRPr="008B2F8A">
        <w:t xml:space="preserve">The extra cases of breast cancer detected by the addition of MRI may represent a different spectrum of disease </w:t>
      </w:r>
      <w:r>
        <w:t>from</w:t>
      </w:r>
      <w:r w:rsidRPr="008B2F8A">
        <w:t xml:space="preserve"> the extra cases detected by mammography versus clinical presentation. Differences in size, grade and stage of disease for MRI screen-detected versus mammogram screen-detected cases are not clearly defined </w:t>
      </w:r>
      <w:r w:rsidRPr="008B2F8A">
        <w:rPr>
          <w:noProof/>
        </w:rPr>
        <w:t>(MSAC, 2006)</w:t>
      </w:r>
      <w:r w:rsidRPr="008B2F8A">
        <w:t>.</w:t>
      </w:r>
    </w:p>
    <w:p w14:paraId="57D48F2F" w14:textId="77777777" w:rsidR="00141137" w:rsidRPr="008B2F8A" w:rsidRDefault="00141137" w:rsidP="00141137">
      <w:pPr>
        <w:tabs>
          <w:tab w:val="left" w:pos="2982"/>
        </w:tabs>
      </w:pPr>
    </w:p>
    <w:p w14:paraId="1350BE5E" w14:textId="77777777" w:rsidR="00E47AB8" w:rsidRPr="00141137" w:rsidRDefault="00E47AB8" w:rsidP="00141137">
      <w:pPr>
        <w:pStyle w:val="ListParagraph"/>
        <w:numPr>
          <w:ilvl w:val="0"/>
          <w:numId w:val="130"/>
        </w:numPr>
        <w:rPr>
          <w:i/>
        </w:rPr>
      </w:pPr>
      <w:r w:rsidRPr="00141137">
        <w:rPr>
          <w:i/>
        </w:rPr>
        <w:t>High-risk women by tumour stage</w:t>
      </w:r>
    </w:p>
    <w:p w14:paraId="1BA3DF83" w14:textId="293EB862" w:rsidR="00E47AB8" w:rsidRPr="008B2F8A" w:rsidRDefault="00E47AB8" w:rsidP="00422306">
      <w:r w:rsidRPr="008B2F8A">
        <w:t xml:space="preserve">This review did not identify any studies comparing treatment outcomes for high-risk women by stage of disease at diagnosis. The MSAC </w:t>
      </w:r>
      <w:r>
        <w:t xml:space="preserve">(2006) </w:t>
      </w:r>
      <w:r w:rsidRPr="008B2F8A">
        <w:t xml:space="preserve">review cited one large observational study which indicated that tumour size and nodal status are also important prognostic factors for </w:t>
      </w:r>
      <w:r w:rsidRPr="00703F10">
        <w:rPr>
          <w:i/>
        </w:rPr>
        <w:t>BRCA1</w:t>
      </w:r>
      <w:r>
        <w:t>–</w:t>
      </w:r>
      <w:r w:rsidRPr="008B2F8A">
        <w:t xml:space="preserve">associated breast cancers </w:t>
      </w:r>
      <w:r w:rsidRPr="008B2F8A">
        <w:rPr>
          <w:noProof/>
        </w:rPr>
        <w:t>(</w:t>
      </w:r>
      <w:bookmarkStart w:id="848" w:name="OLE_LINK818"/>
      <w:bookmarkStart w:id="849" w:name="OLE_LINK819"/>
      <w:r w:rsidRPr="008B2F8A">
        <w:rPr>
          <w:noProof/>
        </w:rPr>
        <w:t>Brekelmans &amp; Seynaeve, 2006</w:t>
      </w:r>
      <w:bookmarkEnd w:id="848"/>
      <w:bookmarkEnd w:id="849"/>
      <w:r w:rsidRPr="008B2F8A">
        <w:rPr>
          <w:noProof/>
        </w:rPr>
        <w:t>)</w:t>
      </w:r>
      <w:r w:rsidRPr="008B2F8A">
        <w:t>, which suggests that screening programs which detect a high proportion of early-stage disease will improve survival.</w:t>
      </w:r>
    </w:p>
    <w:p w14:paraId="78C26360" w14:textId="77777777" w:rsidR="00E47AB8" w:rsidRPr="008B2F8A" w:rsidRDefault="00E47AB8" w:rsidP="00E47AB8">
      <w:pPr>
        <w:pStyle w:val="Heading3"/>
        <w:numPr>
          <w:ilvl w:val="2"/>
          <w:numId w:val="42"/>
        </w:numPr>
      </w:pPr>
      <w:bookmarkStart w:id="850" w:name="_Toc383424468"/>
      <w:r w:rsidRPr="008B2F8A">
        <w:t>Change in management</w:t>
      </w:r>
      <w:bookmarkEnd w:id="843"/>
      <w:bookmarkEnd w:id="850"/>
    </w:p>
    <w:p w14:paraId="546B6252" w14:textId="01EF8FCB" w:rsidR="00E47AB8" w:rsidRPr="008B2F8A" w:rsidRDefault="00E47AB8" w:rsidP="00422306">
      <w:r>
        <w:t>As</w:t>
      </w:r>
      <w:r w:rsidRPr="008B2F8A">
        <w:t xml:space="preserve"> all MRI-detected cancers </w:t>
      </w:r>
      <w:r>
        <w:t>are likely to</w:t>
      </w:r>
      <w:r w:rsidRPr="008B2F8A">
        <w:t xml:space="preserve"> be treated according to standard breast cancer treatment protocols, studies with the outcome of change in management are not required for the evaluation of the addition of breast MRI to mammography.</w:t>
      </w:r>
    </w:p>
    <w:p w14:paraId="36A7B4CA" w14:textId="77777777" w:rsidR="00E47AB8" w:rsidRPr="008B2F8A" w:rsidRDefault="00E47AB8" w:rsidP="00E47AB8">
      <w:pPr>
        <w:pStyle w:val="Heading3"/>
        <w:numPr>
          <w:ilvl w:val="2"/>
          <w:numId w:val="42"/>
        </w:numPr>
      </w:pPr>
      <w:bookmarkStart w:id="851" w:name="_Ref368658785"/>
      <w:bookmarkStart w:id="852" w:name="_Ref368658796"/>
      <w:bookmarkStart w:id="853" w:name="_Ref368658805"/>
      <w:bookmarkStart w:id="854" w:name="_Ref368658808"/>
      <w:bookmarkStart w:id="855" w:name="_Toc383424469"/>
      <w:r w:rsidRPr="008B2F8A">
        <w:t>Patient outcomes</w:t>
      </w:r>
      <w:bookmarkEnd w:id="851"/>
      <w:bookmarkEnd w:id="852"/>
      <w:bookmarkEnd w:id="853"/>
      <w:bookmarkEnd w:id="854"/>
      <w:bookmarkEnd w:id="855"/>
    </w:p>
    <w:p w14:paraId="5ACF6A6B" w14:textId="0596BEF0" w:rsidR="00E47AB8" w:rsidRPr="008B2F8A" w:rsidRDefault="00E47AB8" w:rsidP="00422306">
      <w:r w:rsidRPr="008B2F8A">
        <w:t>Patient outcomes were included in two existing systematic reviews (</w:t>
      </w:r>
      <w:r w:rsidRPr="008B2F8A">
        <w:rPr>
          <w:noProof/>
        </w:rPr>
        <w:t xml:space="preserve">MSAC, 2006; </w:t>
      </w:r>
      <w:r>
        <w:rPr>
          <w:noProof/>
        </w:rPr>
        <w:t>NICE, 2013</w:t>
      </w:r>
      <w:r w:rsidRPr="008B2F8A">
        <w:rPr>
          <w:noProof/>
        </w:rPr>
        <w:t>),</w:t>
      </w:r>
      <w:r w:rsidRPr="008B2F8A">
        <w:t xml:space="preserve"> both of which relied extensively on one study </w:t>
      </w:r>
      <w:r w:rsidRPr="008B2F8A">
        <w:rPr>
          <w:noProof/>
        </w:rPr>
        <w:t>(</w:t>
      </w:r>
      <w:bookmarkStart w:id="856" w:name="OLE_LINK820"/>
      <w:bookmarkStart w:id="857" w:name="OLE_LINK821"/>
      <w:r w:rsidRPr="008B2F8A">
        <w:rPr>
          <w:noProof/>
        </w:rPr>
        <w:t>Rijnsburger et al, 2004</w:t>
      </w:r>
      <w:bookmarkEnd w:id="856"/>
      <w:bookmarkEnd w:id="857"/>
      <w:r w:rsidRPr="008B2F8A">
        <w:rPr>
          <w:noProof/>
        </w:rPr>
        <w:t>)</w:t>
      </w:r>
      <w:r w:rsidRPr="008B2F8A">
        <w:t>, a survey of 288 women. In this study</w:t>
      </w:r>
      <w:r>
        <w:t>,</w:t>
      </w:r>
      <w:r w:rsidRPr="008B2F8A">
        <w:t xml:space="preserve"> 30% of women reported mammography as </w:t>
      </w:r>
      <w:r>
        <w:t>being ‘</w:t>
      </w:r>
      <w:r w:rsidRPr="008B2F8A">
        <w:t>quite</w:t>
      </w:r>
      <w:r>
        <w:t>’</w:t>
      </w:r>
      <w:r w:rsidRPr="008B2F8A">
        <w:t xml:space="preserve"> to </w:t>
      </w:r>
      <w:r>
        <w:t>‘</w:t>
      </w:r>
      <w:r w:rsidRPr="008B2F8A">
        <w:t>very</w:t>
      </w:r>
      <w:r>
        <w:t>’</w:t>
      </w:r>
      <w:r w:rsidRPr="008B2F8A">
        <w:t xml:space="preserve"> painful</w:t>
      </w:r>
      <w:r>
        <w:t>,</w:t>
      </w:r>
      <w:r w:rsidRPr="008B2F8A">
        <w:t xml:space="preserve"> versus 1% who found breast MRI painful, but 5% reported anxiety about mammography</w:t>
      </w:r>
      <w:r>
        <w:t>,</w:t>
      </w:r>
      <w:r w:rsidRPr="008B2F8A">
        <w:t xml:space="preserve"> versus 10% about breast MRI. The study also found a small </w:t>
      </w:r>
      <w:r>
        <w:t xml:space="preserve">but </w:t>
      </w:r>
      <w:r w:rsidRPr="008B2F8A">
        <w:t>significant reduction (</w:t>
      </w:r>
      <w:r w:rsidRPr="008B2F8A">
        <w:rPr>
          <w:i/>
        </w:rPr>
        <w:t>P</w:t>
      </w:r>
      <w:r w:rsidRPr="008B2F8A">
        <w:t xml:space="preserve"> ≤ 0.01) in self-rated health on </w:t>
      </w:r>
      <w:r>
        <w:t xml:space="preserve">a </w:t>
      </w:r>
      <w:r w:rsidRPr="008B2F8A">
        <w:t xml:space="preserve">visual analogue score over time </w:t>
      </w:r>
      <w:r>
        <w:t>among</w:t>
      </w:r>
      <w:r w:rsidRPr="008B2F8A">
        <w:t xml:space="preserve"> women participating in an MRI breast cancer screening program</w:t>
      </w:r>
      <w:r>
        <w:t>,</w:t>
      </w:r>
      <w:r w:rsidRPr="008B2F8A">
        <w:t xml:space="preserve"> but no other generic quality of life score changed over time.</w:t>
      </w:r>
    </w:p>
    <w:p w14:paraId="62327E2F" w14:textId="540A1DC1" w:rsidR="00E47AB8" w:rsidRPr="008B2F8A" w:rsidRDefault="00E47AB8" w:rsidP="00422306">
      <w:r w:rsidRPr="008B2F8A">
        <w:t xml:space="preserve">The primary study included in this review measured perception </w:t>
      </w:r>
      <w:r>
        <w:t xml:space="preserve">of </w:t>
      </w:r>
      <w:r w:rsidRPr="008B2F8A">
        <w:t xml:space="preserve">breast cancer risk, </w:t>
      </w:r>
      <w:r>
        <w:t xml:space="preserve">the </w:t>
      </w:r>
      <w:bookmarkStart w:id="858" w:name="OLE_LINK552"/>
      <w:bookmarkStart w:id="859" w:name="OLE_LINK553"/>
      <w:r w:rsidRPr="008B2F8A">
        <w:t xml:space="preserve">state </w:t>
      </w:r>
      <w:r>
        <w:t xml:space="preserve">anxiety </w:t>
      </w:r>
      <w:r w:rsidRPr="008B2F8A">
        <w:t xml:space="preserve">component of the </w:t>
      </w:r>
      <w:bookmarkStart w:id="860" w:name="OLE_LINK499"/>
      <w:bookmarkStart w:id="861" w:name="OLE_LINK500"/>
      <w:r w:rsidRPr="008B2F8A">
        <w:t>State-Trait Anxiety Inventory</w:t>
      </w:r>
      <w:bookmarkEnd w:id="860"/>
      <w:bookmarkEnd w:id="861"/>
      <w:r w:rsidRPr="008B2F8A">
        <w:t xml:space="preserve"> </w:t>
      </w:r>
      <w:bookmarkEnd w:id="858"/>
      <w:bookmarkEnd w:id="859"/>
      <w:r w:rsidRPr="008B2F8A">
        <w:t>(</w:t>
      </w:r>
      <w:bookmarkStart w:id="862" w:name="OLE_LINK121"/>
      <w:bookmarkStart w:id="863" w:name="OLE_LINK122"/>
      <w:bookmarkStart w:id="864" w:name="OLE_LINK341"/>
      <w:r w:rsidRPr="008B2F8A">
        <w:t>STAI</w:t>
      </w:r>
      <w:bookmarkEnd w:id="862"/>
      <w:bookmarkEnd w:id="863"/>
      <w:bookmarkEnd w:id="864"/>
      <w:r w:rsidRPr="008B2F8A">
        <w:t>–state anxiety)</w:t>
      </w:r>
      <w:r>
        <w:t>,</w:t>
      </w:r>
      <w:r w:rsidRPr="008B2F8A">
        <w:t xml:space="preserve"> and </w:t>
      </w:r>
      <w:bookmarkStart w:id="865" w:name="OLE_LINK554"/>
      <w:bookmarkStart w:id="866" w:name="OLE_LINK555"/>
      <w:r w:rsidRPr="008B2F8A">
        <w:t>Impact of Event</w:t>
      </w:r>
      <w:r>
        <w:t>s</w:t>
      </w:r>
      <w:r w:rsidRPr="008B2F8A">
        <w:t xml:space="preserve"> </w:t>
      </w:r>
      <w:r w:rsidRPr="008B2F8A">
        <w:lastRenderedPageBreak/>
        <w:t xml:space="preserve">Scale </w:t>
      </w:r>
      <w:bookmarkEnd w:id="865"/>
      <w:bookmarkEnd w:id="866"/>
      <w:r>
        <w:t xml:space="preserve">(IES) scores </w:t>
      </w:r>
      <w:r w:rsidRPr="008B2F8A">
        <w:rPr>
          <w:noProof/>
        </w:rPr>
        <w:t>(Br</w:t>
      </w:r>
      <w:r>
        <w:rPr>
          <w:noProof/>
        </w:rPr>
        <w:t>é</w:t>
      </w:r>
      <w:r w:rsidRPr="008B2F8A">
        <w:rPr>
          <w:noProof/>
        </w:rPr>
        <w:t>dart et al, 2012a)</w:t>
      </w:r>
      <w:r w:rsidRPr="008B2F8A">
        <w:t xml:space="preserve">. The mean STAI–state anxiety score reflected low to moderate distress for both MRI </w:t>
      </w:r>
      <w:r>
        <w:t>+</w:t>
      </w:r>
      <w:r w:rsidRPr="008B2F8A">
        <w:t xml:space="preserve"> mammography and mammography alone. At baseline, MRI </w:t>
      </w:r>
      <w:r>
        <w:t>+</w:t>
      </w:r>
      <w:r w:rsidRPr="008B2F8A">
        <w:t xml:space="preserve"> mammography was associated with lower STAI–state anxiety (</w:t>
      </w:r>
      <w:r w:rsidRPr="008B2F8A">
        <w:rPr>
          <w:i/>
        </w:rPr>
        <w:t>P</w:t>
      </w:r>
      <w:r w:rsidRPr="008B2F8A">
        <w:t xml:space="preserve"> ≤ 0.001) and </w:t>
      </w:r>
      <w:r>
        <w:t xml:space="preserve">IES </w:t>
      </w:r>
      <w:r w:rsidRPr="008B2F8A">
        <w:t>Avoidance scores (</w:t>
      </w:r>
      <w:r w:rsidRPr="008B2F8A">
        <w:rPr>
          <w:i/>
        </w:rPr>
        <w:t>P</w:t>
      </w:r>
      <w:r w:rsidRPr="008B2F8A">
        <w:t xml:space="preserve"> = 0.02), but just after examination and 1 to 3 months later, no difference was </w:t>
      </w:r>
      <w:r>
        <w:t>found</w:t>
      </w:r>
      <w:r w:rsidRPr="008B2F8A">
        <w:t>. These differences are likely to reflect the different patient characteristics between the two surveillance strategies. An abnormal surveillance result was associated with higher STAI–state anxiety (</w:t>
      </w:r>
      <w:r w:rsidRPr="008B2F8A">
        <w:rPr>
          <w:i/>
        </w:rPr>
        <w:t>P</w:t>
      </w:r>
      <w:r w:rsidRPr="008B2F8A">
        <w:t xml:space="preserve"> ≤ 0.01) and </w:t>
      </w:r>
      <w:r>
        <w:t>IES</w:t>
      </w:r>
      <w:r w:rsidRPr="008B2F8A">
        <w:t xml:space="preserve"> Intrusion (</w:t>
      </w:r>
      <w:r w:rsidRPr="008B2F8A">
        <w:rPr>
          <w:i/>
        </w:rPr>
        <w:t>P</w:t>
      </w:r>
      <w:r w:rsidRPr="008B2F8A">
        <w:t xml:space="preserve"> ≤ 0.01) score</w:t>
      </w:r>
      <w:r>
        <w:t>s,</w:t>
      </w:r>
      <w:r w:rsidRPr="008B2F8A">
        <w:t xml:space="preserve"> and a personal history of breast cancer and higher risk perception were associated with higher psychological distress following surveillance.</w:t>
      </w:r>
    </w:p>
    <w:p w14:paraId="461FBFD1" w14:textId="0FD1F359" w:rsidR="00E47AB8" w:rsidRPr="008B2F8A" w:rsidRDefault="00E47AB8" w:rsidP="00422306">
      <w:r w:rsidRPr="008B2F8A">
        <w:t xml:space="preserve">In a second publication of the same study </w:t>
      </w:r>
      <w:r w:rsidRPr="008B2F8A">
        <w:rPr>
          <w:noProof/>
        </w:rPr>
        <w:t>(Br</w:t>
      </w:r>
      <w:r>
        <w:rPr>
          <w:noProof/>
        </w:rPr>
        <w:t>é</w:t>
      </w:r>
      <w:r w:rsidRPr="008B2F8A">
        <w:rPr>
          <w:noProof/>
        </w:rPr>
        <w:t>dart et al, 2012b)</w:t>
      </w:r>
      <w:r>
        <w:rPr>
          <w:noProof/>
        </w:rPr>
        <w:t>,</w:t>
      </w:r>
      <w:r w:rsidRPr="008B2F8A">
        <w:t xml:space="preserve"> a relatively high percentage of women reported discomfort related to MRI associated with noise (65%), immobility (35%) and the duration of the examination (37%). Women younger than 50 </w:t>
      </w:r>
      <w:r>
        <w:t xml:space="preserve">years </w:t>
      </w:r>
      <w:r w:rsidRPr="008B2F8A">
        <w:t xml:space="preserve">tended to have higher scores for quality of care for MRI </w:t>
      </w:r>
      <w:r>
        <w:t>than for</w:t>
      </w:r>
      <w:r w:rsidRPr="008B2F8A">
        <w:t xml:space="preserve"> mammography</w:t>
      </w:r>
      <w:r>
        <w:t>,</w:t>
      </w:r>
      <w:r w:rsidRPr="008B2F8A">
        <w:t xml:space="preserve"> and lower scores for psychological comfort for mammography </w:t>
      </w:r>
      <w:r>
        <w:t>than for</w:t>
      </w:r>
      <w:r w:rsidRPr="008B2F8A">
        <w:t xml:space="preserve"> MRI</w:t>
      </w:r>
      <w:r>
        <w:t>,</w:t>
      </w:r>
      <w:r w:rsidRPr="008B2F8A">
        <w:t xml:space="preserve"> showing that they had a more favourable perception and experience with MRI than women over 50</w:t>
      </w:r>
      <w:r>
        <w:t>,</w:t>
      </w:r>
      <w:r w:rsidRPr="008B2F8A">
        <w:t xml:space="preserve"> who reported more positive opinions for mammography.</w:t>
      </w:r>
    </w:p>
    <w:p w14:paraId="4B0EA099" w14:textId="77777777" w:rsidR="00E47AB8" w:rsidRPr="008B2F8A" w:rsidRDefault="00E47AB8" w:rsidP="00E47AB8">
      <w:pPr>
        <w:pStyle w:val="Heading2"/>
      </w:pPr>
      <w:bookmarkStart w:id="867" w:name="_Toc383424470"/>
      <w:r w:rsidRPr="008B2F8A">
        <w:t>Women with a history of treatment for invasive breast cancer</w:t>
      </w:r>
      <w:bookmarkEnd w:id="867"/>
    </w:p>
    <w:p w14:paraId="0B33E819" w14:textId="77777777" w:rsidR="00E47AB8" w:rsidRPr="008B2F8A" w:rsidRDefault="00E47AB8" w:rsidP="00E47AB8">
      <w:pPr>
        <w:pStyle w:val="Heading3"/>
        <w:numPr>
          <w:ilvl w:val="2"/>
          <w:numId w:val="42"/>
        </w:numPr>
      </w:pPr>
      <w:bookmarkStart w:id="868" w:name="_Toc383424471"/>
      <w:r w:rsidRPr="008B2F8A">
        <w:t>Systematic reviews and HTAs</w:t>
      </w:r>
      <w:bookmarkEnd w:id="868"/>
    </w:p>
    <w:p w14:paraId="615BCABE" w14:textId="1F46BDE5" w:rsidR="00E47AB8" w:rsidRPr="008B2F8A" w:rsidRDefault="00E47AB8" w:rsidP="00422306">
      <w:r w:rsidRPr="008B2F8A">
        <w:t xml:space="preserve">The conclusions and recommendations from </w:t>
      </w:r>
      <w:r w:rsidRPr="008B2F8A">
        <w:rPr>
          <w:noProof/>
        </w:rPr>
        <w:t>NICE (2013)</w:t>
      </w:r>
      <w:r w:rsidRPr="008B2F8A">
        <w:t xml:space="preserve"> and </w:t>
      </w:r>
      <w:r w:rsidRPr="008B2F8A">
        <w:rPr>
          <w:noProof/>
        </w:rPr>
        <w:t>Robertson et al (</w:t>
      </w:r>
      <w:r w:rsidRPr="00297D30">
        <w:rPr>
          <w:noProof/>
        </w:rPr>
        <w:t>2011a</w:t>
      </w:r>
      <w:r w:rsidRPr="008B2F8A">
        <w:rPr>
          <w:noProof/>
        </w:rPr>
        <w:t>)</w:t>
      </w:r>
      <w:r w:rsidRPr="008B2F8A">
        <w:t xml:space="preserve"> are summarised in </w:t>
      </w:r>
      <w:r>
        <w:fldChar w:fldCharType="begin"/>
      </w:r>
      <w:r>
        <w:instrText xml:space="preserve"> REF _Ref256154544 \h </w:instrText>
      </w:r>
      <w:r>
        <w:fldChar w:fldCharType="separate"/>
      </w:r>
      <w:r w:rsidR="00B81273" w:rsidRPr="008B2F8A">
        <w:t xml:space="preserve">Table </w:t>
      </w:r>
      <w:r w:rsidR="00B81273">
        <w:rPr>
          <w:noProof/>
        </w:rPr>
        <w:t>B</w:t>
      </w:r>
      <w:r w:rsidR="00B81273" w:rsidRPr="008B2F8A">
        <w:t>.</w:t>
      </w:r>
      <w:r w:rsidR="00B81273">
        <w:rPr>
          <w:noProof/>
        </w:rPr>
        <w:t>30</w:t>
      </w:r>
      <w:r>
        <w:fldChar w:fldCharType="end"/>
      </w:r>
      <w:r w:rsidRPr="008B2F8A">
        <w:t>. The NICE HTA was conducted as part of a guideline development process with the primary focus on familial breast cancer; therefore the population considered is narrower than is being considered in the current review.</w:t>
      </w:r>
    </w:p>
    <w:p w14:paraId="197DB5B0" w14:textId="77777777" w:rsidR="00E47AB8" w:rsidRPr="008B2F8A" w:rsidRDefault="00E47AB8" w:rsidP="00422306">
      <w:pPr>
        <w:pStyle w:val="Caption"/>
      </w:pPr>
      <w:bookmarkStart w:id="869" w:name="_Ref256154544"/>
      <w:bookmarkStart w:id="870" w:name="_Toc383424596"/>
      <w:r w:rsidRPr="008B2F8A">
        <w:t xml:space="preserve">Table </w:t>
      </w:r>
      <w:fldSimple w:instr=" STYLEREF 1 \s ">
        <w:r w:rsidR="00B81273">
          <w:rPr>
            <w:noProof/>
          </w:rPr>
          <w:t>B</w:t>
        </w:r>
      </w:fldSimple>
      <w:r w:rsidRPr="008B2F8A">
        <w:t>.</w:t>
      </w:r>
      <w:fldSimple w:instr=" SEQ Table \* ARABIC \s 1 ">
        <w:r w:rsidR="00B81273">
          <w:rPr>
            <w:noProof/>
          </w:rPr>
          <w:t>30</w:t>
        </w:r>
      </w:fldSimple>
      <w:bookmarkEnd w:id="869"/>
      <w:r w:rsidRPr="008B2F8A">
        <w:tab/>
      </w:r>
      <w:bookmarkStart w:id="871" w:name="OLE_LINK1041"/>
      <w:bookmarkStart w:id="872" w:name="OLE_LINK1042"/>
      <w:r w:rsidRPr="008B2F8A">
        <w:t>Conclusions and recommendations for included systematic reviews</w:t>
      </w:r>
      <w:bookmarkEnd w:id="871"/>
      <w:bookmarkEnd w:id="872"/>
      <w:r w:rsidRPr="008B2F8A">
        <w:t>.</w:t>
      </w:r>
      <w:bookmarkEnd w:id="870"/>
    </w:p>
    <w:tbl>
      <w:tblPr>
        <w:tblStyle w:val="TableGrid"/>
        <w:tblW w:w="9070" w:type="dxa"/>
        <w:tblCellMar>
          <w:left w:w="28" w:type="dxa"/>
          <w:right w:w="28" w:type="dxa"/>
        </w:tblCellMar>
        <w:tblLook w:val="04A0" w:firstRow="1" w:lastRow="0" w:firstColumn="1" w:lastColumn="0" w:noHBand="0" w:noVBand="1"/>
        <w:tblCaption w:val="Conclusions and recommendations for included systematic reviews"/>
      </w:tblPr>
      <w:tblGrid>
        <w:gridCol w:w="4572"/>
        <w:gridCol w:w="4498"/>
      </w:tblGrid>
      <w:tr w:rsidR="00E47AB8" w:rsidRPr="008B2F8A" w14:paraId="1D5CDE26" w14:textId="77777777" w:rsidTr="00703F10">
        <w:trPr>
          <w:tblHeader/>
        </w:trPr>
        <w:tc>
          <w:tcPr>
            <w:tcW w:w="4572" w:type="dxa"/>
            <w:tcBorders>
              <w:bottom w:val="single" w:sz="4" w:space="0" w:color="auto"/>
            </w:tcBorders>
          </w:tcPr>
          <w:p w14:paraId="06AFF28A" w14:textId="77777777" w:rsidR="00E47AB8" w:rsidRPr="008B2F8A" w:rsidRDefault="00E47AB8" w:rsidP="00422306">
            <w:pPr>
              <w:keepNext/>
              <w:spacing w:before="40" w:after="80"/>
              <w:rPr>
                <w:rFonts w:ascii="Arial Narrow" w:hAnsi="Arial Narrow"/>
                <w:b/>
              </w:rPr>
            </w:pPr>
            <w:r w:rsidRPr="008B2F8A">
              <w:rPr>
                <w:rFonts w:ascii="Arial Narrow" w:hAnsi="Arial Narrow"/>
                <w:b/>
              </w:rPr>
              <w:t>Conclusions</w:t>
            </w:r>
          </w:p>
        </w:tc>
        <w:tc>
          <w:tcPr>
            <w:tcW w:w="4498" w:type="dxa"/>
          </w:tcPr>
          <w:p w14:paraId="26F84431" w14:textId="77777777" w:rsidR="00E47AB8" w:rsidRPr="008B2F8A" w:rsidRDefault="00E47AB8" w:rsidP="00422306">
            <w:pPr>
              <w:keepNext/>
              <w:spacing w:before="40" w:after="80"/>
              <w:rPr>
                <w:rFonts w:ascii="Arial Narrow" w:hAnsi="Arial Narrow"/>
                <w:b/>
              </w:rPr>
            </w:pPr>
            <w:r w:rsidRPr="008B2F8A">
              <w:rPr>
                <w:rFonts w:ascii="Arial Narrow" w:hAnsi="Arial Narrow"/>
                <w:b/>
              </w:rPr>
              <w:t>Recommendations</w:t>
            </w:r>
          </w:p>
        </w:tc>
      </w:tr>
      <w:tr w:rsidR="00E47AB8" w:rsidRPr="008B2F8A" w14:paraId="28C28387" w14:textId="77777777" w:rsidTr="00703F10">
        <w:tc>
          <w:tcPr>
            <w:tcW w:w="4572" w:type="dxa"/>
            <w:tcBorders>
              <w:right w:val="nil"/>
            </w:tcBorders>
          </w:tcPr>
          <w:p w14:paraId="0EC32330" w14:textId="77777777" w:rsidR="00E47AB8" w:rsidRPr="008B2F8A" w:rsidRDefault="00E47AB8" w:rsidP="00422306">
            <w:pPr>
              <w:keepNext/>
              <w:spacing w:before="40" w:after="80"/>
              <w:rPr>
                <w:rFonts w:ascii="Arial Narrow" w:hAnsi="Arial Narrow"/>
                <w:b/>
              </w:rPr>
            </w:pPr>
            <w:r>
              <w:rPr>
                <w:rFonts w:ascii="Arial Narrow" w:hAnsi="Arial Narrow"/>
              </w:rPr>
              <w:t>NICE, 2013</w:t>
            </w:r>
          </w:p>
        </w:tc>
        <w:tc>
          <w:tcPr>
            <w:tcW w:w="4498" w:type="dxa"/>
            <w:tcBorders>
              <w:left w:val="nil"/>
            </w:tcBorders>
          </w:tcPr>
          <w:p w14:paraId="6F299192" w14:textId="77777777" w:rsidR="00E47AB8" w:rsidRPr="008B2F8A" w:rsidRDefault="00E47AB8" w:rsidP="00422306">
            <w:pPr>
              <w:keepNext/>
              <w:spacing w:before="40" w:after="80"/>
              <w:rPr>
                <w:rFonts w:ascii="Arial Narrow" w:hAnsi="Arial Narrow"/>
                <w:b/>
              </w:rPr>
            </w:pPr>
          </w:p>
        </w:tc>
      </w:tr>
      <w:tr w:rsidR="00E47AB8" w:rsidRPr="008B2F8A" w14:paraId="573C35EA" w14:textId="77777777" w:rsidTr="00703F10">
        <w:tc>
          <w:tcPr>
            <w:tcW w:w="4572" w:type="dxa"/>
            <w:tcBorders>
              <w:bottom w:val="single" w:sz="4" w:space="0" w:color="auto"/>
            </w:tcBorders>
          </w:tcPr>
          <w:p w14:paraId="493CA4B0" w14:textId="68E45DB7" w:rsidR="00E47AB8" w:rsidRPr="008B2F8A" w:rsidRDefault="00E47AB8" w:rsidP="00422306">
            <w:pPr>
              <w:spacing w:before="40" w:after="80"/>
              <w:rPr>
                <w:rFonts w:ascii="Arial Narrow" w:hAnsi="Arial Narrow"/>
              </w:rPr>
            </w:pPr>
            <w:r w:rsidRPr="008B2F8A">
              <w:rPr>
                <w:rFonts w:ascii="Arial Narrow" w:hAnsi="Arial Narrow"/>
              </w:rPr>
              <w:t xml:space="preserve">(Diagnostic outcomes) </w:t>
            </w:r>
            <w:r>
              <w:rPr>
                <w:rFonts w:ascii="Arial Narrow" w:hAnsi="Arial Narrow"/>
              </w:rPr>
              <w:t>Moderate-quality</w:t>
            </w:r>
            <w:r w:rsidRPr="008B2F8A">
              <w:rPr>
                <w:rFonts w:ascii="Arial Narrow" w:hAnsi="Arial Narrow"/>
              </w:rPr>
              <w:t xml:space="preserve"> evidence (Robertson et al, </w:t>
            </w:r>
            <w:r w:rsidRPr="00297D30">
              <w:rPr>
                <w:rFonts w:ascii="Arial Narrow" w:hAnsi="Arial Narrow"/>
              </w:rPr>
              <w:t>2011</w:t>
            </w:r>
            <w:r w:rsidR="00E9203D">
              <w:rPr>
                <w:rFonts w:ascii="Arial Narrow" w:hAnsi="Arial Narrow"/>
              </w:rPr>
              <w:t>b</w:t>
            </w:r>
            <w:r w:rsidRPr="008B2F8A">
              <w:rPr>
                <w:rFonts w:ascii="Arial Narrow" w:hAnsi="Arial Narrow"/>
              </w:rPr>
              <w:t xml:space="preserve">) suggests that MRI has the optimal combination of sensitivity and specificity for the detection of IBTR in patients undergoing routine and non-routine surveillance following breast conserving surgery. </w:t>
            </w:r>
            <w:r>
              <w:rPr>
                <w:rFonts w:ascii="Arial Narrow" w:hAnsi="Arial Narrow"/>
              </w:rPr>
              <w:t>Moderate-quality</w:t>
            </w:r>
            <w:r w:rsidRPr="008B2F8A">
              <w:rPr>
                <w:rFonts w:ascii="Arial Narrow" w:hAnsi="Arial Narrow"/>
              </w:rPr>
              <w:t xml:space="preserve"> evidence (Robertson et al, </w:t>
            </w:r>
            <w:r w:rsidRPr="00E9203D">
              <w:rPr>
                <w:rFonts w:ascii="Arial Narrow" w:hAnsi="Arial Narrow"/>
              </w:rPr>
              <w:t>2011</w:t>
            </w:r>
            <w:r w:rsidR="00E9203D">
              <w:rPr>
                <w:rFonts w:ascii="Arial Narrow" w:hAnsi="Arial Narrow"/>
              </w:rPr>
              <w:t>b</w:t>
            </w:r>
            <w:r w:rsidRPr="008B2F8A">
              <w:rPr>
                <w:rFonts w:ascii="Arial Narrow" w:hAnsi="Arial Narrow"/>
              </w:rPr>
              <w:t xml:space="preserve">) suggests that MRI has higher sensitivity and specificity for the detection of IBTR in patients undergoing surveillance following breast conserving surgery. Surveillance mammography </w:t>
            </w:r>
            <w:r>
              <w:rPr>
                <w:rFonts w:ascii="Arial Narrow" w:hAnsi="Arial Narrow"/>
              </w:rPr>
              <w:t xml:space="preserve">+ </w:t>
            </w:r>
            <w:r w:rsidRPr="008B2F8A">
              <w:rPr>
                <w:rFonts w:ascii="Arial Narrow" w:hAnsi="Arial Narrow"/>
              </w:rPr>
              <w:t xml:space="preserve">CBE </w:t>
            </w:r>
            <w:r>
              <w:rPr>
                <w:rFonts w:ascii="Arial Narrow" w:hAnsi="Arial Narrow"/>
              </w:rPr>
              <w:t xml:space="preserve">+ </w:t>
            </w:r>
            <w:r w:rsidRPr="008B2F8A">
              <w:rPr>
                <w:rFonts w:ascii="Arial Narrow" w:hAnsi="Arial Narrow"/>
              </w:rPr>
              <w:t xml:space="preserve">ultrasound </w:t>
            </w:r>
            <w:r>
              <w:rPr>
                <w:rFonts w:ascii="Arial Narrow" w:hAnsi="Arial Narrow"/>
              </w:rPr>
              <w:t>+</w:t>
            </w:r>
            <w:r w:rsidRPr="008B2F8A">
              <w:rPr>
                <w:rFonts w:ascii="Arial Narrow" w:hAnsi="Arial Narrow"/>
              </w:rPr>
              <w:t xml:space="preserve"> MRI had the highest sensitivity (100%) for the detection of MCBC in surveillance following breast</w:t>
            </w:r>
            <w:r>
              <w:rPr>
                <w:rFonts w:ascii="Arial Narrow" w:hAnsi="Arial Narrow"/>
              </w:rPr>
              <w:t>-</w:t>
            </w:r>
            <w:r w:rsidRPr="008B2F8A">
              <w:rPr>
                <w:rFonts w:ascii="Arial Narrow" w:hAnsi="Arial Narrow"/>
              </w:rPr>
              <w:t xml:space="preserve">conserving surgery (Robertson et al, </w:t>
            </w:r>
            <w:r w:rsidRPr="00E9203D">
              <w:rPr>
                <w:rFonts w:ascii="Arial Narrow" w:hAnsi="Arial Narrow"/>
              </w:rPr>
              <w:t>2011</w:t>
            </w:r>
            <w:r w:rsidR="00E9203D">
              <w:rPr>
                <w:rFonts w:ascii="Arial Narrow" w:hAnsi="Arial Narrow"/>
              </w:rPr>
              <w:t>b</w:t>
            </w:r>
            <w:r w:rsidRPr="008B2F8A">
              <w:rPr>
                <w:rFonts w:ascii="Arial Narrow" w:hAnsi="Arial Narrow"/>
              </w:rPr>
              <w:t>). For patients undergoing routine surveillance following mastectomy</w:t>
            </w:r>
            <w:r>
              <w:rPr>
                <w:rFonts w:ascii="Arial Narrow" w:hAnsi="Arial Narrow"/>
              </w:rPr>
              <w:t>,</w:t>
            </w:r>
            <w:r w:rsidRPr="008B2F8A">
              <w:rPr>
                <w:rFonts w:ascii="Arial Narrow" w:hAnsi="Arial Narrow"/>
              </w:rPr>
              <w:t xml:space="preserve"> </w:t>
            </w:r>
            <w:r>
              <w:rPr>
                <w:rFonts w:ascii="Arial Narrow" w:hAnsi="Arial Narrow"/>
              </w:rPr>
              <w:t>moderate-quality</w:t>
            </w:r>
            <w:r w:rsidRPr="008B2F8A">
              <w:rPr>
                <w:rFonts w:ascii="Arial Narrow" w:hAnsi="Arial Narrow"/>
              </w:rPr>
              <w:t xml:space="preserve"> evidence (</w:t>
            </w:r>
            <w:bookmarkStart w:id="873" w:name="OLE_LINK125"/>
            <w:bookmarkStart w:id="874" w:name="OLE_LINK126"/>
            <w:r w:rsidRPr="008B2F8A">
              <w:rPr>
                <w:rFonts w:ascii="Arial Narrow" w:hAnsi="Arial Narrow"/>
              </w:rPr>
              <w:t>Roberston</w:t>
            </w:r>
            <w:bookmarkEnd w:id="873"/>
            <w:bookmarkEnd w:id="874"/>
            <w:r w:rsidRPr="008B2F8A">
              <w:rPr>
                <w:rFonts w:ascii="Arial Narrow" w:hAnsi="Arial Narrow"/>
              </w:rPr>
              <w:t>, et al, 2011</w:t>
            </w:r>
            <w:r w:rsidR="00E9203D">
              <w:rPr>
                <w:rFonts w:ascii="Arial Narrow" w:hAnsi="Arial Narrow"/>
              </w:rPr>
              <w:t>b</w:t>
            </w:r>
            <w:r w:rsidRPr="008B2F8A">
              <w:rPr>
                <w:rFonts w:ascii="Arial Narrow" w:hAnsi="Arial Narrow"/>
              </w:rPr>
              <w:t xml:space="preserve">) suggests MRI has higher sensitivity than mammography or clinical examination for the detection of IBTR. In these patients surveillance mammography </w:t>
            </w:r>
            <w:r>
              <w:rPr>
                <w:rFonts w:ascii="Arial Narrow" w:hAnsi="Arial Narrow"/>
              </w:rPr>
              <w:t>+</w:t>
            </w:r>
            <w:r w:rsidRPr="008B2F8A">
              <w:rPr>
                <w:rFonts w:ascii="Arial Narrow" w:hAnsi="Arial Narrow"/>
              </w:rPr>
              <w:t xml:space="preserve"> </w:t>
            </w:r>
            <w:r w:rsidRPr="008B2F8A">
              <w:rPr>
                <w:rFonts w:ascii="Arial Narrow" w:hAnsi="Arial Narrow"/>
              </w:rPr>
              <w:lastRenderedPageBreak/>
              <w:t xml:space="preserve">ultrasound had the highest sensitivity (95%) and specificity (99%) for the detection of MCBC. </w:t>
            </w:r>
            <w:r>
              <w:rPr>
                <w:rFonts w:ascii="Arial Narrow" w:hAnsi="Arial Narrow"/>
              </w:rPr>
              <w:t>Moderate-quality</w:t>
            </w:r>
            <w:r w:rsidRPr="008B2F8A">
              <w:rPr>
                <w:rFonts w:ascii="Arial Narrow" w:hAnsi="Arial Narrow"/>
              </w:rPr>
              <w:t xml:space="preserve"> evidence from a surveillance study including women with and without a personal history of breast cancer (Sardanelli et al, 2011) suggests that MRI is more sensitive than mammography, ultrasonography, CBE or mammography </w:t>
            </w:r>
            <w:r>
              <w:rPr>
                <w:rFonts w:ascii="Arial Narrow" w:hAnsi="Arial Narrow"/>
              </w:rPr>
              <w:t>+</w:t>
            </w:r>
            <w:r w:rsidRPr="008B2F8A">
              <w:rPr>
                <w:rFonts w:ascii="Arial Narrow" w:hAnsi="Arial Narrow"/>
              </w:rPr>
              <w:t xml:space="preserve"> ultrasonography. </w:t>
            </w:r>
            <w:r>
              <w:rPr>
                <w:rFonts w:ascii="Arial Narrow" w:hAnsi="Arial Narrow"/>
              </w:rPr>
              <w:t>Moderate-quality</w:t>
            </w:r>
            <w:r w:rsidRPr="008B2F8A">
              <w:rPr>
                <w:rFonts w:ascii="Arial Narrow" w:hAnsi="Arial Narrow"/>
              </w:rPr>
              <w:t xml:space="preserve"> evidence from a surveillance study including women with and without a personal history of breast cancer (Sardanelli et al, 2011) suggests no significant differen</w:t>
            </w:r>
            <w:r>
              <w:rPr>
                <w:rFonts w:ascii="Arial Narrow" w:hAnsi="Arial Narrow"/>
              </w:rPr>
              <w:t>ce</w:t>
            </w:r>
            <w:r w:rsidRPr="008B2F8A">
              <w:rPr>
                <w:rFonts w:ascii="Arial Narrow" w:hAnsi="Arial Narrow"/>
              </w:rPr>
              <w:t xml:space="preserve"> in the sensitivity of MRI ​+​ mammography, MRI ​+​ ultrason</w:t>
            </w:r>
            <w:r>
              <w:rPr>
                <w:rFonts w:ascii="Arial Narrow" w:hAnsi="Arial Narrow"/>
              </w:rPr>
              <w:softHyphen/>
            </w:r>
            <w:r w:rsidRPr="008B2F8A">
              <w:rPr>
                <w:rFonts w:ascii="Arial Narrow" w:hAnsi="Arial Narrow"/>
              </w:rPr>
              <w:t>ography, MRI ​+​ mammography ​+​ ultrasonography or MRI.</w:t>
            </w:r>
          </w:p>
          <w:p w14:paraId="3686DB31" w14:textId="58906126" w:rsidR="00E47AB8" w:rsidRPr="008B2F8A" w:rsidRDefault="00E47AB8" w:rsidP="00422306">
            <w:pPr>
              <w:spacing w:before="40" w:after="80"/>
              <w:rPr>
                <w:rFonts w:ascii="Arial Narrow" w:hAnsi="Arial Narrow"/>
              </w:rPr>
            </w:pPr>
            <w:r w:rsidRPr="008B2F8A">
              <w:rPr>
                <w:rFonts w:ascii="Arial Narrow" w:hAnsi="Arial Narrow"/>
              </w:rPr>
              <w:t xml:space="preserve">(Clinical outcomes) No evidence was found </w:t>
            </w:r>
            <w:r>
              <w:rPr>
                <w:rFonts w:ascii="Arial Narrow" w:hAnsi="Arial Narrow"/>
              </w:rPr>
              <w:t>for</w:t>
            </w:r>
            <w:r w:rsidRPr="008B2F8A">
              <w:rPr>
                <w:rFonts w:ascii="Arial Narrow" w:hAnsi="Arial Narrow"/>
              </w:rPr>
              <w:t xml:space="preserve"> the relative effect of surveillance MRI, mammography, ultrasound, CBE and no surveillance on stage at detection, overall survival, radiation</w:t>
            </w:r>
            <w:r>
              <w:rPr>
                <w:rFonts w:ascii="Arial Narrow" w:hAnsi="Arial Narrow"/>
              </w:rPr>
              <w:t>-</w:t>
            </w:r>
            <w:r w:rsidRPr="008B2F8A">
              <w:rPr>
                <w:rFonts w:ascii="Arial Narrow" w:hAnsi="Arial Narrow"/>
              </w:rPr>
              <w:t>induced cancer or health</w:t>
            </w:r>
            <w:r>
              <w:rPr>
                <w:rFonts w:ascii="Arial Narrow" w:hAnsi="Arial Narrow"/>
              </w:rPr>
              <w:t>-</w:t>
            </w:r>
            <w:r w:rsidRPr="008B2F8A">
              <w:rPr>
                <w:rFonts w:ascii="Arial Narrow" w:hAnsi="Arial Narrow"/>
              </w:rPr>
              <w:t>related quality of life.</w:t>
            </w:r>
          </w:p>
          <w:p w14:paraId="6E93A5D0" w14:textId="16DC5A75" w:rsidR="00E47AB8" w:rsidRPr="008B2F8A" w:rsidRDefault="00E47AB8" w:rsidP="00422306">
            <w:pPr>
              <w:spacing w:before="40" w:after="80"/>
              <w:rPr>
                <w:rFonts w:ascii="Arial Narrow" w:hAnsi="Arial Narrow"/>
              </w:rPr>
            </w:pPr>
            <w:r w:rsidRPr="008B2F8A">
              <w:rPr>
                <w:rFonts w:ascii="Arial Narrow" w:hAnsi="Arial Narrow"/>
              </w:rPr>
              <w:t>Very low-quality evidence (</w:t>
            </w:r>
            <w:bookmarkStart w:id="875" w:name="OLE_LINK822"/>
            <w:bookmarkStart w:id="876" w:name="OLE_LINK823"/>
            <w:r w:rsidRPr="008B2F8A">
              <w:rPr>
                <w:rFonts w:ascii="Arial Narrow" w:hAnsi="Arial Narrow"/>
              </w:rPr>
              <w:t>Elmore</w:t>
            </w:r>
            <w:r w:rsidRPr="00B77C90">
              <w:rPr>
                <w:rFonts w:ascii="Arial Narrow" w:hAnsi="Arial Narrow"/>
              </w:rPr>
              <w:t xml:space="preserve"> &amp; Margenthaler</w:t>
            </w:r>
            <w:r w:rsidRPr="008B2F8A">
              <w:rPr>
                <w:rFonts w:ascii="Arial Narrow" w:hAnsi="Arial Narrow"/>
              </w:rPr>
              <w:t>, 2010</w:t>
            </w:r>
            <w:bookmarkEnd w:id="875"/>
            <w:bookmarkEnd w:id="876"/>
            <w:r>
              <w:rPr>
                <w:rFonts w:ascii="Arial Narrow" w:hAnsi="Arial Narrow"/>
              </w:rPr>
              <w:t>,</w:t>
            </w:r>
            <w:r w:rsidRPr="008B2F8A">
              <w:rPr>
                <w:rFonts w:ascii="Arial Narrow" w:hAnsi="Arial Narrow"/>
              </w:rPr>
              <w:t xml:space="preserve"> Table 7.8) suggests a new breast cancer will be detected on ~1% of surveillance tests in women with a personal history of breast cancer and a familial risk. Low-quality evidence (Houssami, et al, 2011</w:t>
            </w:r>
            <w:r>
              <w:rPr>
                <w:rFonts w:ascii="Arial Narrow" w:hAnsi="Arial Narrow"/>
              </w:rPr>
              <w:t>,</w:t>
            </w:r>
            <w:r w:rsidRPr="008B2F8A">
              <w:rPr>
                <w:rFonts w:ascii="Arial Narrow" w:hAnsi="Arial Narrow"/>
              </w:rPr>
              <w:t xml:space="preserve"> Table 7.8) reported a cancer detection rate of 95.5/10,000 screens (95% CI 78.3–112.7) for screening with mammography. Although Sardanelli et al (2010) reported both clinical and diagnostic outcomes, the results for clinical outcomes are reported for all interventions combined and not for individual outcomes</w:t>
            </w:r>
            <w:r>
              <w:rPr>
                <w:rFonts w:ascii="Arial Narrow" w:hAnsi="Arial Narrow"/>
              </w:rPr>
              <w:t>,</w:t>
            </w:r>
            <w:r w:rsidRPr="008B2F8A">
              <w:rPr>
                <w:rFonts w:ascii="Arial Narrow" w:hAnsi="Arial Narrow"/>
              </w:rPr>
              <w:t xml:space="preserve"> and therefore there is a question mark over usefulness of the clinical data from this study in supporting the drafting of recommendations.</w:t>
            </w:r>
          </w:p>
        </w:tc>
        <w:tc>
          <w:tcPr>
            <w:tcW w:w="4498" w:type="dxa"/>
          </w:tcPr>
          <w:p w14:paraId="314D138D" w14:textId="730AB304" w:rsidR="00E47AB8" w:rsidRPr="008B2F8A" w:rsidRDefault="00E47AB8" w:rsidP="00422306">
            <w:pPr>
              <w:spacing w:before="40" w:after="80"/>
              <w:rPr>
                <w:rFonts w:ascii="Arial Narrow" w:hAnsi="Arial Narrow"/>
              </w:rPr>
            </w:pPr>
            <w:r w:rsidRPr="008B2F8A">
              <w:rPr>
                <w:rFonts w:ascii="Arial Narrow" w:hAnsi="Arial Narrow"/>
              </w:rPr>
              <w:lastRenderedPageBreak/>
              <w:t xml:space="preserve">Ensure that all women with breast cancer are offered annual mammography for 5 years for follow-up imaging, in line with NICE </w:t>
            </w:r>
            <w:r>
              <w:rPr>
                <w:rFonts w:ascii="Arial Narrow" w:hAnsi="Arial Narrow"/>
              </w:rPr>
              <w:t>CG</w:t>
            </w:r>
            <w:r w:rsidRPr="008B2F8A">
              <w:rPr>
                <w:rFonts w:ascii="Arial Narrow" w:hAnsi="Arial Narrow"/>
              </w:rPr>
              <w:t>80*. In conjunction, women who remain at high risk of breast cancer and have a family history should receive surveillance as outlined in this guideline.</w:t>
            </w:r>
          </w:p>
          <w:p w14:paraId="74F3CCC7" w14:textId="77777777" w:rsidR="00E47AB8" w:rsidRPr="008B2F8A" w:rsidRDefault="00E47AB8" w:rsidP="00422306">
            <w:pPr>
              <w:spacing w:before="40" w:after="80"/>
              <w:rPr>
                <w:rFonts w:ascii="Arial Narrow" w:hAnsi="Arial Narrow"/>
              </w:rPr>
            </w:pPr>
            <w:r w:rsidRPr="008B2F8A">
              <w:rPr>
                <w:rFonts w:ascii="Arial Narrow" w:hAnsi="Arial Narrow"/>
              </w:rPr>
              <w:t>Mammographic surveillance</w:t>
            </w:r>
          </w:p>
          <w:p w14:paraId="4803F636" w14:textId="77777777" w:rsidR="00E47AB8" w:rsidRPr="008B2F8A" w:rsidRDefault="00E47AB8" w:rsidP="00422306">
            <w:pPr>
              <w:spacing w:before="40" w:after="80"/>
              <w:rPr>
                <w:rFonts w:ascii="Arial Narrow" w:hAnsi="Arial Narrow"/>
              </w:rPr>
            </w:pPr>
            <w:r w:rsidRPr="008B2F8A">
              <w:rPr>
                <w:rFonts w:ascii="Arial Narrow" w:hAnsi="Arial Narrow"/>
              </w:rPr>
              <w:t>Offer annual mammographic surveillance to all women aged 50–69 years with a personal history of breast cancer who:</w:t>
            </w:r>
          </w:p>
          <w:p w14:paraId="5B0962A3" w14:textId="77777777" w:rsidR="00E47AB8" w:rsidRPr="008B2F8A" w:rsidRDefault="00E47AB8" w:rsidP="00422306">
            <w:pPr>
              <w:spacing w:before="40" w:after="80"/>
              <w:rPr>
                <w:rFonts w:ascii="Arial Narrow" w:hAnsi="Arial Narrow"/>
              </w:rPr>
            </w:pPr>
            <w:r w:rsidRPr="008B2F8A">
              <w:rPr>
                <w:rFonts w:ascii="Arial Narrow" w:hAnsi="Arial Narrow"/>
              </w:rPr>
              <w:t xml:space="preserve">—remain at high risk of breast cancer (including those who have a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 and</w:t>
            </w:r>
          </w:p>
          <w:p w14:paraId="1219EC12" w14:textId="77777777" w:rsidR="00E47AB8" w:rsidRPr="008B2F8A" w:rsidRDefault="00E47AB8" w:rsidP="00422306">
            <w:pPr>
              <w:spacing w:before="40" w:after="80"/>
              <w:rPr>
                <w:rFonts w:ascii="Arial Narrow" w:hAnsi="Arial Narrow"/>
              </w:rPr>
            </w:pPr>
            <w:r w:rsidRPr="008B2F8A">
              <w:rPr>
                <w:rFonts w:ascii="Arial Narrow" w:hAnsi="Arial Narrow"/>
              </w:rPr>
              <w:t xml:space="preserve">—do not have a </w:t>
            </w:r>
            <w:r w:rsidRPr="008B2F8A">
              <w:rPr>
                <w:rFonts w:ascii="Arial Narrow" w:hAnsi="Arial Narrow"/>
                <w:i/>
              </w:rPr>
              <w:t>TP53</w:t>
            </w:r>
            <w:r w:rsidRPr="008B2F8A">
              <w:rPr>
                <w:rFonts w:ascii="Arial Narrow" w:hAnsi="Arial Narrow"/>
              </w:rPr>
              <w:t xml:space="preserve"> mutation. [new 2013]</w:t>
            </w:r>
          </w:p>
          <w:p w14:paraId="078234C0" w14:textId="3A9F1BAD" w:rsidR="00E47AB8" w:rsidRPr="008B2F8A" w:rsidRDefault="00E47AB8" w:rsidP="00422306">
            <w:pPr>
              <w:spacing w:before="40" w:after="80"/>
              <w:rPr>
                <w:rFonts w:ascii="Arial Narrow" w:hAnsi="Arial Narrow"/>
              </w:rPr>
            </w:pPr>
            <w:r w:rsidRPr="008B2F8A">
              <w:rPr>
                <w:rFonts w:ascii="Arial Narrow" w:hAnsi="Arial Narrow"/>
              </w:rPr>
              <w:t>Offer mammography as part of the population screening program for all women aged ≥70 years with a personal history of breast cancer who:</w:t>
            </w:r>
          </w:p>
          <w:p w14:paraId="292E64CC"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 xml:space="preserve">—remain at high risk of breast cancer (including those who have a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 and</w:t>
            </w:r>
          </w:p>
          <w:p w14:paraId="73DD9EAD" w14:textId="77777777" w:rsidR="00E47AB8" w:rsidRPr="008B2F8A" w:rsidRDefault="00E47AB8" w:rsidP="00422306">
            <w:pPr>
              <w:spacing w:before="40" w:after="80"/>
              <w:rPr>
                <w:rFonts w:ascii="Arial Narrow" w:hAnsi="Arial Narrow"/>
              </w:rPr>
            </w:pPr>
            <w:r w:rsidRPr="008B2F8A">
              <w:rPr>
                <w:rFonts w:ascii="Arial Narrow" w:hAnsi="Arial Narrow"/>
              </w:rPr>
              <w:t xml:space="preserve">—do not have a </w:t>
            </w:r>
            <w:r w:rsidRPr="008B2F8A">
              <w:rPr>
                <w:rFonts w:ascii="Arial Narrow" w:hAnsi="Arial Narrow"/>
                <w:i/>
              </w:rPr>
              <w:t>TP53</w:t>
            </w:r>
            <w:r w:rsidRPr="008B2F8A">
              <w:rPr>
                <w:rFonts w:ascii="Arial Narrow" w:hAnsi="Arial Narrow"/>
              </w:rPr>
              <w:t xml:space="preserve"> mutation. [new 2013]</w:t>
            </w:r>
          </w:p>
          <w:p w14:paraId="181D585F" w14:textId="77777777" w:rsidR="00E47AB8" w:rsidRPr="008B2F8A" w:rsidRDefault="00E47AB8" w:rsidP="00422306">
            <w:pPr>
              <w:spacing w:before="40" w:after="80"/>
              <w:rPr>
                <w:rFonts w:ascii="Arial Narrow" w:hAnsi="Arial Narrow"/>
              </w:rPr>
            </w:pPr>
            <w:r w:rsidRPr="008B2F8A">
              <w:rPr>
                <w:rFonts w:ascii="Arial Narrow" w:hAnsi="Arial Narrow"/>
              </w:rPr>
              <w:t>MRI surveillance</w:t>
            </w:r>
          </w:p>
          <w:p w14:paraId="38D4025D" w14:textId="77777777" w:rsidR="00E47AB8" w:rsidRPr="008B2F8A" w:rsidRDefault="00E47AB8" w:rsidP="00422306">
            <w:pPr>
              <w:spacing w:before="40" w:after="80"/>
              <w:rPr>
                <w:rFonts w:ascii="Arial Narrow" w:hAnsi="Arial Narrow"/>
              </w:rPr>
            </w:pPr>
            <w:r w:rsidRPr="008B2F8A">
              <w:rPr>
                <w:rFonts w:ascii="Arial Narrow" w:hAnsi="Arial Narrow"/>
              </w:rPr>
              <w:t xml:space="preserve">Offer annual MRI surveillance to all women aged 30–49 years with a personal history of breast cancer who remain at high risk of breast cancer, including those who have a </w:t>
            </w:r>
            <w:r w:rsidRPr="008B2F8A">
              <w:rPr>
                <w:rFonts w:ascii="Arial Narrow" w:hAnsi="Arial Narrow"/>
                <w:i/>
              </w:rPr>
              <w:t>BRCA1</w:t>
            </w:r>
            <w:r w:rsidRPr="008B2F8A">
              <w:rPr>
                <w:rFonts w:ascii="Arial Narrow" w:hAnsi="Arial Narrow"/>
              </w:rPr>
              <w:t xml:space="preserve"> or </w:t>
            </w:r>
            <w:r w:rsidRPr="008B2F8A">
              <w:rPr>
                <w:rFonts w:ascii="Arial Narrow" w:hAnsi="Arial Narrow"/>
                <w:i/>
              </w:rPr>
              <w:t>BRCA2</w:t>
            </w:r>
            <w:r w:rsidRPr="008B2F8A">
              <w:rPr>
                <w:rFonts w:ascii="Arial Narrow" w:hAnsi="Arial Narrow"/>
              </w:rPr>
              <w:t xml:space="preserve"> mutation. [new 2013]</w:t>
            </w:r>
          </w:p>
          <w:p w14:paraId="386B790F" w14:textId="04F5861B" w:rsidR="00E47AB8" w:rsidRPr="008B2F8A" w:rsidRDefault="00E47AB8" w:rsidP="00422306">
            <w:pPr>
              <w:spacing w:before="40" w:after="80"/>
              <w:rPr>
                <w:rFonts w:ascii="Arial Narrow" w:hAnsi="Arial Narrow"/>
              </w:rPr>
            </w:pPr>
            <w:r w:rsidRPr="008B2F8A">
              <w:rPr>
                <w:rFonts w:ascii="Arial Narrow" w:hAnsi="Arial Narrow"/>
              </w:rPr>
              <w:t xml:space="preserve">Do not offer MRI surveillance to any women aged ≥50 years without a </w:t>
            </w:r>
            <w:r w:rsidRPr="008B2F8A">
              <w:rPr>
                <w:rFonts w:ascii="Arial Narrow" w:hAnsi="Arial Narrow"/>
                <w:i/>
              </w:rPr>
              <w:t>TP53</w:t>
            </w:r>
            <w:r w:rsidRPr="008B2F8A">
              <w:rPr>
                <w:rFonts w:ascii="Arial Narrow" w:hAnsi="Arial Narrow"/>
              </w:rPr>
              <w:t xml:space="preserve"> mutation unless mammography has shown a dense breast pattern. [new 2013]</w:t>
            </w:r>
          </w:p>
          <w:p w14:paraId="0E101509" w14:textId="5A266D82" w:rsidR="00E47AB8" w:rsidRPr="008B2F8A" w:rsidRDefault="00E47AB8" w:rsidP="00422306">
            <w:pPr>
              <w:spacing w:before="40" w:after="80"/>
              <w:rPr>
                <w:rFonts w:ascii="Arial Narrow" w:hAnsi="Arial Narrow"/>
              </w:rPr>
            </w:pPr>
            <w:r w:rsidRPr="008B2F8A">
              <w:rPr>
                <w:rFonts w:ascii="Arial Narrow" w:hAnsi="Arial Narrow"/>
              </w:rPr>
              <w:t xml:space="preserve">Consider annual MRI surveillance for women aged 20–69 years with a known </w:t>
            </w:r>
            <w:r w:rsidRPr="008B2F8A">
              <w:rPr>
                <w:rFonts w:ascii="Arial Narrow" w:hAnsi="Arial Narrow"/>
                <w:i/>
              </w:rPr>
              <w:t>TP53</w:t>
            </w:r>
            <w:r w:rsidRPr="008B2F8A">
              <w:rPr>
                <w:rFonts w:ascii="Arial Narrow" w:hAnsi="Arial Narrow"/>
              </w:rPr>
              <w:t xml:space="preserve"> mutation or who have not had a genetic test but have a &gt;30% probability of being a </w:t>
            </w:r>
            <w:r w:rsidRPr="008B2F8A">
              <w:rPr>
                <w:rFonts w:ascii="Arial Narrow" w:hAnsi="Arial Narrow"/>
                <w:i/>
              </w:rPr>
              <w:t>TP53</w:t>
            </w:r>
            <w:r w:rsidRPr="008B2F8A">
              <w:rPr>
                <w:rFonts w:ascii="Arial Narrow" w:hAnsi="Arial Narrow"/>
              </w:rPr>
              <w:t xml:space="preserve"> carrier. [new 2013]</w:t>
            </w:r>
          </w:p>
          <w:p w14:paraId="1A03B2EB" w14:textId="275E56A3" w:rsidR="00E47AB8" w:rsidRPr="008B2F8A" w:rsidRDefault="00E47AB8" w:rsidP="00422306">
            <w:pPr>
              <w:spacing w:before="40" w:after="80"/>
              <w:rPr>
                <w:rFonts w:ascii="Arial Narrow" w:hAnsi="Arial Narrow"/>
              </w:rPr>
            </w:pPr>
            <w:r w:rsidRPr="008B2F8A">
              <w:rPr>
                <w:rFonts w:ascii="Arial Narrow" w:hAnsi="Arial Narrow"/>
              </w:rPr>
              <w:t>Offer support (</w:t>
            </w:r>
            <w:r>
              <w:rPr>
                <w:rFonts w:ascii="Arial Narrow" w:hAnsi="Arial Narrow"/>
              </w:rPr>
              <w:t>eg</w:t>
            </w:r>
            <w:r w:rsidRPr="008B2F8A">
              <w:rPr>
                <w:rFonts w:ascii="Arial Narrow" w:hAnsi="Arial Narrow"/>
              </w:rPr>
              <w:t>, risk counselling, psychological counselling</w:t>
            </w:r>
            <w:r>
              <w:rPr>
                <w:rFonts w:ascii="Arial Narrow" w:hAnsi="Arial Narrow"/>
              </w:rPr>
              <w:t>,</w:t>
            </w:r>
            <w:r w:rsidRPr="008B2F8A">
              <w:rPr>
                <w:rFonts w:ascii="Arial Narrow" w:hAnsi="Arial Narrow"/>
              </w:rPr>
              <w:t xml:space="preserve"> risk</w:t>
            </w:r>
            <w:r w:rsidRPr="008B2F8A">
              <w:t xml:space="preserve"> </w:t>
            </w:r>
            <w:r w:rsidRPr="008B2F8A">
              <w:rPr>
                <w:rFonts w:ascii="Arial Narrow" w:hAnsi="Arial Narrow"/>
              </w:rPr>
              <w:t>management advice) to women who have ongoing concerns but are not eligible for surveillance additional to that offered by the national breast screening programs. [2004, amended 2013]</w:t>
            </w:r>
          </w:p>
          <w:p w14:paraId="1AF3A123" w14:textId="517FB22A" w:rsidR="00E47AB8" w:rsidRPr="008B2F8A" w:rsidRDefault="00E47AB8" w:rsidP="00422306">
            <w:pPr>
              <w:spacing w:before="40" w:after="80"/>
              <w:rPr>
                <w:rFonts w:ascii="Arial Narrow" w:hAnsi="Arial Narrow"/>
              </w:rPr>
            </w:pPr>
            <w:r w:rsidRPr="008B2F8A">
              <w:rPr>
                <w:rFonts w:ascii="Arial Narrow" w:hAnsi="Arial Narrow"/>
              </w:rPr>
              <w:t xml:space="preserve">Before </w:t>
            </w:r>
            <w:r>
              <w:rPr>
                <w:rFonts w:ascii="Arial Narrow" w:hAnsi="Arial Narrow"/>
              </w:rPr>
              <w:t>deciding</w:t>
            </w:r>
            <w:r w:rsidRPr="008B2F8A">
              <w:rPr>
                <w:rFonts w:ascii="Arial Narrow" w:hAnsi="Arial Narrow"/>
              </w:rPr>
              <w:t xml:space="preserve"> on surveillance, discuss and give written information on benefits and risks of surveillance, including:</w:t>
            </w:r>
          </w:p>
          <w:p w14:paraId="0F79854C" w14:textId="77777777" w:rsidR="00E47AB8" w:rsidRPr="008B2F8A" w:rsidRDefault="00E47AB8" w:rsidP="00422306">
            <w:pPr>
              <w:spacing w:before="40" w:after="80"/>
              <w:rPr>
                <w:rFonts w:ascii="Arial Narrow" w:hAnsi="Arial Narrow"/>
              </w:rPr>
            </w:pPr>
            <w:r w:rsidRPr="008B2F8A">
              <w:rPr>
                <w:rFonts w:ascii="Arial Narrow" w:hAnsi="Arial Narrow"/>
              </w:rPr>
              <w:t>—the possibility that mammography might miss a cancer in women with dense breasts and the increased likelihood of further investigations [new 2013]</w:t>
            </w:r>
          </w:p>
          <w:p w14:paraId="43FB7652" w14:textId="2AE2C8BB" w:rsidR="00E47AB8" w:rsidRPr="008B2F8A" w:rsidRDefault="00E47AB8" w:rsidP="00422306">
            <w:pPr>
              <w:spacing w:before="40" w:after="80"/>
              <w:rPr>
                <w:rFonts w:ascii="Arial Narrow" w:hAnsi="Arial Narrow"/>
              </w:rPr>
            </w:pPr>
            <w:r w:rsidRPr="008B2F8A">
              <w:rPr>
                <w:rFonts w:ascii="Arial Narrow" w:hAnsi="Arial Narrow"/>
              </w:rPr>
              <w:t>—possible over-diagnosis</w:t>
            </w:r>
          </w:p>
          <w:p w14:paraId="20F70D18" w14:textId="593B6EBF" w:rsidR="00E47AB8" w:rsidRPr="008B2F8A" w:rsidRDefault="00E47AB8" w:rsidP="00422306">
            <w:pPr>
              <w:spacing w:before="40" w:after="80"/>
              <w:rPr>
                <w:rFonts w:ascii="Arial Narrow" w:hAnsi="Arial Narrow"/>
              </w:rPr>
            </w:pPr>
            <w:r w:rsidRPr="008B2F8A">
              <w:rPr>
                <w:rFonts w:ascii="Arial Narrow" w:hAnsi="Arial Narrow"/>
              </w:rPr>
              <w:t>—risk associated with exposure to radiation</w:t>
            </w:r>
          </w:p>
          <w:p w14:paraId="40BE1B60" w14:textId="581473CC" w:rsidR="00E47AB8" w:rsidRPr="008B2F8A" w:rsidRDefault="00E47AB8" w:rsidP="00422306">
            <w:pPr>
              <w:spacing w:before="40" w:after="80"/>
              <w:rPr>
                <w:rFonts w:ascii="Arial Narrow" w:hAnsi="Arial Narrow"/>
              </w:rPr>
            </w:pPr>
            <w:r w:rsidRPr="008B2F8A">
              <w:rPr>
                <w:rFonts w:ascii="Arial Narrow" w:hAnsi="Arial Narrow"/>
              </w:rPr>
              <w:t>—possible psychological impact of a recall visit. [2004, amended 2013].</w:t>
            </w:r>
          </w:p>
          <w:p w14:paraId="582CFA8E" w14:textId="23AB2DDB" w:rsidR="00E47AB8" w:rsidRPr="008B2F8A" w:rsidRDefault="00E47AB8" w:rsidP="00422306">
            <w:pPr>
              <w:spacing w:before="40" w:after="80"/>
              <w:rPr>
                <w:rFonts w:ascii="Arial Narrow" w:hAnsi="Arial Narrow"/>
              </w:rPr>
            </w:pPr>
            <w:r w:rsidRPr="008B2F8A">
              <w:rPr>
                <w:rFonts w:ascii="Arial Narrow" w:hAnsi="Arial Narrow"/>
              </w:rPr>
              <w:t>Review eligibility for surveillance if family history changes (</w:t>
            </w:r>
            <w:r>
              <w:rPr>
                <w:rFonts w:ascii="Arial Narrow" w:hAnsi="Arial Narrow"/>
              </w:rPr>
              <w:t>eg</w:t>
            </w:r>
            <w:r w:rsidRPr="008B2F8A">
              <w:rPr>
                <w:rFonts w:ascii="Arial Narrow" w:hAnsi="Arial Narrow"/>
              </w:rPr>
              <w:t>, if another member of the family develops breast cancer or a mutation is identified). [new 2013]</w:t>
            </w:r>
          </w:p>
          <w:p w14:paraId="5094FAC4" w14:textId="790AEEBD" w:rsidR="00E47AB8" w:rsidRPr="008B2F8A" w:rsidRDefault="00E47AB8" w:rsidP="00422306">
            <w:pPr>
              <w:spacing w:before="40" w:after="80"/>
              <w:rPr>
                <w:rFonts w:ascii="Arial Narrow" w:hAnsi="Arial Narrow"/>
              </w:rPr>
            </w:pPr>
            <w:r w:rsidRPr="008B2F8A">
              <w:rPr>
                <w:rFonts w:ascii="Arial Narrow" w:hAnsi="Arial Narrow"/>
              </w:rPr>
              <w:t>At the start of a surveillance program and when there is a transition or change to the surveillance plan, give women:</w:t>
            </w:r>
          </w:p>
          <w:p w14:paraId="7E652198" w14:textId="4A56C4A2" w:rsidR="00E47AB8" w:rsidRPr="008B2F8A" w:rsidRDefault="00E47AB8" w:rsidP="00422306">
            <w:pPr>
              <w:spacing w:before="40" w:after="80"/>
              <w:rPr>
                <w:rFonts w:ascii="Arial Narrow" w:hAnsi="Arial Narrow"/>
              </w:rPr>
            </w:pPr>
            <w:r w:rsidRPr="008B2F8A">
              <w:rPr>
                <w:rFonts w:ascii="Arial Narrow" w:hAnsi="Arial Narrow"/>
              </w:rPr>
              <w:t>—information about the surveillance program, including details of the tests, how often they will have them and the duration of the program</w:t>
            </w:r>
          </w:p>
          <w:p w14:paraId="08C6AFBF" w14:textId="77777777" w:rsidR="00E47AB8" w:rsidRPr="008B2F8A" w:rsidRDefault="00E47AB8" w:rsidP="00422306">
            <w:pPr>
              <w:spacing w:before="40" w:after="80"/>
              <w:rPr>
                <w:rFonts w:ascii="Arial Narrow" w:hAnsi="Arial Narrow"/>
              </w:rPr>
            </w:pPr>
            <w:r w:rsidRPr="008B2F8A">
              <w:rPr>
                <w:rFonts w:ascii="Arial Narrow" w:hAnsi="Arial Narrow"/>
              </w:rPr>
              <w:t>—information about the risks and benefits of surveillance—details of sources of support and further information. [2006, amended 2013]</w:t>
            </w:r>
          </w:p>
          <w:p w14:paraId="4950D8AD"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Ensure that women know and understand the reasons for any changes to the surveillance plan. [new 2013]</w:t>
            </w:r>
          </w:p>
          <w:p w14:paraId="3D9537B8" w14:textId="16AE20D0" w:rsidR="00E47AB8" w:rsidRPr="008B2F8A" w:rsidRDefault="00E47AB8" w:rsidP="00422306">
            <w:pPr>
              <w:spacing w:before="40" w:after="80"/>
              <w:rPr>
                <w:rFonts w:ascii="Arial Narrow" w:hAnsi="Arial Narrow"/>
              </w:rPr>
            </w:pPr>
            <w:r w:rsidRPr="008B2F8A">
              <w:rPr>
                <w:rFonts w:ascii="Arial Narrow" w:hAnsi="Arial Narrow"/>
              </w:rPr>
              <w:t xml:space="preserve">For women </w:t>
            </w:r>
            <w:r>
              <w:rPr>
                <w:rFonts w:ascii="Arial Narrow" w:hAnsi="Arial Narrow"/>
              </w:rPr>
              <w:t>&lt;</w:t>
            </w:r>
            <w:r w:rsidRPr="008B2F8A">
              <w:rPr>
                <w:rFonts w:ascii="Arial Narrow" w:hAnsi="Arial Narrow"/>
              </w:rPr>
              <w:t xml:space="preserve">50 years who are having mammography, use digital mammography at centres providing </w:t>
            </w:r>
            <w:r>
              <w:rPr>
                <w:rFonts w:ascii="Arial Narrow" w:hAnsi="Arial Narrow"/>
              </w:rPr>
              <w:t>it</w:t>
            </w:r>
            <w:r w:rsidRPr="008B2F8A">
              <w:rPr>
                <w:rFonts w:ascii="Arial Narrow" w:hAnsi="Arial Narrow"/>
              </w:rPr>
              <w:t xml:space="preserve"> to National Breast Screening Program standards. [new 2013]</w:t>
            </w:r>
          </w:p>
          <w:p w14:paraId="208763A4" w14:textId="312D79CB" w:rsidR="00E47AB8" w:rsidRPr="008B2F8A" w:rsidRDefault="00E47AB8" w:rsidP="00422306">
            <w:pPr>
              <w:spacing w:before="40" w:after="80"/>
              <w:rPr>
                <w:rFonts w:ascii="Arial Narrow" w:hAnsi="Arial Narrow"/>
              </w:rPr>
            </w:pPr>
            <w:r w:rsidRPr="008B2F8A">
              <w:rPr>
                <w:rFonts w:ascii="Arial Narrow" w:hAnsi="Arial Narrow"/>
              </w:rPr>
              <w:t>Ensure that individual strategies are developed for all women having mammographic surveillance and that surveillance is:</w:t>
            </w:r>
          </w:p>
          <w:p w14:paraId="05063D3C" w14:textId="38A63D5C" w:rsidR="00E47AB8" w:rsidRPr="008B2F8A" w:rsidRDefault="00E47AB8" w:rsidP="00422306">
            <w:pPr>
              <w:spacing w:before="40" w:after="80"/>
              <w:rPr>
                <w:rFonts w:ascii="Arial Narrow" w:hAnsi="Arial Narrow"/>
              </w:rPr>
            </w:pPr>
            <w:r w:rsidRPr="008B2F8A">
              <w:rPr>
                <w:rFonts w:ascii="Arial Narrow" w:hAnsi="Arial Narrow"/>
              </w:rPr>
              <w:t>—to national breast screening program standards</w:t>
            </w:r>
          </w:p>
          <w:p w14:paraId="5B67D22E" w14:textId="77777777" w:rsidR="00E47AB8" w:rsidRPr="008B2F8A" w:rsidRDefault="00E47AB8" w:rsidP="00422306">
            <w:pPr>
              <w:spacing w:before="40" w:after="80"/>
              <w:rPr>
                <w:rFonts w:ascii="Arial Narrow" w:hAnsi="Arial Narrow"/>
              </w:rPr>
            </w:pPr>
            <w:r w:rsidRPr="008B2F8A">
              <w:rPr>
                <w:rFonts w:ascii="Arial Narrow" w:hAnsi="Arial Narrow"/>
              </w:rPr>
              <w:t>—audited</w:t>
            </w:r>
          </w:p>
          <w:p w14:paraId="38F70F12" w14:textId="5C8CB961" w:rsidR="00E47AB8" w:rsidRPr="008B2F8A" w:rsidRDefault="00E47AB8" w:rsidP="00422306">
            <w:pPr>
              <w:spacing w:before="40" w:after="80"/>
              <w:rPr>
                <w:rFonts w:ascii="Arial Narrow" w:hAnsi="Arial Narrow"/>
              </w:rPr>
            </w:pPr>
            <w:r w:rsidRPr="008B2F8A">
              <w:rPr>
                <w:rFonts w:ascii="Arial Narrow" w:hAnsi="Arial Narrow"/>
              </w:rPr>
              <w:t>—undertaken only after written information is given about risks and benefits. [new 2013]</w:t>
            </w:r>
          </w:p>
          <w:p w14:paraId="7909EFA4" w14:textId="1DB0989B" w:rsidR="00E47AB8" w:rsidRPr="008B2F8A" w:rsidRDefault="00E47AB8" w:rsidP="00422306">
            <w:pPr>
              <w:spacing w:before="40" w:after="80"/>
              <w:rPr>
                <w:rFonts w:ascii="Arial Narrow" w:hAnsi="Arial Narrow"/>
              </w:rPr>
            </w:pPr>
            <w:r w:rsidRPr="008B2F8A">
              <w:rPr>
                <w:rFonts w:ascii="Arial Narrow" w:hAnsi="Arial Narrow"/>
              </w:rPr>
              <w:t>Ensure that MRI surveillance includes MRI of both breasts performed to National Breast Screening Program standards. [2006, amended 2013]</w:t>
            </w:r>
          </w:p>
          <w:p w14:paraId="0D3B5912" w14:textId="75EB43DD" w:rsidR="00E47AB8" w:rsidRPr="008B2F8A" w:rsidRDefault="00E47AB8" w:rsidP="00422306">
            <w:pPr>
              <w:spacing w:before="40" w:after="80"/>
              <w:rPr>
                <w:rFonts w:ascii="Arial Narrow" w:hAnsi="Arial Narrow"/>
              </w:rPr>
            </w:pPr>
            <w:r w:rsidRPr="008B2F8A">
              <w:rPr>
                <w:rFonts w:ascii="Arial Narrow" w:hAnsi="Arial Narrow"/>
              </w:rPr>
              <w:t>When women not known to have a genetic mutation are referred to a specialist genetic clinic, offer assessment of their carrier probability using a calculation method with acceptable performance (calibration and discrimination) to determine whether they meet or will meet the criteria for surveillance (</w:t>
            </w:r>
            <w:r>
              <w:rPr>
                <w:rFonts w:ascii="Arial Narrow" w:hAnsi="Arial Narrow"/>
              </w:rPr>
              <w:t>eg,</w:t>
            </w:r>
            <w:r w:rsidRPr="008B2F8A">
              <w:rPr>
                <w:rFonts w:ascii="Arial Narrow" w:hAnsi="Arial Narrow"/>
              </w:rPr>
              <w:t xml:space="preserve"> </w:t>
            </w:r>
            <w:bookmarkStart w:id="877" w:name="OLE_LINK344"/>
            <w:bookmarkStart w:id="878" w:name="OLE_LINK345"/>
            <w:r w:rsidRPr="008B2F8A">
              <w:rPr>
                <w:rFonts w:ascii="Arial Narrow" w:hAnsi="Arial Narrow"/>
              </w:rPr>
              <w:t>BOADICEA</w:t>
            </w:r>
            <w:bookmarkEnd w:id="877"/>
            <w:bookmarkEnd w:id="878"/>
            <w:r w:rsidRPr="008B2F8A">
              <w:rPr>
                <w:rFonts w:ascii="Arial Narrow" w:hAnsi="Arial Narrow"/>
              </w:rPr>
              <w:t>: Breast and Ovarian Analysis of Disease Incidence and Carrier Estimation Algorithm). [new 2013]</w:t>
            </w:r>
          </w:p>
          <w:p w14:paraId="38D4CFFF" w14:textId="77777777" w:rsidR="00E47AB8" w:rsidRPr="008B2F8A" w:rsidRDefault="00E47AB8" w:rsidP="00422306">
            <w:pPr>
              <w:spacing w:before="40" w:after="80"/>
              <w:rPr>
                <w:rFonts w:ascii="Arial Narrow" w:hAnsi="Arial Narrow"/>
              </w:rPr>
            </w:pPr>
            <w:r w:rsidRPr="008B2F8A">
              <w:rPr>
                <w:rFonts w:ascii="Arial Narrow" w:hAnsi="Arial Narrow"/>
              </w:rPr>
              <w:t>Do not offer surveillance to women who have undergone a bilateral mastectomy.</w:t>
            </w:r>
          </w:p>
        </w:tc>
      </w:tr>
      <w:tr w:rsidR="00E47AB8" w:rsidRPr="008B2F8A" w14:paraId="1FAB2849" w14:textId="77777777" w:rsidTr="00703F10">
        <w:tc>
          <w:tcPr>
            <w:tcW w:w="4572" w:type="dxa"/>
            <w:tcBorders>
              <w:right w:val="nil"/>
            </w:tcBorders>
          </w:tcPr>
          <w:p w14:paraId="3BED2867" w14:textId="7AF94B4E" w:rsidR="00E47AB8" w:rsidRPr="008B2F8A" w:rsidDel="00A90050" w:rsidRDefault="00E47AB8" w:rsidP="00703F10">
            <w:pPr>
              <w:keepNext/>
              <w:spacing w:before="40" w:after="80" w:line="240" w:lineRule="auto"/>
              <w:rPr>
                <w:rFonts w:ascii="Arial Narrow" w:hAnsi="Arial Narrow"/>
                <w:lang w:eastAsia="en-US"/>
              </w:rPr>
            </w:pPr>
            <w:r>
              <w:rPr>
                <w:rFonts w:ascii="Arial Narrow" w:hAnsi="Arial Narrow"/>
              </w:rPr>
              <w:lastRenderedPageBreak/>
              <w:t>Robertson et al, 2011</w:t>
            </w:r>
            <w:r w:rsidR="00E9203D">
              <w:rPr>
                <w:rFonts w:ascii="Arial Narrow" w:hAnsi="Arial Narrow"/>
              </w:rPr>
              <w:t>a</w:t>
            </w:r>
          </w:p>
        </w:tc>
        <w:tc>
          <w:tcPr>
            <w:tcW w:w="4498" w:type="dxa"/>
            <w:tcBorders>
              <w:left w:val="nil"/>
            </w:tcBorders>
          </w:tcPr>
          <w:p w14:paraId="1433BB75" w14:textId="77777777" w:rsidR="00E47AB8" w:rsidRPr="008B2F8A" w:rsidRDefault="00E47AB8" w:rsidP="00422306">
            <w:pPr>
              <w:spacing w:before="40" w:after="80"/>
              <w:rPr>
                <w:rFonts w:ascii="Arial Narrow" w:hAnsi="Arial Narrow"/>
              </w:rPr>
            </w:pPr>
          </w:p>
        </w:tc>
      </w:tr>
      <w:tr w:rsidR="00E47AB8" w:rsidRPr="008B2F8A" w14:paraId="4273A891" w14:textId="77777777" w:rsidTr="00703F10">
        <w:tc>
          <w:tcPr>
            <w:tcW w:w="4572" w:type="dxa"/>
          </w:tcPr>
          <w:p w14:paraId="04353584" w14:textId="4450D330" w:rsidR="00E47AB8" w:rsidRPr="008B2F8A" w:rsidRDefault="00E47AB8" w:rsidP="00422306">
            <w:pPr>
              <w:spacing w:before="40" w:after="80"/>
              <w:rPr>
                <w:rFonts w:ascii="Arial Narrow" w:hAnsi="Arial Narrow"/>
              </w:rPr>
            </w:pPr>
            <w:r w:rsidRPr="008B2F8A">
              <w:rPr>
                <w:rFonts w:ascii="Arial Narrow" w:hAnsi="Arial Narrow"/>
              </w:rPr>
              <w:t>Nine studies, involving 3</w:t>
            </w:r>
            <w:r>
              <w:rPr>
                <w:rFonts w:ascii="Arial Narrow" w:hAnsi="Arial Narrow"/>
              </w:rPr>
              <w:t>,</w:t>
            </w:r>
            <w:r w:rsidRPr="008B2F8A">
              <w:rPr>
                <w:rFonts w:ascii="Arial Narrow" w:hAnsi="Arial Narrow"/>
              </w:rPr>
              <w:t>775 women, were included in the systematic review of test performance. For the detection of IBTR in routine surveillance where there was no prior suspicion of recurrence, the highest sensitivity was shown for MRI and MRI</w:t>
            </w:r>
            <w:r>
              <w:rPr>
                <w:rFonts w:ascii="Arial Narrow" w:hAnsi="Arial Narrow"/>
              </w:rPr>
              <w:t xml:space="preserve"> + </w:t>
            </w:r>
            <w:r w:rsidRPr="008B2F8A">
              <w:rPr>
                <w:rFonts w:ascii="Arial Narrow" w:hAnsi="Arial Narrow"/>
              </w:rPr>
              <w:t>clinical examination at 100%, whereas the highest specificity was shown for surveillance mammography alone (97%)</w:t>
            </w:r>
            <w:r>
              <w:rPr>
                <w:rFonts w:ascii="Arial Narrow" w:hAnsi="Arial Narrow"/>
              </w:rPr>
              <w:t>,</w:t>
            </w:r>
            <w:r w:rsidRPr="008B2F8A">
              <w:rPr>
                <w:rFonts w:ascii="Arial Narrow" w:hAnsi="Arial Narrow"/>
              </w:rPr>
              <w:t xml:space="preserve"> although this was obtained in a highly select population. Clinical examination alone had the lowest sensitivity (50%)</w:t>
            </w:r>
            <w:r>
              <w:rPr>
                <w:rFonts w:ascii="Arial Narrow" w:hAnsi="Arial Narrow"/>
              </w:rPr>
              <w:t>,</w:t>
            </w:r>
            <w:r w:rsidRPr="008B2F8A">
              <w:rPr>
                <w:rFonts w:ascii="Arial Narrow" w:hAnsi="Arial Narrow"/>
              </w:rPr>
              <w:t xml:space="preserve"> and surveillance mammography </w:t>
            </w:r>
            <w:r>
              <w:rPr>
                <w:rFonts w:ascii="Arial Narrow" w:hAnsi="Arial Narrow"/>
              </w:rPr>
              <w:t>+</w:t>
            </w:r>
            <w:r w:rsidRPr="008B2F8A">
              <w:rPr>
                <w:rFonts w:ascii="Arial Narrow" w:hAnsi="Arial Narrow"/>
              </w:rPr>
              <w:t xml:space="preserve"> clinical examination had the lowest specificity (67%). In the detection of MCBC in routine surveillance, sensitivity ranged from 0% (clinical examination) to 100% for surveillance mammography </w:t>
            </w:r>
            <w:r>
              <w:rPr>
                <w:rFonts w:ascii="Arial Narrow" w:hAnsi="Arial Narrow"/>
              </w:rPr>
              <w:t xml:space="preserve">+ </w:t>
            </w:r>
            <w:r w:rsidRPr="008B2F8A">
              <w:rPr>
                <w:rFonts w:ascii="Arial Narrow" w:hAnsi="Arial Narrow"/>
              </w:rPr>
              <w:t xml:space="preserve">clinical examination </w:t>
            </w:r>
            <w:r>
              <w:rPr>
                <w:rFonts w:ascii="Arial Narrow" w:hAnsi="Arial Narrow"/>
              </w:rPr>
              <w:t xml:space="preserve">+ </w:t>
            </w:r>
            <w:r w:rsidRPr="008B2F8A">
              <w:rPr>
                <w:rFonts w:ascii="Arial Narrow" w:hAnsi="Arial Narrow"/>
              </w:rPr>
              <w:t xml:space="preserve">ultrasound </w:t>
            </w:r>
            <w:r>
              <w:rPr>
                <w:rFonts w:ascii="Arial Narrow" w:hAnsi="Arial Narrow"/>
              </w:rPr>
              <w:t>+</w:t>
            </w:r>
            <w:r w:rsidRPr="008B2F8A">
              <w:rPr>
                <w:rFonts w:ascii="Arial Narrow" w:hAnsi="Arial Narrow"/>
              </w:rPr>
              <w:t xml:space="preserve"> MRI. Specificity ranged from 50% for </w:t>
            </w:r>
            <w:r w:rsidRPr="008B2F8A">
              <w:rPr>
                <w:rFonts w:ascii="Arial Narrow" w:hAnsi="Arial Narrow"/>
              </w:rPr>
              <w:lastRenderedPageBreak/>
              <w:t xml:space="preserve">surveillance mammography, MRI or clinical examination to 99% for surveillance mammography </w:t>
            </w:r>
            <w:r>
              <w:rPr>
                <w:rFonts w:ascii="Arial Narrow" w:hAnsi="Arial Narrow"/>
              </w:rPr>
              <w:t>+</w:t>
            </w:r>
            <w:r w:rsidRPr="008B2F8A">
              <w:rPr>
                <w:rFonts w:ascii="Arial Narrow" w:hAnsi="Arial Narrow"/>
              </w:rPr>
              <w:t xml:space="preserve"> ultrasound. The highly selected nature of the population should be born</w:t>
            </w:r>
            <w:r>
              <w:rPr>
                <w:rFonts w:ascii="Arial Narrow" w:hAnsi="Arial Narrow"/>
              </w:rPr>
              <w:t>e</w:t>
            </w:r>
            <w:r w:rsidRPr="008B2F8A">
              <w:rPr>
                <w:rFonts w:ascii="Arial Narrow" w:hAnsi="Arial Narrow"/>
              </w:rPr>
              <w:t xml:space="preserve"> in mind in the context of these results.</w:t>
            </w:r>
          </w:p>
          <w:p w14:paraId="0852B6E3" w14:textId="60BD57B9" w:rsidR="00E47AB8" w:rsidRPr="008B2F8A" w:rsidRDefault="00E47AB8" w:rsidP="00422306">
            <w:pPr>
              <w:spacing w:before="40" w:after="80"/>
              <w:rPr>
                <w:rFonts w:ascii="Arial Narrow" w:hAnsi="Arial Narrow"/>
              </w:rPr>
            </w:pPr>
            <w:r w:rsidRPr="008B2F8A">
              <w:rPr>
                <w:rFonts w:ascii="Arial Narrow" w:hAnsi="Arial Narrow"/>
              </w:rPr>
              <w:t xml:space="preserve">From the available data, MRI can be considered as a highly sensitive test for diagnosis </w:t>
            </w:r>
            <w:r>
              <w:rPr>
                <w:rFonts w:ascii="Arial Narrow" w:hAnsi="Arial Narrow"/>
              </w:rPr>
              <w:t xml:space="preserve">of </w:t>
            </w:r>
            <w:r w:rsidRPr="008B2F8A">
              <w:rPr>
                <w:rFonts w:ascii="Arial Narrow" w:hAnsi="Arial Narrow"/>
              </w:rPr>
              <w:t xml:space="preserve">IBTR in both routine and non-routine surveillance patients. In both routine and non-routine surveillance aimed at detecting IBTR, MRI achieved higher reported specificities than surveillance mammography. For the purposes of detecting MCBC </w:t>
            </w:r>
            <w:r>
              <w:rPr>
                <w:rFonts w:ascii="Arial Narrow" w:hAnsi="Arial Narrow"/>
              </w:rPr>
              <w:t xml:space="preserve">via </w:t>
            </w:r>
            <w:r w:rsidRPr="008B2F8A">
              <w:rPr>
                <w:rFonts w:ascii="Arial Narrow" w:hAnsi="Arial Narrow"/>
              </w:rPr>
              <w:t>routine surveillance, MRI had the highest reported sensitivity and specificity of any individual test. Combining tests increase</w:t>
            </w:r>
            <w:r>
              <w:rPr>
                <w:rFonts w:ascii="Arial Narrow" w:hAnsi="Arial Narrow"/>
              </w:rPr>
              <w:t>d</w:t>
            </w:r>
            <w:r w:rsidRPr="008B2F8A">
              <w:rPr>
                <w:rFonts w:ascii="Arial Narrow" w:hAnsi="Arial Narrow"/>
              </w:rPr>
              <w:t xml:space="preserve"> both sensitivity and specificity for detecting MCBC. Surveillance mammography </w:t>
            </w:r>
            <w:r>
              <w:rPr>
                <w:rFonts w:ascii="Arial Narrow" w:hAnsi="Arial Narrow"/>
              </w:rPr>
              <w:t xml:space="preserve">+ </w:t>
            </w:r>
            <w:r w:rsidRPr="008B2F8A">
              <w:rPr>
                <w:rFonts w:ascii="Arial Narrow" w:hAnsi="Arial Narrow"/>
              </w:rPr>
              <w:t xml:space="preserve">clinical examination </w:t>
            </w:r>
            <w:r>
              <w:rPr>
                <w:rFonts w:ascii="Arial Narrow" w:hAnsi="Arial Narrow"/>
              </w:rPr>
              <w:t xml:space="preserve">+ </w:t>
            </w:r>
            <w:r w:rsidRPr="008B2F8A">
              <w:rPr>
                <w:rFonts w:ascii="Arial Narrow" w:hAnsi="Arial Narrow"/>
              </w:rPr>
              <w:t xml:space="preserve">ultrasound </w:t>
            </w:r>
            <w:r>
              <w:rPr>
                <w:rFonts w:ascii="Arial Narrow" w:hAnsi="Arial Narrow"/>
              </w:rPr>
              <w:t>+</w:t>
            </w:r>
            <w:r w:rsidRPr="008B2F8A">
              <w:rPr>
                <w:rFonts w:ascii="Arial Narrow" w:hAnsi="Arial Narrow"/>
              </w:rPr>
              <w:t xml:space="preserve"> MRI produced the highest reported sensitivity of 100%. </w:t>
            </w:r>
            <w:r>
              <w:rPr>
                <w:rFonts w:ascii="Arial Narrow" w:hAnsi="Arial Narrow"/>
              </w:rPr>
              <w:t>It</w:t>
            </w:r>
            <w:r w:rsidRPr="008B2F8A">
              <w:rPr>
                <w:rFonts w:ascii="Arial Narrow" w:hAnsi="Arial Narrow"/>
              </w:rPr>
              <w:t xml:space="preserve"> produced a lower reported specificity </w:t>
            </w:r>
            <w:r>
              <w:rPr>
                <w:rFonts w:ascii="Arial Narrow" w:hAnsi="Arial Narrow"/>
              </w:rPr>
              <w:t>(</w:t>
            </w:r>
            <w:r w:rsidRPr="008B2F8A">
              <w:rPr>
                <w:rFonts w:ascii="Arial Narrow" w:hAnsi="Arial Narrow"/>
              </w:rPr>
              <w:t>89%</w:t>
            </w:r>
            <w:r>
              <w:rPr>
                <w:rFonts w:ascii="Arial Narrow" w:hAnsi="Arial Narrow"/>
              </w:rPr>
              <w:t>)</w:t>
            </w:r>
            <w:r w:rsidRPr="008B2F8A">
              <w:rPr>
                <w:rFonts w:ascii="Arial Narrow" w:hAnsi="Arial Narrow"/>
              </w:rPr>
              <w:t xml:space="preserve"> </w:t>
            </w:r>
            <w:r>
              <w:rPr>
                <w:rFonts w:ascii="Arial Narrow" w:hAnsi="Arial Narrow"/>
              </w:rPr>
              <w:t>than</w:t>
            </w:r>
            <w:r w:rsidRPr="008B2F8A">
              <w:rPr>
                <w:rFonts w:ascii="Arial Narrow" w:hAnsi="Arial Narrow"/>
              </w:rPr>
              <w:t xml:space="preserve"> surveillance mammography </w:t>
            </w:r>
            <w:r>
              <w:rPr>
                <w:rFonts w:ascii="Arial Narrow" w:hAnsi="Arial Narrow"/>
              </w:rPr>
              <w:t>+</w:t>
            </w:r>
            <w:r w:rsidRPr="008B2F8A">
              <w:rPr>
                <w:rFonts w:ascii="Arial Narrow" w:hAnsi="Arial Narrow"/>
              </w:rPr>
              <w:t xml:space="preserve"> ultra</w:t>
            </w:r>
            <w:r>
              <w:rPr>
                <w:rFonts w:ascii="Arial Narrow" w:hAnsi="Arial Narrow"/>
              </w:rPr>
              <w:softHyphen/>
            </w:r>
            <w:r w:rsidRPr="008B2F8A">
              <w:rPr>
                <w:rFonts w:ascii="Arial Narrow" w:hAnsi="Arial Narrow"/>
              </w:rPr>
              <w:t xml:space="preserve">sound, which produced the highest reported specificity </w:t>
            </w:r>
            <w:r>
              <w:rPr>
                <w:rFonts w:ascii="Arial Narrow" w:hAnsi="Arial Narrow"/>
              </w:rPr>
              <w:t>(</w:t>
            </w:r>
            <w:r w:rsidRPr="008B2F8A">
              <w:rPr>
                <w:rFonts w:ascii="Arial Narrow" w:hAnsi="Arial Narrow"/>
              </w:rPr>
              <w:t>99%</w:t>
            </w:r>
            <w:r>
              <w:rPr>
                <w:rFonts w:ascii="Arial Narrow" w:hAnsi="Arial Narrow"/>
              </w:rPr>
              <w:t>)</w:t>
            </w:r>
            <w:r w:rsidRPr="008B2F8A">
              <w:rPr>
                <w:rFonts w:ascii="Arial Narrow" w:hAnsi="Arial Narrow"/>
              </w:rPr>
              <w:t xml:space="preserve"> and the second highest reported sensitivity </w:t>
            </w:r>
            <w:r>
              <w:rPr>
                <w:rFonts w:ascii="Arial Narrow" w:hAnsi="Arial Narrow"/>
              </w:rPr>
              <w:t>(</w:t>
            </w:r>
            <w:r w:rsidRPr="008B2F8A">
              <w:rPr>
                <w:rFonts w:ascii="Arial Narrow" w:hAnsi="Arial Narrow"/>
              </w:rPr>
              <w:t>95%</w:t>
            </w:r>
            <w:r>
              <w:rPr>
                <w:rFonts w:ascii="Arial Narrow" w:hAnsi="Arial Narrow"/>
              </w:rPr>
              <w:t>)</w:t>
            </w:r>
            <w:r w:rsidRPr="008B2F8A">
              <w:rPr>
                <w:rFonts w:ascii="Arial Narrow" w:hAnsi="Arial Narrow"/>
              </w:rPr>
              <w:t xml:space="preserve">. Of those test combinations reported here, surveillance mammography </w:t>
            </w:r>
            <w:r>
              <w:rPr>
                <w:rFonts w:ascii="Arial Narrow" w:hAnsi="Arial Narrow"/>
              </w:rPr>
              <w:t>+</w:t>
            </w:r>
            <w:r w:rsidRPr="008B2F8A">
              <w:rPr>
                <w:rFonts w:ascii="Arial Narrow" w:hAnsi="Arial Narrow"/>
              </w:rPr>
              <w:t xml:space="preserve"> ultrasound could be considered as the most accurate test combination for detecting MCBC via routine surveillance.</w:t>
            </w:r>
          </w:p>
        </w:tc>
        <w:tc>
          <w:tcPr>
            <w:tcW w:w="4498" w:type="dxa"/>
          </w:tcPr>
          <w:p w14:paraId="683EE333" w14:textId="5ADB3E74" w:rsidR="00E47AB8" w:rsidRPr="008B2F8A" w:rsidRDefault="00E47AB8" w:rsidP="00703F10">
            <w:pPr>
              <w:pStyle w:val="ListParagraph"/>
              <w:numPr>
                <w:ilvl w:val="0"/>
                <w:numId w:val="31"/>
              </w:numPr>
              <w:tabs>
                <w:tab w:val="left" w:pos="230"/>
              </w:tabs>
              <w:spacing w:before="40" w:after="80"/>
              <w:ind w:left="0" w:firstLine="0"/>
              <w:contextualSpacing w:val="0"/>
              <w:rPr>
                <w:rFonts w:ascii="Arial Narrow" w:hAnsi="Arial Narrow"/>
                <w:color w:val="000000"/>
                <w:lang w:eastAsia="en-US"/>
              </w:rPr>
            </w:pPr>
            <w:r w:rsidRPr="008B2F8A">
              <w:rPr>
                <w:rFonts w:ascii="Arial Narrow" w:hAnsi="Arial Narrow"/>
              </w:rPr>
              <w:lastRenderedPageBreak/>
              <w:t>Surveillance, when combined with effective treatment of the cancers detected, is likely to improve survival.</w:t>
            </w:r>
          </w:p>
          <w:p w14:paraId="4F9F1955" w14:textId="77777777" w:rsidR="00E47AB8" w:rsidRPr="008B2F8A" w:rsidRDefault="00E47AB8" w:rsidP="00703F10">
            <w:pPr>
              <w:pStyle w:val="ListParagraph"/>
              <w:numPr>
                <w:ilvl w:val="0"/>
                <w:numId w:val="31"/>
              </w:numPr>
              <w:tabs>
                <w:tab w:val="left" w:pos="230"/>
              </w:tabs>
              <w:spacing w:before="40" w:after="80"/>
              <w:ind w:left="0" w:firstLine="0"/>
              <w:contextualSpacing w:val="0"/>
              <w:rPr>
                <w:rFonts w:ascii="Arial Narrow" w:hAnsi="Arial Narrow"/>
                <w:color w:val="000000"/>
                <w:lang w:eastAsia="en-US"/>
              </w:rPr>
            </w:pPr>
            <w:r w:rsidRPr="008B2F8A">
              <w:rPr>
                <w:rFonts w:ascii="Arial Narrow" w:hAnsi="Arial Narrow"/>
              </w:rPr>
              <w:t>The evidence base on which to recommend any change in current practice is relatively weak.</w:t>
            </w:r>
          </w:p>
          <w:p w14:paraId="259BAABF" w14:textId="77777777" w:rsidR="00E47AB8" w:rsidRPr="008B2F8A" w:rsidRDefault="00E47AB8" w:rsidP="00703F10">
            <w:pPr>
              <w:pStyle w:val="ListParagraph"/>
              <w:numPr>
                <w:ilvl w:val="0"/>
                <w:numId w:val="31"/>
              </w:numPr>
              <w:tabs>
                <w:tab w:val="left" w:pos="230"/>
              </w:tabs>
              <w:spacing w:before="40" w:after="80"/>
              <w:ind w:left="0" w:firstLine="0"/>
              <w:contextualSpacing w:val="0"/>
              <w:rPr>
                <w:rFonts w:ascii="Arial Narrow" w:hAnsi="Arial Narrow"/>
                <w:color w:val="000000"/>
                <w:lang w:eastAsia="en-US"/>
              </w:rPr>
            </w:pPr>
            <w:r w:rsidRPr="008B2F8A">
              <w:rPr>
                <w:rFonts w:ascii="Arial Narrow" w:hAnsi="Arial Narrow"/>
              </w:rPr>
              <w:t xml:space="preserve">The current evidence base suggests that should the </w:t>
            </w:r>
            <w:bookmarkStart w:id="879" w:name="OLE_LINK346"/>
            <w:bookmarkStart w:id="880" w:name="OLE_LINK347"/>
            <w:r w:rsidRPr="008B2F8A">
              <w:rPr>
                <w:rFonts w:ascii="Arial Narrow" w:hAnsi="Arial Narrow"/>
              </w:rPr>
              <w:t>NHS</w:t>
            </w:r>
            <w:bookmarkEnd w:id="879"/>
            <w:bookmarkEnd w:id="880"/>
            <w:r w:rsidRPr="008B2F8A">
              <w:rPr>
                <w:rFonts w:ascii="Arial Narrow" w:hAnsi="Arial Narrow"/>
              </w:rPr>
              <w:t xml:space="preserve"> cho</w:t>
            </w:r>
            <w:r>
              <w:rPr>
                <w:rFonts w:ascii="Arial Narrow" w:hAnsi="Arial Narrow"/>
              </w:rPr>
              <w:t>o</w:t>
            </w:r>
            <w:r w:rsidRPr="008B2F8A">
              <w:rPr>
                <w:rFonts w:ascii="Arial Narrow" w:hAnsi="Arial Narrow"/>
              </w:rPr>
              <w:t>se to standardise surveillance for all women</w:t>
            </w:r>
            <w:r>
              <w:rPr>
                <w:rFonts w:ascii="Arial Narrow" w:hAnsi="Arial Narrow"/>
              </w:rPr>
              <w:t>,</w:t>
            </w:r>
            <w:r w:rsidRPr="008B2F8A">
              <w:rPr>
                <w:rFonts w:ascii="Arial Narrow" w:hAnsi="Arial Narrow"/>
              </w:rPr>
              <w:t xml:space="preserve"> then a regimen of mammography alone every 12–24 months appears to have the highest net benefits when society’s willingness to pay for a QALY is £20,000 or £30,000.</w:t>
            </w:r>
          </w:p>
          <w:p w14:paraId="5FF22532" w14:textId="27F7D7B6" w:rsidR="00E47AB8" w:rsidRPr="008B2F8A" w:rsidRDefault="00E47AB8" w:rsidP="00703F10">
            <w:pPr>
              <w:pStyle w:val="ListParagraph"/>
              <w:numPr>
                <w:ilvl w:val="0"/>
                <w:numId w:val="31"/>
              </w:numPr>
              <w:tabs>
                <w:tab w:val="left" w:pos="230"/>
              </w:tabs>
              <w:spacing w:before="40" w:after="80"/>
              <w:ind w:left="0" w:firstLine="0"/>
              <w:contextualSpacing w:val="0"/>
              <w:rPr>
                <w:rFonts w:ascii="Arial Narrow" w:hAnsi="Arial Narrow"/>
                <w:color w:val="000000"/>
                <w:lang w:eastAsia="en-US"/>
              </w:rPr>
            </w:pPr>
            <w:r w:rsidRPr="008B2F8A">
              <w:rPr>
                <w:rFonts w:ascii="Arial Narrow" w:hAnsi="Arial Narrow"/>
              </w:rPr>
              <w:t xml:space="preserve">Rather than offering the same regimen to all patients, careful consideration should be given to stratification of patients to ensure maximum benefit to </w:t>
            </w:r>
            <w:r w:rsidRPr="008B2F8A">
              <w:rPr>
                <w:rFonts w:ascii="Arial Narrow" w:hAnsi="Arial Narrow"/>
              </w:rPr>
              <w:lastRenderedPageBreak/>
              <w:t xml:space="preserve">ensure optimal use of resources. How best to deliver a varying surveillance regimen would be challenging, and how such a service could be best organised </w:t>
            </w:r>
            <w:r>
              <w:rPr>
                <w:rFonts w:ascii="Arial Narrow" w:hAnsi="Arial Narrow"/>
              </w:rPr>
              <w:t>needs</w:t>
            </w:r>
            <w:r w:rsidRPr="008B2F8A">
              <w:rPr>
                <w:rFonts w:ascii="Arial Narrow" w:hAnsi="Arial Narrow"/>
              </w:rPr>
              <w:t xml:space="preserve"> consideration.</w:t>
            </w:r>
          </w:p>
          <w:p w14:paraId="6789D7C3" w14:textId="6A1B2659" w:rsidR="00E47AB8" w:rsidRPr="008B2F8A" w:rsidRDefault="00E47AB8" w:rsidP="00703F10">
            <w:pPr>
              <w:pStyle w:val="ListParagraph"/>
              <w:numPr>
                <w:ilvl w:val="0"/>
                <w:numId w:val="31"/>
              </w:numPr>
              <w:tabs>
                <w:tab w:val="left" w:pos="230"/>
              </w:tabs>
              <w:spacing w:before="40" w:after="80"/>
              <w:ind w:left="0" w:firstLine="0"/>
              <w:contextualSpacing w:val="0"/>
              <w:rPr>
                <w:rFonts w:ascii="Arial Narrow" w:hAnsi="Arial Narrow"/>
                <w:color w:val="000000"/>
                <w:lang w:eastAsia="en-US"/>
              </w:rPr>
            </w:pPr>
            <w:r w:rsidRPr="008B2F8A">
              <w:rPr>
                <w:rFonts w:ascii="Arial Narrow" w:hAnsi="Arial Narrow"/>
              </w:rPr>
              <w:t>The current evidence base suggests that should the NHS choose to tailor surveillance for those women with a greater likelihood of developing IBTR or MCBC</w:t>
            </w:r>
            <w:r>
              <w:rPr>
                <w:rFonts w:ascii="Arial Narrow" w:hAnsi="Arial Narrow"/>
              </w:rPr>
              <w:t>,</w:t>
            </w:r>
            <w:r w:rsidRPr="008B2F8A">
              <w:rPr>
                <w:rFonts w:ascii="Arial Narrow" w:hAnsi="Arial Narrow"/>
              </w:rPr>
              <w:t xml:space="preserve"> then more comprehensive (eg, mammography and clinical follow-up) and more frequent surveillance (every 12 months) would be associated with greatest net benefit.</w:t>
            </w:r>
          </w:p>
          <w:p w14:paraId="2E27438F" w14:textId="2E9B1E3E" w:rsidR="00E47AB8" w:rsidRPr="008B2F8A" w:rsidRDefault="00E47AB8" w:rsidP="00703F10">
            <w:pPr>
              <w:pStyle w:val="ListParagraph"/>
              <w:numPr>
                <w:ilvl w:val="0"/>
                <w:numId w:val="31"/>
              </w:numPr>
              <w:tabs>
                <w:tab w:val="left" w:pos="230"/>
              </w:tabs>
              <w:spacing w:before="40" w:after="80"/>
              <w:ind w:left="0" w:firstLine="0"/>
              <w:contextualSpacing w:val="0"/>
              <w:rPr>
                <w:rFonts w:ascii="Arial Narrow" w:hAnsi="Arial Narrow"/>
                <w:color w:val="000000"/>
                <w:lang w:eastAsia="en-US"/>
              </w:rPr>
            </w:pPr>
            <w:r w:rsidRPr="008B2F8A">
              <w:rPr>
                <w:rFonts w:ascii="Arial Narrow" w:hAnsi="Arial Narrow"/>
              </w:rPr>
              <w:t>The current evidence base suggests that should the NHS choose to tailor surveillance for those women least likely to develop IBTR or MCBC</w:t>
            </w:r>
            <w:r>
              <w:rPr>
                <w:rFonts w:ascii="Arial Narrow" w:hAnsi="Arial Narrow"/>
              </w:rPr>
              <w:t>,</w:t>
            </w:r>
            <w:r w:rsidRPr="008B2F8A">
              <w:rPr>
                <w:rFonts w:ascii="Arial Narrow" w:hAnsi="Arial Narrow"/>
              </w:rPr>
              <w:t xml:space="preserve"> then only less frequent mammographic surveillance (eg, every 36 months) would be associated with the greatest net benefit.</w:t>
            </w:r>
          </w:p>
          <w:p w14:paraId="3357981F" w14:textId="77777777" w:rsidR="00E47AB8" w:rsidRPr="008B2F8A" w:rsidRDefault="00E47AB8" w:rsidP="00703F10">
            <w:pPr>
              <w:pStyle w:val="ListParagraph"/>
              <w:numPr>
                <w:ilvl w:val="0"/>
                <w:numId w:val="31"/>
              </w:numPr>
              <w:tabs>
                <w:tab w:val="left" w:pos="230"/>
              </w:tabs>
              <w:spacing w:before="40" w:after="80"/>
              <w:ind w:left="0" w:firstLine="0"/>
              <w:contextualSpacing w:val="0"/>
              <w:rPr>
                <w:rFonts w:ascii="Arial Narrow" w:hAnsi="Arial Narrow"/>
                <w:color w:val="000000"/>
                <w:lang w:eastAsia="en-US"/>
              </w:rPr>
            </w:pPr>
            <w:r w:rsidRPr="008B2F8A">
              <w:rPr>
                <w:rFonts w:ascii="Arial Narrow" w:hAnsi="Arial Narrow"/>
              </w:rPr>
              <w:t>Variation in surveillance can be a source of anxiety to women.</w:t>
            </w:r>
          </w:p>
        </w:tc>
      </w:tr>
    </w:tbl>
    <w:p w14:paraId="6A168B34" w14:textId="0FE3F84F" w:rsidR="00E47AB8" w:rsidRPr="008B2F8A" w:rsidRDefault="00E47AB8" w:rsidP="00703F10">
      <w:pPr>
        <w:pStyle w:val="TableNotesFirst"/>
      </w:pPr>
      <w:r w:rsidRPr="008B2F8A">
        <w:lastRenderedPageBreak/>
        <w:t xml:space="preserve">* NICE Guideline 80 </w:t>
      </w:r>
      <w:r w:rsidRPr="008B2F8A">
        <w:rPr>
          <w:noProof/>
        </w:rPr>
        <w:t>(</w:t>
      </w:r>
      <w:bookmarkStart w:id="881" w:name="OLE_LINK824"/>
      <w:bookmarkStart w:id="882" w:name="OLE_LINK825"/>
      <w:r w:rsidRPr="008B2F8A">
        <w:rPr>
          <w:noProof/>
        </w:rPr>
        <w:t>National Collaborating Centre for Cancer, 2009</w:t>
      </w:r>
      <w:bookmarkEnd w:id="881"/>
      <w:bookmarkEnd w:id="882"/>
      <w:r w:rsidRPr="008B2F8A">
        <w:rPr>
          <w:noProof/>
        </w:rPr>
        <w:t>)</w:t>
      </w:r>
      <w:r w:rsidRPr="008B2F8A">
        <w:t xml:space="preserve"> makes the following recommendations on follow-up imaging:</w:t>
      </w:r>
    </w:p>
    <w:p w14:paraId="7DE7437F" w14:textId="67A0A93E" w:rsidR="00E47AB8" w:rsidRPr="008B2F8A" w:rsidRDefault="00E47AB8" w:rsidP="00703F10">
      <w:pPr>
        <w:pStyle w:val="TableNotesMiddle"/>
        <w:ind w:left="284"/>
      </w:pPr>
      <w:r w:rsidRPr="008B2F8A">
        <w:t>Offer annual mammography to all patients with early breast cancer, including DCIS</w:t>
      </w:r>
      <w:r>
        <w:t>,</w:t>
      </w:r>
      <w:r w:rsidRPr="008B2F8A">
        <w:t xml:space="preserve"> until they enter the breast screening program. Patients diagnosed with early breast cancer who are already eligible for screening should have annual mammography for 5 years.</w:t>
      </w:r>
    </w:p>
    <w:p w14:paraId="2C1557C6" w14:textId="4E616FB2" w:rsidR="00E47AB8" w:rsidRPr="008B2F8A" w:rsidRDefault="00E47AB8" w:rsidP="00703F10">
      <w:pPr>
        <w:pStyle w:val="TableNotesMiddle"/>
        <w:ind w:left="284"/>
      </w:pPr>
      <w:r w:rsidRPr="008B2F8A">
        <w:t>On reaching screening age or after 5 years of annual mammography follow-up</w:t>
      </w:r>
      <w:r>
        <w:t>,</w:t>
      </w:r>
      <w:r w:rsidRPr="008B2F8A">
        <w:t xml:space="preserve"> stratify screening frequency in line with patient risk category.</w:t>
      </w:r>
    </w:p>
    <w:p w14:paraId="49D50B7D" w14:textId="77777777" w:rsidR="00E47AB8" w:rsidRPr="008B2F8A" w:rsidRDefault="00E47AB8" w:rsidP="00703F10">
      <w:pPr>
        <w:pStyle w:val="TableNotesMiddle"/>
        <w:ind w:left="284"/>
      </w:pPr>
      <w:r w:rsidRPr="008B2F8A">
        <w:t>Do not offer mammography of the ipsilateral soft tissues after mastectomy.</w:t>
      </w:r>
    </w:p>
    <w:p w14:paraId="0D269BF8" w14:textId="77777777" w:rsidR="00E47AB8" w:rsidRPr="008B2F8A" w:rsidRDefault="00E47AB8" w:rsidP="00703F10">
      <w:pPr>
        <w:pStyle w:val="TableNotesMiddle"/>
        <w:ind w:left="284"/>
      </w:pPr>
      <w:r w:rsidRPr="008B2F8A">
        <w:t>Do not offer ultrasound or MRI for routine post-treatment surveillance in patients who have been treated for early invasive breast cancer or DCIS.</w:t>
      </w:r>
    </w:p>
    <w:p w14:paraId="1D3A3F9B" w14:textId="62AE563F" w:rsidR="00E47AB8" w:rsidRPr="008B2F8A" w:rsidRDefault="00E47AB8" w:rsidP="00703F10">
      <w:pPr>
        <w:pStyle w:val="TableNotesLast"/>
      </w:pPr>
      <w:r w:rsidRPr="008B2F8A">
        <w:t xml:space="preserve">MRI = magnetic resonance imaging; CBE = clinical breast examination; CI = confidence interval; </w:t>
      </w:r>
      <w:r w:rsidRPr="00703F10">
        <w:rPr>
          <w:i/>
        </w:rPr>
        <w:t>BRCA1/2</w:t>
      </w:r>
      <w:r w:rsidRPr="008B2F8A">
        <w:t xml:space="preserve"> = breast cancer gene 1 or 2; </w:t>
      </w:r>
      <w:r w:rsidRPr="00703F10">
        <w:rPr>
          <w:i/>
        </w:rPr>
        <w:t>TP53</w:t>
      </w:r>
      <w:r w:rsidRPr="008B2F8A">
        <w:t xml:space="preserve"> = tumour protein p53 gene; IBTR = ipsilateral breast tumour recurrence; MCBC = </w:t>
      </w:r>
      <w:r w:rsidRPr="008B2F8A">
        <w:rPr>
          <w:rFonts w:eastAsiaTheme="minorHAnsi"/>
        </w:rPr>
        <w:t xml:space="preserve">metachronous contralateral breast cancer; NHS = UK National Health Service; </w:t>
      </w:r>
      <w:r w:rsidRPr="008B2F8A">
        <w:t>QALY = quality-adjusted life year.</w:t>
      </w:r>
    </w:p>
    <w:p w14:paraId="5EA6CDDC" w14:textId="77777777" w:rsidR="00E47AB8" w:rsidRPr="008B2F8A" w:rsidRDefault="00E47AB8" w:rsidP="00E47AB8">
      <w:pPr>
        <w:pStyle w:val="Heading3"/>
        <w:numPr>
          <w:ilvl w:val="2"/>
          <w:numId w:val="42"/>
        </w:numPr>
      </w:pPr>
      <w:bookmarkStart w:id="883" w:name="_Toc383424472"/>
      <w:r w:rsidRPr="008B2F8A">
        <w:t>Diagnostic accuracy</w:t>
      </w:r>
      <w:bookmarkEnd w:id="883"/>
    </w:p>
    <w:p w14:paraId="403465BC" w14:textId="77777777" w:rsidR="00E47AB8" w:rsidRPr="008B2F8A" w:rsidRDefault="00E47AB8" w:rsidP="00422306">
      <w:pPr>
        <w:pStyle w:val="Heading4"/>
      </w:pPr>
      <w:r w:rsidRPr="008B2F8A">
        <w:t>Sensitivity and specificity</w:t>
      </w:r>
    </w:p>
    <w:p w14:paraId="352FBDF5" w14:textId="52CC7514" w:rsidR="00E47AB8" w:rsidRPr="008B2F8A" w:rsidRDefault="00E47AB8" w:rsidP="00422306">
      <w:r w:rsidRPr="008B2F8A">
        <w:t xml:space="preserve">The results of included studies that compare the sensitivity and specificity of MRI with mammography are summarised </w:t>
      </w:r>
      <w:r>
        <w:t>in</w:t>
      </w:r>
      <w:r w:rsidRPr="008B2F8A">
        <w:t xml:space="preserve"> </w:t>
      </w:r>
      <w:r w:rsidRPr="008B2F8A">
        <w:fldChar w:fldCharType="begin"/>
      </w:r>
      <w:r w:rsidRPr="008B2F8A">
        <w:instrText xml:space="preserve"> REF _Ref368654339 \h </w:instrText>
      </w:r>
      <w:r w:rsidRPr="008B2F8A">
        <w:fldChar w:fldCharType="separate"/>
      </w:r>
      <w:r w:rsidR="00B81273" w:rsidRPr="008B2F8A">
        <w:t xml:space="preserve">Table </w:t>
      </w:r>
      <w:r w:rsidR="00B81273">
        <w:rPr>
          <w:noProof/>
        </w:rPr>
        <w:t>B</w:t>
      </w:r>
      <w:r w:rsidR="00B81273" w:rsidRPr="008B2F8A">
        <w:t>.</w:t>
      </w:r>
      <w:r w:rsidR="00B81273">
        <w:rPr>
          <w:noProof/>
        </w:rPr>
        <w:t>31</w:t>
      </w:r>
      <w:r w:rsidRPr="008B2F8A">
        <w:fldChar w:fldCharType="end"/>
      </w:r>
      <w:r w:rsidRPr="008B2F8A">
        <w:t xml:space="preserve">, </w:t>
      </w:r>
      <w:r w:rsidRPr="008B2F8A">
        <w:fldChar w:fldCharType="begin"/>
      </w:r>
      <w:r w:rsidRPr="008B2F8A">
        <w:instrText xml:space="preserve"> REF _Ref368644583 \h </w:instrText>
      </w:r>
      <w:r w:rsidRPr="008B2F8A">
        <w:fldChar w:fldCharType="separate"/>
      </w:r>
      <w:r w:rsidR="00B81273" w:rsidRPr="008B2F8A">
        <w:t xml:space="preserve">Table </w:t>
      </w:r>
      <w:r w:rsidR="00B81273">
        <w:rPr>
          <w:noProof/>
        </w:rPr>
        <w:t>B</w:t>
      </w:r>
      <w:r w:rsidR="00B81273" w:rsidRPr="008B2F8A">
        <w:t>.</w:t>
      </w:r>
      <w:r w:rsidR="00B81273">
        <w:rPr>
          <w:noProof/>
        </w:rPr>
        <w:t>32</w:t>
      </w:r>
      <w:r w:rsidRPr="008B2F8A">
        <w:fldChar w:fldCharType="end"/>
      </w:r>
      <w:r w:rsidRPr="008B2F8A">
        <w:t xml:space="preserve"> and </w:t>
      </w:r>
      <w:r w:rsidRPr="008B2F8A">
        <w:fldChar w:fldCharType="begin"/>
      </w:r>
      <w:r w:rsidRPr="008B2F8A">
        <w:instrText xml:space="preserve"> REF _Ref368644589 \h </w:instrText>
      </w:r>
      <w:r w:rsidRPr="008B2F8A">
        <w:fldChar w:fldCharType="separate"/>
      </w:r>
      <w:r w:rsidR="00B81273" w:rsidRPr="008B2F8A">
        <w:t xml:space="preserve">Table </w:t>
      </w:r>
      <w:r w:rsidR="00B81273">
        <w:rPr>
          <w:noProof/>
        </w:rPr>
        <w:t>B</w:t>
      </w:r>
      <w:r w:rsidR="00B81273" w:rsidRPr="008B2F8A">
        <w:t>.</w:t>
      </w:r>
      <w:r w:rsidR="00B81273">
        <w:rPr>
          <w:noProof/>
        </w:rPr>
        <w:t>33</w:t>
      </w:r>
      <w:r w:rsidRPr="008B2F8A">
        <w:fldChar w:fldCharType="end"/>
      </w:r>
      <w:r w:rsidRPr="008B2F8A">
        <w:t xml:space="preserve">. </w:t>
      </w:r>
      <w:r>
        <w:t>Viehweg et al (2004)</w:t>
      </w:r>
      <w:r w:rsidRPr="008B2F8A">
        <w:t xml:space="preserve"> reports results per test; in </w:t>
      </w:r>
      <w:r>
        <w:t>Berg et al (2012)</w:t>
      </w:r>
      <w:r w:rsidRPr="008B2F8A">
        <w:t>, the participant was the primary unit of analysis, although neither study was conducted over multiple rounds</w:t>
      </w:r>
      <w:r>
        <w:t>,</w:t>
      </w:r>
      <w:r w:rsidRPr="008B2F8A">
        <w:t xml:space="preserve"> so this doesn’t affect the interpretation.</w:t>
      </w:r>
    </w:p>
    <w:p w14:paraId="03971F9F" w14:textId="5CB35B28" w:rsidR="00E47AB8" w:rsidRPr="008B2F8A" w:rsidRDefault="00E47AB8" w:rsidP="00422306">
      <w:r w:rsidRPr="008B2F8A">
        <w:t xml:space="preserve">The sensitivity of breast MRI </w:t>
      </w:r>
      <w:r>
        <w:t>+</w:t>
      </w:r>
      <w:r w:rsidRPr="008B2F8A">
        <w:t xml:space="preserve"> mammography in patients who had a previous history of breast cancer was 1</w:t>
      </w:r>
      <w:r w:rsidR="00E9203D">
        <w:t>.00</w:t>
      </w:r>
      <w:r w:rsidRPr="008B2F8A">
        <w:t xml:space="preserve">, and specificity was </w:t>
      </w:r>
      <w:r w:rsidR="00E9203D">
        <w:t>0.79</w:t>
      </w:r>
      <w:r w:rsidRPr="008B2F8A">
        <w:t>; this was a non-significant increase in sensitivity (0.50) and a significant decrease in specificity (0.95) compared with mammography alone (</w:t>
      </w:r>
      <w:r>
        <w:t>Berg et al, 2012</w:t>
      </w:r>
      <w:r w:rsidRPr="008B2F8A">
        <w:t xml:space="preserve">). As only a subset of the study population underwent breast MRI and only a subset of these had a </w:t>
      </w:r>
      <w:r w:rsidRPr="008B2F8A">
        <w:lastRenderedPageBreak/>
        <w:t>previous history of breast cancer, interpretation of these results is limited by the small sample size (and therefore wide confidence intervals). Furthermore, the women included in this analysis may not be representative of the overall population and ha</w:t>
      </w:r>
      <w:r>
        <w:t>d</w:t>
      </w:r>
      <w:r w:rsidRPr="008B2F8A">
        <w:t xml:space="preserve"> already undergone three complete rounds of screening by mammography and ultrasound</w:t>
      </w:r>
      <w:r>
        <w:t>,</w:t>
      </w:r>
      <w:r w:rsidRPr="008B2F8A">
        <w:t xml:space="preserve"> so the prevalence of breast cancer is likely to be low</w:t>
      </w:r>
      <w:r>
        <w:t>,</w:t>
      </w:r>
      <w:r w:rsidRPr="008B2F8A">
        <w:t xml:space="preserve"> as only incident cancers will be detected. It was not reported whether the cancers detected were ipsilateral or contralateral.</w:t>
      </w:r>
    </w:p>
    <w:p w14:paraId="57A4D267" w14:textId="23B11132" w:rsidR="00E47AB8" w:rsidRPr="008B2F8A" w:rsidRDefault="00E47AB8" w:rsidP="00422306">
      <w:r w:rsidRPr="008B2F8A">
        <w:t xml:space="preserve">Berg </w:t>
      </w:r>
      <w:r>
        <w:t xml:space="preserve">et al (2012) </w:t>
      </w:r>
      <w:r w:rsidRPr="008B2F8A">
        <w:t>also reported on the addition of ultrasound to mammography</w:t>
      </w:r>
      <w:r w:rsidR="00BC546B">
        <w:t>, the primary objective of the study,</w:t>
      </w:r>
      <w:r w:rsidRPr="008B2F8A">
        <w:t xml:space="preserve"> over three rounds of screening in women with a history of breast cancer.</w:t>
      </w:r>
      <w:r w:rsidR="00BC546B">
        <w:t xml:space="preserve"> </w:t>
      </w:r>
      <w:r w:rsidRPr="008B2F8A">
        <w:t xml:space="preserve"> </w:t>
      </w:r>
      <w:r w:rsidR="00B4391A">
        <w:t xml:space="preserve">Only a small subset of the study population had MRI but all had ultrasound. </w:t>
      </w:r>
      <w:r w:rsidRPr="008B2F8A">
        <w:t xml:space="preserve">The sensitivity increased significantly (mammography alone, </w:t>
      </w:r>
      <w:r w:rsidR="00BC546B">
        <w:t>0.56</w:t>
      </w:r>
      <w:r w:rsidRPr="008B2F8A">
        <w:t xml:space="preserve"> [95% CI </w:t>
      </w:r>
      <w:r w:rsidR="00BC546B">
        <w:t>0.42</w:t>
      </w:r>
      <w:r w:rsidRPr="008B2F8A">
        <w:t>–</w:t>
      </w:r>
      <w:r w:rsidR="00BC546B">
        <w:t>0.69</w:t>
      </w:r>
      <w:r w:rsidRPr="008B2F8A">
        <w:t xml:space="preserve">], mammography </w:t>
      </w:r>
      <w:r w:rsidRPr="008B2F8A">
        <w:rPr>
          <w:rFonts w:ascii="Arial Narrow" w:hAnsi="Arial Narrow"/>
        </w:rPr>
        <w:t>​+​</w:t>
      </w:r>
      <w:r w:rsidRPr="008B2F8A">
        <w:t xml:space="preserve"> ultrasound, </w:t>
      </w:r>
      <w:r w:rsidR="00BC546B">
        <w:t>0.85 [95% CI 0.73</w:t>
      </w:r>
      <w:r w:rsidRPr="008B2F8A">
        <w:t>–</w:t>
      </w:r>
      <w:r w:rsidR="00BC546B">
        <w:t>0.93</w:t>
      </w:r>
      <w:r w:rsidRPr="008B2F8A">
        <w:t xml:space="preserve">]), while the specificity decreased significantly (mammography alone, </w:t>
      </w:r>
      <w:r w:rsidR="00BC546B">
        <w:t>0.91</w:t>
      </w:r>
      <w:r w:rsidRPr="008B2F8A">
        <w:t xml:space="preserve"> [95% CI </w:t>
      </w:r>
      <w:r w:rsidR="00BC546B">
        <w:t>0.91</w:t>
      </w:r>
      <w:r w:rsidRPr="008B2F8A">
        <w:t>–</w:t>
      </w:r>
      <w:r w:rsidR="00BC546B">
        <w:t>0.92</w:t>
      </w:r>
      <w:r w:rsidRPr="008B2F8A">
        <w:t xml:space="preserve">], mammography </w:t>
      </w:r>
      <w:r w:rsidRPr="008B2F8A">
        <w:rPr>
          <w:rFonts w:ascii="Arial Narrow" w:hAnsi="Arial Narrow"/>
        </w:rPr>
        <w:t>​+​</w:t>
      </w:r>
      <w:r w:rsidRPr="008B2F8A">
        <w:t xml:space="preserve"> ultrasound, </w:t>
      </w:r>
      <w:r w:rsidR="00BC546B">
        <w:t>0.83</w:t>
      </w:r>
      <w:r w:rsidRPr="008B2F8A">
        <w:t xml:space="preserve"> [95% CI </w:t>
      </w:r>
      <w:r w:rsidR="00BC546B">
        <w:t>0.82</w:t>
      </w:r>
      <w:r w:rsidRPr="008B2F8A">
        <w:t>–</w:t>
      </w:r>
      <w:r w:rsidR="00BC546B">
        <w:t>0.84</w:t>
      </w:r>
      <w:r w:rsidRPr="008B2F8A">
        <w:t xml:space="preserve">]). Diagnostic accuracy of mammography </w:t>
      </w:r>
      <w:r>
        <w:t>+</w:t>
      </w:r>
      <w:r w:rsidRPr="008B2F8A">
        <w:t xml:space="preserve"> ultrasound </w:t>
      </w:r>
      <w:r>
        <w:t>+</w:t>
      </w:r>
      <w:r w:rsidRPr="008B2F8A">
        <w:t xml:space="preserve"> MRI was not reported.</w:t>
      </w:r>
      <w:r w:rsidR="00BC546B">
        <w:t xml:space="preserve"> </w:t>
      </w:r>
    </w:p>
    <w:p w14:paraId="6928A9BC" w14:textId="788EAA6A" w:rsidR="00E47AB8" w:rsidRPr="008B2F8A" w:rsidRDefault="00E47AB8" w:rsidP="00422306">
      <w:r w:rsidRPr="008B2F8A">
        <w:t xml:space="preserve">Viehweg </w:t>
      </w:r>
      <w:r w:rsidRPr="008B2F8A">
        <w:rPr>
          <w:noProof/>
        </w:rPr>
        <w:t xml:space="preserve">et al </w:t>
      </w:r>
      <w:r>
        <w:rPr>
          <w:noProof/>
        </w:rPr>
        <w:t>(</w:t>
      </w:r>
      <w:r w:rsidRPr="008B2F8A">
        <w:rPr>
          <w:noProof/>
        </w:rPr>
        <w:t>2004)</w:t>
      </w:r>
      <w:r w:rsidRPr="008B2F8A">
        <w:t xml:space="preserve"> reported only on the detection of contralateral breast cancers following breast</w:t>
      </w:r>
      <w:r>
        <w:t>-</w:t>
      </w:r>
      <w:r w:rsidRPr="008B2F8A">
        <w:t>conserving surgery</w:t>
      </w:r>
      <w:r>
        <w:rPr>
          <w:noProof/>
        </w:rPr>
        <w:t>.</w:t>
      </w:r>
      <w:r w:rsidRPr="008B2F8A">
        <w:t xml:space="preserve"> The comparator to MRI was conventional imaging</w:t>
      </w:r>
      <w:r>
        <w:t>,</w:t>
      </w:r>
      <w:r w:rsidRPr="008B2F8A">
        <w:t xml:space="preserve"> which included ultrasound in 93 of 145 cases (64%). The addition of MRI to conventional imaging increased sensitivity (conventional imaging, 0.64</w:t>
      </w:r>
      <w:r>
        <w:t>,</w:t>
      </w:r>
      <w:r w:rsidRPr="008B2F8A">
        <w:t xml:space="preserve"> conventional imaging </w:t>
      </w:r>
      <w:r w:rsidRPr="008B2F8A">
        <w:rPr>
          <w:rFonts w:ascii="Arial Narrow" w:hAnsi="Arial Narrow"/>
        </w:rPr>
        <w:t>​+​</w:t>
      </w:r>
      <w:r w:rsidRPr="008B2F8A">
        <w:t xml:space="preserve"> MRI, 1.00) without a corresponding decrease in specificity (conventional imaging, 0.84, conventional imaging </w:t>
      </w:r>
      <w:r w:rsidRPr="008B2F8A">
        <w:rPr>
          <w:rFonts w:ascii="Arial Narrow" w:hAnsi="Arial Narrow"/>
        </w:rPr>
        <w:t>​+​</w:t>
      </w:r>
      <w:r w:rsidRPr="008B2F8A">
        <w:t xml:space="preserve"> MRI, 0.89); neither change was significant. This study had a high risk of bias; it was small and retrospective and did not use a standardise</w:t>
      </w:r>
      <w:r>
        <w:t>d</w:t>
      </w:r>
      <w:r w:rsidRPr="008B2F8A">
        <w:t xml:space="preserve"> measure for positive test</w:t>
      </w:r>
      <w:r>
        <w:t>s,</w:t>
      </w:r>
      <w:r w:rsidRPr="008B2F8A">
        <w:t xml:space="preserve"> and therefore interpretation of these findings is limited.</w:t>
      </w:r>
    </w:p>
    <w:p w14:paraId="580475D9" w14:textId="142C9AD3" w:rsidR="00E47AB8" w:rsidRPr="008B2F8A" w:rsidRDefault="00E47AB8" w:rsidP="00422306">
      <w:r w:rsidRPr="008B2F8A">
        <w:t xml:space="preserve">Owing to the lack of evidence on the performance of breast MRI in women with a history of breast cancer, additional evidence from women who have been recently diagnosed with breast cancer is presented in </w:t>
      </w:r>
      <w:r w:rsidRPr="008B2F8A">
        <w:fldChar w:fldCharType="begin"/>
      </w:r>
      <w:r w:rsidRPr="008B2F8A">
        <w:instrText xml:space="preserve"> REF _Ref377652368 \h </w:instrText>
      </w:r>
      <w:r w:rsidRPr="008B2F8A">
        <w:fldChar w:fldCharType="separate"/>
      </w:r>
      <w:r w:rsidR="00B81273" w:rsidRPr="008B2F8A">
        <w:t xml:space="preserve">Appendix </w:t>
      </w:r>
      <w:r w:rsidR="00B81273">
        <w:rPr>
          <w:noProof/>
        </w:rPr>
        <w:t>4</w:t>
      </w:r>
      <w:r w:rsidRPr="008B2F8A">
        <w:fldChar w:fldCharType="end"/>
      </w:r>
      <w:r w:rsidRPr="008B2F8A">
        <w:t>.</w:t>
      </w:r>
    </w:p>
    <w:p w14:paraId="3E29FCE5" w14:textId="0E3C3CF0" w:rsidR="00E47AB8" w:rsidRPr="008B2F8A" w:rsidRDefault="00E47AB8" w:rsidP="00422306">
      <w:pPr>
        <w:pStyle w:val="Caption"/>
      </w:pPr>
      <w:bookmarkStart w:id="884" w:name="_Ref368654339"/>
      <w:bookmarkStart w:id="885" w:name="_Toc383424597"/>
      <w:r w:rsidRPr="008B2F8A">
        <w:t xml:space="preserve">Table </w:t>
      </w:r>
      <w:fldSimple w:instr=" STYLEREF 1 \s ">
        <w:r w:rsidR="00B81273">
          <w:rPr>
            <w:noProof/>
          </w:rPr>
          <w:t>B</w:t>
        </w:r>
      </w:fldSimple>
      <w:r w:rsidRPr="008B2F8A">
        <w:t>.</w:t>
      </w:r>
      <w:fldSimple w:instr=" SEQ Table \* ARABIC \s 1 ">
        <w:r w:rsidR="00B81273">
          <w:rPr>
            <w:noProof/>
          </w:rPr>
          <w:t>31</w:t>
        </w:r>
      </w:fldSimple>
      <w:bookmarkEnd w:id="884"/>
      <w:r w:rsidRPr="008B2F8A">
        <w:tab/>
      </w:r>
      <w:bookmarkStart w:id="886" w:name="OLE_LINK1043"/>
      <w:bookmarkStart w:id="887" w:name="OLE_LINK1044"/>
      <w:r w:rsidRPr="008B2F8A">
        <w:t xml:space="preserve">Diagnostic accuracy of breast MRI </w:t>
      </w:r>
      <w:r>
        <w:t>+</w:t>
      </w:r>
      <w:r w:rsidRPr="008B2F8A">
        <w:t xml:space="preserve"> mammography (± ultrasound)</w:t>
      </w:r>
      <w:bookmarkEnd w:id="886"/>
      <w:bookmarkEnd w:id="887"/>
      <w:r w:rsidRPr="008B2F8A">
        <w:t>.</w:t>
      </w:r>
      <w:bookmarkEnd w:id="885"/>
    </w:p>
    <w:tbl>
      <w:tblPr>
        <w:tblStyle w:val="TableGrid"/>
        <w:tblW w:w="9069" w:type="dxa"/>
        <w:tblCellMar>
          <w:left w:w="28" w:type="dxa"/>
          <w:right w:w="28" w:type="dxa"/>
        </w:tblCellMar>
        <w:tblLook w:val="04A0" w:firstRow="1" w:lastRow="0" w:firstColumn="1" w:lastColumn="0" w:noHBand="0" w:noVBand="1"/>
        <w:tblCaption w:val="Diagnostic accuracy of breast MRI + mammography (± ultrasound)"/>
      </w:tblPr>
      <w:tblGrid>
        <w:gridCol w:w="1051"/>
        <w:gridCol w:w="835"/>
        <w:gridCol w:w="2260"/>
        <w:gridCol w:w="426"/>
        <w:gridCol w:w="426"/>
        <w:gridCol w:w="426"/>
        <w:gridCol w:w="426"/>
        <w:gridCol w:w="1584"/>
        <w:gridCol w:w="1635"/>
      </w:tblGrid>
      <w:tr w:rsidR="00E47AB8" w:rsidRPr="008B2F8A" w14:paraId="608991B3" w14:textId="77777777" w:rsidTr="00703F10">
        <w:trPr>
          <w:tblHeader/>
        </w:trPr>
        <w:tc>
          <w:tcPr>
            <w:tcW w:w="1051" w:type="dxa"/>
          </w:tcPr>
          <w:p w14:paraId="6BD7A8B7" w14:textId="77777777" w:rsidR="00E47AB8" w:rsidRPr="008B2F8A" w:rsidRDefault="00E47AB8" w:rsidP="00703F10">
            <w:pPr>
              <w:keepNext/>
              <w:spacing w:before="40" w:after="80"/>
              <w:rPr>
                <w:rFonts w:ascii="Arial Narrow" w:hAnsi="Arial Narrow"/>
                <w:b/>
                <w:lang w:eastAsia="en-US"/>
              </w:rPr>
            </w:pPr>
            <w:r w:rsidRPr="008B2F8A">
              <w:rPr>
                <w:rFonts w:ascii="Arial Narrow" w:hAnsi="Arial Narrow"/>
                <w:b/>
              </w:rPr>
              <w:t>Study</w:t>
            </w:r>
          </w:p>
        </w:tc>
        <w:tc>
          <w:tcPr>
            <w:tcW w:w="835" w:type="dxa"/>
          </w:tcPr>
          <w:p w14:paraId="4B707847" w14:textId="77777777" w:rsidR="00E47AB8" w:rsidRPr="008B2F8A" w:rsidRDefault="00E47AB8" w:rsidP="00703F10">
            <w:pPr>
              <w:keepNext/>
              <w:spacing w:before="40" w:after="80"/>
              <w:rPr>
                <w:rFonts w:ascii="Arial Narrow" w:hAnsi="Arial Narrow"/>
                <w:b/>
                <w:lang w:eastAsia="en-US"/>
              </w:rPr>
            </w:pPr>
            <w:r w:rsidRPr="008B2F8A">
              <w:rPr>
                <w:rFonts w:ascii="Arial Narrow" w:hAnsi="Arial Narrow"/>
                <w:b/>
              </w:rPr>
              <w:t>Test</w:t>
            </w:r>
          </w:p>
        </w:tc>
        <w:tc>
          <w:tcPr>
            <w:tcW w:w="2260" w:type="dxa"/>
          </w:tcPr>
          <w:p w14:paraId="34C3291D" w14:textId="77777777" w:rsidR="00E47AB8" w:rsidRPr="008B2F8A" w:rsidRDefault="00E47AB8" w:rsidP="00703F10">
            <w:pPr>
              <w:keepNext/>
              <w:spacing w:before="40" w:after="80"/>
              <w:rPr>
                <w:rFonts w:ascii="Arial Narrow" w:hAnsi="Arial Narrow"/>
                <w:b/>
                <w:lang w:eastAsia="en-US"/>
              </w:rPr>
            </w:pPr>
            <w:r w:rsidRPr="008B2F8A">
              <w:rPr>
                <w:rFonts w:ascii="Arial Narrow" w:hAnsi="Arial Narrow"/>
                <w:b/>
              </w:rPr>
              <w:t>Positive test</w:t>
            </w:r>
          </w:p>
        </w:tc>
        <w:tc>
          <w:tcPr>
            <w:tcW w:w="426" w:type="dxa"/>
            <w:vAlign w:val="center"/>
          </w:tcPr>
          <w:p w14:paraId="3E0D17E6" w14:textId="77777777" w:rsidR="00E47AB8" w:rsidRPr="008B2F8A" w:rsidRDefault="00E47AB8" w:rsidP="00703F10">
            <w:pPr>
              <w:keepNext/>
              <w:spacing w:before="40" w:after="80"/>
              <w:rPr>
                <w:rFonts w:ascii="Arial Narrow" w:hAnsi="Arial Narrow"/>
                <w:b/>
                <w:lang w:eastAsia="en-US"/>
              </w:rPr>
            </w:pPr>
            <w:r w:rsidRPr="008B2F8A">
              <w:rPr>
                <w:rFonts w:ascii="Arial Narrow" w:hAnsi="Arial Narrow"/>
                <w:b/>
              </w:rPr>
              <w:t>TP</w:t>
            </w:r>
          </w:p>
        </w:tc>
        <w:tc>
          <w:tcPr>
            <w:tcW w:w="426" w:type="dxa"/>
            <w:vAlign w:val="center"/>
          </w:tcPr>
          <w:p w14:paraId="175AAEA5" w14:textId="77777777" w:rsidR="00E47AB8" w:rsidRPr="008B2F8A" w:rsidRDefault="00E47AB8" w:rsidP="00703F10">
            <w:pPr>
              <w:keepNext/>
              <w:spacing w:before="40" w:after="80"/>
              <w:rPr>
                <w:rFonts w:ascii="Arial Narrow" w:hAnsi="Arial Narrow"/>
                <w:b/>
                <w:lang w:eastAsia="en-US"/>
              </w:rPr>
            </w:pPr>
            <w:r w:rsidRPr="008B2F8A">
              <w:rPr>
                <w:rFonts w:ascii="Arial Narrow" w:hAnsi="Arial Narrow"/>
                <w:b/>
              </w:rPr>
              <w:t>FP</w:t>
            </w:r>
          </w:p>
        </w:tc>
        <w:tc>
          <w:tcPr>
            <w:tcW w:w="426" w:type="dxa"/>
            <w:vAlign w:val="center"/>
          </w:tcPr>
          <w:p w14:paraId="0CEAAC7D" w14:textId="77777777" w:rsidR="00E47AB8" w:rsidRPr="008B2F8A" w:rsidRDefault="00E47AB8" w:rsidP="00703F10">
            <w:pPr>
              <w:keepNext/>
              <w:spacing w:before="40" w:after="80"/>
              <w:rPr>
                <w:rFonts w:ascii="Arial Narrow" w:hAnsi="Arial Narrow"/>
                <w:b/>
                <w:lang w:eastAsia="en-US"/>
              </w:rPr>
            </w:pPr>
            <w:r w:rsidRPr="008B2F8A">
              <w:rPr>
                <w:rFonts w:ascii="Arial Narrow" w:hAnsi="Arial Narrow"/>
                <w:b/>
              </w:rPr>
              <w:t>FN</w:t>
            </w:r>
          </w:p>
        </w:tc>
        <w:tc>
          <w:tcPr>
            <w:tcW w:w="426" w:type="dxa"/>
            <w:vAlign w:val="center"/>
          </w:tcPr>
          <w:p w14:paraId="21E7E1E6" w14:textId="77777777" w:rsidR="00E47AB8" w:rsidRPr="008B2F8A" w:rsidRDefault="00E47AB8" w:rsidP="00703F10">
            <w:pPr>
              <w:keepNext/>
              <w:spacing w:before="40" w:after="80"/>
              <w:rPr>
                <w:rFonts w:ascii="Arial Narrow" w:hAnsi="Arial Narrow"/>
                <w:b/>
                <w:lang w:eastAsia="en-US"/>
              </w:rPr>
            </w:pPr>
            <w:r w:rsidRPr="008B2F8A">
              <w:rPr>
                <w:rFonts w:ascii="Arial Narrow" w:hAnsi="Arial Narrow"/>
                <w:b/>
              </w:rPr>
              <w:t>TN</w:t>
            </w:r>
          </w:p>
        </w:tc>
        <w:tc>
          <w:tcPr>
            <w:tcW w:w="1584" w:type="dxa"/>
          </w:tcPr>
          <w:p w14:paraId="57D1E7A8" w14:textId="20A9B248" w:rsidR="00E47AB8" w:rsidRPr="008B2F8A" w:rsidRDefault="00E47AB8" w:rsidP="00703F10">
            <w:pPr>
              <w:keepNext/>
              <w:spacing w:before="40" w:after="80"/>
              <w:rPr>
                <w:rFonts w:ascii="Arial Narrow" w:hAnsi="Arial Narrow"/>
                <w:b/>
                <w:lang w:eastAsia="en-US"/>
              </w:rPr>
            </w:pPr>
            <w:r w:rsidRPr="008B2F8A">
              <w:rPr>
                <w:rFonts w:ascii="Arial Narrow" w:hAnsi="Arial Narrow"/>
                <w:b/>
              </w:rPr>
              <w:t xml:space="preserve">Sensitivity </w:t>
            </w:r>
            <w:r>
              <w:rPr>
                <w:rFonts w:ascii="Arial Narrow" w:hAnsi="Arial Narrow"/>
                <w:b/>
              </w:rPr>
              <w:t>[</w:t>
            </w:r>
            <w:r w:rsidRPr="008B2F8A">
              <w:rPr>
                <w:rFonts w:ascii="Arial Narrow" w:hAnsi="Arial Narrow"/>
                <w:b/>
              </w:rPr>
              <w:t>95% CI</w:t>
            </w:r>
            <w:r>
              <w:rPr>
                <w:rFonts w:ascii="Arial Narrow" w:hAnsi="Arial Narrow"/>
                <w:b/>
              </w:rPr>
              <w:t>]</w:t>
            </w:r>
          </w:p>
        </w:tc>
        <w:tc>
          <w:tcPr>
            <w:tcW w:w="1635" w:type="dxa"/>
          </w:tcPr>
          <w:p w14:paraId="2AB0ED3A" w14:textId="2F407138" w:rsidR="00E47AB8" w:rsidRPr="008B2F8A" w:rsidRDefault="00E47AB8" w:rsidP="00703F10">
            <w:pPr>
              <w:keepNext/>
              <w:spacing w:before="40" w:after="80"/>
              <w:rPr>
                <w:rFonts w:ascii="Arial Narrow" w:hAnsi="Arial Narrow"/>
                <w:b/>
                <w:lang w:eastAsia="en-US"/>
              </w:rPr>
            </w:pPr>
            <w:r w:rsidRPr="008B2F8A">
              <w:rPr>
                <w:rFonts w:ascii="Arial Narrow" w:hAnsi="Arial Narrow"/>
                <w:b/>
              </w:rPr>
              <w:t xml:space="preserve">Specificity </w:t>
            </w:r>
            <w:r>
              <w:rPr>
                <w:rFonts w:ascii="Arial Narrow" w:hAnsi="Arial Narrow"/>
                <w:b/>
              </w:rPr>
              <w:t>[</w:t>
            </w:r>
            <w:r w:rsidRPr="008B2F8A">
              <w:rPr>
                <w:rFonts w:ascii="Arial Narrow" w:hAnsi="Arial Narrow"/>
                <w:b/>
              </w:rPr>
              <w:t>95% CI</w:t>
            </w:r>
            <w:r>
              <w:rPr>
                <w:rFonts w:ascii="Arial Narrow" w:hAnsi="Arial Narrow"/>
                <w:b/>
              </w:rPr>
              <w:t>]</w:t>
            </w:r>
          </w:p>
        </w:tc>
      </w:tr>
      <w:tr w:rsidR="00E47AB8" w:rsidRPr="008B2F8A" w14:paraId="425CF411" w14:textId="77777777" w:rsidTr="00703F10">
        <w:tc>
          <w:tcPr>
            <w:tcW w:w="1051" w:type="dxa"/>
          </w:tcPr>
          <w:p w14:paraId="18A772BF" w14:textId="56442C89" w:rsidR="00E47AB8" w:rsidRPr="008B2F8A" w:rsidRDefault="00E47AB8" w:rsidP="00703F10">
            <w:pPr>
              <w:keepNext/>
              <w:spacing w:before="40" w:after="80"/>
              <w:rPr>
                <w:rFonts w:ascii="Arial Narrow" w:hAnsi="Arial Narrow"/>
                <w:lang w:eastAsia="en-US"/>
              </w:rPr>
            </w:pPr>
            <w:r>
              <w:rPr>
                <w:rFonts w:ascii="Arial Narrow" w:hAnsi="Arial Narrow"/>
              </w:rPr>
              <w:t>Berg et al, 2012</w:t>
            </w:r>
            <w:r w:rsidRPr="008B2F8A">
              <w:rPr>
                <w:rFonts w:ascii="Arial Narrow" w:hAnsi="Arial Narrow"/>
              </w:rPr>
              <w:t>**</w:t>
            </w:r>
          </w:p>
        </w:tc>
        <w:tc>
          <w:tcPr>
            <w:tcW w:w="835" w:type="dxa"/>
          </w:tcPr>
          <w:p w14:paraId="6AE9C062" w14:textId="51871A7F" w:rsidR="00E47AB8" w:rsidRPr="008B2F8A" w:rsidRDefault="00E47AB8" w:rsidP="000260A1">
            <w:pPr>
              <w:keepNext/>
              <w:spacing w:before="40" w:after="80"/>
              <w:rPr>
                <w:rFonts w:ascii="Arial Narrow" w:hAnsi="Arial Narrow"/>
                <w:color w:val="000000"/>
                <w:lang w:eastAsia="en-US"/>
              </w:rPr>
            </w:pPr>
            <w:r w:rsidRPr="008B2F8A">
              <w:rPr>
                <w:rFonts w:ascii="Arial Narrow" w:hAnsi="Arial Narrow"/>
              </w:rPr>
              <w:t>MRI​+​M</w:t>
            </w:r>
          </w:p>
        </w:tc>
        <w:tc>
          <w:tcPr>
            <w:tcW w:w="2260" w:type="dxa"/>
          </w:tcPr>
          <w:p w14:paraId="248655E1" w14:textId="77777777" w:rsidR="00E47AB8" w:rsidRPr="008B2F8A" w:rsidRDefault="00E47AB8" w:rsidP="000260A1">
            <w:pPr>
              <w:keepNext/>
              <w:spacing w:before="40" w:after="80"/>
              <w:rPr>
                <w:rFonts w:ascii="Arial Narrow" w:hAnsi="Arial Narrow"/>
                <w:color w:val="000000"/>
                <w:lang w:eastAsia="en-US"/>
              </w:rPr>
            </w:pPr>
            <w:r w:rsidRPr="008B2F8A">
              <w:rPr>
                <w:rFonts w:ascii="Arial Narrow" w:hAnsi="Arial Narrow"/>
              </w:rPr>
              <w:t>BI-RADS 3, 4a, 4b, 4c, or 5</w:t>
            </w:r>
          </w:p>
        </w:tc>
        <w:tc>
          <w:tcPr>
            <w:tcW w:w="426" w:type="dxa"/>
          </w:tcPr>
          <w:p w14:paraId="50997054" w14:textId="77777777" w:rsidR="00E47AB8" w:rsidRPr="008B2F8A" w:rsidRDefault="00E47AB8" w:rsidP="000260A1">
            <w:pPr>
              <w:keepNext/>
              <w:spacing w:before="40" w:after="80"/>
              <w:rPr>
                <w:rFonts w:ascii="Arial Narrow" w:hAnsi="Arial Narrow"/>
                <w:color w:val="000000"/>
                <w:lang w:eastAsia="en-US"/>
              </w:rPr>
            </w:pPr>
            <w:r w:rsidRPr="008B2F8A">
              <w:rPr>
                <w:rFonts w:ascii="Arial Narrow" w:hAnsi="Arial Narrow"/>
              </w:rPr>
              <w:t>4</w:t>
            </w:r>
          </w:p>
        </w:tc>
        <w:tc>
          <w:tcPr>
            <w:tcW w:w="426" w:type="dxa"/>
          </w:tcPr>
          <w:p w14:paraId="29772D52" w14:textId="77777777" w:rsidR="00E47AB8" w:rsidRPr="008B2F8A" w:rsidRDefault="00E47AB8" w:rsidP="000260A1">
            <w:pPr>
              <w:keepNext/>
              <w:spacing w:before="40" w:after="80"/>
              <w:rPr>
                <w:rFonts w:ascii="Arial Narrow" w:hAnsi="Arial Narrow"/>
                <w:color w:val="000000"/>
                <w:lang w:eastAsia="en-US"/>
              </w:rPr>
            </w:pPr>
            <w:r w:rsidRPr="008B2F8A">
              <w:rPr>
                <w:rFonts w:ascii="Arial Narrow" w:hAnsi="Arial Narrow"/>
              </w:rPr>
              <w:t>58</w:t>
            </w:r>
          </w:p>
        </w:tc>
        <w:tc>
          <w:tcPr>
            <w:tcW w:w="426" w:type="dxa"/>
          </w:tcPr>
          <w:p w14:paraId="5C125E5B" w14:textId="77777777" w:rsidR="00E47AB8" w:rsidRPr="008B2F8A" w:rsidRDefault="00E47AB8" w:rsidP="000260A1">
            <w:pPr>
              <w:keepNext/>
              <w:spacing w:before="40" w:after="80"/>
              <w:rPr>
                <w:rFonts w:ascii="Arial Narrow" w:hAnsi="Arial Narrow"/>
                <w:color w:val="000000"/>
                <w:lang w:eastAsia="en-US"/>
              </w:rPr>
            </w:pPr>
            <w:r w:rsidRPr="008B2F8A">
              <w:rPr>
                <w:rFonts w:ascii="Arial Narrow" w:hAnsi="Arial Narrow"/>
              </w:rPr>
              <w:t>0</w:t>
            </w:r>
          </w:p>
        </w:tc>
        <w:tc>
          <w:tcPr>
            <w:tcW w:w="426" w:type="dxa"/>
          </w:tcPr>
          <w:p w14:paraId="47BAB268" w14:textId="77777777" w:rsidR="00E47AB8" w:rsidRPr="008B2F8A" w:rsidRDefault="00E47AB8" w:rsidP="000260A1">
            <w:pPr>
              <w:keepNext/>
              <w:spacing w:before="40" w:after="80"/>
              <w:rPr>
                <w:rFonts w:ascii="Arial Narrow" w:hAnsi="Arial Narrow"/>
                <w:color w:val="000000"/>
                <w:lang w:eastAsia="en-US"/>
              </w:rPr>
            </w:pPr>
            <w:r w:rsidRPr="008B2F8A">
              <w:rPr>
                <w:rFonts w:ascii="Arial Narrow" w:hAnsi="Arial Narrow"/>
              </w:rPr>
              <w:t>213</w:t>
            </w:r>
          </w:p>
        </w:tc>
        <w:tc>
          <w:tcPr>
            <w:tcW w:w="1584" w:type="dxa"/>
          </w:tcPr>
          <w:p w14:paraId="605B2874" w14:textId="56BD8326" w:rsidR="00E47AB8" w:rsidRPr="008B2F8A" w:rsidRDefault="00E47AB8" w:rsidP="000260A1">
            <w:pPr>
              <w:keepNext/>
              <w:spacing w:before="40" w:after="80"/>
              <w:rPr>
                <w:rFonts w:ascii="Arial Narrow" w:hAnsi="Arial Narrow"/>
                <w:color w:val="000000"/>
                <w:lang w:eastAsia="en-US"/>
              </w:rPr>
            </w:pPr>
            <w:r w:rsidRPr="008B2F8A">
              <w:rPr>
                <w:rFonts w:ascii="Arial Narrow" w:hAnsi="Arial Narrow"/>
              </w:rPr>
              <w:t xml:space="preserve">1.00 </w:t>
            </w:r>
            <w:r>
              <w:rPr>
                <w:rFonts w:ascii="Arial Narrow" w:hAnsi="Arial Narrow"/>
              </w:rPr>
              <w:t>[</w:t>
            </w:r>
            <w:r w:rsidRPr="008B2F8A">
              <w:rPr>
                <w:rFonts w:ascii="Arial Narrow" w:hAnsi="Arial Narrow"/>
              </w:rPr>
              <w:t>0.40–1.00</w:t>
            </w:r>
            <w:r>
              <w:rPr>
                <w:rFonts w:ascii="Arial Narrow" w:hAnsi="Arial Narrow"/>
              </w:rPr>
              <w:t>]</w:t>
            </w:r>
          </w:p>
        </w:tc>
        <w:tc>
          <w:tcPr>
            <w:tcW w:w="1635" w:type="dxa"/>
          </w:tcPr>
          <w:p w14:paraId="242BE0D4" w14:textId="74D890A9" w:rsidR="00E47AB8" w:rsidRPr="008B2F8A" w:rsidRDefault="00E47AB8" w:rsidP="000260A1">
            <w:pPr>
              <w:keepNext/>
              <w:spacing w:before="40" w:after="80"/>
              <w:rPr>
                <w:rFonts w:ascii="Arial Narrow" w:hAnsi="Arial Narrow"/>
                <w:color w:val="000000"/>
                <w:lang w:eastAsia="en-US"/>
              </w:rPr>
            </w:pPr>
            <w:r w:rsidRPr="008B2F8A">
              <w:rPr>
                <w:rFonts w:ascii="Arial Narrow" w:hAnsi="Arial Narrow"/>
              </w:rPr>
              <w:t xml:space="preserve">0.79 </w:t>
            </w:r>
            <w:r>
              <w:rPr>
                <w:rFonts w:ascii="Arial Narrow" w:hAnsi="Arial Narrow"/>
              </w:rPr>
              <w:t>[</w:t>
            </w:r>
            <w:r w:rsidRPr="008B2F8A">
              <w:rPr>
                <w:rFonts w:ascii="Arial Narrow" w:hAnsi="Arial Narrow"/>
              </w:rPr>
              <w:t>0.73–0.83</w:t>
            </w:r>
            <w:r>
              <w:rPr>
                <w:rFonts w:ascii="Arial Narrow" w:hAnsi="Arial Narrow"/>
              </w:rPr>
              <w:t>]</w:t>
            </w:r>
          </w:p>
        </w:tc>
      </w:tr>
      <w:tr w:rsidR="00E47AB8" w:rsidRPr="008B2F8A" w14:paraId="41CED259" w14:textId="77777777" w:rsidTr="00703F10">
        <w:tc>
          <w:tcPr>
            <w:tcW w:w="1051" w:type="dxa"/>
          </w:tcPr>
          <w:p w14:paraId="030BFBDB" w14:textId="333293B7" w:rsidR="00E47AB8" w:rsidRPr="008B2F8A" w:rsidRDefault="00E47AB8" w:rsidP="00703F10">
            <w:pPr>
              <w:keepNext/>
              <w:spacing w:before="40" w:after="80"/>
              <w:rPr>
                <w:rFonts w:ascii="Arial Narrow" w:hAnsi="Arial Narrow"/>
                <w:lang w:eastAsia="en-US"/>
              </w:rPr>
            </w:pPr>
            <w:r>
              <w:rPr>
                <w:rFonts w:ascii="Arial Narrow" w:hAnsi="Arial Narrow"/>
              </w:rPr>
              <w:t>Viehweg et al, 2004</w:t>
            </w:r>
          </w:p>
        </w:tc>
        <w:tc>
          <w:tcPr>
            <w:tcW w:w="835" w:type="dxa"/>
          </w:tcPr>
          <w:p w14:paraId="7DC9C590" w14:textId="70A59F64" w:rsidR="00E47AB8" w:rsidRPr="008B2F8A" w:rsidRDefault="00E47AB8" w:rsidP="00703F10">
            <w:pPr>
              <w:keepNext/>
              <w:spacing w:before="40" w:after="80"/>
              <w:rPr>
                <w:rFonts w:ascii="Arial Narrow" w:hAnsi="Arial Narrow"/>
                <w:color w:val="000000"/>
                <w:lang w:eastAsia="en-US"/>
              </w:rPr>
            </w:pPr>
            <w:r w:rsidRPr="008B2F8A">
              <w:rPr>
                <w:rFonts w:ascii="Arial Narrow" w:hAnsi="Arial Narrow"/>
              </w:rPr>
              <w:t>MRI​+​M​+​U/S​+​CBE</w:t>
            </w:r>
          </w:p>
        </w:tc>
        <w:tc>
          <w:tcPr>
            <w:tcW w:w="2260" w:type="dxa"/>
          </w:tcPr>
          <w:p w14:paraId="40AD30AF" w14:textId="73D04535" w:rsidR="00E47AB8" w:rsidRPr="008B2F8A" w:rsidRDefault="00E47AB8" w:rsidP="00DF42FE">
            <w:pPr>
              <w:keepNext/>
              <w:spacing w:before="40" w:after="80"/>
              <w:rPr>
                <w:rFonts w:ascii="Arial Narrow" w:hAnsi="Arial Narrow"/>
                <w:color w:val="000000"/>
                <w:lang w:eastAsia="en-US"/>
              </w:rPr>
            </w:pPr>
            <w:r w:rsidRPr="008B2F8A">
              <w:rPr>
                <w:rFonts w:ascii="Arial Narrow" w:hAnsi="Arial Narrow"/>
              </w:rPr>
              <w:t>Pos</w:t>
            </w:r>
            <w:r>
              <w:rPr>
                <w:rFonts w:ascii="Arial Narrow" w:hAnsi="Arial Narrow"/>
              </w:rPr>
              <w:t>itive</w:t>
            </w:r>
            <w:r w:rsidRPr="008B2F8A">
              <w:rPr>
                <w:rFonts w:ascii="Arial Narrow" w:hAnsi="Arial Narrow"/>
              </w:rPr>
              <w:t xml:space="preserve"> </w:t>
            </w:r>
            <w:r w:rsidRPr="008B2F8A">
              <w:rPr>
                <w:rFonts w:ascii="Arial Narrow" w:hAnsi="Arial Narrow"/>
                <w:noProof/>
              </w:rPr>
              <w:t>(</w:t>
            </w:r>
            <w:bookmarkStart w:id="888" w:name="OLE_LINK826"/>
            <w:bookmarkStart w:id="889" w:name="OLE_LINK827"/>
            <w:r w:rsidRPr="008B2F8A">
              <w:rPr>
                <w:rFonts w:ascii="Arial Narrow" w:hAnsi="Arial Narrow"/>
                <w:noProof/>
              </w:rPr>
              <w:t>Heywang-Köbrunner et al, 1997</w:t>
            </w:r>
            <w:bookmarkEnd w:id="888"/>
            <w:bookmarkEnd w:id="889"/>
            <w:r w:rsidRPr="008B2F8A">
              <w:rPr>
                <w:rFonts w:ascii="Arial Narrow" w:hAnsi="Arial Narrow"/>
                <w:noProof/>
              </w:rPr>
              <w:t>)</w:t>
            </w:r>
          </w:p>
        </w:tc>
        <w:tc>
          <w:tcPr>
            <w:tcW w:w="426" w:type="dxa"/>
          </w:tcPr>
          <w:p w14:paraId="4F316E6F" w14:textId="77777777" w:rsidR="00E47AB8" w:rsidRPr="008B2F8A" w:rsidRDefault="00E47AB8" w:rsidP="00DF42FE">
            <w:pPr>
              <w:keepNext/>
              <w:spacing w:before="40" w:after="80"/>
              <w:rPr>
                <w:rFonts w:ascii="Arial Narrow" w:hAnsi="Arial Narrow"/>
                <w:color w:val="000000"/>
                <w:lang w:eastAsia="en-US"/>
              </w:rPr>
            </w:pPr>
            <w:r w:rsidRPr="008B2F8A">
              <w:rPr>
                <w:rFonts w:ascii="Arial Narrow" w:hAnsi="Arial Narrow"/>
              </w:rPr>
              <w:t>11</w:t>
            </w:r>
          </w:p>
        </w:tc>
        <w:tc>
          <w:tcPr>
            <w:tcW w:w="426" w:type="dxa"/>
          </w:tcPr>
          <w:p w14:paraId="36666F64" w14:textId="77777777" w:rsidR="00E47AB8" w:rsidRPr="008B2F8A" w:rsidRDefault="00E47AB8" w:rsidP="00DF42FE">
            <w:pPr>
              <w:keepNext/>
              <w:spacing w:before="40" w:after="80"/>
              <w:rPr>
                <w:rFonts w:ascii="Arial Narrow" w:hAnsi="Arial Narrow"/>
                <w:color w:val="000000"/>
                <w:lang w:eastAsia="en-US"/>
              </w:rPr>
            </w:pPr>
            <w:r w:rsidRPr="008B2F8A">
              <w:rPr>
                <w:rFonts w:ascii="Arial Narrow" w:hAnsi="Arial Narrow"/>
              </w:rPr>
              <w:t>15</w:t>
            </w:r>
          </w:p>
        </w:tc>
        <w:tc>
          <w:tcPr>
            <w:tcW w:w="426" w:type="dxa"/>
          </w:tcPr>
          <w:p w14:paraId="12CC2BB8" w14:textId="77777777" w:rsidR="00E47AB8" w:rsidRPr="008B2F8A" w:rsidRDefault="00E47AB8" w:rsidP="00DF42FE">
            <w:pPr>
              <w:keepNext/>
              <w:spacing w:before="40" w:after="80"/>
              <w:rPr>
                <w:rFonts w:ascii="Arial Narrow" w:hAnsi="Arial Narrow"/>
                <w:color w:val="000000"/>
                <w:lang w:eastAsia="en-US"/>
              </w:rPr>
            </w:pPr>
            <w:r w:rsidRPr="008B2F8A">
              <w:rPr>
                <w:rFonts w:ascii="Arial Narrow" w:hAnsi="Arial Narrow"/>
              </w:rPr>
              <w:t>0</w:t>
            </w:r>
          </w:p>
        </w:tc>
        <w:tc>
          <w:tcPr>
            <w:tcW w:w="426" w:type="dxa"/>
          </w:tcPr>
          <w:p w14:paraId="3DB5E3E5" w14:textId="77777777" w:rsidR="00E47AB8" w:rsidRPr="008B2F8A" w:rsidRDefault="00E47AB8" w:rsidP="00DF42FE">
            <w:pPr>
              <w:keepNext/>
              <w:spacing w:before="40" w:after="80"/>
              <w:rPr>
                <w:rFonts w:ascii="Arial Narrow" w:hAnsi="Arial Narrow"/>
                <w:color w:val="000000"/>
                <w:lang w:eastAsia="en-US"/>
              </w:rPr>
            </w:pPr>
            <w:r w:rsidRPr="008B2F8A">
              <w:rPr>
                <w:rFonts w:ascii="Arial Narrow" w:hAnsi="Arial Narrow"/>
              </w:rPr>
              <w:t>119</w:t>
            </w:r>
          </w:p>
        </w:tc>
        <w:tc>
          <w:tcPr>
            <w:tcW w:w="1584" w:type="dxa"/>
          </w:tcPr>
          <w:p w14:paraId="05F4AEEC" w14:textId="77777777" w:rsidR="00E47AB8" w:rsidRPr="008B2F8A" w:rsidRDefault="00E47AB8" w:rsidP="00DF42FE">
            <w:pPr>
              <w:keepNext/>
              <w:spacing w:before="40" w:after="80"/>
              <w:rPr>
                <w:rFonts w:ascii="Arial Narrow" w:hAnsi="Arial Narrow"/>
                <w:color w:val="000000"/>
                <w:lang w:eastAsia="en-US"/>
              </w:rPr>
            </w:pPr>
            <w:r w:rsidRPr="008B2F8A">
              <w:rPr>
                <w:rFonts w:ascii="Arial Narrow" w:hAnsi="Arial Narrow"/>
              </w:rPr>
              <w:t>1.00 [0.72, 1.00]</w:t>
            </w:r>
          </w:p>
        </w:tc>
        <w:tc>
          <w:tcPr>
            <w:tcW w:w="1635" w:type="dxa"/>
          </w:tcPr>
          <w:p w14:paraId="16E74856" w14:textId="77777777" w:rsidR="00E47AB8" w:rsidRPr="008B2F8A" w:rsidRDefault="00E47AB8" w:rsidP="00DF42FE">
            <w:pPr>
              <w:keepNext/>
              <w:spacing w:before="40" w:after="80"/>
              <w:rPr>
                <w:rFonts w:ascii="Arial Narrow" w:hAnsi="Arial Narrow"/>
                <w:color w:val="000000"/>
                <w:lang w:eastAsia="en-US"/>
              </w:rPr>
            </w:pPr>
            <w:r w:rsidRPr="008B2F8A">
              <w:rPr>
                <w:rFonts w:ascii="Arial Narrow" w:hAnsi="Arial Narrow"/>
              </w:rPr>
              <w:t>0.89 [0.82, 0.94]</w:t>
            </w:r>
          </w:p>
        </w:tc>
      </w:tr>
    </w:tbl>
    <w:p w14:paraId="634E82B2" w14:textId="61E5CCB7" w:rsidR="00E47AB8" w:rsidRPr="008B2F8A" w:rsidRDefault="00E47AB8" w:rsidP="00703F10">
      <w:pPr>
        <w:pStyle w:val="TableNotesLast"/>
      </w:pPr>
      <w:r w:rsidRPr="00FE172B">
        <w:t xml:space="preserve">**Previous history of breast cancer population </w:t>
      </w:r>
      <w:r w:rsidR="00B4391A">
        <w:t xml:space="preserve">&amp; underwent MRI </w:t>
      </w:r>
      <w:r w:rsidRPr="00FE172B">
        <w:t xml:space="preserve">only (source: </w:t>
      </w:r>
      <w:r w:rsidR="00BC546B">
        <w:t xml:space="preserve">Berg et al, 2012 </w:t>
      </w:r>
      <w:r w:rsidRPr="00FE172B">
        <w:t>Supplementary Appendix).</w:t>
      </w:r>
      <w:r>
        <w:t xml:space="preserve"> </w:t>
      </w:r>
      <w:r w:rsidRPr="008B2F8A">
        <w:t>MRI = magnetic resonance imaging; M = mammography; U/S = ultrasound; CBE = clinical breast examination; BI-RADS = American College of Radiology Breast Imaging Reporting and Data System; CI = confidence interval; TP = true-positive; FP = false-positive; FN = false-negative; TN = true-negative.</w:t>
      </w:r>
    </w:p>
    <w:p w14:paraId="55F8CA51" w14:textId="77777777" w:rsidR="00E47AB8" w:rsidRPr="008B2F8A" w:rsidRDefault="00E47AB8" w:rsidP="00422306">
      <w:pPr>
        <w:pStyle w:val="Caption"/>
      </w:pPr>
      <w:bookmarkStart w:id="890" w:name="_Ref368644583"/>
      <w:bookmarkStart w:id="891" w:name="_Toc383424598"/>
      <w:r w:rsidRPr="008B2F8A">
        <w:t xml:space="preserve">Table </w:t>
      </w:r>
      <w:fldSimple w:instr=" STYLEREF 1 \s ">
        <w:r w:rsidR="00B81273">
          <w:rPr>
            <w:noProof/>
          </w:rPr>
          <w:t>B</w:t>
        </w:r>
      </w:fldSimple>
      <w:r w:rsidRPr="008B2F8A">
        <w:t>.</w:t>
      </w:r>
      <w:fldSimple w:instr=" SEQ Table \* ARABIC \s 1 ">
        <w:r w:rsidR="00B81273">
          <w:rPr>
            <w:noProof/>
          </w:rPr>
          <w:t>32</w:t>
        </w:r>
      </w:fldSimple>
      <w:bookmarkEnd w:id="890"/>
      <w:r w:rsidRPr="008B2F8A">
        <w:tab/>
      </w:r>
      <w:bookmarkStart w:id="892" w:name="OLE_LINK1045"/>
      <w:bookmarkStart w:id="893" w:name="OLE_LINK1046"/>
      <w:r w:rsidRPr="008B2F8A">
        <w:t>Diagnostic accuracy of breast mammography (± ultrasound)</w:t>
      </w:r>
      <w:bookmarkEnd w:id="892"/>
      <w:bookmarkEnd w:id="893"/>
      <w:r w:rsidRPr="008B2F8A">
        <w:t>.</w:t>
      </w:r>
      <w:bookmarkEnd w:id="891"/>
    </w:p>
    <w:tbl>
      <w:tblPr>
        <w:tblStyle w:val="TableGrid"/>
        <w:tblW w:w="9070" w:type="dxa"/>
        <w:tblCellMar>
          <w:left w:w="28" w:type="dxa"/>
          <w:right w:w="28" w:type="dxa"/>
        </w:tblCellMar>
        <w:tblLook w:val="04A0" w:firstRow="1" w:lastRow="0" w:firstColumn="1" w:lastColumn="0" w:noHBand="0" w:noVBand="1"/>
        <w:tblCaption w:val="Diagnostic accuracy of breast mammography (± ultrasound)"/>
      </w:tblPr>
      <w:tblGrid>
        <w:gridCol w:w="1050"/>
        <w:gridCol w:w="836"/>
        <w:gridCol w:w="2260"/>
        <w:gridCol w:w="426"/>
        <w:gridCol w:w="426"/>
        <w:gridCol w:w="426"/>
        <w:gridCol w:w="426"/>
        <w:gridCol w:w="1597"/>
        <w:gridCol w:w="1623"/>
      </w:tblGrid>
      <w:tr w:rsidR="00E47AB8" w:rsidRPr="008B2F8A" w14:paraId="3F8C8850" w14:textId="77777777" w:rsidTr="00703F10">
        <w:trPr>
          <w:tblHeader/>
        </w:trPr>
        <w:tc>
          <w:tcPr>
            <w:tcW w:w="1050" w:type="dxa"/>
          </w:tcPr>
          <w:p w14:paraId="44767598"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836" w:type="dxa"/>
          </w:tcPr>
          <w:p w14:paraId="0F8A1ED7" w14:textId="77777777" w:rsidR="00E47AB8" w:rsidRPr="008B2F8A" w:rsidRDefault="00E47AB8" w:rsidP="00422306">
            <w:pPr>
              <w:spacing w:before="40" w:after="80"/>
              <w:rPr>
                <w:rFonts w:ascii="Arial Narrow" w:hAnsi="Arial Narrow"/>
                <w:b/>
              </w:rPr>
            </w:pPr>
            <w:r w:rsidRPr="008B2F8A">
              <w:rPr>
                <w:rFonts w:ascii="Arial Narrow" w:hAnsi="Arial Narrow"/>
                <w:b/>
              </w:rPr>
              <w:t>Test</w:t>
            </w:r>
          </w:p>
        </w:tc>
        <w:tc>
          <w:tcPr>
            <w:tcW w:w="2260" w:type="dxa"/>
          </w:tcPr>
          <w:p w14:paraId="40CDD0AF" w14:textId="77777777" w:rsidR="00E47AB8" w:rsidRPr="008B2F8A" w:rsidRDefault="00E47AB8" w:rsidP="00422306">
            <w:pPr>
              <w:spacing w:before="40" w:after="80"/>
              <w:rPr>
                <w:rFonts w:ascii="Arial Narrow" w:hAnsi="Arial Narrow"/>
                <w:b/>
              </w:rPr>
            </w:pPr>
            <w:r w:rsidRPr="008B2F8A">
              <w:rPr>
                <w:rFonts w:ascii="Arial Narrow" w:hAnsi="Arial Narrow"/>
                <w:b/>
              </w:rPr>
              <w:t>Positive test</w:t>
            </w:r>
          </w:p>
        </w:tc>
        <w:tc>
          <w:tcPr>
            <w:tcW w:w="426" w:type="dxa"/>
            <w:vAlign w:val="center"/>
          </w:tcPr>
          <w:p w14:paraId="32CB945B" w14:textId="77777777" w:rsidR="00E47AB8" w:rsidRPr="008B2F8A" w:rsidRDefault="00E47AB8" w:rsidP="00422306">
            <w:pPr>
              <w:spacing w:before="40" w:after="80"/>
              <w:rPr>
                <w:rFonts w:ascii="Arial Narrow" w:hAnsi="Arial Narrow"/>
                <w:b/>
              </w:rPr>
            </w:pPr>
            <w:r w:rsidRPr="008B2F8A">
              <w:rPr>
                <w:rFonts w:ascii="Arial Narrow" w:hAnsi="Arial Narrow"/>
                <w:b/>
              </w:rPr>
              <w:t>TP</w:t>
            </w:r>
          </w:p>
        </w:tc>
        <w:tc>
          <w:tcPr>
            <w:tcW w:w="426" w:type="dxa"/>
            <w:vAlign w:val="center"/>
          </w:tcPr>
          <w:p w14:paraId="4707252D" w14:textId="77777777" w:rsidR="00E47AB8" w:rsidRPr="008B2F8A" w:rsidRDefault="00E47AB8" w:rsidP="00422306">
            <w:pPr>
              <w:spacing w:before="40" w:after="80"/>
              <w:rPr>
                <w:rFonts w:ascii="Arial Narrow" w:hAnsi="Arial Narrow"/>
                <w:b/>
              </w:rPr>
            </w:pPr>
            <w:r w:rsidRPr="008B2F8A">
              <w:rPr>
                <w:rFonts w:ascii="Arial Narrow" w:hAnsi="Arial Narrow"/>
                <w:b/>
              </w:rPr>
              <w:t>FP</w:t>
            </w:r>
          </w:p>
        </w:tc>
        <w:tc>
          <w:tcPr>
            <w:tcW w:w="426" w:type="dxa"/>
            <w:vAlign w:val="center"/>
          </w:tcPr>
          <w:p w14:paraId="7829F913" w14:textId="77777777" w:rsidR="00E47AB8" w:rsidRPr="008B2F8A" w:rsidRDefault="00E47AB8" w:rsidP="00422306">
            <w:pPr>
              <w:spacing w:before="40" w:after="80"/>
              <w:rPr>
                <w:rFonts w:ascii="Arial Narrow" w:hAnsi="Arial Narrow"/>
                <w:b/>
              </w:rPr>
            </w:pPr>
            <w:r w:rsidRPr="008B2F8A">
              <w:rPr>
                <w:rFonts w:ascii="Arial Narrow" w:hAnsi="Arial Narrow"/>
                <w:b/>
              </w:rPr>
              <w:t>FN</w:t>
            </w:r>
          </w:p>
        </w:tc>
        <w:tc>
          <w:tcPr>
            <w:tcW w:w="426" w:type="dxa"/>
            <w:vAlign w:val="center"/>
          </w:tcPr>
          <w:p w14:paraId="7D4543E9" w14:textId="77777777" w:rsidR="00E47AB8" w:rsidRPr="008B2F8A" w:rsidRDefault="00E47AB8" w:rsidP="00422306">
            <w:pPr>
              <w:spacing w:before="40" w:after="80"/>
              <w:rPr>
                <w:rFonts w:ascii="Arial Narrow" w:hAnsi="Arial Narrow"/>
                <w:b/>
              </w:rPr>
            </w:pPr>
            <w:r w:rsidRPr="008B2F8A">
              <w:rPr>
                <w:rFonts w:ascii="Arial Narrow" w:hAnsi="Arial Narrow"/>
                <w:b/>
              </w:rPr>
              <w:t>TN</w:t>
            </w:r>
          </w:p>
        </w:tc>
        <w:tc>
          <w:tcPr>
            <w:tcW w:w="1597" w:type="dxa"/>
          </w:tcPr>
          <w:p w14:paraId="654B4524" w14:textId="45C891DB" w:rsidR="00E47AB8" w:rsidRPr="008B2F8A" w:rsidRDefault="00E47AB8" w:rsidP="00422306">
            <w:pPr>
              <w:spacing w:before="40" w:after="80"/>
              <w:rPr>
                <w:rFonts w:ascii="Arial Narrow" w:hAnsi="Arial Narrow"/>
                <w:b/>
              </w:rPr>
            </w:pPr>
            <w:r w:rsidRPr="008B2F8A">
              <w:rPr>
                <w:rFonts w:ascii="Arial Narrow" w:hAnsi="Arial Narrow"/>
                <w:b/>
              </w:rPr>
              <w:t xml:space="preserve">Sensitivity </w:t>
            </w:r>
            <w:r>
              <w:rPr>
                <w:rFonts w:ascii="Arial Narrow" w:hAnsi="Arial Narrow"/>
                <w:b/>
              </w:rPr>
              <w:t>[</w:t>
            </w:r>
            <w:r w:rsidRPr="008B2F8A">
              <w:rPr>
                <w:rFonts w:ascii="Arial Narrow" w:hAnsi="Arial Narrow"/>
                <w:b/>
              </w:rPr>
              <w:t>95% CI</w:t>
            </w:r>
            <w:r>
              <w:rPr>
                <w:rFonts w:ascii="Arial Narrow" w:hAnsi="Arial Narrow"/>
                <w:b/>
              </w:rPr>
              <w:t>]</w:t>
            </w:r>
          </w:p>
        </w:tc>
        <w:tc>
          <w:tcPr>
            <w:tcW w:w="1623" w:type="dxa"/>
          </w:tcPr>
          <w:p w14:paraId="13A86DE4" w14:textId="5150D38F" w:rsidR="00E47AB8" w:rsidRPr="008B2F8A" w:rsidRDefault="00E47AB8" w:rsidP="00422306">
            <w:pPr>
              <w:spacing w:before="40" w:after="80"/>
              <w:rPr>
                <w:rFonts w:ascii="Arial Narrow" w:hAnsi="Arial Narrow"/>
                <w:b/>
              </w:rPr>
            </w:pPr>
            <w:r w:rsidRPr="008B2F8A">
              <w:rPr>
                <w:rFonts w:ascii="Arial Narrow" w:hAnsi="Arial Narrow"/>
                <w:b/>
              </w:rPr>
              <w:t xml:space="preserve">Specificity </w:t>
            </w:r>
            <w:r>
              <w:rPr>
                <w:rFonts w:ascii="Arial Narrow" w:hAnsi="Arial Narrow"/>
                <w:b/>
              </w:rPr>
              <w:t>[</w:t>
            </w:r>
            <w:r w:rsidRPr="008B2F8A">
              <w:rPr>
                <w:rFonts w:ascii="Arial Narrow" w:hAnsi="Arial Narrow"/>
                <w:b/>
              </w:rPr>
              <w:t>95% CI</w:t>
            </w:r>
            <w:r>
              <w:rPr>
                <w:rFonts w:ascii="Arial Narrow" w:hAnsi="Arial Narrow"/>
                <w:b/>
              </w:rPr>
              <w:t>]</w:t>
            </w:r>
          </w:p>
        </w:tc>
      </w:tr>
      <w:tr w:rsidR="00E47AB8" w:rsidRPr="008B2F8A" w14:paraId="1D57304D" w14:textId="77777777" w:rsidTr="00703F10">
        <w:tc>
          <w:tcPr>
            <w:tcW w:w="1050" w:type="dxa"/>
          </w:tcPr>
          <w:p w14:paraId="0D563FA7" w14:textId="24D0F29D" w:rsidR="00E47AB8" w:rsidRPr="008B2F8A" w:rsidRDefault="00E47AB8" w:rsidP="00422306">
            <w:pPr>
              <w:spacing w:before="40" w:after="80"/>
              <w:rPr>
                <w:rFonts w:ascii="Arial Narrow" w:hAnsi="Arial Narrow"/>
              </w:rPr>
            </w:pPr>
            <w:r>
              <w:rPr>
                <w:rFonts w:ascii="Arial Narrow" w:hAnsi="Arial Narrow"/>
              </w:rPr>
              <w:t>Berg et al, 2012</w:t>
            </w:r>
            <w:r w:rsidRPr="008B2F8A">
              <w:rPr>
                <w:rFonts w:ascii="Arial Narrow" w:hAnsi="Arial Narrow"/>
              </w:rPr>
              <w:t>**</w:t>
            </w:r>
          </w:p>
        </w:tc>
        <w:tc>
          <w:tcPr>
            <w:tcW w:w="836" w:type="dxa"/>
          </w:tcPr>
          <w:p w14:paraId="40D4B44C" w14:textId="77777777" w:rsidR="00E47AB8" w:rsidRPr="008B2F8A" w:rsidRDefault="00E47AB8" w:rsidP="00422306">
            <w:pPr>
              <w:spacing w:before="40" w:after="80"/>
              <w:rPr>
                <w:rFonts w:ascii="Arial Narrow" w:hAnsi="Arial Narrow"/>
              </w:rPr>
            </w:pPr>
            <w:r w:rsidRPr="008B2F8A">
              <w:rPr>
                <w:rFonts w:ascii="Arial Narrow" w:hAnsi="Arial Narrow"/>
              </w:rPr>
              <w:t>M</w:t>
            </w:r>
          </w:p>
        </w:tc>
        <w:tc>
          <w:tcPr>
            <w:tcW w:w="2260" w:type="dxa"/>
          </w:tcPr>
          <w:p w14:paraId="3B159E27" w14:textId="77777777" w:rsidR="00E47AB8" w:rsidRPr="008B2F8A" w:rsidRDefault="00E47AB8" w:rsidP="00422306">
            <w:pPr>
              <w:spacing w:before="40" w:after="80"/>
              <w:rPr>
                <w:rFonts w:ascii="Arial Narrow" w:hAnsi="Arial Narrow"/>
              </w:rPr>
            </w:pPr>
            <w:r w:rsidRPr="008B2F8A">
              <w:rPr>
                <w:rFonts w:ascii="Arial Narrow" w:hAnsi="Arial Narrow"/>
              </w:rPr>
              <w:t>BI-RADS 3, 4a, 4b, 4c, or 5</w:t>
            </w:r>
          </w:p>
        </w:tc>
        <w:tc>
          <w:tcPr>
            <w:tcW w:w="426" w:type="dxa"/>
          </w:tcPr>
          <w:p w14:paraId="47611024" w14:textId="77777777" w:rsidR="00E47AB8" w:rsidRPr="008B2F8A" w:rsidRDefault="00E47AB8" w:rsidP="00422306">
            <w:pPr>
              <w:spacing w:before="40" w:after="80"/>
              <w:rPr>
                <w:rFonts w:ascii="Arial Narrow" w:hAnsi="Arial Narrow"/>
              </w:rPr>
            </w:pPr>
            <w:r w:rsidRPr="008B2F8A">
              <w:rPr>
                <w:rFonts w:ascii="Arial Narrow" w:hAnsi="Arial Narrow"/>
              </w:rPr>
              <w:t>2</w:t>
            </w:r>
          </w:p>
        </w:tc>
        <w:tc>
          <w:tcPr>
            <w:tcW w:w="426" w:type="dxa"/>
          </w:tcPr>
          <w:p w14:paraId="71B503FA" w14:textId="77777777" w:rsidR="00E47AB8" w:rsidRPr="008B2F8A" w:rsidRDefault="00E47AB8" w:rsidP="00422306">
            <w:pPr>
              <w:spacing w:before="40" w:after="80"/>
              <w:rPr>
                <w:rFonts w:ascii="Arial Narrow" w:hAnsi="Arial Narrow"/>
              </w:rPr>
            </w:pPr>
            <w:r w:rsidRPr="008B2F8A">
              <w:rPr>
                <w:rFonts w:ascii="Arial Narrow" w:hAnsi="Arial Narrow"/>
              </w:rPr>
              <w:t>13</w:t>
            </w:r>
          </w:p>
        </w:tc>
        <w:tc>
          <w:tcPr>
            <w:tcW w:w="426" w:type="dxa"/>
          </w:tcPr>
          <w:p w14:paraId="486671ED" w14:textId="77777777" w:rsidR="00E47AB8" w:rsidRPr="008B2F8A" w:rsidRDefault="00E47AB8" w:rsidP="00422306">
            <w:pPr>
              <w:spacing w:before="40" w:after="80"/>
              <w:rPr>
                <w:rFonts w:ascii="Arial Narrow" w:hAnsi="Arial Narrow"/>
              </w:rPr>
            </w:pPr>
            <w:r w:rsidRPr="008B2F8A">
              <w:rPr>
                <w:rFonts w:ascii="Arial Narrow" w:hAnsi="Arial Narrow"/>
              </w:rPr>
              <w:t>2</w:t>
            </w:r>
          </w:p>
        </w:tc>
        <w:tc>
          <w:tcPr>
            <w:tcW w:w="426" w:type="dxa"/>
          </w:tcPr>
          <w:p w14:paraId="1D2D5E5A" w14:textId="77777777" w:rsidR="00E47AB8" w:rsidRPr="008B2F8A" w:rsidRDefault="00E47AB8" w:rsidP="00422306">
            <w:pPr>
              <w:spacing w:before="40" w:after="80"/>
              <w:rPr>
                <w:rFonts w:ascii="Arial Narrow" w:hAnsi="Arial Narrow"/>
              </w:rPr>
            </w:pPr>
            <w:r w:rsidRPr="008B2F8A">
              <w:rPr>
                <w:rFonts w:ascii="Arial Narrow" w:hAnsi="Arial Narrow"/>
              </w:rPr>
              <w:t>258</w:t>
            </w:r>
          </w:p>
        </w:tc>
        <w:tc>
          <w:tcPr>
            <w:tcW w:w="1597" w:type="dxa"/>
          </w:tcPr>
          <w:p w14:paraId="70896095" w14:textId="10E843E7" w:rsidR="00E47AB8" w:rsidRPr="008B2F8A" w:rsidRDefault="00E47AB8" w:rsidP="00422306">
            <w:pPr>
              <w:spacing w:before="40" w:after="80"/>
              <w:rPr>
                <w:rFonts w:ascii="Arial Narrow" w:hAnsi="Arial Narrow"/>
              </w:rPr>
            </w:pPr>
            <w:r w:rsidRPr="008B2F8A">
              <w:rPr>
                <w:rFonts w:ascii="Arial Narrow" w:hAnsi="Arial Narrow"/>
              </w:rPr>
              <w:t xml:space="preserve">0.50 </w:t>
            </w:r>
            <w:r>
              <w:rPr>
                <w:rFonts w:ascii="Arial Narrow" w:hAnsi="Arial Narrow"/>
              </w:rPr>
              <w:t>[</w:t>
            </w:r>
            <w:r w:rsidRPr="008B2F8A">
              <w:rPr>
                <w:rFonts w:ascii="Arial Narrow" w:hAnsi="Arial Narrow"/>
              </w:rPr>
              <w:t>0.07–0.93</w:t>
            </w:r>
            <w:r>
              <w:rPr>
                <w:rFonts w:ascii="Arial Narrow" w:hAnsi="Arial Narrow"/>
              </w:rPr>
              <w:t>]</w:t>
            </w:r>
          </w:p>
        </w:tc>
        <w:tc>
          <w:tcPr>
            <w:tcW w:w="1623" w:type="dxa"/>
          </w:tcPr>
          <w:p w14:paraId="614B35AE" w14:textId="3F456F6E" w:rsidR="00E47AB8" w:rsidRPr="008B2F8A" w:rsidRDefault="00E47AB8" w:rsidP="00422306">
            <w:pPr>
              <w:spacing w:before="40" w:after="80"/>
              <w:rPr>
                <w:rFonts w:ascii="Arial Narrow" w:hAnsi="Arial Narrow"/>
              </w:rPr>
            </w:pPr>
            <w:r w:rsidRPr="008B2F8A">
              <w:rPr>
                <w:rFonts w:ascii="Arial Narrow" w:hAnsi="Arial Narrow"/>
              </w:rPr>
              <w:t xml:space="preserve">0.95 </w:t>
            </w:r>
            <w:r>
              <w:rPr>
                <w:rFonts w:ascii="Arial Narrow" w:hAnsi="Arial Narrow"/>
              </w:rPr>
              <w:t>[</w:t>
            </w:r>
            <w:r w:rsidRPr="008B2F8A">
              <w:rPr>
                <w:rFonts w:ascii="Arial Narrow" w:hAnsi="Arial Narrow"/>
              </w:rPr>
              <w:t>0.92–0.97</w:t>
            </w:r>
            <w:r>
              <w:rPr>
                <w:rFonts w:ascii="Arial Narrow" w:hAnsi="Arial Narrow"/>
              </w:rPr>
              <w:t>]</w:t>
            </w:r>
          </w:p>
        </w:tc>
      </w:tr>
      <w:tr w:rsidR="00E47AB8" w:rsidRPr="008B2F8A" w14:paraId="2FE1ED80" w14:textId="77777777" w:rsidTr="00703F10">
        <w:tc>
          <w:tcPr>
            <w:tcW w:w="1050" w:type="dxa"/>
          </w:tcPr>
          <w:p w14:paraId="34E4B684" w14:textId="65D0B23D" w:rsidR="00E47AB8" w:rsidRPr="008B2F8A" w:rsidRDefault="00E47AB8" w:rsidP="00422306">
            <w:pPr>
              <w:spacing w:before="40" w:after="80"/>
              <w:rPr>
                <w:rFonts w:ascii="Arial Narrow" w:hAnsi="Arial Narrow"/>
              </w:rPr>
            </w:pPr>
            <w:r>
              <w:rPr>
                <w:rFonts w:ascii="Arial Narrow" w:hAnsi="Arial Narrow"/>
              </w:rPr>
              <w:t>Viehweg et al, 2004</w:t>
            </w:r>
          </w:p>
        </w:tc>
        <w:tc>
          <w:tcPr>
            <w:tcW w:w="836" w:type="dxa"/>
          </w:tcPr>
          <w:p w14:paraId="453AB6CD" w14:textId="2EE2998E" w:rsidR="00E47AB8" w:rsidRPr="008B2F8A" w:rsidRDefault="00E47AB8" w:rsidP="00703F10">
            <w:pPr>
              <w:spacing w:before="40" w:after="80"/>
              <w:rPr>
                <w:rFonts w:ascii="Arial Narrow" w:hAnsi="Arial Narrow"/>
                <w:color w:val="000000"/>
                <w:lang w:eastAsia="en-US"/>
              </w:rPr>
            </w:pPr>
            <w:r w:rsidRPr="008B2F8A">
              <w:rPr>
                <w:rFonts w:ascii="Arial Narrow" w:hAnsi="Arial Narrow"/>
              </w:rPr>
              <w:t>M​+​U/S​+​CBE</w:t>
            </w:r>
          </w:p>
        </w:tc>
        <w:tc>
          <w:tcPr>
            <w:tcW w:w="2260" w:type="dxa"/>
          </w:tcPr>
          <w:p w14:paraId="7883AFEF" w14:textId="4911A7BA" w:rsidR="00E47AB8" w:rsidRPr="008B2F8A" w:rsidRDefault="00E47AB8" w:rsidP="00422306">
            <w:pPr>
              <w:spacing w:before="40" w:after="80"/>
              <w:rPr>
                <w:rFonts w:ascii="Arial Narrow" w:hAnsi="Arial Narrow"/>
              </w:rPr>
            </w:pPr>
            <w:r w:rsidRPr="008B2F8A">
              <w:rPr>
                <w:rFonts w:ascii="Arial Narrow" w:hAnsi="Arial Narrow"/>
              </w:rPr>
              <w:t>Pos</w:t>
            </w:r>
            <w:r>
              <w:rPr>
                <w:rFonts w:ascii="Arial Narrow" w:hAnsi="Arial Narrow"/>
              </w:rPr>
              <w:t>itive</w:t>
            </w:r>
            <w:r w:rsidRPr="008B2F8A">
              <w:rPr>
                <w:rFonts w:ascii="Arial Narrow" w:hAnsi="Arial Narrow"/>
              </w:rPr>
              <w:t xml:space="preserve"> </w:t>
            </w:r>
            <w:r w:rsidRPr="008B2F8A">
              <w:rPr>
                <w:rFonts w:ascii="Arial Narrow" w:hAnsi="Arial Narrow"/>
                <w:noProof/>
              </w:rPr>
              <w:t>(Heywang-Köbrunner et al, 1997)</w:t>
            </w:r>
          </w:p>
        </w:tc>
        <w:tc>
          <w:tcPr>
            <w:tcW w:w="426" w:type="dxa"/>
          </w:tcPr>
          <w:p w14:paraId="6F015F61" w14:textId="77777777" w:rsidR="00E47AB8" w:rsidRPr="008B2F8A" w:rsidRDefault="00E47AB8" w:rsidP="00422306">
            <w:pPr>
              <w:spacing w:before="40" w:after="80"/>
              <w:rPr>
                <w:rFonts w:ascii="Arial Narrow" w:hAnsi="Arial Narrow"/>
              </w:rPr>
            </w:pPr>
            <w:r w:rsidRPr="008B2F8A">
              <w:rPr>
                <w:rFonts w:ascii="Arial Narrow" w:hAnsi="Arial Narrow"/>
              </w:rPr>
              <w:t>7</w:t>
            </w:r>
          </w:p>
        </w:tc>
        <w:tc>
          <w:tcPr>
            <w:tcW w:w="426" w:type="dxa"/>
          </w:tcPr>
          <w:p w14:paraId="22B4FA4F" w14:textId="77777777" w:rsidR="00E47AB8" w:rsidRPr="008B2F8A" w:rsidRDefault="00E47AB8" w:rsidP="00422306">
            <w:pPr>
              <w:spacing w:before="40" w:after="80"/>
              <w:rPr>
                <w:rFonts w:ascii="Arial Narrow" w:hAnsi="Arial Narrow"/>
              </w:rPr>
            </w:pPr>
            <w:r w:rsidRPr="008B2F8A">
              <w:rPr>
                <w:rFonts w:ascii="Arial Narrow" w:hAnsi="Arial Narrow"/>
              </w:rPr>
              <w:t>22</w:t>
            </w:r>
          </w:p>
        </w:tc>
        <w:tc>
          <w:tcPr>
            <w:tcW w:w="426" w:type="dxa"/>
          </w:tcPr>
          <w:p w14:paraId="13F37C19" w14:textId="77777777" w:rsidR="00E47AB8" w:rsidRPr="008B2F8A" w:rsidRDefault="00E47AB8" w:rsidP="00422306">
            <w:pPr>
              <w:spacing w:before="40" w:after="80"/>
              <w:rPr>
                <w:rFonts w:ascii="Arial Narrow" w:hAnsi="Arial Narrow"/>
              </w:rPr>
            </w:pPr>
            <w:r w:rsidRPr="008B2F8A">
              <w:rPr>
                <w:rFonts w:ascii="Arial Narrow" w:hAnsi="Arial Narrow"/>
              </w:rPr>
              <w:t>4</w:t>
            </w:r>
          </w:p>
        </w:tc>
        <w:tc>
          <w:tcPr>
            <w:tcW w:w="426" w:type="dxa"/>
          </w:tcPr>
          <w:p w14:paraId="7EEC84EC" w14:textId="77777777" w:rsidR="00E47AB8" w:rsidRPr="008B2F8A" w:rsidRDefault="00E47AB8" w:rsidP="00422306">
            <w:pPr>
              <w:spacing w:before="40" w:after="80"/>
              <w:rPr>
                <w:rFonts w:ascii="Arial Narrow" w:hAnsi="Arial Narrow"/>
              </w:rPr>
            </w:pPr>
            <w:r w:rsidRPr="008B2F8A">
              <w:rPr>
                <w:rFonts w:ascii="Arial Narrow" w:hAnsi="Arial Narrow"/>
              </w:rPr>
              <w:t>112</w:t>
            </w:r>
          </w:p>
        </w:tc>
        <w:tc>
          <w:tcPr>
            <w:tcW w:w="1597" w:type="dxa"/>
          </w:tcPr>
          <w:p w14:paraId="52B45AA1" w14:textId="77777777" w:rsidR="00E47AB8" w:rsidRPr="008B2F8A" w:rsidRDefault="00E47AB8" w:rsidP="00422306">
            <w:pPr>
              <w:spacing w:before="40" w:after="80"/>
              <w:rPr>
                <w:rFonts w:ascii="Arial Narrow" w:hAnsi="Arial Narrow"/>
              </w:rPr>
            </w:pPr>
            <w:r w:rsidRPr="008B2F8A">
              <w:rPr>
                <w:rFonts w:ascii="Arial Narrow" w:hAnsi="Arial Narrow"/>
              </w:rPr>
              <w:t>0.64 [0.31, 0.89]</w:t>
            </w:r>
          </w:p>
        </w:tc>
        <w:tc>
          <w:tcPr>
            <w:tcW w:w="1623" w:type="dxa"/>
          </w:tcPr>
          <w:p w14:paraId="6C05A6EE" w14:textId="77777777" w:rsidR="00E47AB8" w:rsidRPr="008B2F8A" w:rsidRDefault="00E47AB8" w:rsidP="00422306">
            <w:pPr>
              <w:spacing w:before="40" w:after="80"/>
              <w:rPr>
                <w:rFonts w:ascii="Arial Narrow" w:hAnsi="Arial Narrow"/>
              </w:rPr>
            </w:pPr>
            <w:r w:rsidRPr="008B2F8A">
              <w:rPr>
                <w:rFonts w:ascii="Arial Narrow" w:hAnsi="Arial Narrow"/>
              </w:rPr>
              <w:t>0.84 [0.76, 0.89]</w:t>
            </w:r>
          </w:p>
        </w:tc>
      </w:tr>
    </w:tbl>
    <w:p w14:paraId="6CB66A61" w14:textId="474C8F75" w:rsidR="00E47AB8" w:rsidRPr="008B2F8A" w:rsidRDefault="00E47AB8" w:rsidP="00703F10">
      <w:pPr>
        <w:pStyle w:val="TableNotesLast"/>
      </w:pPr>
      <w:r w:rsidRPr="008B2F8A">
        <w:lastRenderedPageBreak/>
        <w:t>**Previous history of breast cancer population</w:t>
      </w:r>
      <w:r w:rsidR="00B4391A">
        <w:t xml:space="preserve"> &amp; underwent MRI</w:t>
      </w:r>
      <w:r w:rsidRPr="008B2F8A">
        <w:t xml:space="preserve"> only (source: </w:t>
      </w:r>
      <w:r w:rsidR="00BC546B">
        <w:t xml:space="preserve">Berg et al, 2012 </w:t>
      </w:r>
      <w:r w:rsidRPr="00BC546B">
        <w:t>Supplementary Appendix</w:t>
      </w:r>
      <w:r w:rsidRPr="008B2F8A">
        <w:t>).</w:t>
      </w:r>
      <w:r>
        <w:t xml:space="preserve"> </w:t>
      </w:r>
      <w:r w:rsidRPr="008B2F8A">
        <w:t>M = mammography; U/S = ultrasound; CBE = clinical breast examination; BI-RADS = American College of Radiology Breast Imaging Reporting and Data System; CI = confidence interval; TP = true-positive; FP = false-positive; FN = false-negative; TN = true-negative.</w:t>
      </w:r>
    </w:p>
    <w:p w14:paraId="2D1C0C7E" w14:textId="77777777" w:rsidR="00E47AB8" w:rsidRPr="008B2F8A" w:rsidRDefault="00E47AB8" w:rsidP="00422306">
      <w:pPr>
        <w:pStyle w:val="Caption"/>
      </w:pPr>
      <w:bookmarkStart w:id="894" w:name="_Ref368644589"/>
      <w:bookmarkStart w:id="895" w:name="_Toc383424599"/>
      <w:r w:rsidRPr="008B2F8A">
        <w:t xml:space="preserve">Table </w:t>
      </w:r>
      <w:fldSimple w:instr=" STYLEREF 1 \s ">
        <w:r w:rsidR="00B81273">
          <w:rPr>
            <w:noProof/>
          </w:rPr>
          <w:t>B</w:t>
        </w:r>
      </w:fldSimple>
      <w:r w:rsidRPr="008B2F8A">
        <w:t>.</w:t>
      </w:r>
      <w:fldSimple w:instr=" SEQ Table \* ARABIC \s 1 ">
        <w:r w:rsidR="00B81273">
          <w:rPr>
            <w:noProof/>
          </w:rPr>
          <w:t>33</w:t>
        </w:r>
      </w:fldSimple>
      <w:bookmarkEnd w:id="894"/>
      <w:r w:rsidRPr="008B2F8A">
        <w:tab/>
      </w:r>
      <w:bookmarkStart w:id="896" w:name="OLE_LINK1047"/>
      <w:bookmarkStart w:id="897" w:name="OLE_LINK1048"/>
      <w:r w:rsidRPr="008B2F8A">
        <w:t>Diagnostic accuracy of breast MRI alone</w:t>
      </w:r>
      <w:bookmarkEnd w:id="896"/>
      <w:bookmarkEnd w:id="897"/>
      <w:r w:rsidRPr="008B2F8A">
        <w:t>.</w:t>
      </w:r>
      <w:bookmarkEnd w:id="895"/>
    </w:p>
    <w:tbl>
      <w:tblPr>
        <w:tblStyle w:val="TableGrid"/>
        <w:tblW w:w="9069" w:type="dxa"/>
        <w:tblCellMar>
          <w:left w:w="28" w:type="dxa"/>
          <w:right w:w="28" w:type="dxa"/>
        </w:tblCellMar>
        <w:tblLook w:val="04A0" w:firstRow="1" w:lastRow="0" w:firstColumn="1" w:lastColumn="0" w:noHBand="0" w:noVBand="1"/>
        <w:tblCaption w:val="Diagnostic accuracy of breast MRI alone"/>
      </w:tblPr>
      <w:tblGrid>
        <w:gridCol w:w="1051"/>
        <w:gridCol w:w="835"/>
        <w:gridCol w:w="2260"/>
        <w:gridCol w:w="426"/>
        <w:gridCol w:w="426"/>
        <w:gridCol w:w="426"/>
        <w:gridCol w:w="426"/>
        <w:gridCol w:w="1584"/>
        <w:gridCol w:w="1635"/>
      </w:tblGrid>
      <w:tr w:rsidR="00E47AB8" w:rsidRPr="008B2F8A" w14:paraId="678F6F8E" w14:textId="77777777" w:rsidTr="00703F10">
        <w:trPr>
          <w:tblHeader/>
        </w:trPr>
        <w:tc>
          <w:tcPr>
            <w:tcW w:w="1051" w:type="dxa"/>
          </w:tcPr>
          <w:p w14:paraId="2817FDFD" w14:textId="77777777" w:rsidR="00E47AB8" w:rsidRPr="008B2F8A" w:rsidRDefault="00E47AB8" w:rsidP="00590B8C">
            <w:pPr>
              <w:keepNext/>
              <w:spacing w:before="40" w:after="80"/>
              <w:rPr>
                <w:rFonts w:ascii="Arial Narrow" w:hAnsi="Arial Narrow"/>
                <w:b/>
              </w:rPr>
            </w:pPr>
            <w:r w:rsidRPr="008B2F8A">
              <w:rPr>
                <w:rFonts w:ascii="Arial Narrow" w:hAnsi="Arial Narrow"/>
                <w:b/>
              </w:rPr>
              <w:t>Study</w:t>
            </w:r>
          </w:p>
        </w:tc>
        <w:tc>
          <w:tcPr>
            <w:tcW w:w="835" w:type="dxa"/>
          </w:tcPr>
          <w:p w14:paraId="3B779FF0" w14:textId="77777777" w:rsidR="00E47AB8" w:rsidRPr="008B2F8A" w:rsidRDefault="00E47AB8" w:rsidP="00590B8C">
            <w:pPr>
              <w:keepNext/>
              <w:spacing w:before="40" w:after="80"/>
              <w:rPr>
                <w:rFonts w:ascii="Arial Narrow" w:hAnsi="Arial Narrow"/>
                <w:b/>
              </w:rPr>
            </w:pPr>
            <w:r w:rsidRPr="008B2F8A">
              <w:rPr>
                <w:rFonts w:ascii="Arial Narrow" w:hAnsi="Arial Narrow"/>
                <w:b/>
              </w:rPr>
              <w:t>Test</w:t>
            </w:r>
          </w:p>
        </w:tc>
        <w:tc>
          <w:tcPr>
            <w:tcW w:w="2260" w:type="dxa"/>
          </w:tcPr>
          <w:p w14:paraId="773F8989" w14:textId="77777777" w:rsidR="00E47AB8" w:rsidRPr="008B2F8A" w:rsidRDefault="00E47AB8" w:rsidP="00590B8C">
            <w:pPr>
              <w:keepNext/>
              <w:spacing w:before="40" w:after="80"/>
              <w:rPr>
                <w:rFonts w:ascii="Arial Narrow" w:hAnsi="Arial Narrow"/>
                <w:b/>
              </w:rPr>
            </w:pPr>
            <w:r w:rsidRPr="008B2F8A">
              <w:rPr>
                <w:rFonts w:ascii="Arial Narrow" w:hAnsi="Arial Narrow"/>
                <w:b/>
              </w:rPr>
              <w:t>Positive test</w:t>
            </w:r>
          </w:p>
        </w:tc>
        <w:tc>
          <w:tcPr>
            <w:tcW w:w="426" w:type="dxa"/>
            <w:vAlign w:val="center"/>
          </w:tcPr>
          <w:p w14:paraId="5B8C3452" w14:textId="77777777" w:rsidR="00E47AB8" w:rsidRPr="008B2F8A" w:rsidRDefault="00E47AB8" w:rsidP="00590B8C">
            <w:pPr>
              <w:keepNext/>
              <w:spacing w:before="40" w:after="80"/>
              <w:rPr>
                <w:rFonts w:ascii="Arial Narrow" w:hAnsi="Arial Narrow"/>
                <w:b/>
              </w:rPr>
            </w:pPr>
            <w:r w:rsidRPr="008B2F8A">
              <w:rPr>
                <w:rFonts w:ascii="Arial Narrow" w:hAnsi="Arial Narrow"/>
                <w:b/>
              </w:rPr>
              <w:t>TP</w:t>
            </w:r>
          </w:p>
        </w:tc>
        <w:tc>
          <w:tcPr>
            <w:tcW w:w="426" w:type="dxa"/>
            <w:vAlign w:val="center"/>
          </w:tcPr>
          <w:p w14:paraId="2CC008D4" w14:textId="77777777" w:rsidR="00E47AB8" w:rsidRPr="008B2F8A" w:rsidRDefault="00E47AB8" w:rsidP="00590B8C">
            <w:pPr>
              <w:keepNext/>
              <w:spacing w:before="40" w:after="80"/>
              <w:rPr>
                <w:rFonts w:ascii="Arial Narrow" w:hAnsi="Arial Narrow"/>
                <w:b/>
              </w:rPr>
            </w:pPr>
            <w:r w:rsidRPr="008B2F8A">
              <w:rPr>
                <w:rFonts w:ascii="Arial Narrow" w:hAnsi="Arial Narrow"/>
                <w:b/>
              </w:rPr>
              <w:t>FP</w:t>
            </w:r>
          </w:p>
        </w:tc>
        <w:tc>
          <w:tcPr>
            <w:tcW w:w="426" w:type="dxa"/>
            <w:vAlign w:val="center"/>
          </w:tcPr>
          <w:p w14:paraId="5E1F7B17" w14:textId="77777777" w:rsidR="00E47AB8" w:rsidRPr="008B2F8A" w:rsidRDefault="00E47AB8" w:rsidP="00590B8C">
            <w:pPr>
              <w:keepNext/>
              <w:spacing w:before="40" w:after="80"/>
              <w:rPr>
                <w:rFonts w:ascii="Arial Narrow" w:hAnsi="Arial Narrow"/>
                <w:b/>
              </w:rPr>
            </w:pPr>
            <w:r w:rsidRPr="008B2F8A">
              <w:rPr>
                <w:rFonts w:ascii="Arial Narrow" w:hAnsi="Arial Narrow"/>
                <w:b/>
              </w:rPr>
              <w:t>FN</w:t>
            </w:r>
          </w:p>
        </w:tc>
        <w:tc>
          <w:tcPr>
            <w:tcW w:w="426" w:type="dxa"/>
            <w:vAlign w:val="center"/>
          </w:tcPr>
          <w:p w14:paraId="78C20588" w14:textId="77777777" w:rsidR="00E47AB8" w:rsidRPr="008B2F8A" w:rsidRDefault="00E47AB8" w:rsidP="00590B8C">
            <w:pPr>
              <w:keepNext/>
              <w:spacing w:before="40" w:after="80"/>
              <w:rPr>
                <w:rFonts w:ascii="Arial Narrow" w:hAnsi="Arial Narrow"/>
                <w:b/>
              </w:rPr>
            </w:pPr>
            <w:r w:rsidRPr="008B2F8A">
              <w:rPr>
                <w:rFonts w:ascii="Arial Narrow" w:hAnsi="Arial Narrow"/>
                <w:b/>
              </w:rPr>
              <w:t>TN</w:t>
            </w:r>
          </w:p>
        </w:tc>
        <w:tc>
          <w:tcPr>
            <w:tcW w:w="1584" w:type="dxa"/>
          </w:tcPr>
          <w:p w14:paraId="465B2CFD" w14:textId="3F70ECB1" w:rsidR="00E47AB8" w:rsidRPr="008B2F8A" w:rsidRDefault="00E47AB8" w:rsidP="00590B8C">
            <w:pPr>
              <w:keepNext/>
              <w:spacing w:before="40" w:after="80"/>
              <w:rPr>
                <w:rFonts w:ascii="Arial Narrow" w:hAnsi="Arial Narrow"/>
                <w:b/>
              </w:rPr>
            </w:pPr>
            <w:r w:rsidRPr="008B2F8A">
              <w:rPr>
                <w:rFonts w:ascii="Arial Narrow" w:hAnsi="Arial Narrow"/>
                <w:b/>
              </w:rPr>
              <w:t xml:space="preserve">Sensitivity </w:t>
            </w:r>
            <w:r>
              <w:rPr>
                <w:rFonts w:ascii="Arial Narrow" w:hAnsi="Arial Narrow"/>
                <w:b/>
              </w:rPr>
              <w:t>[</w:t>
            </w:r>
            <w:r w:rsidRPr="008B2F8A">
              <w:rPr>
                <w:rFonts w:ascii="Arial Narrow" w:hAnsi="Arial Narrow"/>
                <w:b/>
              </w:rPr>
              <w:t>95% CI</w:t>
            </w:r>
            <w:r>
              <w:rPr>
                <w:rFonts w:ascii="Arial Narrow" w:hAnsi="Arial Narrow"/>
                <w:b/>
              </w:rPr>
              <w:t>]</w:t>
            </w:r>
          </w:p>
        </w:tc>
        <w:tc>
          <w:tcPr>
            <w:tcW w:w="1635" w:type="dxa"/>
          </w:tcPr>
          <w:p w14:paraId="32D9C60B" w14:textId="1400D1AF" w:rsidR="00E47AB8" w:rsidRPr="008B2F8A" w:rsidRDefault="00E47AB8" w:rsidP="00590B8C">
            <w:pPr>
              <w:keepNext/>
              <w:spacing w:before="40" w:after="80"/>
              <w:rPr>
                <w:rFonts w:ascii="Arial Narrow" w:hAnsi="Arial Narrow"/>
                <w:b/>
              </w:rPr>
            </w:pPr>
            <w:r w:rsidRPr="008B2F8A">
              <w:rPr>
                <w:rFonts w:ascii="Arial Narrow" w:hAnsi="Arial Narrow"/>
                <w:b/>
              </w:rPr>
              <w:t xml:space="preserve">Specificity </w:t>
            </w:r>
            <w:r>
              <w:rPr>
                <w:rFonts w:ascii="Arial Narrow" w:hAnsi="Arial Narrow"/>
                <w:b/>
              </w:rPr>
              <w:t>[</w:t>
            </w:r>
            <w:r w:rsidRPr="008B2F8A">
              <w:rPr>
                <w:rFonts w:ascii="Arial Narrow" w:hAnsi="Arial Narrow"/>
                <w:b/>
              </w:rPr>
              <w:t>95% CI</w:t>
            </w:r>
            <w:r>
              <w:rPr>
                <w:rFonts w:ascii="Arial Narrow" w:hAnsi="Arial Narrow"/>
                <w:b/>
              </w:rPr>
              <w:t>]</w:t>
            </w:r>
          </w:p>
        </w:tc>
      </w:tr>
      <w:tr w:rsidR="00E47AB8" w:rsidRPr="008B2F8A" w14:paraId="20ACE2A5" w14:textId="77777777" w:rsidTr="00703F10">
        <w:tc>
          <w:tcPr>
            <w:tcW w:w="1051" w:type="dxa"/>
          </w:tcPr>
          <w:p w14:paraId="04B79972" w14:textId="7E78D2B4" w:rsidR="00E47AB8" w:rsidRPr="008B2F8A" w:rsidRDefault="00E47AB8" w:rsidP="00590B8C">
            <w:pPr>
              <w:keepNext/>
              <w:spacing w:before="40" w:after="80"/>
              <w:rPr>
                <w:rFonts w:ascii="Arial Narrow" w:hAnsi="Arial Narrow"/>
              </w:rPr>
            </w:pPr>
            <w:r>
              <w:rPr>
                <w:rFonts w:ascii="Arial Narrow" w:hAnsi="Arial Narrow"/>
              </w:rPr>
              <w:t>Berg et al, 2012</w:t>
            </w:r>
            <w:r w:rsidRPr="008B2F8A">
              <w:rPr>
                <w:rFonts w:ascii="Arial Narrow" w:hAnsi="Arial Narrow"/>
              </w:rPr>
              <w:t>**</w:t>
            </w:r>
          </w:p>
        </w:tc>
        <w:tc>
          <w:tcPr>
            <w:tcW w:w="835" w:type="dxa"/>
          </w:tcPr>
          <w:p w14:paraId="12864B63" w14:textId="77777777" w:rsidR="00E47AB8" w:rsidRPr="008B2F8A" w:rsidRDefault="00E47AB8" w:rsidP="00590B8C">
            <w:pPr>
              <w:keepNext/>
              <w:spacing w:before="40" w:after="80"/>
              <w:rPr>
                <w:rFonts w:ascii="Arial Narrow" w:hAnsi="Arial Narrow"/>
              </w:rPr>
            </w:pPr>
            <w:r w:rsidRPr="008B2F8A">
              <w:rPr>
                <w:rFonts w:ascii="Arial Narrow" w:hAnsi="Arial Narrow"/>
              </w:rPr>
              <w:t>MRI</w:t>
            </w:r>
          </w:p>
        </w:tc>
        <w:tc>
          <w:tcPr>
            <w:tcW w:w="2260" w:type="dxa"/>
          </w:tcPr>
          <w:p w14:paraId="4506C572" w14:textId="77777777" w:rsidR="00E47AB8" w:rsidRPr="008B2F8A" w:rsidRDefault="00E47AB8" w:rsidP="00590B8C">
            <w:pPr>
              <w:keepNext/>
              <w:spacing w:before="40" w:after="80"/>
              <w:rPr>
                <w:rFonts w:ascii="Arial Narrow" w:hAnsi="Arial Narrow"/>
              </w:rPr>
            </w:pPr>
            <w:r w:rsidRPr="008B2F8A">
              <w:rPr>
                <w:rFonts w:ascii="Arial Narrow" w:hAnsi="Arial Narrow"/>
              </w:rPr>
              <w:t>BI-RADS 3, 4a, 4b, 4c, or 5</w:t>
            </w:r>
          </w:p>
        </w:tc>
        <w:tc>
          <w:tcPr>
            <w:tcW w:w="426" w:type="dxa"/>
          </w:tcPr>
          <w:p w14:paraId="2FD16DE6" w14:textId="77777777" w:rsidR="00E47AB8" w:rsidRPr="008B2F8A" w:rsidRDefault="00E47AB8" w:rsidP="00590B8C">
            <w:pPr>
              <w:keepNext/>
              <w:spacing w:before="40" w:after="80"/>
              <w:rPr>
                <w:rFonts w:ascii="Arial Narrow" w:hAnsi="Arial Narrow"/>
              </w:rPr>
            </w:pPr>
            <w:r w:rsidRPr="008B2F8A">
              <w:rPr>
                <w:rFonts w:ascii="Arial Narrow" w:hAnsi="Arial Narrow"/>
              </w:rPr>
              <w:t>3</w:t>
            </w:r>
          </w:p>
        </w:tc>
        <w:tc>
          <w:tcPr>
            <w:tcW w:w="426" w:type="dxa"/>
          </w:tcPr>
          <w:p w14:paraId="1071CEF9" w14:textId="77777777" w:rsidR="00E47AB8" w:rsidRPr="008B2F8A" w:rsidRDefault="00E47AB8" w:rsidP="00590B8C">
            <w:pPr>
              <w:keepNext/>
              <w:spacing w:before="40" w:after="80"/>
              <w:rPr>
                <w:rFonts w:ascii="Arial Narrow" w:hAnsi="Arial Narrow"/>
              </w:rPr>
            </w:pPr>
            <w:r w:rsidRPr="008B2F8A">
              <w:rPr>
                <w:rFonts w:ascii="Arial Narrow" w:hAnsi="Arial Narrow"/>
              </w:rPr>
              <w:t>50</w:t>
            </w:r>
          </w:p>
        </w:tc>
        <w:tc>
          <w:tcPr>
            <w:tcW w:w="426" w:type="dxa"/>
          </w:tcPr>
          <w:p w14:paraId="791DE5B1" w14:textId="77777777" w:rsidR="00E47AB8" w:rsidRPr="008B2F8A" w:rsidRDefault="00E47AB8" w:rsidP="00590B8C">
            <w:pPr>
              <w:keepNext/>
              <w:spacing w:before="40" w:after="80"/>
              <w:rPr>
                <w:rFonts w:ascii="Arial Narrow" w:hAnsi="Arial Narrow"/>
              </w:rPr>
            </w:pPr>
            <w:r w:rsidRPr="008B2F8A">
              <w:rPr>
                <w:rFonts w:ascii="Arial Narrow" w:hAnsi="Arial Narrow"/>
              </w:rPr>
              <w:t>1</w:t>
            </w:r>
          </w:p>
        </w:tc>
        <w:tc>
          <w:tcPr>
            <w:tcW w:w="426" w:type="dxa"/>
          </w:tcPr>
          <w:p w14:paraId="0B01C332" w14:textId="77777777" w:rsidR="00E47AB8" w:rsidRPr="008B2F8A" w:rsidRDefault="00E47AB8" w:rsidP="00590B8C">
            <w:pPr>
              <w:keepNext/>
              <w:spacing w:before="40" w:after="80"/>
              <w:rPr>
                <w:rFonts w:ascii="Arial Narrow" w:hAnsi="Arial Narrow"/>
              </w:rPr>
            </w:pPr>
            <w:r w:rsidRPr="008B2F8A">
              <w:rPr>
                <w:rFonts w:ascii="Arial Narrow" w:hAnsi="Arial Narrow"/>
              </w:rPr>
              <w:t>221</w:t>
            </w:r>
          </w:p>
        </w:tc>
        <w:tc>
          <w:tcPr>
            <w:tcW w:w="1584" w:type="dxa"/>
          </w:tcPr>
          <w:p w14:paraId="5DAA0D6F" w14:textId="1571D0CC" w:rsidR="00E47AB8" w:rsidRPr="008B2F8A" w:rsidRDefault="00E47AB8" w:rsidP="00590B8C">
            <w:pPr>
              <w:keepNext/>
              <w:spacing w:before="40" w:after="80"/>
              <w:rPr>
                <w:rFonts w:ascii="Arial Narrow" w:hAnsi="Arial Narrow"/>
              </w:rPr>
            </w:pPr>
            <w:r w:rsidRPr="008B2F8A">
              <w:rPr>
                <w:rFonts w:ascii="Arial Narrow" w:hAnsi="Arial Narrow"/>
              </w:rPr>
              <w:t xml:space="preserve">0.75 </w:t>
            </w:r>
            <w:r>
              <w:rPr>
                <w:rFonts w:ascii="Arial Narrow" w:hAnsi="Arial Narrow"/>
              </w:rPr>
              <w:t>[</w:t>
            </w:r>
            <w:r w:rsidRPr="008B2F8A">
              <w:rPr>
                <w:rFonts w:ascii="Arial Narrow" w:hAnsi="Arial Narrow"/>
              </w:rPr>
              <w:t>0.19–0.99</w:t>
            </w:r>
            <w:r>
              <w:rPr>
                <w:rFonts w:ascii="Arial Narrow" w:hAnsi="Arial Narrow"/>
              </w:rPr>
              <w:t>]</w:t>
            </w:r>
          </w:p>
        </w:tc>
        <w:tc>
          <w:tcPr>
            <w:tcW w:w="1635" w:type="dxa"/>
          </w:tcPr>
          <w:p w14:paraId="5FD244F9" w14:textId="7749FC04" w:rsidR="00E47AB8" w:rsidRPr="008B2F8A" w:rsidRDefault="00E47AB8" w:rsidP="00590B8C">
            <w:pPr>
              <w:keepNext/>
              <w:spacing w:before="40" w:after="80"/>
              <w:rPr>
                <w:rFonts w:ascii="Arial Narrow" w:hAnsi="Arial Narrow"/>
              </w:rPr>
            </w:pPr>
            <w:r w:rsidRPr="008B2F8A">
              <w:rPr>
                <w:rFonts w:ascii="Arial Narrow" w:hAnsi="Arial Narrow"/>
              </w:rPr>
              <w:t xml:space="preserve">0.82 </w:t>
            </w:r>
            <w:r>
              <w:rPr>
                <w:rFonts w:ascii="Arial Narrow" w:hAnsi="Arial Narrow"/>
              </w:rPr>
              <w:t>[</w:t>
            </w:r>
            <w:r w:rsidRPr="008B2F8A">
              <w:rPr>
                <w:rFonts w:ascii="Arial Narrow" w:hAnsi="Arial Narrow"/>
              </w:rPr>
              <w:t>0.76–0.86</w:t>
            </w:r>
            <w:r>
              <w:rPr>
                <w:rFonts w:ascii="Arial Narrow" w:hAnsi="Arial Narrow"/>
              </w:rPr>
              <w:t>]</w:t>
            </w:r>
          </w:p>
        </w:tc>
      </w:tr>
      <w:tr w:rsidR="00E47AB8" w:rsidRPr="008B2F8A" w14:paraId="10B9F56A" w14:textId="77777777" w:rsidTr="00703F10">
        <w:tc>
          <w:tcPr>
            <w:tcW w:w="1051" w:type="dxa"/>
          </w:tcPr>
          <w:p w14:paraId="237F93C8" w14:textId="6C562C19" w:rsidR="00E47AB8" w:rsidRPr="008B2F8A" w:rsidRDefault="00E47AB8" w:rsidP="00422306">
            <w:pPr>
              <w:spacing w:before="40" w:after="80"/>
              <w:rPr>
                <w:rFonts w:ascii="Arial Narrow" w:hAnsi="Arial Narrow"/>
              </w:rPr>
            </w:pPr>
            <w:r>
              <w:rPr>
                <w:rFonts w:ascii="Arial Narrow" w:hAnsi="Arial Narrow"/>
              </w:rPr>
              <w:t>Viehweg et al, 2004</w:t>
            </w:r>
          </w:p>
        </w:tc>
        <w:tc>
          <w:tcPr>
            <w:tcW w:w="835" w:type="dxa"/>
          </w:tcPr>
          <w:p w14:paraId="70553034" w14:textId="77777777" w:rsidR="00E47AB8" w:rsidRPr="008B2F8A" w:rsidRDefault="00E47AB8" w:rsidP="00422306">
            <w:pPr>
              <w:spacing w:before="40" w:after="80"/>
              <w:rPr>
                <w:rFonts w:ascii="Arial Narrow" w:hAnsi="Arial Narrow"/>
              </w:rPr>
            </w:pPr>
            <w:r w:rsidRPr="008B2F8A">
              <w:rPr>
                <w:rFonts w:ascii="Arial Narrow" w:hAnsi="Arial Narrow"/>
              </w:rPr>
              <w:t>MRI</w:t>
            </w:r>
          </w:p>
        </w:tc>
        <w:tc>
          <w:tcPr>
            <w:tcW w:w="2260" w:type="dxa"/>
          </w:tcPr>
          <w:p w14:paraId="0F271ED9" w14:textId="6B479852" w:rsidR="00E47AB8" w:rsidRPr="008B2F8A" w:rsidRDefault="00E47AB8" w:rsidP="00422306">
            <w:pPr>
              <w:spacing w:before="40" w:after="80"/>
              <w:rPr>
                <w:rFonts w:ascii="Arial Narrow" w:hAnsi="Arial Narrow"/>
              </w:rPr>
            </w:pPr>
            <w:r w:rsidRPr="008B2F8A">
              <w:rPr>
                <w:rFonts w:ascii="Arial Narrow" w:hAnsi="Arial Narrow"/>
              </w:rPr>
              <w:t>Pos</w:t>
            </w:r>
            <w:r>
              <w:rPr>
                <w:rFonts w:ascii="Arial Narrow" w:hAnsi="Arial Narrow"/>
              </w:rPr>
              <w:t>itive</w:t>
            </w:r>
            <w:r w:rsidRPr="008B2F8A">
              <w:rPr>
                <w:rFonts w:ascii="Arial Narrow" w:hAnsi="Arial Narrow"/>
              </w:rPr>
              <w:t xml:space="preserve"> </w:t>
            </w:r>
            <w:r w:rsidRPr="008B2F8A">
              <w:rPr>
                <w:rFonts w:ascii="Arial Narrow" w:hAnsi="Arial Narrow"/>
                <w:noProof/>
              </w:rPr>
              <w:t>(Heywang-Köbrunner et al, 1997)</w:t>
            </w:r>
          </w:p>
        </w:tc>
        <w:tc>
          <w:tcPr>
            <w:tcW w:w="426" w:type="dxa"/>
          </w:tcPr>
          <w:p w14:paraId="6AD72A4B" w14:textId="77777777" w:rsidR="00E47AB8" w:rsidRPr="008B2F8A" w:rsidRDefault="00E47AB8" w:rsidP="00422306">
            <w:pPr>
              <w:spacing w:before="40" w:after="80"/>
              <w:rPr>
                <w:rFonts w:ascii="Arial Narrow" w:hAnsi="Arial Narrow"/>
              </w:rPr>
            </w:pPr>
            <w:r w:rsidRPr="008B2F8A">
              <w:rPr>
                <w:rFonts w:ascii="Arial Narrow" w:hAnsi="Arial Narrow"/>
              </w:rPr>
              <w:t>10</w:t>
            </w:r>
          </w:p>
        </w:tc>
        <w:tc>
          <w:tcPr>
            <w:tcW w:w="426" w:type="dxa"/>
          </w:tcPr>
          <w:p w14:paraId="5B7E79AD" w14:textId="77777777" w:rsidR="00E47AB8" w:rsidRPr="008B2F8A" w:rsidRDefault="00E47AB8" w:rsidP="00422306">
            <w:pPr>
              <w:spacing w:before="40" w:after="80"/>
              <w:rPr>
                <w:rFonts w:ascii="Arial Narrow" w:hAnsi="Arial Narrow"/>
              </w:rPr>
            </w:pPr>
            <w:r w:rsidRPr="008B2F8A">
              <w:rPr>
                <w:rFonts w:ascii="Arial Narrow" w:hAnsi="Arial Narrow"/>
              </w:rPr>
              <w:t>13</w:t>
            </w:r>
          </w:p>
        </w:tc>
        <w:tc>
          <w:tcPr>
            <w:tcW w:w="426" w:type="dxa"/>
          </w:tcPr>
          <w:p w14:paraId="1E0EDA8F" w14:textId="77777777" w:rsidR="00E47AB8" w:rsidRPr="008B2F8A" w:rsidRDefault="00E47AB8" w:rsidP="00422306">
            <w:pPr>
              <w:spacing w:before="40" w:after="80"/>
              <w:rPr>
                <w:rFonts w:ascii="Arial Narrow" w:hAnsi="Arial Narrow"/>
              </w:rPr>
            </w:pPr>
            <w:r w:rsidRPr="008B2F8A">
              <w:rPr>
                <w:rFonts w:ascii="Arial Narrow" w:hAnsi="Arial Narrow"/>
              </w:rPr>
              <w:t>1</w:t>
            </w:r>
          </w:p>
        </w:tc>
        <w:tc>
          <w:tcPr>
            <w:tcW w:w="426" w:type="dxa"/>
          </w:tcPr>
          <w:p w14:paraId="3AE36B54" w14:textId="77777777" w:rsidR="00E47AB8" w:rsidRPr="008B2F8A" w:rsidRDefault="00E47AB8" w:rsidP="00422306">
            <w:pPr>
              <w:spacing w:before="40" w:after="80"/>
              <w:rPr>
                <w:rFonts w:ascii="Arial Narrow" w:hAnsi="Arial Narrow"/>
              </w:rPr>
            </w:pPr>
            <w:r w:rsidRPr="008B2F8A">
              <w:rPr>
                <w:rFonts w:ascii="Arial Narrow" w:hAnsi="Arial Narrow"/>
              </w:rPr>
              <w:t>121</w:t>
            </w:r>
          </w:p>
        </w:tc>
        <w:tc>
          <w:tcPr>
            <w:tcW w:w="1584" w:type="dxa"/>
          </w:tcPr>
          <w:p w14:paraId="41994504" w14:textId="77777777" w:rsidR="00E47AB8" w:rsidRPr="008B2F8A" w:rsidRDefault="00E47AB8" w:rsidP="00422306">
            <w:pPr>
              <w:spacing w:before="40" w:after="80"/>
              <w:rPr>
                <w:rFonts w:ascii="Arial Narrow" w:hAnsi="Arial Narrow"/>
              </w:rPr>
            </w:pPr>
            <w:r w:rsidRPr="008B2F8A">
              <w:rPr>
                <w:rFonts w:ascii="Arial Narrow" w:hAnsi="Arial Narrow"/>
              </w:rPr>
              <w:t>0.91 [0.59, 1.00]</w:t>
            </w:r>
          </w:p>
        </w:tc>
        <w:tc>
          <w:tcPr>
            <w:tcW w:w="1635" w:type="dxa"/>
          </w:tcPr>
          <w:p w14:paraId="2FF97994" w14:textId="77777777" w:rsidR="00E47AB8" w:rsidRPr="008B2F8A" w:rsidRDefault="00E47AB8" w:rsidP="00422306">
            <w:pPr>
              <w:spacing w:before="40" w:after="80"/>
              <w:rPr>
                <w:rFonts w:ascii="Arial Narrow" w:hAnsi="Arial Narrow"/>
              </w:rPr>
            </w:pPr>
            <w:r w:rsidRPr="008B2F8A">
              <w:rPr>
                <w:rFonts w:ascii="Arial Narrow" w:hAnsi="Arial Narrow"/>
              </w:rPr>
              <w:t>0.90 [0.84, 0.95]</w:t>
            </w:r>
          </w:p>
        </w:tc>
      </w:tr>
    </w:tbl>
    <w:p w14:paraId="6B979C11" w14:textId="322D6161" w:rsidR="00E47AB8" w:rsidRPr="008B2F8A" w:rsidRDefault="00E47AB8" w:rsidP="00703F10">
      <w:pPr>
        <w:pStyle w:val="TableNotesLast"/>
      </w:pPr>
      <w:r w:rsidRPr="008B2F8A">
        <w:t xml:space="preserve">**Previous history of breast cancer population </w:t>
      </w:r>
      <w:r w:rsidR="00B4391A">
        <w:t>&amp; underwent MRI</w:t>
      </w:r>
      <w:r w:rsidR="00B4391A" w:rsidRPr="008B2F8A">
        <w:t xml:space="preserve"> </w:t>
      </w:r>
      <w:r w:rsidRPr="008B2F8A">
        <w:t xml:space="preserve">only (source: </w:t>
      </w:r>
      <w:r w:rsidR="00BC546B">
        <w:t xml:space="preserve">Berg et al, 2012 </w:t>
      </w:r>
      <w:r w:rsidRPr="00BC546B">
        <w:t>Supplementary Appendix</w:t>
      </w:r>
      <w:r w:rsidRPr="008B2F8A">
        <w:t>).</w:t>
      </w:r>
      <w:r>
        <w:t xml:space="preserve"> </w:t>
      </w:r>
      <w:r w:rsidRPr="008B2F8A">
        <w:t>MRI = magnetic resonance imaging; BI-RADS = American College of Radiology Breast Imaging Reporting and Data System; CI = confidence interval; TP = true-positive; FP = false-positive; FN = false-negative; TN = true-negative.</w:t>
      </w:r>
    </w:p>
    <w:p w14:paraId="324B2F2A" w14:textId="77777777" w:rsidR="00E47AB8" w:rsidRPr="008B2F8A" w:rsidRDefault="00E47AB8" w:rsidP="00422306">
      <w:pPr>
        <w:pStyle w:val="Heading4"/>
      </w:pPr>
      <w:r w:rsidRPr="008B2F8A">
        <w:t>Additional cancer yield</w:t>
      </w:r>
    </w:p>
    <w:p w14:paraId="095D22D2" w14:textId="46AD3379" w:rsidR="00E47AB8" w:rsidRPr="008B2F8A" w:rsidRDefault="00E47AB8" w:rsidP="00422306">
      <w:r w:rsidRPr="008B2F8A">
        <w:t xml:space="preserve">The additional cancer yield of MRI (in women with negative findings on conventional testing) was 7.3 additional cancers per 1000 screening rounds in </w:t>
      </w:r>
      <w:r>
        <w:t>Berg et al (2012)</w:t>
      </w:r>
      <w:r w:rsidRPr="008B2F8A">
        <w:rPr>
          <w:noProof/>
        </w:rPr>
        <w:t xml:space="preserve"> and 2.8 additional cancers per 1000 screening rounds in </w:t>
      </w:r>
      <w:r>
        <w:rPr>
          <w:noProof/>
        </w:rPr>
        <w:t>Viehweg et al (2004)</w:t>
      </w:r>
      <w:r w:rsidRPr="008B2F8A">
        <w:t xml:space="preserve"> (</w:t>
      </w:r>
      <w:r>
        <w:fldChar w:fldCharType="begin"/>
      </w:r>
      <w:r>
        <w:instrText xml:space="preserve"> REF _Ref256156690 \h </w:instrText>
      </w:r>
      <w:r>
        <w:fldChar w:fldCharType="separate"/>
      </w:r>
      <w:r w:rsidR="00B81273" w:rsidRPr="008B2F8A">
        <w:t xml:space="preserve">Table </w:t>
      </w:r>
      <w:r w:rsidR="00B81273">
        <w:rPr>
          <w:noProof/>
        </w:rPr>
        <w:t>B</w:t>
      </w:r>
      <w:r w:rsidR="00B81273" w:rsidRPr="008B2F8A">
        <w:t>.</w:t>
      </w:r>
      <w:r w:rsidR="00B81273">
        <w:rPr>
          <w:noProof/>
        </w:rPr>
        <w:t>34</w:t>
      </w:r>
      <w:r>
        <w:fldChar w:fldCharType="end"/>
      </w:r>
      <w:r w:rsidRPr="008B2F8A">
        <w:t xml:space="preserve">). The lower incremental yield in </w:t>
      </w:r>
      <w:r>
        <w:t>the latter</w:t>
      </w:r>
      <w:r w:rsidRPr="008B2F8A">
        <w:t xml:space="preserve"> may be partially explained by the inclusion of ultrasound in conventional testing.</w:t>
      </w:r>
    </w:p>
    <w:p w14:paraId="550D8D7B" w14:textId="7D9C8B09" w:rsidR="00E47AB8" w:rsidRPr="008B2F8A" w:rsidRDefault="00E47AB8" w:rsidP="00422306">
      <w:pPr>
        <w:pStyle w:val="Caption"/>
      </w:pPr>
      <w:bookmarkStart w:id="898" w:name="_Ref256156690"/>
      <w:bookmarkStart w:id="899" w:name="_Toc383424600"/>
      <w:r w:rsidRPr="008B2F8A">
        <w:t xml:space="preserve">Table </w:t>
      </w:r>
      <w:fldSimple w:instr=" STYLEREF 1 \s ">
        <w:r w:rsidR="00B81273">
          <w:rPr>
            <w:noProof/>
          </w:rPr>
          <w:t>B</w:t>
        </w:r>
      </w:fldSimple>
      <w:r w:rsidRPr="008B2F8A">
        <w:t>.</w:t>
      </w:r>
      <w:fldSimple w:instr=" SEQ Table \* ARABIC \s 1 ">
        <w:r w:rsidR="00B81273">
          <w:rPr>
            <w:noProof/>
          </w:rPr>
          <w:t>34</w:t>
        </w:r>
      </w:fldSimple>
      <w:bookmarkEnd w:id="898"/>
      <w:r w:rsidRPr="008B2F8A">
        <w:tab/>
      </w:r>
      <w:bookmarkStart w:id="900" w:name="OLE_LINK1049"/>
      <w:bookmarkStart w:id="901" w:name="OLE_LINK1050"/>
      <w:r w:rsidRPr="008B2F8A">
        <w:t>Incremental cancer yield of MRI over conventional testing</w:t>
      </w:r>
      <w:bookmarkEnd w:id="900"/>
      <w:bookmarkEnd w:id="901"/>
      <w:r w:rsidRPr="008B2F8A">
        <w:t>.</w:t>
      </w:r>
      <w:bookmarkEnd w:id="899"/>
    </w:p>
    <w:tbl>
      <w:tblPr>
        <w:tblStyle w:val="TableGrid"/>
        <w:tblW w:w="9070" w:type="dxa"/>
        <w:tblCellMar>
          <w:left w:w="28" w:type="dxa"/>
          <w:right w:w="28" w:type="dxa"/>
        </w:tblCellMar>
        <w:tblLook w:val="04A0" w:firstRow="1" w:lastRow="0" w:firstColumn="1" w:lastColumn="0" w:noHBand="0" w:noVBand="1"/>
        <w:tblCaption w:val="Incremental cancer yield of MRI over conventional testing"/>
      </w:tblPr>
      <w:tblGrid>
        <w:gridCol w:w="1164"/>
        <w:gridCol w:w="1199"/>
        <w:gridCol w:w="1704"/>
        <w:gridCol w:w="994"/>
        <w:gridCol w:w="1069"/>
        <w:gridCol w:w="1553"/>
        <w:gridCol w:w="1387"/>
      </w:tblGrid>
      <w:tr w:rsidR="00E47AB8" w:rsidRPr="008B2F8A" w14:paraId="5EEDB9DD" w14:textId="77777777" w:rsidTr="00422306">
        <w:trPr>
          <w:tblHeader/>
        </w:trPr>
        <w:tc>
          <w:tcPr>
            <w:tcW w:w="1164" w:type="dxa"/>
            <w:vAlign w:val="bottom"/>
          </w:tcPr>
          <w:p w14:paraId="03F9948F"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136" w:type="dxa"/>
            <w:vAlign w:val="bottom"/>
          </w:tcPr>
          <w:p w14:paraId="18C4E281" w14:textId="77777777" w:rsidR="00E47AB8" w:rsidRPr="008B2F8A" w:rsidRDefault="00E47AB8" w:rsidP="00422306">
            <w:pPr>
              <w:spacing w:before="40" w:after="80"/>
              <w:rPr>
                <w:rFonts w:ascii="Arial Narrow" w:hAnsi="Arial Narrow"/>
                <w:b/>
              </w:rPr>
            </w:pPr>
            <w:r w:rsidRPr="008B2F8A">
              <w:rPr>
                <w:rFonts w:ascii="Arial Narrow" w:hAnsi="Arial Narrow"/>
                <w:b/>
              </w:rPr>
              <w:t>Conventional testing</w:t>
            </w:r>
          </w:p>
        </w:tc>
        <w:tc>
          <w:tcPr>
            <w:tcW w:w="1704" w:type="dxa"/>
            <w:vAlign w:val="bottom"/>
          </w:tcPr>
          <w:p w14:paraId="54323D50" w14:textId="77777777" w:rsidR="00E47AB8" w:rsidRPr="008B2F8A" w:rsidRDefault="00E47AB8" w:rsidP="00422306">
            <w:pPr>
              <w:spacing w:before="40" w:after="80"/>
              <w:rPr>
                <w:rFonts w:ascii="Arial Narrow" w:hAnsi="Arial Narrow"/>
                <w:b/>
              </w:rPr>
            </w:pPr>
            <w:r w:rsidRPr="008B2F8A">
              <w:rPr>
                <w:rFonts w:ascii="Arial Narrow" w:hAnsi="Arial Narrow"/>
                <w:b/>
              </w:rPr>
              <w:t>Prevalence of breast cancer (1st screening round)</w:t>
            </w:r>
          </w:p>
        </w:tc>
        <w:tc>
          <w:tcPr>
            <w:tcW w:w="994" w:type="dxa"/>
            <w:vAlign w:val="bottom"/>
          </w:tcPr>
          <w:p w14:paraId="266706B9" w14:textId="77777777" w:rsidR="00E47AB8" w:rsidRPr="008B2F8A" w:rsidRDefault="00E47AB8" w:rsidP="00422306">
            <w:pPr>
              <w:spacing w:before="40" w:after="80"/>
              <w:rPr>
                <w:rFonts w:ascii="Arial Narrow" w:hAnsi="Arial Narrow"/>
                <w:b/>
              </w:rPr>
            </w:pPr>
            <w:r w:rsidRPr="008B2F8A">
              <w:rPr>
                <w:rFonts w:ascii="Arial Narrow" w:hAnsi="Arial Narrow"/>
                <w:b/>
              </w:rPr>
              <w:t>Total breast cancers detected</w:t>
            </w:r>
          </w:p>
        </w:tc>
        <w:tc>
          <w:tcPr>
            <w:tcW w:w="1068" w:type="dxa"/>
            <w:vAlign w:val="bottom"/>
          </w:tcPr>
          <w:p w14:paraId="5979A6D2" w14:textId="77777777" w:rsidR="00E47AB8" w:rsidRPr="008B2F8A" w:rsidRDefault="00E47AB8" w:rsidP="00422306">
            <w:pPr>
              <w:spacing w:before="40" w:after="80"/>
              <w:rPr>
                <w:rFonts w:ascii="Arial Narrow" w:hAnsi="Arial Narrow"/>
                <w:b/>
              </w:rPr>
            </w:pPr>
            <w:r w:rsidRPr="008B2F8A">
              <w:rPr>
                <w:rFonts w:ascii="Arial Narrow" w:hAnsi="Arial Narrow"/>
                <w:b/>
              </w:rPr>
              <w:t>Incremental cancer yield</w:t>
            </w:r>
          </w:p>
        </w:tc>
        <w:tc>
          <w:tcPr>
            <w:tcW w:w="0" w:type="auto"/>
            <w:vAlign w:val="bottom"/>
          </w:tcPr>
          <w:p w14:paraId="2B01A84C" w14:textId="77777777" w:rsidR="00E47AB8" w:rsidRPr="008B2F8A" w:rsidRDefault="00E47AB8" w:rsidP="00422306">
            <w:pPr>
              <w:spacing w:before="40" w:after="80"/>
              <w:rPr>
                <w:rFonts w:ascii="Arial Narrow" w:hAnsi="Arial Narrow"/>
                <w:b/>
              </w:rPr>
            </w:pPr>
            <w:r w:rsidRPr="008B2F8A">
              <w:rPr>
                <w:rFonts w:ascii="Arial Narrow" w:hAnsi="Arial Narrow"/>
                <w:b/>
              </w:rPr>
              <w:t>Incremental yield per 1000 screening rounds</w:t>
            </w:r>
          </w:p>
        </w:tc>
        <w:tc>
          <w:tcPr>
            <w:tcW w:w="0" w:type="auto"/>
            <w:vAlign w:val="bottom"/>
          </w:tcPr>
          <w:p w14:paraId="79A2358F" w14:textId="77777777" w:rsidR="00E47AB8" w:rsidRPr="008B2F8A" w:rsidRDefault="00E47AB8" w:rsidP="00422306">
            <w:pPr>
              <w:spacing w:before="40" w:after="80"/>
              <w:rPr>
                <w:rFonts w:ascii="Arial Narrow" w:hAnsi="Arial Narrow"/>
                <w:b/>
              </w:rPr>
            </w:pPr>
            <w:r w:rsidRPr="008B2F8A">
              <w:rPr>
                <w:rFonts w:ascii="Arial Narrow" w:hAnsi="Arial Narrow"/>
                <w:b/>
              </w:rPr>
              <w:t>Incremental sensitivity using MRI</w:t>
            </w:r>
          </w:p>
        </w:tc>
      </w:tr>
      <w:tr w:rsidR="00E47AB8" w:rsidRPr="008B2F8A" w14:paraId="7CE18AF5" w14:textId="77777777" w:rsidTr="00422306">
        <w:tc>
          <w:tcPr>
            <w:tcW w:w="1164" w:type="dxa"/>
          </w:tcPr>
          <w:p w14:paraId="61004A7F" w14:textId="798ECF8D" w:rsidR="00E47AB8" w:rsidRPr="008B2F8A" w:rsidRDefault="00E47AB8" w:rsidP="00422306">
            <w:pPr>
              <w:spacing w:before="40" w:after="80"/>
              <w:rPr>
                <w:rFonts w:ascii="Arial Narrow" w:hAnsi="Arial Narrow"/>
              </w:rPr>
            </w:pPr>
            <w:r>
              <w:rPr>
                <w:rFonts w:ascii="Arial Narrow" w:hAnsi="Arial Narrow"/>
              </w:rPr>
              <w:t>Berg et al, 2012</w:t>
            </w:r>
          </w:p>
        </w:tc>
        <w:tc>
          <w:tcPr>
            <w:tcW w:w="1136" w:type="dxa"/>
          </w:tcPr>
          <w:p w14:paraId="6336C399" w14:textId="77777777" w:rsidR="00E47AB8" w:rsidRPr="008B2F8A" w:rsidRDefault="00E47AB8" w:rsidP="00422306">
            <w:pPr>
              <w:spacing w:before="40" w:after="80"/>
              <w:rPr>
                <w:rFonts w:ascii="Arial Narrow" w:hAnsi="Arial Narrow"/>
              </w:rPr>
            </w:pPr>
            <w:r w:rsidRPr="008B2F8A">
              <w:rPr>
                <w:rFonts w:ascii="Arial Narrow" w:hAnsi="Arial Narrow"/>
              </w:rPr>
              <w:t>M</w:t>
            </w:r>
          </w:p>
        </w:tc>
        <w:tc>
          <w:tcPr>
            <w:tcW w:w="1704" w:type="dxa"/>
          </w:tcPr>
          <w:p w14:paraId="46FAC024" w14:textId="77777777" w:rsidR="00E47AB8" w:rsidRPr="008B2F8A" w:rsidRDefault="00E47AB8" w:rsidP="00422306">
            <w:pPr>
              <w:spacing w:before="40" w:after="80"/>
              <w:rPr>
                <w:rFonts w:ascii="Arial Narrow" w:hAnsi="Arial Narrow"/>
              </w:rPr>
            </w:pPr>
            <w:r w:rsidRPr="008B2F8A">
              <w:rPr>
                <w:rFonts w:ascii="Arial Narrow" w:hAnsi="Arial Narrow"/>
              </w:rPr>
              <w:t>36/2659 (1%)</w:t>
            </w:r>
          </w:p>
        </w:tc>
        <w:tc>
          <w:tcPr>
            <w:tcW w:w="994" w:type="dxa"/>
          </w:tcPr>
          <w:p w14:paraId="1CA9ECB6" w14:textId="77777777" w:rsidR="00E47AB8" w:rsidRPr="008B2F8A" w:rsidRDefault="00E47AB8" w:rsidP="00422306">
            <w:pPr>
              <w:spacing w:before="40" w:after="80"/>
              <w:rPr>
                <w:rFonts w:ascii="Arial Narrow" w:hAnsi="Arial Narrow"/>
              </w:rPr>
            </w:pPr>
            <w:r w:rsidRPr="008B2F8A">
              <w:rPr>
                <w:rFonts w:ascii="Arial Narrow" w:hAnsi="Arial Narrow"/>
              </w:rPr>
              <w:t>4</w:t>
            </w:r>
          </w:p>
        </w:tc>
        <w:tc>
          <w:tcPr>
            <w:tcW w:w="1068" w:type="dxa"/>
          </w:tcPr>
          <w:p w14:paraId="3DEACE78" w14:textId="77777777" w:rsidR="00E47AB8" w:rsidRPr="008B2F8A" w:rsidRDefault="00E47AB8" w:rsidP="00422306">
            <w:pPr>
              <w:spacing w:before="40" w:after="80"/>
              <w:rPr>
                <w:rFonts w:ascii="Arial Narrow" w:hAnsi="Arial Narrow"/>
              </w:rPr>
            </w:pPr>
            <w:r w:rsidRPr="008B2F8A">
              <w:rPr>
                <w:rFonts w:ascii="Arial Narrow" w:hAnsi="Arial Narrow"/>
              </w:rPr>
              <w:t>2/275</w:t>
            </w:r>
          </w:p>
        </w:tc>
        <w:tc>
          <w:tcPr>
            <w:tcW w:w="0" w:type="auto"/>
          </w:tcPr>
          <w:p w14:paraId="73FFAEF4" w14:textId="77777777" w:rsidR="00E47AB8" w:rsidRPr="008B2F8A" w:rsidRDefault="00E47AB8" w:rsidP="00422306">
            <w:pPr>
              <w:spacing w:before="40" w:after="80"/>
              <w:rPr>
                <w:rFonts w:ascii="Arial Narrow" w:hAnsi="Arial Narrow"/>
              </w:rPr>
            </w:pPr>
            <w:r w:rsidRPr="008B2F8A">
              <w:rPr>
                <w:rFonts w:ascii="Arial Narrow" w:hAnsi="Arial Narrow"/>
              </w:rPr>
              <w:t>7.3</w:t>
            </w:r>
          </w:p>
        </w:tc>
        <w:tc>
          <w:tcPr>
            <w:tcW w:w="0" w:type="auto"/>
          </w:tcPr>
          <w:p w14:paraId="32E7ACEB" w14:textId="77777777" w:rsidR="00E47AB8" w:rsidRPr="008B2F8A" w:rsidRDefault="00E47AB8" w:rsidP="00422306">
            <w:pPr>
              <w:spacing w:before="40" w:after="80"/>
              <w:rPr>
                <w:rFonts w:ascii="Arial Narrow" w:hAnsi="Arial Narrow"/>
              </w:rPr>
            </w:pPr>
            <w:r w:rsidRPr="008B2F8A">
              <w:rPr>
                <w:rFonts w:ascii="Arial Narrow" w:hAnsi="Arial Narrow"/>
              </w:rPr>
              <w:t>50%</w:t>
            </w:r>
          </w:p>
        </w:tc>
      </w:tr>
      <w:tr w:rsidR="00E47AB8" w:rsidRPr="008B2F8A" w14:paraId="5653785B" w14:textId="77777777" w:rsidTr="00422306">
        <w:tc>
          <w:tcPr>
            <w:tcW w:w="1164" w:type="dxa"/>
          </w:tcPr>
          <w:p w14:paraId="739CE62A" w14:textId="76BD5B04" w:rsidR="00E47AB8" w:rsidRPr="008B2F8A" w:rsidRDefault="00E47AB8" w:rsidP="00422306">
            <w:pPr>
              <w:spacing w:before="40" w:after="80"/>
              <w:rPr>
                <w:rFonts w:ascii="Arial Narrow" w:hAnsi="Arial Narrow"/>
              </w:rPr>
            </w:pPr>
            <w:r>
              <w:rPr>
                <w:rFonts w:ascii="Arial Narrow" w:hAnsi="Arial Narrow"/>
              </w:rPr>
              <w:t>Viehweg et al, 2004</w:t>
            </w:r>
          </w:p>
        </w:tc>
        <w:tc>
          <w:tcPr>
            <w:tcW w:w="1136" w:type="dxa"/>
          </w:tcPr>
          <w:p w14:paraId="6536E18D" w14:textId="72DAD940" w:rsidR="00E47AB8" w:rsidRPr="008B2F8A" w:rsidRDefault="00E47AB8" w:rsidP="00703F10">
            <w:pPr>
              <w:spacing w:before="40" w:after="80"/>
              <w:rPr>
                <w:rFonts w:ascii="Arial Narrow" w:hAnsi="Arial Narrow"/>
                <w:color w:val="000000"/>
                <w:lang w:eastAsia="en-US"/>
              </w:rPr>
            </w:pPr>
            <w:r w:rsidRPr="008B2F8A">
              <w:rPr>
                <w:rFonts w:ascii="Arial Narrow" w:hAnsi="Arial Narrow"/>
              </w:rPr>
              <w:t>M​+​U/S​+​CBE</w:t>
            </w:r>
          </w:p>
        </w:tc>
        <w:tc>
          <w:tcPr>
            <w:tcW w:w="1704" w:type="dxa"/>
          </w:tcPr>
          <w:p w14:paraId="0577C7A7" w14:textId="77777777" w:rsidR="00E47AB8" w:rsidRPr="008B2F8A" w:rsidRDefault="00E47AB8" w:rsidP="00422306">
            <w:pPr>
              <w:spacing w:before="40" w:after="80"/>
              <w:rPr>
                <w:rFonts w:ascii="Arial Narrow" w:hAnsi="Arial Narrow"/>
              </w:rPr>
            </w:pPr>
            <w:r w:rsidRPr="008B2F8A">
              <w:rPr>
                <w:rFonts w:ascii="Arial Narrow" w:hAnsi="Arial Narrow"/>
              </w:rPr>
              <w:t>NR</w:t>
            </w:r>
          </w:p>
        </w:tc>
        <w:tc>
          <w:tcPr>
            <w:tcW w:w="994" w:type="dxa"/>
          </w:tcPr>
          <w:p w14:paraId="5F32F495" w14:textId="77777777" w:rsidR="00E47AB8" w:rsidRPr="008B2F8A" w:rsidRDefault="00E47AB8" w:rsidP="00422306">
            <w:pPr>
              <w:spacing w:before="40" w:after="80"/>
              <w:rPr>
                <w:rFonts w:ascii="Arial Narrow" w:hAnsi="Arial Narrow"/>
              </w:rPr>
            </w:pPr>
            <w:r w:rsidRPr="008B2F8A">
              <w:rPr>
                <w:rFonts w:ascii="Arial Narrow" w:hAnsi="Arial Narrow"/>
              </w:rPr>
              <w:t>11</w:t>
            </w:r>
          </w:p>
        </w:tc>
        <w:tc>
          <w:tcPr>
            <w:tcW w:w="1068" w:type="dxa"/>
          </w:tcPr>
          <w:p w14:paraId="40DDEAB2" w14:textId="77777777" w:rsidR="00E47AB8" w:rsidRPr="008B2F8A" w:rsidRDefault="00E47AB8" w:rsidP="00422306">
            <w:pPr>
              <w:spacing w:before="40" w:after="80"/>
              <w:rPr>
                <w:rFonts w:ascii="Arial Narrow" w:hAnsi="Arial Narrow"/>
              </w:rPr>
            </w:pPr>
            <w:r w:rsidRPr="008B2F8A">
              <w:rPr>
                <w:rFonts w:ascii="Arial Narrow" w:hAnsi="Arial Narrow"/>
              </w:rPr>
              <w:t>4/145</w:t>
            </w:r>
          </w:p>
        </w:tc>
        <w:tc>
          <w:tcPr>
            <w:tcW w:w="0" w:type="auto"/>
          </w:tcPr>
          <w:p w14:paraId="1C817E17" w14:textId="77777777" w:rsidR="00E47AB8" w:rsidRPr="008B2F8A" w:rsidRDefault="00E47AB8" w:rsidP="00422306">
            <w:pPr>
              <w:spacing w:before="40" w:after="80"/>
              <w:rPr>
                <w:rFonts w:ascii="Arial Narrow" w:hAnsi="Arial Narrow"/>
              </w:rPr>
            </w:pPr>
            <w:r w:rsidRPr="008B2F8A">
              <w:rPr>
                <w:rFonts w:ascii="Arial Narrow" w:hAnsi="Arial Narrow"/>
              </w:rPr>
              <w:t>2.8</w:t>
            </w:r>
          </w:p>
        </w:tc>
        <w:tc>
          <w:tcPr>
            <w:tcW w:w="0" w:type="auto"/>
          </w:tcPr>
          <w:p w14:paraId="2ECF0083" w14:textId="77777777" w:rsidR="00E47AB8" w:rsidRPr="008B2F8A" w:rsidRDefault="00E47AB8" w:rsidP="00422306">
            <w:pPr>
              <w:spacing w:before="40" w:after="80"/>
              <w:rPr>
                <w:rFonts w:ascii="Arial Narrow" w:hAnsi="Arial Narrow"/>
              </w:rPr>
            </w:pPr>
            <w:r w:rsidRPr="008B2F8A">
              <w:rPr>
                <w:rFonts w:ascii="Arial Narrow" w:hAnsi="Arial Narrow"/>
              </w:rPr>
              <w:t>36%</w:t>
            </w:r>
          </w:p>
        </w:tc>
      </w:tr>
    </w:tbl>
    <w:p w14:paraId="5B3D21EF" w14:textId="77777777" w:rsidR="00E47AB8" w:rsidRPr="008B2F8A" w:rsidRDefault="00E47AB8" w:rsidP="00703F10">
      <w:pPr>
        <w:pStyle w:val="TableNotesLast"/>
      </w:pPr>
      <w:r w:rsidRPr="008B2F8A">
        <w:t>MRI = magnetic resonance imaging; M = mammography; U/S = ultrasound; CBE = clinical breast examination; NR = not reported.</w:t>
      </w:r>
    </w:p>
    <w:p w14:paraId="534BB6B9" w14:textId="77777777" w:rsidR="00E47AB8" w:rsidRPr="008B2F8A" w:rsidRDefault="00E47AB8" w:rsidP="00422306">
      <w:pPr>
        <w:pStyle w:val="Heading4"/>
      </w:pPr>
      <w:r w:rsidRPr="008B2F8A">
        <w:t>Test recall rates</w:t>
      </w:r>
    </w:p>
    <w:p w14:paraId="1AADBC70" w14:textId="0E14CEEE" w:rsidR="00E47AB8" w:rsidRPr="008B2F8A" w:rsidRDefault="00E47AB8" w:rsidP="00422306">
      <w:r>
        <w:t>Berg et al (2012)</w:t>
      </w:r>
      <w:r w:rsidRPr="008B2F8A">
        <w:t xml:space="preserve"> reported patient recall rates (</w:t>
      </w:r>
      <w:r w:rsidRPr="008B2F8A">
        <w:fldChar w:fldCharType="begin"/>
      </w:r>
      <w:r w:rsidRPr="008B2F8A">
        <w:instrText xml:space="preserve"> REF _Ref373919397 \h </w:instrText>
      </w:r>
      <w:r w:rsidRPr="008B2F8A">
        <w:fldChar w:fldCharType="separate"/>
      </w:r>
      <w:r w:rsidR="00B81273" w:rsidRPr="008B2F8A">
        <w:t xml:space="preserve">Table </w:t>
      </w:r>
      <w:r w:rsidR="00B81273">
        <w:rPr>
          <w:noProof/>
        </w:rPr>
        <w:t>B</w:t>
      </w:r>
      <w:r w:rsidR="00B81273" w:rsidRPr="008B2F8A">
        <w:t>.</w:t>
      </w:r>
      <w:r w:rsidR="00B81273">
        <w:rPr>
          <w:noProof/>
        </w:rPr>
        <w:t>35</w:t>
      </w:r>
      <w:r w:rsidRPr="008B2F8A">
        <w:fldChar w:fldCharType="end"/>
      </w:r>
      <w:r w:rsidRPr="008B2F8A">
        <w:t xml:space="preserve">) for women with a personal history of breast cancer. The rates of recall for mammography alone were the lowest (5.5%); the rates of recall for MRI </w:t>
      </w:r>
      <w:r>
        <w:t>+</w:t>
      </w:r>
      <w:r w:rsidRPr="008B2F8A">
        <w:t xml:space="preserve"> mammography and MRI alone were comparable (22.5%</w:t>
      </w:r>
      <w:r>
        <w:t xml:space="preserve"> </w:t>
      </w:r>
      <w:r w:rsidRPr="008B2F8A">
        <w:t>vs 19.3%</w:t>
      </w:r>
      <w:r>
        <w:t xml:space="preserve"> </w:t>
      </w:r>
      <w:r w:rsidRPr="008B2F8A">
        <w:t xml:space="preserve">respectively). Similarly, the biopsy rates were lowest for mammography alone (1.6%), and comparable for MRI </w:t>
      </w:r>
      <w:r>
        <w:t>+</w:t>
      </w:r>
      <w:r w:rsidRPr="008B2F8A">
        <w:t xml:space="preserve"> mammography (5.5%) and MRI alone (4.0%). False-positive biopsy rates were lowest for mammography alone (0.7%) and highest for MRI </w:t>
      </w:r>
      <w:r>
        <w:t>+</w:t>
      </w:r>
      <w:r w:rsidRPr="008B2F8A">
        <w:t xml:space="preserve"> mammography (4.0%).</w:t>
      </w:r>
    </w:p>
    <w:p w14:paraId="1622D760" w14:textId="6A0F9409" w:rsidR="00E47AB8" w:rsidRPr="008B2F8A" w:rsidRDefault="00E47AB8" w:rsidP="00422306">
      <w:pPr>
        <w:pStyle w:val="Caption"/>
      </w:pPr>
      <w:bookmarkStart w:id="902" w:name="_Ref373919397"/>
      <w:bookmarkStart w:id="903" w:name="_Toc383424601"/>
      <w:r w:rsidRPr="008B2F8A">
        <w:lastRenderedPageBreak/>
        <w:t xml:space="preserve">Table </w:t>
      </w:r>
      <w:fldSimple w:instr=" STYLEREF 1 \s ">
        <w:r w:rsidR="00B81273">
          <w:rPr>
            <w:noProof/>
          </w:rPr>
          <w:t>B</w:t>
        </w:r>
      </w:fldSimple>
      <w:r w:rsidRPr="008B2F8A">
        <w:t>.</w:t>
      </w:r>
      <w:fldSimple w:instr=" SEQ Table \* ARABIC \s 1 ">
        <w:r w:rsidR="00B81273">
          <w:rPr>
            <w:noProof/>
          </w:rPr>
          <w:t>35</w:t>
        </w:r>
      </w:fldSimple>
      <w:bookmarkEnd w:id="902"/>
      <w:r w:rsidRPr="008B2F8A">
        <w:tab/>
      </w:r>
      <w:bookmarkStart w:id="904" w:name="OLE_LINK1051"/>
      <w:bookmarkStart w:id="905" w:name="OLE_LINK1052"/>
      <w:r w:rsidRPr="008B2F8A">
        <w:t>Test recall and biopsy rates reported by</w:t>
      </w:r>
      <w:r w:rsidRPr="00623167">
        <w:t xml:space="preserve"> Berg et al </w:t>
      </w:r>
      <w:r>
        <w:t>(</w:t>
      </w:r>
      <w:r w:rsidRPr="00623167">
        <w:t>2012</w:t>
      </w:r>
      <w:r>
        <w:t>)</w:t>
      </w:r>
      <w:bookmarkEnd w:id="904"/>
      <w:bookmarkEnd w:id="905"/>
      <w:r>
        <w:t>.</w:t>
      </w:r>
      <w:bookmarkEnd w:id="903"/>
    </w:p>
    <w:tbl>
      <w:tblPr>
        <w:tblStyle w:val="TableGrid"/>
        <w:tblW w:w="9070" w:type="dxa"/>
        <w:tblCellMar>
          <w:left w:w="28" w:type="dxa"/>
          <w:right w:w="28" w:type="dxa"/>
        </w:tblCellMar>
        <w:tblLook w:val="04A0" w:firstRow="1" w:lastRow="0" w:firstColumn="1" w:lastColumn="0" w:noHBand="0" w:noVBand="1"/>
        <w:tblCaption w:val="Test recall and biopsy rates reported by Berg et al (2012)"/>
      </w:tblPr>
      <w:tblGrid>
        <w:gridCol w:w="1732"/>
        <w:gridCol w:w="2840"/>
        <w:gridCol w:w="2556"/>
        <w:gridCol w:w="1942"/>
      </w:tblGrid>
      <w:tr w:rsidR="00E47AB8" w:rsidRPr="008B2F8A" w14:paraId="0631378E" w14:textId="77777777" w:rsidTr="00703F10">
        <w:trPr>
          <w:tblHeader/>
        </w:trPr>
        <w:tc>
          <w:tcPr>
            <w:tcW w:w="1732" w:type="dxa"/>
            <w:vAlign w:val="bottom"/>
          </w:tcPr>
          <w:p w14:paraId="51AD4AAD" w14:textId="77777777" w:rsidR="00E47AB8" w:rsidRPr="008B2F8A" w:rsidRDefault="00E47AB8" w:rsidP="00422306">
            <w:pPr>
              <w:pStyle w:val="Heading4"/>
              <w:spacing w:before="40" w:after="80"/>
              <w:outlineLvl w:val="3"/>
              <w:rPr>
                <w:rFonts w:ascii="Arial Narrow" w:hAnsi="Arial Narrow"/>
                <w:sz w:val="20"/>
                <w:szCs w:val="20"/>
              </w:rPr>
            </w:pPr>
            <w:r w:rsidRPr="008B2F8A">
              <w:rPr>
                <w:rFonts w:ascii="Arial Narrow" w:hAnsi="Arial Narrow"/>
                <w:sz w:val="20"/>
                <w:szCs w:val="20"/>
              </w:rPr>
              <w:t>Number of patients (number of screens)</w:t>
            </w:r>
          </w:p>
        </w:tc>
        <w:tc>
          <w:tcPr>
            <w:tcW w:w="2840" w:type="dxa"/>
            <w:vAlign w:val="bottom"/>
          </w:tcPr>
          <w:p w14:paraId="0016AFA9" w14:textId="77777777" w:rsidR="00E47AB8" w:rsidRPr="008B2F8A" w:rsidRDefault="00E47AB8" w:rsidP="00422306">
            <w:pPr>
              <w:pStyle w:val="Heading4"/>
              <w:spacing w:before="40" w:after="80"/>
              <w:outlineLvl w:val="3"/>
              <w:rPr>
                <w:rFonts w:ascii="Arial Narrow" w:hAnsi="Arial Narrow"/>
                <w:sz w:val="20"/>
                <w:szCs w:val="20"/>
              </w:rPr>
            </w:pPr>
            <w:r w:rsidRPr="008B2F8A">
              <w:rPr>
                <w:rFonts w:ascii="Arial Narrow" w:hAnsi="Arial Narrow"/>
                <w:sz w:val="20"/>
                <w:szCs w:val="20"/>
              </w:rPr>
              <w:t>Recall rate</w:t>
            </w:r>
            <w:r>
              <w:rPr>
                <w:rFonts w:ascii="Arial Narrow" w:hAnsi="Arial Narrow"/>
                <w:sz w:val="20"/>
                <w:szCs w:val="20"/>
              </w:rPr>
              <w:t xml:space="preserve"> [95% CI]</w:t>
            </w:r>
          </w:p>
        </w:tc>
        <w:tc>
          <w:tcPr>
            <w:tcW w:w="2556" w:type="dxa"/>
            <w:vAlign w:val="bottom"/>
          </w:tcPr>
          <w:p w14:paraId="015D8D96" w14:textId="77777777" w:rsidR="00E47AB8" w:rsidRPr="008B2F8A" w:rsidRDefault="00E47AB8" w:rsidP="00422306">
            <w:pPr>
              <w:pStyle w:val="Heading4"/>
              <w:spacing w:before="40" w:after="80"/>
              <w:outlineLvl w:val="3"/>
              <w:rPr>
                <w:rFonts w:ascii="Arial Narrow" w:hAnsi="Arial Narrow"/>
                <w:sz w:val="20"/>
                <w:szCs w:val="20"/>
              </w:rPr>
            </w:pPr>
            <w:r w:rsidRPr="008B2F8A">
              <w:rPr>
                <w:rFonts w:ascii="Arial Narrow" w:hAnsi="Arial Narrow"/>
                <w:sz w:val="20"/>
                <w:szCs w:val="20"/>
              </w:rPr>
              <w:t>Biopsy rate</w:t>
            </w:r>
            <w:r>
              <w:rPr>
                <w:rFonts w:ascii="Arial Narrow" w:hAnsi="Arial Narrow"/>
                <w:sz w:val="20"/>
                <w:szCs w:val="20"/>
              </w:rPr>
              <w:t xml:space="preserve"> [95% CI]</w:t>
            </w:r>
          </w:p>
        </w:tc>
        <w:tc>
          <w:tcPr>
            <w:tcW w:w="1942" w:type="dxa"/>
            <w:vAlign w:val="bottom"/>
          </w:tcPr>
          <w:p w14:paraId="7D0D66E4" w14:textId="77777777" w:rsidR="00E47AB8" w:rsidRPr="008B2F8A" w:rsidRDefault="00E47AB8" w:rsidP="00422306">
            <w:pPr>
              <w:pStyle w:val="Heading4"/>
              <w:spacing w:before="40" w:after="80"/>
              <w:outlineLvl w:val="3"/>
              <w:rPr>
                <w:rFonts w:ascii="Arial Narrow" w:hAnsi="Arial Narrow"/>
                <w:sz w:val="20"/>
                <w:szCs w:val="20"/>
              </w:rPr>
            </w:pPr>
            <w:r w:rsidRPr="008B2F8A">
              <w:rPr>
                <w:rFonts w:ascii="Arial Narrow" w:hAnsi="Arial Narrow"/>
                <w:sz w:val="20"/>
                <w:szCs w:val="20"/>
              </w:rPr>
              <w:t>False-positive biopsy rates</w:t>
            </w:r>
          </w:p>
        </w:tc>
      </w:tr>
      <w:tr w:rsidR="00E47AB8" w:rsidRPr="008B2F8A" w14:paraId="29F5BE05" w14:textId="77777777" w:rsidTr="00703F10">
        <w:tc>
          <w:tcPr>
            <w:tcW w:w="1732" w:type="dxa"/>
          </w:tcPr>
          <w:p w14:paraId="292CE8BA" w14:textId="77777777" w:rsidR="00E47AB8" w:rsidRPr="00703F10" w:rsidRDefault="00E47AB8" w:rsidP="00422306">
            <w:pPr>
              <w:pStyle w:val="Heading4"/>
              <w:spacing w:before="40" w:after="80"/>
              <w:outlineLvl w:val="3"/>
              <w:rPr>
                <w:rFonts w:ascii="Arial Narrow" w:hAnsi="Arial Narrow"/>
                <w:b w:val="0"/>
              </w:rPr>
            </w:pPr>
            <w:r w:rsidRPr="00703F10">
              <w:rPr>
                <w:rFonts w:ascii="Arial Narrow" w:hAnsi="Arial Narrow"/>
                <w:b w:val="0"/>
              </w:rPr>
              <w:t>275 (275)</w:t>
            </w:r>
          </w:p>
        </w:tc>
        <w:tc>
          <w:tcPr>
            <w:tcW w:w="2840" w:type="dxa"/>
          </w:tcPr>
          <w:p w14:paraId="3AE8EC81" w14:textId="77777777" w:rsidR="00E47AB8" w:rsidRPr="00703F10" w:rsidRDefault="00E47AB8" w:rsidP="00703F10">
            <w:pPr>
              <w:pStyle w:val="Heading4"/>
              <w:spacing w:before="40" w:after="80"/>
              <w:outlineLvl w:val="3"/>
              <w:rPr>
                <w:rFonts w:ascii="Arial Narrow" w:hAnsi="Arial Narrow"/>
                <w:b w:val="0"/>
              </w:rPr>
            </w:pPr>
            <w:r w:rsidRPr="00703F10">
              <w:rPr>
                <w:rFonts w:ascii="Arial Narrow" w:hAnsi="Arial Narrow"/>
                <w:b w:val="0"/>
              </w:rPr>
              <w:t>M: 15/275 (5.5% [3.1–8.8])</w:t>
            </w:r>
          </w:p>
          <w:p w14:paraId="14C5EEE7" w14:textId="3EA96F11" w:rsidR="00E47AB8" w:rsidRPr="00703F10" w:rsidRDefault="00E47AB8" w:rsidP="00422306">
            <w:pPr>
              <w:spacing w:before="40" w:after="80"/>
              <w:rPr>
                <w:rFonts w:ascii="Arial Narrow" w:hAnsi="Arial Narrow"/>
              </w:rPr>
            </w:pPr>
            <w:r w:rsidRPr="00DF42FE">
              <w:rPr>
                <w:rFonts w:ascii="Arial Narrow" w:hAnsi="Arial Narrow"/>
              </w:rPr>
              <w:t>MRI</w:t>
            </w:r>
            <w:r w:rsidRPr="001A7001">
              <w:rPr>
                <w:rFonts w:ascii="Arial Narrow" w:hAnsi="Arial Narrow"/>
              </w:rPr>
              <w:t>​</w:t>
            </w:r>
            <w:r w:rsidRPr="00D20990">
              <w:rPr>
                <w:rFonts w:ascii="Arial Narrow" w:hAnsi="Arial Narrow"/>
              </w:rPr>
              <w:t>+​</w:t>
            </w:r>
            <w:r w:rsidRPr="00DF42FE">
              <w:rPr>
                <w:rFonts w:ascii="Arial Narrow" w:hAnsi="Arial Narrow"/>
              </w:rPr>
              <w:t>M: 62/275 (22.5% [17.7–27.9])</w:t>
            </w:r>
          </w:p>
          <w:p w14:paraId="086AC5D3" w14:textId="77777777" w:rsidR="00E47AB8" w:rsidRPr="00703F10" w:rsidRDefault="00E47AB8" w:rsidP="00422306">
            <w:pPr>
              <w:spacing w:before="40" w:after="80"/>
              <w:rPr>
                <w:rFonts w:ascii="Arial Narrow" w:hAnsi="Arial Narrow"/>
              </w:rPr>
            </w:pPr>
            <w:r w:rsidRPr="00DF42FE">
              <w:rPr>
                <w:rFonts w:ascii="Arial Narrow" w:hAnsi="Arial Narrow"/>
              </w:rPr>
              <w:t>MRI: 53/275 (19.3% [14.8–24.4])</w:t>
            </w:r>
          </w:p>
        </w:tc>
        <w:tc>
          <w:tcPr>
            <w:tcW w:w="2556" w:type="dxa"/>
          </w:tcPr>
          <w:p w14:paraId="0333E215" w14:textId="77777777" w:rsidR="00E47AB8" w:rsidRPr="008B2F8A" w:rsidRDefault="00E47AB8" w:rsidP="00422306">
            <w:pPr>
              <w:spacing w:before="40" w:after="80"/>
              <w:rPr>
                <w:rFonts w:ascii="Arial Narrow" w:hAnsi="Arial Narrow"/>
              </w:rPr>
            </w:pPr>
            <w:r w:rsidRPr="008B2F8A">
              <w:rPr>
                <w:rFonts w:ascii="Arial Narrow" w:hAnsi="Arial Narrow"/>
              </w:rPr>
              <w:t>M: 4/275 (1.5% [0.4–3.7])</w:t>
            </w:r>
          </w:p>
          <w:p w14:paraId="7874FC78" w14:textId="77777777" w:rsidR="00E47AB8" w:rsidRPr="008B2F8A" w:rsidRDefault="00E47AB8" w:rsidP="00422306">
            <w:pPr>
              <w:spacing w:before="40" w:after="80"/>
              <w:rPr>
                <w:rFonts w:ascii="Arial Narrow" w:hAnsi="Arial Narrow"/>
              </w:rPr>
            </w:pPr>
            <w:r w:rsidRPr="008B2F8A">
              <w:rPr>
                <w:rFonts w:ascii="Arial Narrow" w:hAnsi="Arial Narrow"/>
              </w:rPr>
              <w:t>MRI​+​M: 15/275 (5.5% [3.1–8.8])</w:t>
            </w:r>
          </w:p>
          <w:p w14:paraId="3B067451" w14:textId="77777777" w:rsidR="00E47AB8" w:rsidRPr="008B2F8A" w:rsidRDefault="00E47AB8" w:rsidP="00422306">
            <w:pPr>
              <w:spacing w:before="40" w:after="80"/>
              <w:rPr>
                <w:rFonts w:ascii="Arial Narrow" w:hAnsi="Arial Narrow"/>
              </w:rPr>
            </w:pPr>
            <w:r w:rsidRPr="008B2F8A">
              <w:rPr>
                <w:rFonts w:ascii="Arial Narrow" w:hAnsi="Arial Narrow"/>
              </w:rPr>
              <w:t>MRI: 11/275 (4.0% [2.0–7.0])</w:t>
            </w:r>
          </w:p>
        </w:tc>
        <w:tc>
          <w:tcPr>
            <w:tcW w:w="1942" w:type="dxa"/>
          </w:tcPr>
          <w:p w14:paraId="01A9276A" w14:textId="77777777" w:rsidR="00E47AB8" w:rsidRPr="008B2F8A" w:rsidRDefault="00E47AB8" w:rsidP="00422306">
            <w:pPr>
              <w:spacing w:before="40" w:after="80"/>
              <w:rPr>
                <w:rFonts w:ascii="Arial Narrow" w:hAnsi="Arial Narrow"/>
              </w:rPr>
            </w:pPr>
            <w:r w:rsidRPr="008B2F8A">
              <w:rPr>
                <w:rFonts w:ascii="Arial Narrow" w:hAnsi="Arial Narrow"/>
              </w:rPr>
              <w:t>M: 2/275 (0.73%)</w:t>
            </w:r>
          </w:p>
          <w:p w14:paraId="5159B4C5" w14:textId="77777777" w:rsidR="00E47AB8" w:rsidRPr="008B2F8A" w:rsidRDefault="00E47AB8" w:rsidP="00422306">
            <w:pPr>
              <w:spacing w:before="40" w:after="80"/>
              <w:rPr>
                <w:rFonts w:ascii="Arial Narrow" w:hAnsi="Arial Narrow"/>
              </w:rPr>
            </w:pPr>
            <w:r w:rsidRPr="008B2F8A">
              <w:rPr>
                <w:rFonts w:ascii="Arial Narrow" w:hAnsi="Arial Narrow"/>
              </w:rPr>
              <w:t>MRI​+​M: 11/275 (4.0%)</w:t>
            </w:r>
          </w:p>
          <w:p w14:paraId="7978CA4C" w14:textId="77777777" w:rsidR="00E47AB8" w:rsidRPr="008B2F8A" w:rsidRDefault="00E47AB8" w:rsidP="00422306">
            <w:pPr>
              <w:spacing w:before="40" w:after="80"/>
              <w:rPr>
                <w:rFonts w:ascii="Arial Narrow" w:hAnsi="Arial Narrow"/>
              </w:rPr>
            </w:pPr>
            <w:r w:rsidRPr="008B2F8A">
              <w:rPr>
                <w:rFonts w:ascii="Arial Narrow" w:hAnsi="Arial Narrow"/>
              </w:rPr>
              <w:t>MRI: 8/275 (2.9%)</w:t>
            </w:r>
          </w:p>
        </w:tc>
      </w:tr>
    </w:tbl>
    <w:p w14:paraId="53879BC2" w14:textId="77777777" w:rsidR="00E47AB8" w:rsidRPr="008B2F8A" w:rsidRDefault="00E47AB8" w:rsidP="00703F10">
      <w:pPr>
        <w:pStyle w:val="TableNotesLast"/>
      </w:pPr>
      <w:r w:rsidRPr="008B2F8A">
        <w:t>M = mammography; MRI = magnetic resonance imaging.</w:t>
      </w:r>
    </w:p>
    <w:p w14:paraId="146F486E" w14:textId="77777777" w:rsidR="00E47AB8" w:rsidRPr="008B2F8A" w:rsidRDefault="00E47AB8" w:rsidP="00E47AB8">
      <w:pPr>
        <w:pStyle w:val="Heading3"/>
        <w:numPr>
          <w:ilvl w:val="2"/>
          <w:numId w:val="42"/>
        </w:numPr>
      </w:pPr>
      <w:bookmarkStart w:id="906" w:name="_Toc383424473"/>
      <w:r w:rsidRPr="008B2F8A">
        <w:t>Health outcomes</w:t>
      </w:r>
      <w:bookmarkEnd w:id="906"/>
    </w:p>
    <w:p w14:paraId="0C3A6D78" w14:textId="77777777" w:rsidR="00E47AB8" w:rsidRPr="008B2F8A" w:rsidRDefault="00E47AB8" w:rsidP="00422306">
      <w:r w:rsidRPr="008B2F8A">
        <w:t>Neither study was large enough to report cancer size or stage as a proxy for health outcomes in women with a history of breast cancer.</w:t>
      </w:r>
    </w:p>
    <w:p w14:paraId="38864F57" w14:textId="77777777" w:rsidR="00E47AB8" w:rsidRPr="008B2F8A" w:rsidRDefault="00E47AB8" w:rsidP="00E47AB8">
      <w:pPr>
        <w:pStyle w:val="Heading3"/>
        <w:numPr>
          <w:ilvl w:val="2"/>
          <w:numId w:val="42"/>
        </w:numPr>
      </w:pPr>
      <w:bookmarkStart w:id="907" w:name="_Toc383424474"/>
      <w:r w:rsidRPr="008B2F8A">
        <w:t>Patient outcomes</w:t>
      </w:r>
      <w:bookmarkEnd w:id="907"/>
    </w:p>
    <w:p w14:paraId="139E7FAB" w14:textId="531827E2" w:rsidR="00E47AB8" w:rsidRPr="008B2F8A" w:rsidRDefault="00E47AB8" w:rsidP="00422306">
      <w:r w:rsidRPr="008B2F8A">
        <w:t xml:space="preserve">A study of the psychological outcomes associated with breast MRI and mammography screening </w:t>
      </w:r>
      <w:r w:rsidRPr="008B2F8A">
        <w:rPr>
          <w:noProof/>
        </w:rPr>
        <w:t>(Br</w:t>
      </w:r>
      <w:r>
        <w:rPr>
          <w:noProof/>
        </w:rPr>
        <w:t>é</w:t>
      </w:r>
      <w:r w:rsidRPr="008B2F8A">
        <w:rPr>
          <w:noProof/>
        </w:rPr>
        <w:t>dart et al, 2012a)</w:t>
      </w:r>
      <w:r w:rsidRPr="008B2F8A">
        <w:t xml:space="preserve"> included a high number of women with a personal history of breast cancer; however, these women were eligible only for mammography. The findings from this study are discussed in </w:t>
      </w:r>
      <w:r>
        <w:t xml:space="preserve">Section </w:t>
      </w:r>
      <w:r w:rsidRPr="008B2F8A">
        <w:rPr>
          <w:noProof/>
        </w:rPr>
        <w:fldChar w:fldCharType="begin"/>
      </w:r>
      <w:r w:rsidRPr="008B2F8A">
        <w:rPr>
          <w:noProof/>
        </w:rPr>
        <w:instrText xml:space="preserve"> REF _Ref368658796 \w \h </w:instrText>
      </w:r>
      <w:r w:rsidRPr="008B2F8A">
        <w:rPr>
          <w:noProof/>
        </w:rPr>
      </w:r>
      <w:r w:rsidRPr="008B2F8A">
        <w:rPr>
          <w:noProof/>
        </w:rPr>
        <w:fldChar w:fldCharType="separate"/>
      </w:r>
      <w:r w:rsidR="00B81273">
        <w:rPr>
          <w:noProof/>
        </w:rPr>
        <w:t>B.6.5</w:t>
      </w:r>
      <w:r w:rsidRPr="008B2F8A">
        <w:rPr>
          <w:noProof/>
        </w:rPr>
        <w:fldChar w:fldCharType="end"/>
      </w:r>
      <w:r>
        <w:rPr>
          <w:noProof/>
        </w:rPr>
        <w:t>,</w:t>
      </w:r>
      <w:r w:rsidRPr="008B2F8A">
        <w:t xml:space="preserve"> </w:t>
      </w:r>
      <w:r w:rsidRPr="008B2F8A">
        <w:fldChar w:fldCharType="begin"/>
      </w:r>
      <w:r w:rsidRPr="008B2F8A">
        <w:instrText xml:space="preserve"> REF _Ref368658805 \h </w:instrText>
      </w:r>
      <w:r w:rsidRPr="008B2F8A">
        <w:fldChar w:fldCharType="separate"/>
      </w:r>
      <w:r w:rsidR="00B81273" w:rsidRPr="008B2F8A">
        <w:t>Patient outcomes</w:t>
      </w:r>
      <w:r w:rsidRPr="008B2F8A">
        <w:fldChar w:fldCharType="end"/>
      </w:r>
      <w:r w:rsidRPr="008B2F8A">
        <w:t xml:space="preserve">, on page </w:t>
      </w:r>
      <w:r w:rsidRPr="008B2F8A">
        <w:fldChar w:fldCharType="begin"/>
      </w:r>
      <w:r w:rsidRPr="008B2F8A">
        <w:instrText xml:space="preserve"> PAGEREF _Ref368658808 \h </w:instrText>
      </w:r>
      <w:r w:rsidRPr="008B2F8A">
        <w:fldChar w:fldCharType="separate"/>
      </w:r>
      <w:r w:rsidR="00B81273">
        <w:rPr>
          <w:noProof/>
        </w:rPr>
        <w:t>51</w:t>
      </w:r>
      <w:r w:rsidRPr="008B2F8A">
        <w:fldChar w:fldCharType="end"/>
      </w:r>
      <w:r w:rsidRPr="008B2F8A">
        <w:t>.</w:t>
      </w:r>
    </w:p>
    <w:p w14:paraId="42948C67" w14:textId="77777777" w:rsidR="00E47AB8" w:rsidRPr="008B2F8A" w:rsidRDefault="00E47AB8" w:rsidP="00E47AB8">
      <w:pPr>
        <w:pStyle w:val="Heading2"/>
      </w:pPr>
      <w:bookmarkStart w:id="908" w:name="_Toc383424475"/>
      <w:r w:rsidRPr="008B2F8A">
        <w:t>Women with a history of treatment for DCIS or LCIS</w:t>
      </w:r>
      <w:bookmarkEnd w:id="908"/>
    </w:p>
    <w:p w14:paraId="57DB179E" w14:textId="77777777" w:rsidR="00E47AB8" w:rsidRPr="008B2F8A" w:rsidRDefault="00E47AB8" w:rsidP="00E47AB8">
      <w:pPr>
        <w:pStyle w:val="Heading3"/>
        <w:numPr>
          <w:ilvl w:val="2"/>
          <w:numId w:val="42"/>
        </w:numPr>
      </w:pPr>
      <w:bookmarkStart w:id="909" w:name="_Toc383424476"/>
      <w:r w:rsidRPr="008B2F8A">
        <w:t>Diagnostic accuracy</w:t>
      </w:r>
      <w:bookmarkEnd w:id="909"/>
    </w:p>
    <w:p w14:paraId="0B25FE30" w14:textId="77777777" w:rsidR="00E47AB8" w:rsidRPr="008B2F8A" w:rsidRDefault="00E47AB8" w:rsidP="00422306">
      <w:pPr>
        <w:pStyle w:val="Heading4"/>
      </w:pPr>
      <w:r w:rsidRPr="008B2F8A">
        <w:t>Sensitivity and specificity</w:t>
      </w:r>
    </w:p>
    <w:p w14:paraId="4B953F98" w14:textId="77777777" w:rsidR="00E47AB8" w:rsidRPr="008B2F8A" w:rsidRDefault="00E47AB8" w:rsidP="00422306">
      <w:r w:rsidRPr="008B2F8A">
        <w:t>One study with a high risk of bias reported on the sensitivity of breast MRI and mammography (but not breast MRI as an additional test to mammography) in women with a history of treatment for LCIS. This study reported sensitivity and specificity on a per patient basis and defined a positive test as one which required biopsy. This definition of a positive test is not independent of the reference standard and is a source of bias.</w:t>
      </w:r>
    </w:p>
    <w:p w14:paraId="37B580FD" w14:textId="10047F53" w:rsidR="00E47AB8" w:rsidRPr="008B2F8A" w:rsidRDefault="00E47AB8" w:rsidP="00422306">
      <w:r w:rsidRPr="008B2F8A">
        <w:t>The sensitivity of breast MRI in this population was 0.71</w:t>
      </w:r>
      <w:r>
        <w:t>,</w:t>
      </w:r>
      <w:r w:rsidRPr="008B2F8A">
        <w:t xml:space="preserve"> compared with 0.36 for mammography. The difference was not significant</w:t>
      </w:r>
      <w:r>
        <w:t>,</w:t>
      </w:r>
      <w:r w:rsidRPr="008B2F8A">
        <w:t xml:space="preserve"> and the small number of patients limits the power of this study. The specificity of breast MRI was 0.76</w:t>
      </w:r>
      <w:r>
        <w:t>,</w:t>
      </w:r>
      <w:r w:rsidRPr="008B2F8A">
        <w:t xml:space="preserve"> significantly lower than mammography</w:t>
      </w:r>
      <w:r>
        <w:t>,</w:t>
      </w:r>
      <w:r w:rsidRPr="008B2F8A">
        <w:t xml:space="preserve"> </w:t>
      </w:r>
      <w:r>
        <w:t>with</w:t>
      </w:r>
      <w:r w:rsidRPr="008B2F8A">
        <w:t xml:space="preserve"> a specificity of 0.90 (</w:t>
      </w:r>
      <w:r w:rsidRPr="008B2F8A">
        <w:fldChar w:fldCharType="begin"/>
      </w:r>
      <w:r w:rsidRPr="008B2F8A">
        <w:instrText xml:space="preserve"> REF _Ref368492741 \h  \* MERGEFORMAT </w:instrText>
      </w:r>
      <w:r w:rsidRPr="008B2F8A">
        <w:fldChar w:fldCharType="separate"/>
      </w:r>
      <w:r w:rsidR="00B81273" w:rsidRPr="008B2F8A">
        <w:t xml:space="preserve">Table </w:t>
      </w:r>
      <w:r w:rsidR="00B81273">
        <w:rPr>
          <w:noProof/>
        </w:rPr>
        <w:t>B</w:t>
      </w:r>
      <w:r w:rsidR="00B81273" w:rsidRPr="008B2F8A">
        <w:rPr>
          <w:noProof/>
        </w:rPr>
        <w:t>.</w:t>
      </w:r>
      <w:r w:rsidR="00B81273">
        <w:rPr>
          <w:noProof/>
        </w:rPr>
        <w:t>36</w:t>
      </w:r>
      <w:r w:rsidRPr="008B2F8A">
        <w:fldChar w:fldCharType="end"/>
      </w:r>
      <w:r>
        <w:t>,</w:t>
      </w:r>
      <w:r w:rsidRPr="008B2F8A">
        <w:t xml:space="preserve"> </w:t>
      </w:r>
      <w:r w:rsidRPr="008B2F8A">
        <w:fldChar w:fldCharType="begin"/>
      </w:r>
      <w:r w:rsidRPr="008B2F8A">
        <w:instrText xml:space="preserve"> REF _Ref377651791 \h </w:instrText>
      </w:r>
      <w:r w:rsidRPr="008B2F8A">
        <w:fldChar w:fldCharType="separate"/>
      </w:r>
      <w:r w:rsidR="00B81273" w:rsidRPr="008B2F8A">
        <w:t xml:space="preserve">Table </w:t>
      </w:r>
      <w:r w:rsidR="00B81273">
        <w:rPr>
          <w:noProof/>
        </w:rPr>
        <w:t>B</w:t>
      </w:r>
      <w:r w:rsidR="00B81273" w:rsidRPr="008B2F8A">
        <w:t>.</w:t>
      </w:r>
      <w:r w:rsidR="00B81273">
        <w:rPr>
          <w:noProof/>
        </w:rPr>
        <w:t>37</w:t>
      </w:r>
      <w:r w:rsidRPr="008B2F8A">
        <w:fldChar w:fldCharType="end"/>
      </w:r>
      <w:r w:rsidRPr="008B2F8A">
        <w:t>).</w:t>
      </w:r>
    </w:p>
    <w:p w14:paraId="3EC25A22" w14:textId="1795505F" w:rsidR="00E47AB8" w:rsidRPr="008B2F8A" w:rsidRDefault="00E47AB8" w:rsidP="00422306">
      <w:pPr>
        <w:pStyle w:val="Caption"/>
      </w:pPr>
      <w:bookmarkStart w:id="910" w:name="_Ref368492741"/>
      <w:bookmarkStart w:id="911" w:name="_Toc383424602"/>
      <w:r w:rsidRPr="008B2F8A">
        <w:t xml:space="preserve">Table </w:t>
      </w:r>
      <w:fldSimple w:instr=" STYLEREF 1 \s ">
        <w:r w:rsidR="00B81273">
          <w:rPr>
            <w:noProof/>
          </w:rPr>
          <w:t>B</w:t>
        </w:r>
      </w:fldSimple>
      <w:r w:rsidRPr="008B2F8A">
        <w:t>.</w:t>
      </w:r>
      <w:fldSimple w:instr=" SEQ Table \* ARABIC \s 1 ">
        <w:r w:rsidR="00B81273">
          <w:rPr>
            <w:noProof/>
          </w:rPr>
          <w:t>36</w:t>
        </w:r>
      </w:fldSimple>
      <w:bookmarkEnd w:id="910"/>
      <w:r w:rsidRPr="008B2F8A">
        <w:tab/>
      </w:r>
      <w:bookmarkStart w:id="912" w:name="OLE_LINK1053"/>
      <w:bookmarkStart w:id="913" w:name="OLE_LINK1054"/>
      <w:r w:rsidRPr="008B2F8A">
        <w:t>Diagnostic accuracy of breast MRI</w:t>
      </w:r>
      <w:bookmarkEnd w:id="912"/>
      <w:bookmarkEnd w:id="913"/>
      <w:r w:rsidRPr="008B2F8A">
        <w:t>.</w:t>
      </w:r>
      <w:bookmarkEnd w:id="911"/>
    </w:p>
    <w:tbl>
      <w:tblPr>
        <w:tblStyle w:val="TableGrid"/>
        <w:tblW w:w="9070" w:type="dxa"/>
        <w:tblCellMar>
          <w:left w:w="28" w:type="dxa"/>
          <w:right w:w="28" w:type="dxa"/>
        </w:tblCellMar>
        <w:tblLook w:val="04A0" w:firstRow="1" w:lastRow="0" w:firstColumn="1" w:lastColumn="0" w:noHBand="0" w:noVBand="1"/>
        <w:tblCaption w:val="Diagnostic accuracy of breast MRI"/>
      </w:tblPr>
      <w:tblGrid>
        <w:gridCol w:w="1736"/>
        <w:gridCol w:w="1418"/>
        <w:gridCol w:w="364"/>
        <w:gridCol w:w="364"/>
        <w:gridCol w:w="376"/>
        <w:gridCol w:w="452"/>
        <w:gridCol w:w="2180"/>
        <w:gridCol w:w="2180"/>
      </w:tblGrid>
      <w:tr w:rsidR="00E47AB8" w:rsidRPr="008B2F8A" w14:paraId="1D86E088" w14:textId="77777777" w:rsidTr="00422306">
        <w:trPr>
          <w:tblHeader/>
        </w:trPr>
        <w:tc>
          <w:tcPr>
            <w:tcW w:w="0" w:type="auto"/>
            <w:vAlign w:val="center"/>
          </w:tcPr>
          <w:p w14:paraId="4108AF94"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0" w:type="auto"/>
          </w:tcPr>
          <w:p w14:paraId="0544A9D2" w14:textId="77777777" w:rsidR="00E47AB8" w:rsidRPr="008B2F8A" w:rsidRDefault="00E47AB8" w:rsidP="00422306">
            <w:pPr>
              <w:spacing w:before="40" w:after="80"/>
              <w:rPr>
                <w:rFonts w:ascii="Arial Narrow" w:hAnsi="Arial Narrow"/>
                <w:b/>
              </w:rPr>
            </w:pPr>
            <w:r w:rsidRPr="008B2F8A">
              <w:rPr>
                <w:rFonts w:ascii="Arial Narrow" w:hAnsi="Arial Narrow"/>
                <w:b/>
              </w:rPr>
              <w:t>Positive test</w:t>
            </w:r>
          </w:p>
        </w:tc>
        <w:tc>
          <w:tcPr>
            <w:tcW w:w="0" w:type="auto"/>
            <w:vAlign w:val="center"/>
          </w:tcPr>
          <w:p w14:paraId="363383BA" w14:textId="77777777" w:rsidR="00E47AB8" w:rsidRPr="008B2F8A" w:rsidRDefault="00E47AB8" w:rsidP="00422306">
            <w:pPr>
              <w:spacing w:before="40" w:after="80"/>
              <w:rPr>
                <w:rFonts w:ascii="Arial Narrow" w:hAnsi="Arial Narrow"/>
                <w:b/>
              </w:rPr>
            </w:pPr>
            <w:r w:rsidRPr="008B2F8A">
              <w:rPr>
                <w:rFonts w:ascii="Arial Narrow" w:hAnsi="Arial Narrow"/>
                <w:b/>
              </w:rPr>
              <w:t>TP</w:t>
            </w:r>
          </w:p>
        </w:tc>
        <w:tc>
          <w:tcPr>
            <w:tcW w:w="0" w:type="auto"/>
            <w:vAlign w:val="center"/>
          </w:tcPr>
          <w:p w14:paraId="71515760" w14:textId="77777777" w:rsidR="00E47AB8" w:rsidRPr="008B2F8A" w:rsidRDefault="00E47AB8" w:rsidP="00422306">
            <w:pPr>
              <w:spacing w:before="40" w:after="80"/>
              <w:rPr>
                <w:rFonts w:ascii="Arial Narrow" w:hAnsi="Arial Narrow"/>
                <w:b/>
              </w:rPr>
            </w:pPr>
            <w:r w:rsidRPr="008B2F8A">
              <w:rPr>
                <w:rFonts w:ascii="Arial Narrow" w:hAnsi="Arial Narrow"/>
                <w:b/>
              </w:rPr>
              <w:t>FP</w:t>
            </w:r>
          </w:p>
        </w:tc>
        <w:tc>
          <w:tcPr>
            <w:tcW w:w="0" w:type="auto"/>
            <w:vAlign w:val="center"/>
          </w:tcPr>
          <w:p w14:paraId="5891F1CA" w14:textId="77777777" w:rsidR="00E47AB8" w:rsidRPr="008B2F8A" w:rsidRDefault="00E47AB8" w:rsidP="00422306">
            <w:pPr>
              <w:spacing w:before="40" w:after="80"/>
              <w:rPr>
                <w:rFonts w:ascii="Arial Narrow" w:hAnsi="Arial Narrow"/>
                <w:b/>
              </w:rPr>
            </w:pPr>
            <w:r w:rsidRPr="008B2F8A">
              <w:rPr>
                <w:rFonts w:ascii="Arial Narrow" w:hAnsi="Arial Narrow"/>
                <w:b/>
              </w:rPr>
              <w:t>FN</w:t>
            </w:r>
          </w:p>
        </w:tc>
        <w:tc>
          <w:tcPr>
            <w:tcW w:w="0" w:type="auto"/>
            <w:vAlign w:val="center"/>
          </w:tcPr>
          <w:p w14:paraId="71F5AC38" w14:textId="77777777" w:rsidR="00E47AB8" w:rsidRPr="008B2F8A" w:rsidRDefault="00E47AB8" w:rsidP="00422306">
            <w:pPr>
              <w:spacing w:before="40" w:after="80"/>
              <w:rPr>
                <w:rFonts w:ascii="Arial Narrow" w:hAnsi="Arial Narrow"/>
                <w:b/>
              </w:rPr>
            </w:pPr>
            <w:r w:rsidRPr="008B2F8A">
              <w:rPr>
                <w:rFonts w:ascii="Arial Narrow" w:hAnsi="Arial Narrow"/>
                <w:b/>
              </w:rPr>
              <w:t>TN</w:t>
            </w:r>
          </w:p>
        </w:tc>
        <w:tc>
          <w:tcPr>
            <w:tcW w:w="0" w:type="auto"/>
            <w:vAlign w:val="center"/>
          </w:tcPr>
          <w:p w14:paraId="78DCD860" w14:textId="77777777" w:rsidR="00E47AB8" w:rsidRPr="008B2F8A" w:rsidRDefault="00E47AB8" w:rsidP="00422306">
            <w:pPr>
              <w:spacing w:before="40" w:after="80"/>
              <w:rPr>
                <w:rFonts w:ascii="Arial Narrow" w:hAnsi="Arial Narrow"/>
                <w:b/>
              </w:rPr>
            </w:pPr>
            <w:r w:rsidRPr="008B2F8A">
              <w:rPr>
                <w:rFonts w:ascii="Arial Narrow" w:hAnsi="Arial Narrow"/>
                <w:b/>
              </w:rPr>
              <w:t>Sensitivity (95% CI)</w:t>
            </w:r>
          </w:p>
        </w:tc>
        <w:tc>
          <w:tcPr>
            <w:tcW w:w="0" w:type="auto"/>
            <w:vAlign w:val="center"/>
          </w:tcPr>
          <w:p w14:paraId="4B65DAC7" w14:textId="77777777" w:rsidR="00E47AB8" w:rsidRPr="008B2F8A" w:rsidRDefault="00E47AB8" w:rsidP="00422306">
            <w:pPr>
              <w:spacing w:before="40" w:after="80"/>
              <w:rPr>
                <w:rFonts w:ascii="Arial Narrow" w:hAnsi="Arial Narrow"/>
                <w:b/>
              </w:rPr>
            </w:pPr>
            <w:r w:rsidRPr="008B2F8A">
              <w:rPr>
                <w:rFonts w:ascii="Arial Narrow" w:hAnsi="Arial Narrow"/>
                <w:b/>
              </w:rPr>
              <w:t>Specificity (95% CI)</w:t>
            </w:r>
          </w:p>
        </w:tc>
      </w:tr>
      <w:tr w:rsidR="00E47AB8" w:rsidRPr="008B2F8A" w14:paraId="5F4C8A7D" w14:textId="77777777" w:rsidTr="00422306">
        <w:tc>
          <w:tcPr>
            <w:tcW w:w="0" w:type="auto"/>
          </w:tcPr>
          <w:p w14:paraId="5A608BE2" w14:textId="56390F59" w:rsidR="00E47AB8" w:rsidRPr="008B2F8A" w:rsidRDefault="00E47AB8" w:rsidP="00422306">
            <w:pPr>
              <w:spacing w:before="40" w:after="80"/>
              <w:rPr>
                <w:rFonts w:ascii="Arial Narrow" w:hAnsi="Arial Narrow"/>
              </w:rPr>
            </w:pPr>
            <w:r>
              <w:rPr>
                <w:rFonts w:ascii="Arial Narrow" w:hAnsi="Arial Narrow"/>
              </w:rPr>
              <w:t>Sung et al, 2011</w:t>
            </w:r>
          </w:p>
        </w:tc>
        <w:tc>
          <w:tcPr>
            <w:tcW w:w="0" w:type="auto"/>
          </w:tcPr>
          <w:p w14:paraId="44E34C12" w14:textId="77777777" w:rsidR="00E47AB8" w:rsidRPr="008B2F8A" w:rsidRDefault="00E47AB8" w:rsidP="00422306">
            <w:pPr>
              <w:spacing w:before="40" w:after="80"/>
              <w:rPr>
                <w:rFonts w:ascii="Arial Narrow" w:hAnsi="Arial Narrow"/>
              </w:rPr>
            </w:pPr>
            <w:r w:rsidRPr="008B2F8A">
              <w:rPr>
                <w:rFonts w:ascii="Arial Narrow" w:hAnsi="Arial Narrow"/>
              </w:rPr>
              <w:t xml:space="preserve">Biopsy </w:t>
            </w:r>
          </w:p>
        </w:tc>
        <w:tc>
          <w:tcPr>
            <w:tcW w:w="0" w:type="auto"/>
            <w:vAlign w:val="center"/>
          </w:tcPr>
          <w:p w14:paraId="5EEA28C0" w14:textId="77777777" w:rsidR="00E47AB8" w:rsidRPr="008B2F8A" w:rsidRDefault="00E47AB8" w:rsidP="00422306">
            <w:pPr>
              <w:spacing w:before="40" w:after="80"/>
              <w:rPr>
                <w:rFonts w:ascii="Arial Narrow" w:hAnsi="Arial Narrow"/>
              </w:rPr>
            </w:pPr>
            <w:r w:rsidRPr="008B2F8A">
              <w:rPr>
                <w:rFonts w:ascii="Arial Narrow" w:hAnsi="Arial Narrow"/>
              </w:rPr>
              <w:t>10</w:t>
            </w:r>
          </w:p>
        </w:tc>
        <w:tc>
          <w:tcPr>
            <w:tcW w:w="0" w:type="auto"/>
            <w:vAlign w:val="center"/>
          </w:tcPr>
          <w:p w14:paraId="582A4243" w14:textId="77777777" w:rsidR="00E47AB8" w:rsidRPr="008B2F8A" w:rsidRDefault="00E47AB8" w:rsidP="00422306">
            <w:pPr>
              <w:spacing w:before="40" w:after="80"/>
              <w:rPr>
                <w:rFonts w:ascii="Arial Narrow" w:hAnsi="Arial Narrow"/>
              </w:rPr>
            </w:pPr>
            <w:r w:rsidRPr="008B2F8A">
              <w:rPr>
                <w:rFonts w:ascii="Arial Narrow" w:hAnsi="Arial Narrow"/>
              </w:rPr>
              <w:t>49</w:t>
            </w:r>
          </w:p>
        </w:tc>
        <w:tc>
          <w:tcPr>
            <w:tcW w:w="0" w:type="auto"/>
            <w:vAlign w:val="center"/>
          </w:tcPr>
          <w:p w14:paraId="683CEF7C" w14:textId="77777777" w:rsidR="00E47AB8" w:rsidRPr="008B2F8A" w:rsidRDefault="00E47AB8" w:rsidP="00422306">
            <w:pPr>
              <w:spacing w:before="40" w:after="80"/>
              <w:rPr>
                <w:rFonts w:ascii="Arial Narrow" w:hAnsi="Arial Narrow"/>
              </w:rPr>
            </w:pPr>
            <w:r w:rsidRPr="008B2F8A">
              <w:rPr>
                <w:rFonts w:ascii="Arial Narrow" w:hAnsi="Arial Narrow"/>
              </w:rPr>
              <w:t>4</w:t>
            </w:r>
          </w:p>
        </w:tc>
        <w:tc>
          <w:tcPr>
            <w:tcW w:w="0" w:type="auto"/>
            <w:vAlign w:val="center"/>
          </w:tcPr>
          <w:p w14:paraId="04BC5E83" w14:textId="77777777" w:rsidR="00E47AB8" w:rsidRPr="008B2F8A" w:rsidRDefault="00E47AB8" w:rsidP="00422306">
            <w:pPr>
              <w:spacing w:before="40" w:after="80"/>
              <w:rPr>
                <w:rFonts w:ascii="Arial Narrow" w:hAnsi="Arial Narrow"/>
              </w:rPr>
            </w:pPr>
            <w:r w:rsidRPr="008B2F8A">
              <w:rPr>
                <w:rFonts w:ascii="Arial Narrow" w:hAnsi="Arial Narrow"/>
              </w:rPr>
              <w:t>157</w:t>
            </w:r>
          </w:p>
        </w:tc>
        <w:tc>
          <w:tcPr>
            <w:tcW w:w="0" w:type="auto"/>
            <w:vAlign w:val="center"/>
          </w:tcPr>
          <w:p w14:paraId="498281BC" w14:textId="77777777" w:rsidR="00E47AB8" w:rsidRPr="008B2F8A" w:rsidRDefault="00E47AB8" w:rsidP="00422306">
            <w:pPr>
              <w:spacing w:before="40" w:after="80"/>
              <w:rPr>
                <w:rFonts w:ascii="Arial Narrow" w:hAnsi="Arial Narrow"/>
              </w:rPr>
            </w:pPr>
            <w:r w:rsidRPr="008B2F8A">
              <w:rPr>
                <w:rFonts w:ascii="Arial Narrow" w:hAnsi="Arial Narrow"/>
              </w:rPr>
              <w:t>0.71 [0.42, 0.92]</w:t>
            </w:r>
          </w:p>
        </w:tc>
        <w:tc>
          <w:tcPr>
            <w:tcW w:w="0" w:type="auto"/>
            <w:vAlign w:val="center"/>
          </w:tcPr>
          <w:p w14:paraId="2EB7E157" w14:textId="77777777" w:rsidR="00E47AB8" w:rsidRPr="008B2F8A" w:rsidRDefault="00E47AB8" w:rsidP="00422306">
            <w:pPr>
              <w:spacing w:before="40" w:after="80"/>
              <w:rPr>
                <w:rFonts w:ascii="Arial Narrow" w:hAnsi="Arial Narrow"/>
              </w:rPr>
            </w:pPr>
            <w:r w:rsidRPr="008B2F8A">
              <w:rPr>
                <w:rFonts w:ascii="Arial Narrow" w:hAnsi="Arial Narrow"/>
              </w:rPr>
              <w:t>0.76 [0.70, 0.82]</w:t>
            </w:r>
          </w:p>
        </w:tc>
      </w:tr>
    </w:tbl>
    <w:p w14:paraId="1669CCFB" w14:textId="5AB91F1A" w:rsidR="00E47AB8" w:rsidRPr="008B2F8A" w:rsidRDefault="00E47AB8" w:rsidP="00703F10">
      <w:pPr>
        <w:pStyle w:val="TableNotesLast"/>
      </w:pPr>
      <w:r w:rsidRPr="008B2F8A">
        <w:t>CI = confidence interval; TP = true-positive; FP = false-positive; FN = false-negative; TN = true-negative.</w:t>
      </w:r>
    </w:p>
    <w:p w14:paraId="73E97E6A" w14:textId="0AEB1D1D" w:rsidR="00E47AB8" w:rsidRPr="008B2F8A" w:rsidRDefault="00E47AB8" w:rsidP="00422306">
      <w:pPr>
        <w:pStyle w:val="Caption"/>
      </w:pPr>
      <w:bookmarkStart w:id="914" w:name="_Ref377651791"/>
      <w:bookmarkStart w:id="915" w:name="_Toc383424603"/>
      <w:r w:rsidRPr="008B2F8A">
        <w:t xml:space="preserve">Table </w:t>
      </w:r>
      <w:fldSimple w:instr=" STYLEREF 1 \s ">
        <w:r w:rsidR="00B81273">
          <w:rPr>
            <w:noProof/>
          </w:rPr>
          <w:t>B</w:t>
        </w:r>
      </w:fldSimple>
      <w:r w:rsidRPr="008B2F8A">
        <w:t>.</w:t>
      </w:r>
      <w:fldSimple w:instr=" SEQ Table \* ARABIC \s 1 ">
        <w:r w:rsidR="00B81273">
          <w:rPr>
            <w:noProof/>
          </w:rPr>
          <w:t>37</w:t>
        </w:r>
      </w:fldSimple>
      <w:bookmarkEnd w:id="914"/>
      <w:r w:rsidRPr="008B2F8A">
        <w:tab/>
      </w:r>
      <w:bookmarkStart w:id="916" w:name="OLE_LINK1055"/>
      <w:bookmarkStart w:id="917" w:name="OLE_LINK1056"/>
      <w:r w:rsidRPr="008B2F8A">
        <w:t>Diagnostic accuracy of mammography</w:t>
      </w:r>
      <w:bookmarkEnd w:id="916"/>
      <w:bookmarkEnd w:id="917"/>
      <w:r w:rsidRPr="008B2F8A">
        <w:t>.</w:t>
      </w:r>
      <w:bookmarkEnd w:id="915"/>
    </w:p>
    <w:tbl>
      <w:tblPr>
        <w:tblStyle w:val="TableGrid"/>
        <w:tblW w:w="9070" w:type="dxa"/>
        <w:tblCellMar>
          <w:left w:w="28" w:type="dxa"/>
          <w:right w:w="28" w:type="dxa"/>
        </w:tblCellMar>
        <w:tblLook w:val="04A0" w:firstRow="1" w:lastRow="0" w:firstColumn="1" w:lastColumn="0" w:noHBand="0" w:noVBand="1"/>
        <w:tblCaption w:val="Diagnostic accuracy of mammography"/>
      </w:tblPr>
      <w:tblGrid>
        <w:gridCol w:w="1736"/>
        <w:gridCol w:w="1418"/>
        <w:gridCol w:w="364"/>
        <w:gridCol w:w="364"/>
        <w:gridCol w:w="376"/>
        <w:gridCol w:w="452"/>
        <w:gridCol w:w="2180"/>
        <w:gridCol w:w="2180"/>
      </w:tblGrid>
      <w:tr w:rsidR="00E47AB8" w:rsidRPr="008B2F8A" w14:paraId="3218DC70" w14:textId="77777777" w:rsidTr="00422306">
        <w:trPr>
          <w:tblHeader/>
        </w:trPr>
        <w:tc>
          <w:tcPr>
            <w:tcW w:w="0" w:type="auto"/>
            <w:vAlign w:val="center"/>
          </w:tcPr>
          <w:p w14:paraId="5FA3A26A"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0" w:type="auto"/>
          </w:tcPr>
          <w:p w14:paraId="239AAABB" w14:textId="77777777" w:rsidR="00E47AB8" w:rsidRPr="008B2F8A" w:rsidRDefault="00E47AB8" w:rsidP="00422306">
            <w:pPr>
              <w:spacing w:before="40" w:after="80"/>
              <w:rPr>
                <w:rFonts w:ascii="Arial Narrow" w:hAnsi="Arial Narrow"/>
                <w:b/>
              </w:rPr>
            </w:pPr>
            <w:r w:rsidRPr="008B2F8A">
              <w:rPr>
                <w:rFonts w:ascii="Arial Narrow" w:hAnsi="Arial Narrow"/>
                <w:b/>
              </w:rPr>
              <w:t>Positive test</w:t>
            </w:r>
          </w:p>
        </w:tc>
        <w:tc>
          <w:tcPr>
            <w:tcW w:w="0" w:type="auto"/>
            <w:vAlign w:val="center"/>
          </w:tcPr>
          <w:p w14:paraId="7F9482D3" w14:textId="77777777" w:rsidR="00E47AB8" w:rsidRPr="008B2F8A" w:rsidRDefault="00E47AB8" w:rsidP="00422306">
            <w:pPr>
              <w:spacing w:before="40" w:after="80"/>
              <w:rPr>
                <w:rFonts w:ascii="Arial Narrow" w:hAnsi="Arial Narrow"/>
                <w:b/>
              </w:rPr>
            </w:pPr>
            <w:r w:rsidRPr="008B2F8A">
              <w:rPr>
                <w:rFonts w:ascii="Arial Narrow" w:hAnsi="Arial Narrow"/>
                <w:b/>
              </w:rPr>
              <w:t>TP</w:t>
            </w:r>
          </w:p>
        </w:tc>
        <w:tc>
          <w:tcPr>
            <w:tcW w:w="0" w:type="auto"/>
            <w:vAlign w:val="center"/>
          </w:tcPr>
          <w:p w14:paraId="7F6BD002" w14:textId="77777777" w:rsidR="00E47AB8" w:rsidRPr="008B2F8A" w:rsidRDefault="00E47AB8" w:rsidP="00422306">
            <w:pPr>
              <w:spacing w:before="40" w:after="80"/>
              <w:rPr>
                <w:rFonts w:ascii="Arial Narrow" w:hAnsi="Arial Narrow"/>
                <w:b/>
              </w:rPr>
            </w:pPr>
            <w:r w:rsidRPr="008B2F8A">
              <w:rPr>
                <w:rFonts w:ascii="Arial Narrow" w:hAnsi="Arial Narrow"/>
                <w:b/>
              </w:rPr>
              <w:t>FP</w:t>
            </w:r>
          </w:p>
        </w:tc>
        <w:tc>
          <w:tcPr>
            <w:tcW w:w="0" w:type="auto"/>
            <w:vAlign w:val="center"/>
          </w:tcPr>
          <w:p w14:paraId="6617EA90" w14:textId="77777777" w:rsidR="00E47AB8" w:rsidRPr="008B2F8A" w:rsidRDefault="00E47AB8" w:rsidP="00422306">
            <w:pPr>
              <w:spacing w:before="40" w:after="80"/>
              <w:rPr>
                <w:rFonts w:ascii="Arial Narrow" w:hAnsi="Arial Narrow"/>
                <w:b/>
              </w:rPr>
            </w:pPr>
            <w:r w:rsidRPr="008B2F8A">
              <w:rPr>
                <w:rFonts w:ascii="Arial Narrow" w:hAnsi="Arial Narrow"/>
                <w:b/>
              </w:rPr>
              <w:t>FN</w:t>
            </w:r>
          </w:p>
        </w:tc>
        <w:tc>
          <w:tcPr>
            <w:tcW w:w="0" w:type="auto"/>
            <w:vAlign w:val="center"/>
          </w:tcPr>
          <w:p w14:paraId="3E8E90AC" w14:textId="77777777" w:rsidR="00E47AB8" w:rsidRPr="008B2F8A" w:rsidRDefault="00E47AB8" w:rsidP="00422306">
            <w:pPr>
              <w:spacing w:before="40" w:after="80"/>
              <w:rPr>
                <w:rFonts w:ascii="Arial Narrow" w:hAnsi="Arial Narrow"/>
                <w:b/>
              </w:rPr>
            </w:pPr>
            <w:r w:rsidRPr="008B2F8A">
              <w:rPr>
                <w:rFonts w:ascii="Arial Narrow" w:hAnsi="Arial Narrow"/>
                <w:b/>
              </w:rPr>
              <w:t>TN</w:t>
            </w:r>
          </w:p>
        </w:tc>
        <w:tc>
          <w:tcPr>
            <w:tcW w:w="0" w:type="auto"/>
            <w:vAlign w:val="center"/>
          </w:tcPr>
          <w:p w14:paraId="7E50E1B5" w14:textId="77777777" w:rsidR="00E47AB8" w:rsidRPr="008B2F8A" w:rsidRDefault="00E47AB8" w:rsidP="00422306">
            <w:pPr>
              <w:spacing w:before="40" w:after="80"/>
              <w:rPr>
                <w:rFonts w:ascii="Arial Narrow" w:hAnsi="Arial Narrow"/>
                <w:b/>
              </w:rPr>
            </w:pPr>
            <w:r w:rsidRPr="008B2F8A">
              <w:rPr>
                <w:rFonts w:ascii="Arial Narrow" w:hAnsi="Arial Narrow"/>
                <w:b/>
              </w:rPr>
              <w:t>Sensitivity (95% CI)</w:t>
            </w:r>
          </w:p>
        </w:tc>
        <w:tc>
          <w:tcPr>
            <w:tcW w:w="0" w:type="auto"/>
            <w:vAlign w:val="center"/>
          </w:tcPr>
          <w:p w14:paraId="7FEFEB0A" w14:textId="77777777" w:rsidR="00E47AB8" w:rsidRPr="008B2F8A" w:rsidRDefault="00E47AB8" w:rsidP="00422306">
            <w:pPr>
              <w:spacing w:before="40" w:after="80"/>
              <w:rPr>
                <w:rFonts w:ascii="Arial Narrow" w:hAnsi="Arial Narrow"/>
                <w:b/>
              </w:rPr>
            </w:pPr>
            <w:r w:rsidRPr="008B2F8A">
              <w:rPr>
                <w:rFonts w:ascii="Arial Narrow" w:hAnsi="Arial Narrow"/>
                <w:b/>
              </w:rPr>
              <w:t>Specificity (95% CI)</w:t>
            </w:r>
          </w:p>
        </w:tc>
      </w:tr>
      <w:tr w:rsidR="00E47AB8" w:rsidRPr="008B2F8A" w14:paraId="629598AB" w14:textId="77777777" w:rsidTr="00422306">
        <w:tc>
          <w:tcPr>
            <w:tcW w:w="0" w:type="auto"/>
          </w:tcPr>
          <w:p w14:paraId="7ECD8DA0" w14:textId="78C88DE4" w:rsidR="00E47AB8" w:rsidRPr="008B2F8A" w:rsidRDefault="00E47AB8" w:rsidP="00422306">
            <w:pPr>
              <w:spacing w:before="40" w:after="80"/>
              <w:rPr>
                <w:rFonts w:ascii="Arial Narrow" w:hAnsi="Arial Narrow"/>
              </w:rPr>
            </w:pPr>
            <w:r>
              <w:rPr>
                <w:rFonts w:ascii="Arial Narrow" w:hAnsi="Arial Narrow"/>
              </w:rPr>
              <w:t>Sung et al, 2011</w:t>
            </w:r>
          </w:p>
        </w:tc>
        <w:tc>
          <w:tcPr>
            <w:tcW w:w="0" w:type="auto"/>
          </w:tcPr>
          <w:p w14:paraId="2EBF2445" w14:textId="77777777" w:rsidR="00E47AB8" w:rsidRPr="008B2F8A" w:rsidRDefault="00E47AB8" w:rsidP="00422306">
            <w:pPr>
              <w:spacing w:before="40" w:after="80"/>
              <w:rPr>
                <w:rFonts w:ascii="Arial Narrow" w:hAnsi="Arial Narrow"/>
              </w:rPr>
            </w:pPr>
            <w:r w:rsidRPr="008B2F8A">
              <w:rPr>
                <w:rFonts w:ascii="Arial Narrow" w:hAnsi="Arial Narrow"/>
              </w:rPr>
              <w:t>Biopsy</w:t>
            </w:r>
          </w:p>
        </w:tc>
        <w:tc>
          <w:tcPr>
            <w:tcW w:w="0" w:type="auto"/>
            <w:vAlign w:val="center"/>
          </w:tcPr>
          <w:p w14:paraId="75DF2954" w14:textId="77777777" w:rsidR="00E47AB8" w:rsidRPr="008B2F8A" w:rsidRDefault="00E47AB8" w:rsidP="00422306">
            <w:pPr>
              <w:spacing w:before="40" w:after="80"/>
              <w:rPr>
                <w:rFonts w:ascii="Arial Narrow" w:hAnsi="Arial Narrow"/>
              </w:rPr>
            </w:pPr>
            <w:r w:rsidRPr="008B2F8A">
              <w:rPr>
                <w:rFonts w:ascii="Arial Narrow" w:hAnsi="Arial Narrow"/>
              </w:rPr>
              <w:t>5</w:t>
            </w:r>
          </w:p>
        </w:tc>
        <w:tc>
          <w:tcPr>
            <w:tcW w:w="0" w:type="auto"/>
            <w:vAlign w:val="center"/>
          </w:tcPr>
          <w:p w14:paraId="0D41798C" w14:textId="77777777" w:rsidR="00E47AB8" w:rsidRPr="008B2F8A" w:rsidRDefault="00E47AB8" w:rsidP="00422306">
            <w:pPr>
              <w:spacing w:before="40" w:after="80"/>
              <w:rPr>
                <w:rFonts w:ascii="Arial Narrow" w:hAnsi="Arial Narrow"/>
              </w:rPr>
            </w:pPr>
            <w:r w:rsidRPr="008B2F8A">
              <w:rPr>
                <w:rFonts w:ascii="Arial Narrow" w:hAnsi="Arial Narrow"/>
              </w:rPr>
              <w:t>20</w:t>
            </w:r>
          </w:p>
        </w:tc>
        <w:tc>
          <w:tcPr>
            <w:tcW w:w="0" w:type="auto"/>
            <w:vAlign w:val="center"/>
          </w:tcPr>
          <w:p w14:paraId="23E0B76B" w14:textId="77777777" w:rsidR="00E47AB8" w:rsidRPr="008B2F8A" w:rsidRDefault="00E47AB8" w:rsidP="00422306">
            <w:pPr>
              <w:spacing w:before="40" w:after="80"/>
              <w:rPr>
                <w:rFonts w:ascii="Arial Narrow" w:hAnsi="Arial Narrow"/>
              </w:rPr>
            </w:pPr>
            <w:r w:rsidRPr="008B2F8A">
              <w:rPr>
                <w:rFonts w:ascii="Arial Narrow" w:hAnsi="Arial Narrow"/>
              </w:rPr>
              <w:t>9</w:t>
            </w:r>
          </w:p>
        </w:tc>
        <w:tc>
          <w:tcPr>
            <w:tcW w:w="0" w:type="auto"/>
            <w:vAlign w:val="center"/>
          </w:tcPr>
          <w:p w14:paraId="7EE94940" w14:textId="77777777" w:rsidR="00E47AB8" w:rsidRPr="008B2F8A" w:rsidRDefault="00E47AB8" w:rsidP="00422306">
            <w:pPr>
              <w:spacing w:before="40" w:after="80"/>
              <w:rPr>
                <w:rFonts w:ascii="Arial Narrow" w:hAnsi="Arial Narrow"/>
              </w:rPr>
            </w:pPr>
            <w:r w:rsidRPr="008B2F8A">
              <w:rPr>
                <w:rFonts w:ascii="Arial Narrow" w:hAnsi="Arial Narrow"/>
              </w:rPr>
              <w:t>180</w:t>
            </w:r>
          </w:p>
        </w:tc>
        <w:tc>
          <w:tcPr>
            <w:tcW w:w="0" w:type="auto"/>
            <w:vAlign w:val="center"/>
          </w:tcPr>
          <w:p w14:paraId="56AC2418" w14:textId="77777777" w:rsidR="00E47AB8" w:rsidRPr="008B2F8A" w:rsidRDefault="00E47AB8" w:rsidP="00422306">
            <w:pPr>
              <w:spacing w:before="40" w:after="80"/>
              <w:rPr>
                <w:rFonts w:ascii="Arial Narrow" w:hAnsi="Arial Narrow"/>
              </w:rPr>
            </w:pPr>
            <w:r w:rsidRPr="008B2F8A">
              <w:rPr>
                <w:rFonts w:ascii="Arial Narrow" w:hAnsi="Arial Narrow"/>
              </w:rPr>
              <w:t>0.36 [0.13, 0.65]</w:t>
            </w:r>
          </w:p>
        </w:tc>
        <w:tc>
          <w:tcPr>
            <w:tcW w:w="0" w:type="auto"/>
            <w:vAlign w:val="center"/>
          </w:tcPr>
          <w:p w14:paraId="24F192B3" w14:textId="77777777" w:rsidR="00E47AB8" w:rsidRPr="008B2F8A" w:rsidRDefault="00E47AB8" w:rsidP="00422306">
            <w:pPr>
              <w:spacing w:before="40" w:after="80"/>
              <w:rPr>
                <w:rFonts w:ascii="Arial Narrow" w:hAnsi="Arial Narrow"/>
              </w:rPr>
            </w:pPr>
            <w:r w:rsidRPr="008B2F8A">
              <w:rPr>
                <w:rFonts w:ascii="Arial Narrow" w:hAnsi="Arial Narrow"/>
              </w:rPr>
              <w:t>0.90 [0.85, 0.94]</w:t>
            </w:r>
          </w:p>
        </w:tc>
      </w:tr>
    </w:tbl>
    <w:p w14:paraId="200EC871" w14:textId="77777777" w:rsidR="00E47AB8" w:rsidRPr="008B2F8A" w:rsidRDefault="00E47AB8" w:rsidP="00703F10">
      <w:pPr>
        <w:pStyle w:val="TableNotesLast"/>
      </w:pPr>
      <w:r w:rsidRPr="008B2F8A">
        <w:t>CI = confidence interval; TP = true-positive; FP = false-positive; FN = false-negative; TN = true-negative.</w:t>
      </w:r>
    </w:p>
    <w:p w14:paraId="722C553D" w14:textId="40F8520C" w:rsidR="00E47AB8" w:rsidRPr="008B2F8A" w:rsidRDefault="00E47AB8" w:rsidP="00E47AB8">
      <w:pPr>
        <w:pStyle w:val="Heading2"/>
      </w:pPr>
      <w:bookmarkStart w:id="918" w:name="_Toc383424477"/>
      <w:r w:rsidRPr="008B2F8A">
        <w:lastRenderedPageBreak/>
        <w:t>Women who have had chest irradiation between the ages of 10 and 35 years</w:t>
      </w:r>
      <w:bookmarkEnd w:id="918"/>
    </w:p>
    <w:p w14:paraId="29CEFC39" w14:textId="77777777" w:rsidR="00E47AB8" w:rsidRPr="008B2F8A" w:rsidRDefault="00E47AB8" w:rsidP="00E47AB8">
      <w:pPr>
        <w:pStyle w:val="Heading3"/>
        <w:numPr>
          <w:ilvl w:val="2"/>
          <w:numId w:val="42"/>
        </w:numPr>
      </w:pPr>
      <w:bookmarkStart w:id="919" w:name="_Toc383424478"/>
      <w:r w:rsidRPr="008B2F8A">
        <w:t>Diagnostic accuracy</w:t>
      </w:r>
      <w:bookmarkEnd w:id="919"/>
    </w:p>
    <w:p w14:paraId="04AEE250" w14:textId="77777777" w:rsidR="00E47AB8" w:rsidRPr="008B2F8A" w:rsidRDefault="00E47AB8" w:rsidP="00422306">
      <w:pPr>
        <w:pStyle w:val="Heading4"/>
      </w:pPr>
      <w:r w:rsidRPr="008B2F8A">
        <w:t>Sensitivity and specificity</w:t>
      </w:r>
    </w:p>
    <w:p w14:paraId="442CD51A" w14:textId="12756ADE" w:rsidR="00E47AB8" w:rsidRPr="008B2F8A" w:rsidRDefault="00E47AB8" w:rsidP="00422306">
      <w:r w:rsidRPr="008B2F8A">
        <w:t xml:space="preserve">The results of the three eligible primary studies which compared the sensitivity and specificity of breast MRI and mammography in women who have had chest irradiation are presented in </w:t>
      </w:r>
      <w:r w:rsidRPr="008B2F8A">
        <w:fldChar w:fldCharType="begin"/>
      </w:r>
      <w:r w:rsidRPr="008B2F8A">
        <w:instrText xml:space="preserve"> REF _Ref377651851 \h </w:instrText>
      </w:r>
      <w:r w:rsidRPr="008B2F8A">
        <w:fldChar w:fldCharType="separate"/>
      </w:r>
      <w:r w:rsidR="00B81273" w:rsidRPr="008B2F8A">
        <w:t xml:space="preserve">Table </w:t>
      </w:r>
      <w:r w:rsidR="00B81273">
        <w:rPr>
          <w:noProof/>
        </w:rPr>
        <w:t>B</w:t>
      </w:r>
      <w:r w:rsidR="00B81273" w:rsidRPr="008B2F8A">
        <w:t>.</w:t>
      </w:r>
      <w:r w:rsidR="00B81273">
        <w:rPr>
          <w:noProof/>
        </w:rPr>
        <w:t>38</w:t>
      </w:r>
      <w:r w:rsidRPr="008B2F8A">
        <w:fldChar w:fldCharType="end"/>
      </w:r>
      <w:r w:rsidRPr="008B2F8A">
        <w:t xml:space="preserve">, </w:t>
      </w:r>
      <w:r w:rsidRPr="008B2F8A">
        <w:fldChar w:fldCharType="begin"/>
      </w:r>
      <w:r w:rsidRPr="008B2F8A">
        <w:instrText xml:space="preserve"> REF _Ref368492881 \h </w:instrText>
      </w:r>
      <w:r w:rsidRPr="008B2F8A">
        <w:fldChar w:fldCharType="separate"/>
      </w:r>
      <w:r w:rsidR="00B81273" w:rsidRPr="008B2F8A">
        <w:t xml:space="preserve">Table </w:t>
      </w:r>
      <w:r w:rsidR="00B81273">
        <w:rPr>
          <w:noProof/>
        </w:rPr>
        <w:t>B</w:t>
      </w:r>
      <w:r w:rsidR="00B81273" w:rsidRPr="008B2F8A">
        <w:t>.</w:t>
      </w:r>
      <w:r w:rsidR="00B81273">
        <w:rPr>
          <w:noProof/>
        </w:rPr>
        <w:t>39</w:t>
      </w:r>
      <w:r w:rsidRPr="008B2F8A">
        <w:fldChar w:fldCharType="end"/>
      </w:r>
      <w:r w:rsidRPr="008B2F8A">
        <w:t xml:space="preserve"> and </w:t>
      </w:r>
      <w:r w:rsidRPr="008B2F8A">
        <w:fldChar w:fldCharType="begin"/>
      </w:r>
      <w:r w:rsidRPr="008B2F8A">
        <w:instrText xml:space="preserve"> REF _Ref368492883 \h </w:instrText>
      </w:r>
      <w:r w:rsidRPr="008B2F8A">
        <w:fldChar w:fldCharType="separate"/>
      </w:r>
      <w:r w:rsidR="00B81273" w:rsidRPr="008B2F8A">
        <w:t xml:space="preserve">Table </w:t>
      </w:r>
      <w:r w:rsidR="00B81273">
        <w:rPr>
          <w:noProof/>
        </w:rPr>
        <w:t>B</w:t>
      </w:r>
      <w:r w:rsidR="00B81273" w:rsidRPr="008B2F8A">
        <w:t>.</w:t>
      </w:r>
      <w:r w:rsidR="00B81273">
        <w:rPr>
          <w:noProof/>
        </w:rPr>
        <w:t>40</w:t>
      </w:r>
      <w:r w:rsidRPr="008B2F8A">
        <w:fldChar w:fldCharType="end"/>
      </w:r>
      <w:r w:rsidRPr="008B2F8A">
        <w:t xml:space="preserve">. All studies used a follow-up biopsy to define a positive test. This definition of a positive test is not independent of the reference standard and is a source of bias. </w:t>
      </w:r>
      <w:r>
        <w:t>Ng et al (2013)</w:t>
      </w:r>
      <w:r w:rsidRPr="008B2F8A">
        <w:rPr>
          <w:noProof/>
        </w:rPr>
        <w:t xml:space="preserve"> </w:t>
      </w:r>
      <w:r w:rsidRPr="008B2F8A">
        <w:t>reported results on a per test basis</w:t>
      </w:r>
      <w:r>
        <w:t>,</w:t>
      </w:r>
      <w:r w:rsidRPr="008B2F8A">
        <w:t xml:space="preserve"> while </w:t>
      </w:r>
      <w:r>
        <w:t>Freitas et al (2013)</w:t>
      </w:r>
      <w:r w:rsidRPr="008B2F8A">
        <w:t xml:space="preserve"> and </w:t>
      </w:r>
      <w:bookmarkStart w:id="920" w:name="OLE_LINK828"/>
      <w:bookmarkStart w:id="921" w:name="OLE_LINK829"/>
      <w:r>
        <w:t>Sung et al (</w:t>
      </w:r>
      <w:r w:rsidRPr="008B2F8A">
        <w:rPr>
          <w:noProof/>
        </w:rPr>
        <w:t>2011a</w:t>
      </w:r>
      <w:bookmarkEnd w:id="920"/>
      <w:bookmarkEnd w:id="921"/>
      <w:r w:rsidRPr="008B2F8A">
        <w:rPr>
          <w:noProof/>
        </w:rPr>
        <w:t>)</w:t>
      </w:r>
      <w:r w:rsidRPr="008B2F8A">
        <w:t xml:space="preserve"> reported results on a per patient basis.</w:t>
      </w:r>
    </w:p>
    <w:p w14:paraId="06F82F93" w14:textId="21987D5F" w:rsidR="00E47AB8" w:rsidRPr="008B2F8A" w:rsidRDefault="00E47AB8" w:rsidP="00422306">
      <w:r w:rsidRPr="008B2F8A">
        <w:t>Only one study addressed the review question</w:t>
      </w:r>
      <w:r>
        <w:t>,</w:t>
      </w:r>
      <w:r w:rsidRPr="008B2F8A">
        <w:t xml:space="preserve"> which was the addition of breast MRI to mammography </w:t>
      </w:r>
      <w:r w:rsidRPr="008B2F8A">
        <w:rPr>
          <w:noProof/>
        </w:rPr>
        <w:t>(Ng et al, 2013)</w:t>
      </w:r>
      <w:r w:rsidRPr="008B2F8A">
        <w:t>. This study was also of higher quality and more applicable than the other studies and was the largest study included. The addition of MRI to mammography increase</w:t>
      </w:r>
      <w:r>
        <w:t>d</w:t>
      </w:r>
      <w:r w:rsidRPr="008B2F8A">
        <w:t xml:space="preserve"> sensitivity non-significantly from 0.68 to 0.95 with a corresponding non-significant reduction in specificity from 0.92 to 0.86.</w:t>
      </w:r>
    </w:p>
    <w:p w14:paraId="7A45C7CE" w14:textId="2DA37AA0" w:rsidR="00E47AB8" w:rsidRPr="008B2F8A" w:rsidRDefault="00E47AB8" w:rsidP="00422306">
      <w:r w:rsidRPr="008B2F8A">
        <w:t>The studies had comparable findings for sensitivity and specificity of the tests on their own</w:t>
      </w:r>
      <w:r>
        <w:t>,</w:t>
      </w:r>
      <w:r w:rsidRPr="008B2F8A">
        <w:t xml:space="preserve"> with the exception of the high sensitivity of breast MRI reported by </w:t>
      </w:r>
      <w:r>
        <w:t>Freitas et al (2013)</w:t>
      </w:r>
      <w:r w:rsidRPr="008B2F8A">
        <w:t>. The sensitivity of mammography in the three studies was higher than had been reported in other populations considered in this review</w:t>
      </w:r>
      <w:r>
        <w:t>,</w:t>
      </w:r>
      <w:r w:rsidRPr="008B2F8A">
        <w:t xml:space="preserve"> which would reduce the incremental benefit of adding breast MRI.</w:t>
      </w:r>
    </w:p>
    <w:p w14:paraId="7B39CE76" w14:textId="77777777" w:rsidR="00E47AB8" w:rsidRPr="008B2F8A" w:rsidRDefault="00E47AB8" w:rsidP="00422306">
      <w:pPr>
        <w:pStyle w:val="Caption"/>
      </w:pPr>
      <w:bookmarkStart w:id="922" w:name="_Ref368492743"/>
      <w:bookmarkStart w:id="923" w:name="_Ref377651851"/>
      <w:bookmarkStart w:id="924" w:name="_Toc383424604"/>
      <w:r w:rsidRPr="008B2F8A">
        <w:t xml:space="preserve">Table </w:t>
      </w:r>
      <w:fldSimple w:instr=" STYLEREF 1 \s ">
        <w:r w:rsidR="00B81273">
          <w:rPr>
            <w:noProof/>
          </w:rPr>
          <w:t>B</w:t>
        </w:r>
      </w:fldSimple>
      <w:r w:rsidRPr="008B2F8A">
        <w:t>.</w:t>
      </w:r>
      <w:fldSimple w:instr=" SEQ Table \* ARABIC \s 1 ">
        <w:r w:rsidR="00B81273">
          <w:rPr>
            <w:noProof/>
          </w:rPr>
          <w:t>38</w:t>
        </w:r>
      </w:fldSimple>
      <w:bookmarkEnd w:id="922"/>
      <w:bookmarkEnd w:id="923"/>
      <w:r w:rsidRPr="008B2F8A">
        <w:tab/>
      </w:r>
      <w:bookmarkStart w:id="925" w:name="OLE_LINK1057"/>
      <w:bookmarkStart w:id="926" w:name="OLE_LINK1058"/>
      <w:r w:rsidRPr="008B2F8A">
        <w:t>Diagnostic accuracy of breast MRI and mammography</w:t>
      </w:r>
      <w:bookmarkEnd w:id="925"/>
      <w:bookmarkEnd w:id="926"/>
      <w:r w:rsidRPr="008B2F8A">
        <w:t>.</w:t>
      </w:r>
      <w:bookmarkEnd w:id="924"/>
    </w:p>
    <w:tbl>
      <w:tblPr>
        <w:tblStyle w:val="TableGrid"/>
        <w:tblW w:w="9069" w:type="dxa"/>
        <w:tblCellMar>
          <w:left w:w="28" w:type="dxa"/>
          <w:right w:w="28" w:type="dxa"/>
        </w:tblCellMar>
        <w:tblLook w:val="04A0" w:firstRow="1" w:lastRow="0" w:firstColumn="1" w:lastColumn="0" w:noHBand="0" w:noVBand="1"/>
        <w:tblCaption w:val="Diagnostic accuracy of breast MRI and mammography"/>
      </w:tblPr>
      <w:tblGrid>
        <w:gridCol w:w="1448"/>
        <w:gridCol w:w="1497"/>
        <w:gridCol w:w="390"/>
        <w:gridCol w:w="390"/>
        <w:gridCol w:w="403"/>
        <w:gridCol w:w="483"/>
        <w:gridCol w:w="2229"/>
        <w:gridCol w:w="2229"/>
      </w:tblGrid>
      <w:tr w:rsidR="00E47AB8" w:rsidRPr="008B2F8A" w14:paraId="1384788B" w14:textId="77777777" w:rsidTr="00422306">
        <w:trPr>
          <w:tblHeader/>
        </w:trPr>
        <w:tc>
          <w:tcPr>
            <w:tcW w:w="1448" w:type="dxa"/>
            <w:vAlign w:val="center"/>
          </w:tcPr>
          <w:p w14:paraId="73B28870"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497" w:type="dxa"/>
          </w:tcPr>
          <w:p w14:paraId="23292F65" w14:textId="77777777" w:rsidR="00E47AB8" w:rsidRPr="008B2F8A" w:rsidRDefault="00E47AB8" w:rsidP="00422306">
            <w:pPr>
              <w:spacing w:before="40" w:after="80"/>
              <w:rPr>
                <w:rFonts w:ascii="Arial Narrow" w:hAnsi="Arial Narrow"/>
                <w:b/>
              </w:rPr>
            </w:pPr>
            <w:r w:rsidRPr="008B2F8A">
              <w:rPr>
                <w:rFonts w:ascii="Arial Narrow" w:hAnsi="Arial Narrow"/>
                <w:b/>
              </w:rPr>
              <w:t>Positive test</w:t>
            </w:r>
          </w:p>
        </w:tc>
        <w:tc>
          <w:tcPr>
            <w:tcW w:w="390" w:type="dxa"/>
            <w:vAlign w:val="center"/>
          </w:tcPr>
          <w:p w14:paraId="7E0BEF28" w14:textId="77777777" w:rsidR="00E47AB8" w:rsidRPr="008B2F8A" w:rsidRDefault="00E47AB8" w:rsidP="00422306">
            <w:pPr>
              <w:spacing w:before="40" w:after="80"/>
              <w:rPr>
                <w:rFonts w:ascii="Arial Narrow" w:hAnsi="Arial Narrow"/>
                <w:b/>
              </w:rPr>
            </w:pPr>
            <w:r w:rsidRPr="008B2F8A">
              <w:rPr>
                <w:rFonts w:ascii="Arial Narrow" w:hAnsi="Arial Narrow"/>
                <w:b/>
              </w:rPr>
              <w:t>TP</w:t>
            </w:r>
          </w:p>
        </w:tc>
        <w:tc>
          <w:tcPr>
            <w:tcW w:w="390" w:type="dxa"/>
            <w:vAlign w:val="center"/>
          </w:tcPr>
          <w:p w14:paraId="2AE2DDF3" w14:textId="77777777" w:rsidR="00E47AB8" w:rsidRPr="008B2F8A" w:rsidRDefault="00E47AB8" w:rsidP="00422306">
            <w:pPr>
              <w:spacing w:before="40" w:after="80"/>
              <w:rPr>
                <w:rFonts w:ascii="Arial Narrow" w:hAnsi="Arial Narrow"/>
                <w:b/>
              </w:rPr>
            </w:pPr>
            <w:r w:rsidRPr="008B2F8A">
              <w:rPr>
                <w:rFonts w:ascii="Arial Narrow" w:hAnsi="Arial Narrow"/>
                <w:b/>
              </w:rPr>
              <w:t>FP</w:t>
            </w:r>
          </w:p>
        </w:tc>
        <w:tc>
          <w:tcPr>
            <w:tcW w:w="403" w:type="dxa"/>
            <w:vAlign w:val="center"/>
          </w:tcPr>
          <w:p w14:paraId="5C697609" w14:textId="77777777" w:rsidR="00E47AB8" w:rsidRPr="008B2F8A" w:rsidRDefault="00E47AB8" w:rsidP="00422306">
            <w:pPr>
              <w:spacing w:before="40" w:after="80"/>
              <w:rPr>
                <w:rFonts w:ascii="Arial Narrow" w:hAnsi="Arial Narrow"/>
                <w:b/>
              </w:rPr>
            </w:pPr>
            <w:r w:rsidRPr="008B2F8A">
              <w:rPr>
                <w:rFonts w:ascii="Arial Narrow" w:hAnsi="Arial Narrow"/>
                <w:b/>
              </w:rPr>
              <w:t>FN</w:t>
            </w:r>
          </w:p>
        </w:tc>
        <w:tc>
          <w:tcPr>
            <w:tcW w:w="483" w:type="dxa"/>
            <w:vAlign w:val="center"/>
          </w:tcPr>
          <w:p w14:paraId="54E23167" w14:textId="77777777" w:rsidR="00E47AB8" w:rsidRPr="008B2F8A" w:rsidRDefault="00E47AB8" w:rsidP="00422306">
            <w:pPr>
              <w:spacing w:before="40" w:after="80"/>
              <w:rPr>
                <w:rFonts w:ascii="Arial Narrow" w:hAnsi="Arial Narrow"/>
                <w:b/>
              </w:rPr>
            </w:pPr>
            <w:r w:rsidRPr="008B2F8A">
              <w:rPr>
                <w:rFonts w:ascii="Arial Narrow" w:hAnsi="Arial Narrow"/>
                <w:b/>
              </w:rPr>
              <w:t>TN</w:t>
            </w:r>
          </w:p>
        </w:tc>
        <w:tc>
          <w:tcPr>
            <w:tcW w:w="2229" w:type="dxa"/>
            <w:vAlign w:val="center"/>
          </w:tcPr>
          <w:p w14:paraId="048E191C" w14:textId="770CF78B" w:rsidR="00E47AB8" w:rsidRPr="008B2F8A" w:rsidRDefault="00E47AB8" w:rsidP="00422306">
            <w:pPr>
              <w:spacing w:before="40" w:after="80"/>
              <w:rPr>
                <w:rFonts w:ascii="Arial Narrow" w:hAnsi="Arial Narrow"/>
                <w:b/>
              </w:rPr>
            </w:pPr>
            <w:r w:rsidRPr="008B2F8A">
              <w:rPr>
                <w:rFonts w:ascii="Arial Narrow" w:hAnsi="Arial Narrow"/>
                <w:b/>
              </w:rPr>
              <w:t xml:space="preserve">Sensitivity </w:t>
            </w:r>
            <w:r>
              <w:rPr>
                <w:rFonts w:ascii="Arial Narrow" w:hAnsi="Arial Narrow"/>
                <w:b/>
              </w:rPr>
              <w:t>[</w:t>
            </w:r>
            <w:r w:rsidRPr="008B2F8A">
              <w:rPr>
                <w:rFonts w:ascii="Arial Narrow" w:hAnsi="Arial Narrow"/>
                <w:b/>
              </w:rPr>
              <w:t>95% CI</w:t>
            </w:r>
            <w:r>
              <w:rPr>
                <w:rFonts w:ascii="Arial Narrow" w:hAnsi="Arial Narrow"/>
                <w:b/>
              </w:rPr>
              <w:t>]</w:t>
            </w:r>
          </w:p>
        </w:tc>
        <w:tc>
          <w:tcPr>
            <w:tcW w:w="2229" w:type="dxa"/>
            <w:vAlign w:val="center"/>
          </w:tcPr>
          <w:p w14:paraId="5A65EEBC" w14:textId="4F58E473" w:rsidR="00E47AB8" w:rsidRPr="008B2F8A" w:rsidRDefault="00E47AB8" w:rsidP="00422306">
            <w:pPr>
              <w:spacing w:before="40" w:after="80"/>
              <w:rPr>
                <w:rFonts w:ascii="Arial Narrow" w:hAnsi="Arial Narrow"/>
                <w:b/>
              </w:rPr>
            </w:pPr>
            <w:r w:rsidRPr="008B2F8A">
              <w:rPr>
                <w:rFonts w:ascii="Arial Narrow" w:hAnsi="Arial Narrow"/>
                <w:b/>
              </w:rPr>
              <w:t xml:space="preserve">Specificity </w:t>
            </w:r>
            <w:r>
              <w:rPr>
                <w:rFonts w:ascii="Arial Narrow" w:hAnsi="Arial Narrow"/>
                <w:b/>
              </w:rPr>
              <w:t>[</w:t>
            </w:r>
            <w:r w:rsidRPr="008B2F8A">
              <w:rPr>
                <w:rFonts w:ascii="Arial Narrow" w:hAnsi="Arial Narrow"/>
                <w:b/>
              </w:rPr>
              <w:t>95% CI</w:t>
            </w:r>
            <w:r>
              <w:rPr>
                <w:rFonts w:ascii="Arial Narrow" w:hAnsi="Arial Narrow"/>
                <w:b/>
              </w:rPr>
              <w:t>]</w:t>
            </w:r>
          </w:p>
        </w:tc>
      </w:tr>
      <w:tr w:rsidR="00E47AB8" w:rsidRPr="008B2F8A" w14:paraId="67A7036D" w14:textId="77777777" w:rsidTr="00422306">
        <w:tc>
          <w:tcPr>
            <w:tcW w:w="1448" w:type="dxa"/>
          </w:tcPr>
          <w:p w14:paraId="5C112298" w14:textId="2040DE01" w:rsidR="00E47AB8" w:rsidRPr="008B2F8A" w:rsidRDefault="00E47AB8" w:rsidP="00422306">
            <w:pPr>
              <w:spacing w:before="40" w:after="80"/>
              <w:rPr>
                <w:rFonts w:ascii="Arial Narrow" w:hAnsi="Arial Narrow"/>
              </w:rPr>
            </w:pPr>
            <w:r>
              <w:rPr>
                <w:rFonts w:ascii="Arial Narrow" w:hAnsi="Arial Narrow"/>
              </w:rPr>
              <w:t>Ng et al, 2013</w:t>
            </w:r>
          </w:p>
        </w:tc>
        <w:tc>
          <w:tcPr>
            <w:tcW w:w="1497" w:type="dxa"/>
          </w:tcPr>
          <w:p w14:paraId="1869009B" w14:textId="77777777" w:rsidR="00E47AB8" w:rsidRPr="008B2F8A" w:rsidRDefault="00E47AB8" w:rsidP="00422306">
            <w:pPr>
              <w:spacing w:before="40" w:after="80"/>
              <w:rPr>
                <w:rFonts w:ascii="Arial Narrow" w:hAnsi="Arial Narrow"/>
              </w:rPr>
            </w:pPr>
            <w:r w:rsidRPr="008B2F8A">
              <w:rPr>
                <w:rFonts w:ascii="Arial Narrow" w:hAnsi="Arial Narrow"/>
              </w:rPr>
              <w:t>Biopsy</w:t>
            </w:r>
          </w:p>
        </w:tc>
        <w:tc>
          <w:tcPr>
            <w:tcW w:w="390" w:type="dxa"/>
          </w:tcPr>
          <w:p w14:paraId="0F48F68E" w14:textId="77777777" w:rsidR="00E47AB8" w:rsidRPr="008B2F8A" w:rsidRDefault="00E47AB8" w:rsidP="00422306">
            <w:pPr>
              <w:spacing w:before="40" w:after="80"/>
              <w:rPr>
                <w:rFonts w:ascii="Arial Narrow" w:hAnsi="Arial Narrow"/>
              </w:rPr>
            </w:pPr>
            <w:r w:rsidRPr="008B2F8A">
              <w:rPr>
                <w:rFonts w:ascii="Arial Narrow" w:hAnsi="Arial Narrow"/>
              </w:rPr>
              <w:t>18</w:t>
            </w:r>
          </w:p>
        </w:tc>
        <w:tc>
          <w:tcPr>
            <w:tcW w:w="390" w:type="dxa"/>
          </w:tcPr>
          <w:p w14:paraId="7D275A8F" w14:textId="77777777" w:rsidR="00E47AB8" w:rsidRPr="008B2F8A" w:rsidRDefault="00E47AB8" w:rsidP="00422306">
            <w:pPr>
              <w:spacing w:before="40" w:after="80"/>
              <w:rPr>
                <w:rFonts w:ascii="Arial Narrow" w:hAnsi="Arial Narrow"/>
              </w:rPr>
            </w:pPr>
            <w:r w:rsidRPr="008B2F8A">
              <w:rPr>
                <w:rFonts w:ascii="Arial Narrow" w:hAnsi="Arial Narrow"/>
              </w:rPr>
              <w:t>45</w:t>
            </w:r>
          </w:p>
        </w:tc>
        <w:tc>
          <w:tcPr>
            <w:tcW w:w="403" w:type="dxa"/>
          </w:tcPr>
          <w:p w14:paraId="69CA09E5" w14:textId="77777777" w:rsidR="00E47AB8" w:rsidRPr="008B2F8A" w:rsidRDefault="00E47AB8" w:rsidP="00422306">
            <w:pPr>
              <w:spacing w:before="40" w:after="80"/>
              <w:rPr>
                <w:rFonts w:ascii="Arial Narrow" w:hAnsi="Arial Narrow"/>
              </w:rPr>
            </w:pPr>
            <w:r w:rsidRPr="008B2F8A">
              <w:rPr>
                <w:rFonts w:ascii="Arial Narrow" w:hAnsi="Arial Narrow"/>
              </w:rPr>
              <w:t>1</w:t>
            </w:r>
          </w:p>
        </w:tc>
        <w:tc>
          <w:tcPr>
            <w:tcW w:w="483" w:type="dxa"/>
          </w:tcPr>
          <w:p w14:paraId="06EA9067" w14:textId="77777777" w:rsidR="00E47AB8" w:rsidRPr="008B2F8A" w:rsidRDefault="00E47AB8" w:rsidP="00422306">
            <w:pPr>
              <w:spacing w:before="40" w:after="80"/>
              <w:rPr>
                <w:rFonts w:ascii="Arial Narrow" w:hAnsi="Arial Narrow"/>
              </w:rPr>
            </w:pPr>
            <w:r w:rsidRPr="008B2F8A">
              <w:rPr>
                <w:rFonts w:ascii="Arial Narrow" w:hAnsi="Arial Narrow"/>
              </w:rPr>
              <w:t>274</w:t>
            </w:r>
          </w:p>
        </w:tc>
        <w:tc>
          <w:tcPr>
            <w:tcW w:w="2229" w:type="dxa"/>
          </w:tcPr>
          <w:p w14:paraId="6FB27CB5" w14:textId="77777777" w:rsidR="00E47AB8" w:rsidRPr="008B2F8A" w:rsidRDefault="00E47AB8" w:rsidP="00422306">
            <w:pPr>
              <w:spacing w:before="40" w:after="80"/>
              <w:rPr>
                <w:rFonts w:ascii="Arial Narrow" w:hAnsi="Arial Narrow"/>
              </w:rPr>
            </w:pPr>
            <w:r w:rsidRPr="008B2F8A">
              <w:rPr>
                <w:rFonts w:ascii="Arial Narrow" w:hAnsi="Arial Narrow"/>
              </w:rPr>
              <w:t>0.95 [0.74, 1.00]</w:t>
            </w:r>
          </w:p>
        </w:tc>
        <w:tc>
          <w:tcPr>
            <w:tcW w:w="2229" w:type="dxa"/>
          </w:tcPr>
          <w:p w14:paraId="2D671BEC" w14:textId="77777777" w:rsidR="00E47AB8" w:rsidRPr="008B2F8A" w:rsidRDefault="00E47AB8" w:rsidP="00422306">
            <w:pPr>
              <w:spacing w:before="40" w:after="80"/>
              <w:rPr>
                <w:rFonts w:ascii="Arial Narrow" w:hAnsi="Arial Narrow"/>
              </w:rPr>
            </w:pPr>
            <w:r w:rsidRPr="008B2F8A">
              <w:rPr>
                <w:rFonts w:ascii="Arial Narrow" w:hAnsi="Arial Narrow"/>
              </w:rPr>
              <w:t>0.86 [0.82, 0.90]</w:t>
            </w:r>
          </w:p>
        </w:tc>
      </w:tr>
    </w:tbl>
    <w:p w14:paraId="0D3B4C82" w14:textId="7391981D" w:rsidR="00E47AB8" w:rsidRPr="008B2F8A" w:rsidRDefault="00E47AB8" w:rsidP="00703F10">
      <w:pPr>
        <w:pStyle w:val="TableNotesLast"/>
      </w:pPr>
      <w:r w:rsidRPr="008B2F8A">
        <w:t>CI = confidence interval; TP = true-positive; FP = false-positive; FN = false-negative; TN = true-negative.</w:t>
      </w:r>
    </w:p>
    <w:p w14:paraId="36F2DDE3" w14:textId="338582E0" w:rsidR="00E47AB8" w:rsidRPr="008B2F8A" w:rsidRDefault="00E47AB8" w:rsidP="00422306">
      <w:pPr>
        <w:pStyle w:val="Caption"/>
      </w:pPr>
      <w:bookmarkStart w:id="927" w:name="_Ref368492881"/>
      <w:bookmarkStart w:id="928" w:name="_Toc383424605"/>
      <w:r w:rsidRPr="008B2F8A">
        <w:t xml:space="preserve">Table </w:t>
      </w:r>
      <w:fldSimple w:instr=" STYLEREF 1 \s ">
        <w:r w:rsidR="00B81273">
          <w:rPr>
            <w:noProof/>
          </w:rPr>
          <w:t>B</w:t>
        </w:r>
      </w:fldSimple>
      <w:r w:rsidRPr="008B2F8A">
        <w:t>.</w:t>
      </w:r>
      <w:fldSimple w:instr=" SEQ Table \* ARABIC \s 1 ">
        <w:r w:rsidR="00B81273">
          <w:rPr>
            <w:noProof/>
          </w:rPr>
          <w:t>39</w:t>
        </w:r>
      </w:fldSimple>
      <w:bookmarkEnd w:id="927"/>
      <w:r w:rsidRPr="008B2F8A">
        <w:tab/>
      </w:r>
      <w:bookmarkStart w:id="929" w:name="OLE_LINK1059"/>
      <w:bookmarkStart w:id="930" w:name="OLE_LINK1060"/>
      <w:r w:rsidRPr="008B2F8A">
        <w:t>Diagnostic accuracy of breast MRI</w:t>
      </w:r>
      <w:bookmarkEnd w:id="929"/>
      <w:bookmarkEnd w:id="930"/>
      <w:r w:rsidRPr="008B2F8A">
        <w:t>.</w:t>
      </w:r>
      <w:bookmarkEnd w:id="928"/>
    </w:p>
    <w:tbl>
      <w:tblPr>
        <w:tblStyle w:val="TableGrid"/>
        <w:tblW w:w="9070" w:type="dxa"/>
        <w:tblCellMar>
          <w:left w:w="28" w:type="dxa"/>
          <w:right w:w="28" w:type="dxa"/>
        </w:tblCellMar>
        <w:tblLook w:val="04A0" w:firstRow="1" w:lastRow="0" w:firstColumn="1" w:lastColumn="0" w:noHBand="0" w:noVBand="1"/>
        <w:tblCaption w:val="Diagnostic accuracy of breast MRI"/>
      </w:tblPr>
      <w:tblGrid>
        <w:gridCol w:w="1448"/>
        <w:gridCol w:w="1497"/>
        <w:gridCol w:w="389"/>
        <w:gridCol w:w="389"/>
        <w:gridCol w:w="402"/>
        <w:gridCol w:w="483"/>
        <w:gridCol w:w="2231"/>
        <w:gridCol w:w="2231"/>
      </w:tblGrid>
      <w:tr w:rsidR="00E47AB8" w:rsidRPr="008B2F8A" w14:paraId="578EA845" w14:textId="77777777" w:rsidTr="00422306">
        <w:trPr>
          <w:tblHeader/>
        </w:trPr>
        <w:tc>
          <w:tcPr>
            <w:tcW w:w="1448" w:type="dxa"/>
            <w:vAlign w:val="center"/>
          </w:tcPr>
          <w:p w14:paraId="1E370BF5"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497" w:type="dxa"/>
          </w:tcPr>
          <w:p w14:paraId="40D27C36" w14:textId="77777777" w:rsidR="00E47AB8" w:rsidRPr="008B2F8A" w:rsidRDefault="00E47AB8" w:rsidP="00422306">
            <w:pPr>
              <w:spacing w:before="40" w:after="80"/>
              <w:rPr>
                <w:rFonts w:ascii="Arial Narrow" w:hAnsi="Arial Narrow"/>
                <w:b/>
              </w:rPr>
            </w:pPr>
            <w:r w:rsidRPr="008B2F8A">
              <w:rPr>
                <w:rFonts w:ascii="Arial Narrow" w:hAnsi="Arial Narrow"/>
                <w:b/>
              </w:rPr>
              <w:t>Positive test</w:t>
            </w:r>
          </w:p>
        </w:tc>
        <w:tc>
          <w:tcPr>
            <w:tcW w:w="389" w:type="dxa"/>
            <w:vAlign w:val="center"/>
          </w:tcPr>
          <w:p w14:paraId="65F40506" w14:textId="77777777" w:rsidR="00E47AB8" w:rsidRPr="008B2F8A" w:rsidRDefault="00E47AB8" w:rsidP="00422306">
            <w:pPr>
              <w:spacing w:before="40" w:after="80"/>
              <w:rPr>
                <w:rFonts w:ascii="Arial Narrow" w:hAnsi="Arial Narrow"/>
                <w:b/>
              </w:rPr>
            </w:pPr>
            <w:r w:rsidRPr="008B2F8A">
              <w:rPr>
                <w:rFonts w:ascii="Arial Narrow" w:hAnsi="Arial Narrow"/>
                <w:b/>
              </w:rPr>
              <w:t>TP</w:t>
            </w:r>
          </w:p>
        </w:tc>
        <w:tc>
          <w:tcPr>
            <w:tcW w:w="389" w:type="dxa"/>
            <w:vAlign w:val="center"/>
          </w:tcPr>
          <w:p w14:paraId="5D71961D" w14:textId="77777777" w:rsidR="00E47AB8" w:rsidRPr="008B2F8A" w:rsidRDefault="00E47AB8" w:rsidP="00422306">
            <w:pPr>
              <w:spacing w:before="40" w:after="80"/>
              <w:rPr>
                <w:rFonts w:ascii="Arial Narrow" w:hAnsi="Arial Narrow"/>
                <w:b/>
              </w:rPr>
            </w:pPr>
            <w:r w:rsidRPr="008B2F8A">
              <w:rPr>
                <w:rFonts w:ascii="Arial Narrow" w:hAnsi="Arial Narrow"/>
                <w:b/>
              </w:rPr>
              <w:t>FP</w:t>
            </w:r>
          </w:p>
        </w:tc>
        <w:tc>
          <w:tcPr>
            <w:tcW w:w="402" w:type="dxa"/>
            <w:vAlign w:val="center"/>
          </w:tcPr>
          <w:p w14:paraId="6998B5B1" w14:textId="77777777" w:rsidR="00E47AB8" w:rsidRPr="008B2F8A" w:rsidRDefault="00E47AB8" w:rsidP="00422306">
            <w:pPr>
              <w:spacing w:before="40" w:after="80"/>
              <w:rPr>
                <w:rFonts w:ascii="Arial Narrow" w:hAnsi="Arial Narrow"/>
                <w:b/>
              </w:rPr>
            </w:pPr>
            <w:r w:rsidRPr="008B2F8A">
              <w:rPr>
                <w:rFonts w:ascii="Arial Narrow" w:hAnsi="Arial Narrow"/>
                <w:b/>
              </w:rPr>
              <w:t>FN</w:t>
            </w:r>
          </w:p>
        </w:tc>
        <w:tc>
          <w:tcPr>
            <w:tcW w:w="483" w:type="dxa"/>
            <w:vAlign w:val="center"/>
          </w:tcPr>
          <w:p w14:paraId="227F3B5E" w14:textId="77777777" w:rsidR="00E47AB8" w:rsidRPr="008B2F8A" w:rsidRDefault="00E47AB8" w:rsidP="00422306">
            <w:pPr>
              <w:spacing w:before="40" w:after="80"/>
              <w:rPr>
                <w:rFonts w:ascii="Arial Narrow" w:hAnsi="Arial Narrow"/>
                <w:b/>
              </w:rPr>
            </w:pPr>
            <w:r w:rsidRPr="008B2F8A">
              <w:rPr>
                <w:rFonts w:ascii="Arial Narrow" w:hAnsi="Arial Narrow"/>
                <w:b/>
              </w:rPr>
              <w:t>TN</w:t>
            </w:r>
          </w:p>
        </w:tc>
        <w:tc>
          <w:tcPr>
            <w:tcW w:w="2231" w:type="dxa"/>
            <w:vAlign w:val="center"/>
          </w:tcPr>
          <w:p w14:paraId="0615467D" w14:textId="62AF347E" w:rsidR="00E47AB8" w:rsidRPr="008B2F8A" w:rsidRDefault="00E47AB8" w:rsidP="00422306">
            <w:pPr>
              <w:spacing w:before="40" w:after="80"/>
              <w:rPr>
                <w:rFonts w:ascii="Arial Narrow" w:hAnsi="Arial Narrow"/>
                <w:b/>
              </w:rPr>
            </w:pPr>
            <w:r w:rsidRPr="008B2F8A">
              <w:rPr>
                <w:rFonts w:ascii="Arial Narrow" w:hAnsi="Arial Narrow"/>
                <w:b/>
              </w:rPr>
              <w:t xml:space="preserve">Sensitivity </w:t>
            </w:r>
            <w:r>
              <w:rPr>
                <w:rFonts w:ascii="Arial Narrow" w:hAnsi="Arial Narrow"/>
                <w:b/>
              </w:rPr>
              <w:t>[</w:t>
            </w:r>
            <w:r w:rsidRPr="008B2F8A">
              <w:rPr>
                <w:rFonts w:ascii="Arial Narrow" w:hAnsi="Arial Narrow"/>
                <w:b/>
              </w:rPr>
              <w:t>95% CI</w:t>
            </w:r>
            <w:r>
              <w:rPr>
                <w:rFonts w:ascii="Arial Narrow" w:hAnsi="Arial Narrow"/>
                <w:b/>
              </w:rPr>
              <w:t>]</w:t>
            </w:r>
          </w:p>
        </w:tc>
        <w:tc>
          <w:tcPr>
            <w:tcW w:w="2231" w:type="dxa"/>
            <w:vAlign w:val="center"/>
          </w:tcPr>
          <w:p w14:paraId="793DEBDE" w14:textId="517FE0BC" w:rsidR="00E47AB8" w:rsidRPr="008B2F8A" w:rsidRDefault="00E47AB8" w:rsidP="00422306">
            <w:pPr>
              <w:spacing w:before="40" w:after="80"/>
              <w:rPr>
                <w:rFonts w:ascii="Arial Narrow" w:hAnsi="Arial Narrow"/>
                <w:b/>
              </w:rPr>
            </w:pPr>
            <w:r w:rsidRPr="008B2F8A">
              <w:rPr>
                <w:rFonts w:ascii="Arial Narrow" w:hAnsi="Arial Narrow"/>
                <w:b/>
              </w:rPr>
              <w:t xml:space="preserve">Specificity </w:t>
            </w:r>
            <w:r>
              <w:rPr>
                <w:rFonts w:ascii="Arial Narrow" w:hAnsi="Arial Narrow"/>
                <w:b/>
              </w:rPr>
              <w:t>[</w:t>
            </w:r>
            <w:r w:rsidRPr="008B2F8A">
              <w:rPr>
                <w:rFonts w:ascii="Arial Narrow" w:hAnsi="Arial Narrow"/>
                <w:b/>
              </w:rPr>
              <w:t>95% CI</w:t>
            </w:r>
            <w:r>
              <w:rPr>
                <w:rFonts w:ascii="Arial Narrow" w:hAnsi="Arial Narrow"/>
                <w:b/>
              </w:rPr>
              <w:t>]</w:t>
            </w:r>
          </w:p>
        </w:tc>
      </w:tr>
      <w:tr w:rsidR="00E47AB8" w:rsidRPr="008B2F8A" w14:paraId="0C4DB1C5" w14:textId="77777777" w:rsidTr="00422306">
        <w:tc>
          <w:tcPr>
            <w:tcW w:w="1448" w:type="dxa"/>
          </w:tcPr>
          <w:p w14:paraId="16DA4C64" w14:textId="31DD6649" w:rsidR="00E47AB8" w:rsidRPr="008B2F8A" w:rsidRDefault="00E47AB8" w:rsidP="00422306">
            <w:pPr>
              <w:spacing w:before="40" w:after="80"/>
              <w:rPr>
                <w:rFonts w:ascii="Arial Narrow" w:hAnsi="Arial Narrow"/>
              </w:rPr>
            </w:pPr>
            <w:r>
              <w:rPr>
                <w:rFonts w:ascii="Arial Narrow" w:hAnsi="Arial Narrow"/>
              </w:rPr>
              <w:t>Freitas et al, 2013</w:t>
            </w:r>
          </w:p>
        </w:tc>
        <w:tc>
          <w:tcPr>
            <w:tcW w:w="1497" w:type="dxa"/>
          </w:tcPr>
          <w:p w14:paraId="4FB14C54" w14:textId="77777777" w:rsidR="00E47AB8" w:rsidRPr="008B2F8A" w:rsidRDefault="00E47AB8" w:rsidP="00422306">
            <w:pPr>
              <w:spacing w:before="40" w:after="80"/>
              <w:rPr>
                <w:rFonts w:ascii="Arial Narrow" w:hAnsi="Arial Narrow"/>
              </w:rPr>
            </w:pPr>
            <w:r w:rsidRPr="008B2F8A">
              <w:rPr>
                <w:rFonts w:ascii="Arial Narrow" w:hAnsi="Arial Narrow"/>
              </w:rPr>
              <w:t>Biopsy</w:t>
            </w:r>
          </w:p>
        </w:tc>
        <w:tc>
          <w:tcPr>
            <w:tcW w:w="389" w:type="dxa"/>
          </w:tcPr>
          <w:p w14:paraId="5FCA0E9A" w14:textId="77777777" w:rsidR="00E47AB8" w:rsidRPr="008B2F8A" w:rsidRDefault="00E47AB8" w:rsidP="00422306">
            <w:pPr>
              <w:spacing w:before="40" w:after="80"/>
              <w:rPr>
                <w:rFonts w:ascii="Arial Narrow" w:hAnsi="Arial Narrow"/>
              </w:rPr>
            </w:pPr>
            <w:r w:rsidRPr="008B2F8A">
              <w:rPr>
                <w:rFonts w:ascii="Arial Narrow" w:hAnsi="Arial Narrow"/>
              </w:rPr>
              <w:t>12</w:t>
            </w:r>
          </w:p>
        </w:tc>
        <w:tc>
          <w:tcPr>
            <w:tcW w:w="389" w:type="dxa"/>
          </w:tcPr>
          <w:p w14:paraId="659F0CD9" w14:textId="77777777" w:rsidR="00E47AB8" w:rsidRPr="008B2F8A" w:rsidRDefault="00E47AB8" w:rsidP="00422306">
            <w:pPr>
              <w:spacing w:before="40" w:after="80"/>
              <w:rPr>
                <w:rFonts w:ascii="Arial Narrow" w:hAnsi="Arial Narrow"/>
              </w:rPr>
            </w:pPr>
            <w:r w:rsidRPr="008B2F8A">
              <w:rPr>
                <w:rFonts w:ascii="Arial Narrow" w:hAnsi="Arial Narrow"/>
              </w:rPr>
              <w:t>5</w:t>
            </w:r>
          </w:p>
        </w:tc>
        <w:tc>
          <w:tcPr>
            <w:tcW w:w="402" w:type="dxa"/>
          </w:tcPr>
          <w:p w14:paraId="21BCD80C" w14:textId="77777777" w:rsidR="00E47AB8" w:rsidRPr="008B2F8A" w:rsidRDefault="00E47AB8" w:rsidP="00422306">
            <w:pPr>
              <w:spacing w:before="40" w:after="80"/>
              <w:rPr>
                <w:rFonts w:ascii="Arial Narrow" w:hAnsi="Arial Narrow"/>
              </w:rPr>
            </w:pPr>
            <w:r w:rsidRPr="008B2F8A">
              <w:rPr>
                <w:rFonts w:ascii="Arial Narrow" w:hAnsi="Arial Narrow"/>
              </w:rPr>
              <w:t>1</w:t>
            </w:r>
          </w:p>
        </w:tc>
        <w:tc>
          <w:tcPr>
            <w:tcW w:w="483" w:type="dxa"/>
          </w:tcPr>
          <w:p w14:paraId="64B8F775" w14:textId="77777777" w:rsidR="00E47AB8" w:rsidRPr="008B2F8A" w:rsidRDefault="00E47AB8" w:rsidP="00422306">
            <w:pPr>
              <w:spacing w:before="40" w:after="80"/>
              <w:rPr>
                <w:rFonts w:ascii="Arial Narrow" w:hAnsi="Arial Narrow"/>
              </w:rPr>
            </w:pPr>
            <w:r w:rsidRPr="008B2F8A">
              <w:rPr>
                <w:rFonts w:ascii="Arial Narrow" w:hAnsi="Arial Narrow"/>
              </w:rPr>
              <w:t>80</w:t>
            </w:r>
          </w:p>
        </w:tc>
        <w:tc>
          <w:tcPr>
            <w:tcW w:w="2231" w:type="dxa"/>
          </w:tcPr>
          <w:p w14:paraId="26FA3F10" w14:textId="77777777" w:rsidR="00E47AB8" w:rsidRPr="008B2F8A" w:rsidRDefault="00E47AB8" w:rsidP="00422306">
            <w:pPr>
              <w:spacing w:before="40" w:after="80"/>
              <w:rPr>
                <w:rFonts w:ascii="Arial Narrow" w:hAnsi="Arial Narrow"/>
              </w:rPr>
            </w:pPr>
            <w:r w:rsidRPr="008B2F8A">
              <w:rPr>
                <w:rFonts w:ascii="Arial Narrow" w:hAnsi="Arial Narrow"/>
              </w:rPr>
              <w:t>0.92 [0.64, 1.00]</w:t>
            </w:r>
          </w:p>
        </w:tc>
        <w:tc>
          <w:tcPr>
            <w:tcW w:w="2231" w:type="dxa"/>
          </w:tcPr>
          <w:p w14:paraId="69521071" w14:textId="77777777" w:rsidR="00E47AB8" w:rsidRPr="008B2F8A" w:rsidRDefault="00E47AB8" w:rsidP="00422306">
            <w:pPr>
              <w:spacing w:before="40" w:after="80"/>
              <w:rPr>
                <w:rFonts w:ascii="Arial Narrow" w:hAnsi="Arial Narrow"/>
              </w:rPr>
            </w:pPr>
            <w:r w:rsidRPr="008B2F8A">
              <w:rPr>
                <w:rFonts w:ascii="Arial Narrow" w:hAnsi="Arial Narrow"/>
              </w:rPr>
              <w:t>0.94 [0.87, 0.98]</w:t>
            </w:r>
          </w:p>
        </w:tc>
      </w:tr>
      <w:tr w:rsidR="00E47AB8" w:rsidRPr="008B2F8A" w14:paraId="39819423" w14:textId="77777777" w:rsidTr="00422306">
        <w:tc>
          <w:tcPr>
            <w:tcW w:w="1448" w:type="dxa"/>
          </w:tcPr>
          <w:p w14:paraId="1BA98991" w14:textId="15A9DE22" w:rsidR="00E47AB8" w:rsidRPr="008B2F8A" w:rsidRDefault="00E47AB8" w:rsidP="00422306">
            <w:pPr>
              <w:spacing w:before="40" w:after="80"/>
              <w:rPr>
                <w:rFonts w:ascii="Arial Narrow" w:hAnsi="Arial Narrow"/>
              </w:rPr>
            </w:pPr>
            <w:r>
              <w:rPr>
                <w:rFonts w:ascii="Arial Narrow" w:hAnsi="Arial Narrow"/>
              </w:rPr>
              <w:t>Ng et al, 2013</w:t>
            </w:r>
          </w:p>
        </w:tc>
        <w:tc>
          <w:tcPr>
            <w:tcW w:w="1497" w:type="dxa"/>
          </w:tcPr>
          <w:p w14:paraId="520F3F97" w14:textId="77777777" w:rsidR="00E47AB8" w:rsidRPr="008B2F8A" w:rsidRDefault="00E47AB8" w:rsidP="00422306">
            <w:pPr>
              <w:spacing w:before="40" w:after="80"/>
              <w:rPr>
                <w:rFonts w:ascii="Arial Narrow" w:hAnsi="Arial Narrow"/>
              </w:rPr>
            </w:pPr>
            <w:r w:rsidRPr="008B2F8A">
              <w:rPr>
                <w:rFonts w:ascii="Arial Narrow" w:hAnsi="Arial Narrow"/>
              </w:rPr>
              <w:t>Biopsy</w:t>
            </w:r>
          </w:p>
        </w:tc>
        <w:tc>
          <w:tcPr>
            <w:tcW w:w="389" w:type="dxa"/>
            <w:vAlign w:val="center"/>
          </w:tcPr>
          <w:p w14:paraId="2E075B60" w14:textId="77777777" w:rsidR="00E47AB8" w:rsidRPr="008B2F8A" w:rsidRDefault="00E47AB8" w:rsidP="00422306">
            <w:pPr>
              <w:spacing w:before="40" w:after="80"/>
              <w:rPr>
                <w:rFonts w:ascii="Arial Narrow" w:hAnsi="Arial Narrow"/>
              </w:rPr>
            </w:pPr>
            <w:r w:rsidRPr="008B2F8A">
              <w:rPr>
                <w:rFonts w:ascii="Arial Narrow" w:hAnsi="Arial Narrow"/>
              </w:rPr>
              <w:t>12</w:t>
            </w:r>
          </w:p>
        </w:tc>
        <w:tc>
          <w:tcPr>
            <w:tcW w:w="389" w:type="dxa"/>
            <w:vAlign w:val="center"/>
          </w:tcPr>
          <w:p w14:paraId="6B492B58" w14:textId="77777777" w:rsidR="00E47AB8" w:rsidRPr="008B2F8A" w:rsidRDefault="00E47AB8" w:rsidP="00422306">
            <w:pPr>
              <w:spacing w:before="40" w:after="80"/>
              <w:rPr>
                <w:rFonts w:ascii="Arial Narrow" w:hAnsi="Arial Narrow"/>
              </w:rPr>
            </w:pPr>
            <w:r w:rsidRPr="008B2F8A">
              <w:rPr>
                <w:rFonts w:ascii="Arial Narrow" w:hAnsi="Arial Narrow"/>
              </w:rPr>
              <w:t>30</w:t>
            </w:r>
          </w:p>
        </w:tc>
        <w:tc>
          <w:tcPr>
            <w:tcW w:w="402" w:type="dxa"/>
            <w:vAlign w:val="center"/>
          </w:tcPr>
          <w:p w14:paraId="7110B505" w14:textId="77777777" w:rsidR="00E47AB8" w:rsidRPr="008B2F8A" w:rsidRDefault="00E47AB8" w:rsidP="00422306">
            <w:pPr>
              <w:spacing w:before="40" w:after="80"/>
              <w:rPr>
                <w:rFonts w:ascii="Arial Narrow" w:hAnsi="Arial Narrow"/>
              </w:rPr>
            </w:pPr>
            <w:r w:rsidRPr="008B2F8A">
              <w:rPr>
                <w:rFonts w:ascii="Arial Narrow" w:hAnsi="Arial Narrow"/>
              </w:rPr>
              <w:t>7</w:t>
            </w:r>
          </w:p>
        </w:tc>
        <w:tc>
          <w:tcPr>
            <w:tcW w:w="483" w:type="dxa"/>
            <w:vAlign w:val="center"/>
          </w:tcPr>
          <w:p w14:paraId="28FD69F1" w14:textId="77777777" w:rsidR="00E47AB8" w:rsidRPr="008B2F8A" w:rsidRDefault="00E47AB8" w:rsidP="00422306">
            <w:pPr>
              <w:spacing w:before="40" w:after="80"/>
              <w:rPr>
                <w:rFonts w:ascii="Arial Narrow" w:hAnsi="Arial Narrow"/>
              </w:rPr>
            </w:pPr>
            <w:r w:rsidRPr="008B2F8A">
              <w:rPr>
                <w:rFonts w:ascii="Arial Narrow" w:hAnsi="Arial Narrow"/>
              </w:rPr>
              <w:t>289</w:t>
            </w:r>
          </w:p>
        </w:tc>
        <w:tc>
          <w:tcPr>
            <w:tcW w:w="2231" w:type="dxa"/>
            <w:vAlign w:val="center"/>
          </w:tcPr>
          <w:p w14:paraId="1CD61666" w14:textId="77777777" w:rsidR="00E47AB8" w:rsidRPr="008B2F8A" w:rsidRDefault="00E47AB8" w:rsidP="00422306">
            <w:pPr>
              <w:spacing w:before="40" w:after="80"/>
              <w:rPr>
                <w:rFonts w:ascii="Arial Narrow" w:hAnsi="Arial Narrow"/>
              </w:rPr>
            </w:pPr>
            <w:r w:rsidRPr="008B2F8A">
              <w:rPr>
                <w:rFonts w:ascii="Arial Narrow" w:hAnsi="Arial Narrow"/>
              </w:rPr>
              <w:t>0.63 [0.38, 0.84]</w:t>
            </w:r>
          </w:p>
        </w:tc>
        <w:tc>
          <w:tcPr>
            <w:tcW w:w="2231" w:type="dxa"/>
            <w:vAlign w:val="center"/>
          </w:tcPr>
          <w:p w14:paraId="5C260458" w14:textId="77777777" w:rsidR="00E47AB8" w:rsidRPr="008B2F8A" w:rsidRDefault="00E47AB8" w:rsidP="00422306">
            <w:pPr>
              <w:spacing w:before="40" w:after="80"/>
              <w:rPr>
                <w:rFonts w:ascii="Arial Narrow" w:hAnsi="Arial Narrow"/>
              </w:rPr>
            </w:pPr>
            <w:r w:rsidRPr="008B2F8A">
              <w:rPr>
                <w:rFonts w:ascii="Arial Narrow" w:hAnsi="Arial Narrow"/>
              </w:rPr>
              <w:t>0.91 [0.87, 0.94]</w:t>
            </w:r>
          </w:p>
        </w:tc>
      </w:tr>
      <w:tr w:rsidR="00E47AB8" w:rsidRPr="008B2F8A" w14:paraId="3D0CB07F" w14:textId="77777777" w:rsidTr="00422306">
        <w:tc>
          <w:tcPr>
            <w:tcW w:w="1448" w:type="dxa"/>
          </w:tcPr>
          <w:p w14:paraId="3B1CD955" w14:textId="30BB6923" w:rsidR="00E47AB8" w:rsidRPr="008B2F8A" w:rsidRDefault="00E47AB8" w:rsidP="00422306">
            <w:pPr>
              <w:spacing w:before="40" w:after="80"/>
              <w:rPr>
                <w:rFonts w:ascii="Arial Narrow" w:hAnsi="Arial Narrow"/>
              </w:rPr>
            </w:pPr>
            <w:r>
              <w:rPr>
                <w:rFonts w:ascii="Arial Narrow" w:hAnsi="Arial Narrow"/>
              </w:rPr>
              <w:t>Sung et al, 2011</w:t>
            </w:r>
          </w:p>
        </w:tc>
        <w:tc>
          <w:tcPr>
            <w:tcW w:w="1497" w:type="dxa"/>
          </w:tcPr>
          <w:p w14:paraId="5CCA6AD1" w14:textId="77777777" w:rsidR="00E47AB8" w:rsidRPr="008B2F8A" w:rsidRDefault="00E47AB8" w:rsidP="00422306">
            <w:pPr>
              <w:spacing w:before="40" w:after="80"/>
              <w:rPr>
                <w:rFonts w:ascii="Arial Narrow" w:hAnsi="Arial Narrow"/>
              </w:rPr>
            </w:pPr>
            <w:r w:rsidRPr="008B2F8A">
              <w:rPr>
                <w:rFonts w:ascii="Arial Narrow" w:hAnsi="Arial Narrow"/>
              </w:rPr>
              <w:t>Biopsy</w:t>
            </w:r>
          </w:p>
        </w:tc>
        <w:tc>
          <w:tcPr>
            <w:tcW w:w="389" w:type="dxa"/>
          </w:tcPr>
          <w:p w14:paraId="5C70C511" w14:textId="77777777" w:rsidR="00E47AB8" w:rsidRPr="008B2F8A" w:rsidRDefault="00E47AB8" w:rsidP="00422306">
            <w:pPr>
              <w:spacing w:before="40" w:after="80"/>
              <w:rPr>
                <w:rFonts w:ascii="Arial Narrow" w:hAnsi="Arial Narrow"/>
              </w:rPr>
            </w:pPr>
            <w:r w:rsidRPr="008B2F8A">
              <w:rPr>
                <w:rFonts w:ascii="Arial Narrow" w:hAnsi="Arial Narrow"/>
              </w:rPr>
              <w:t>6</w:t>
            </w:r>
          </w:p>
        </w:tc>
        <w:tc>
          <w:tcPr>
            <w:tcW w:w="389" w:type="dxa"/>
          </w:tcPr>
          <w:p w14:paraId="6D4501A7" w14:textId="77777777" w:rsidR="00E47AB8" w:rsidRPr="008B2F8A" w:rsidRDefault="00E47AB8" w:rsidP="00422306">
            <w:pPr>
              <w:spacing w:before="40" w:after="80"/>
              <w:rPr>
                <w:rFonts w:ascii="Arial Narrow" w:hAnsi="Arial Narrow"/>
              </w:rPr>
            </w:pPr>
            <w:r w:rsidRPr="008B2F8A">
              <w:rPr>
                <w:rFonts w:ascii="Arial Narrow" w:hAnsi="Arial Narrow"/>
              </w:rPr>
              <w:t>15</w:t>
            </w:r>
          </w:p>
        </w:tc>
        <w:tc>
          <w:tcPr>
            <w:tcW w:w="402" w:type="dxa"/>
          </w:tcPr>
          <w:p w14:paraId="0B5D53C4" w14:textId="77777777" w:rsidR="00E47AB8" w:rsidRPr="008B2F8A" w:rsidRDefault="00E47AB8" w:rsidP="00422306">
            <w:pPr>
              <w:spacing w:before="40" w:after="80"/>
              <w:rPr>
                <w:rFonts w:ascii="Arial Narrow" w:hAnsi="Arial Narrow"/>
              </w:rPr>
            </w:pPr>
            <w:r w:rsidRPr="008B2F8A">
              <w:rPr>
                <w:rFonts w:ascii="Arial Narrow" w:hAnsi="Arial Narrow"/>
              </w:rPr>
              <w:t>3</w:t>
            </w:r>
          </w:p>
        </w:tc>
        <w:tc>
          <w:tcPr>
            <w:tcW w:w="483" w:type="dxa"/>
          </w:tcPr>
          <w:p w14:paraId="16632F7E" w14:textId="77777777" w:rsidR="00E47AB8" w:rsidRPr="008B2F8A" w:rsidRDefault="00E47AB8" w:rsidP="00422306">
            <w:pPr>
              <w:spacing w:before="40" w:after="80"/>
              <w:rPr>
                <w:rFonts w:ascii="Arial Narrow" w:hAnsi="Arial Narrow"/>
              </w:rPr>
            </w:pPr>
            <w:r w:rsidRPr="008B2F8A">
              <w:rPr>
                <w:rFonts w:ascii="Arial Narrow" w:hAnsi="Arial Narrow"/>
              </w:rPr>
              <w:t>67</w:t>
            </w:r>
          </w:p>
        </w:tc>
        <w:tc>
          <w:tcPr>
            <w:tcW w:w="2231" w:type="dxa"/>
          </w:tcPr>
          <w:p w14:paraId="7621AB78" w14:textId="77777777" w:rsidR="00E47AB8" w:rsidRPr="008B2F8A" w:rsidRDefault="00E47AB8" w:rsidP="00422306">
            <w:pPr>
              <w:spacing w:before="40" w:after="80"/>
              <w:rPr>
                <w:rFonts w:ascii="Arial Narrow" w:hAnsi="Arial Narrow"/>
              </w:rPr>
            </w:pPr>
            <w:r w:rsidRPr="008B2F8A">
              <w:rPr>
                <w:rFonts w:ascii="Arial Narrow" w:hAnsi="Arial Narrow"/>
              </w:rPr>
              <w:t>0.67 [0.30, 0.93]</w:t>
            </w:r>
          </w:p>
        </w:tc>
        <w:tc>
          <w:tcPr>
            <w:tcW w:w="2231" w:type="dxa"/>
          </w:tcPr>
          <w:p w14:paraId="04BC0B5D" w14:textId="77777777" w:rsidR="00E47AB8" w:rsidRPr="008B2F8A" w:rsidRDefault="00E47AB8" w:rsidP="00422306">
            <w:pPr>
              <w:spacing w:before="40" w:after="80"/>
              <w:rPr>
                <w:rFonts w:ascii="Arial Narrow" w:hAnsi="Arial Narrow"/>
              </w:rPr>
            </w:pPr>
            <w:r w:rsidRPr="008B2F8A">
              <w:rPr>
                <w:rFonts w:ascii="Arial Narrow" w:hAnsi="Arial Narrow"/>
              </w:rPr>
              <w:t>0.82 [0.72, 0.89]</w:t>
            </w:r>
          </w:p>
        </w:tc>
      </w:tr>
    </w:tbl>
    <w:p w14:paraId="2ADBDD71" w14:textId="7DEBBD37" w:rsidR="00E47AB8" w:rsidRPr="008B2F8A" w:rsidRDefault="00E47AB8" w:rsidP="00BC154E">
      <w:pPr>
        <w:pStyle w:val="TableNotesLast"/>
      </w:pPr>
      <w:r w:rsidRPr="008B2F8A">
        <w:t>CI = confidence interval; TP = true-positive; FP = false-positive; FN = false-negative; TN = true-negative</w:t>
      </w:r>
    </w:p>
    <w:p w14:paraId="4FCB01B4" w14:textId="57C6F1F9" w:rsidR="00E47AB8" w:rsidRPr="008B2F8A" w:rsidRDefault="00E47AB8" w:rsidP="00422306">
      <w:pPr>
        <w:pStyle w:val="Caption"/>
      </w:pPr>
      <w:bookmarkStart w:id="931" w:name="_Ref368492883"/>
      <w:bookmarkStart w:id="932" w:name="_Toc383424606"/>
      <w:r w:rsidRPr="008B2F8A">
        <w:t xml:space="preserve">Table </w:t>
      </w:r>
      <w:fldSimple w:instr=" STYLEREF 1 \s ">
        <w:r w:rsidR="00B81273">
          <w:rPr>
            <w:noProof/>
          </w:rPr>
          <w:t>B</w:t>
        </w:r>
      </w:fldSimple>
      <w:r w:rsidRPr="008B2F8A">
        <w:t>.</w:t>
      </w:r>
      <w:fldSimple w:instr=" SEQ Table \* ARABIC \s 1 ">
        <w:r w:rsidR="00B81273">
          <w:rPr>
            <w:noProof/>
          </w:rPr>
          <w:t>40</w:t>
        </w:r>
      </w:fldSimple>
      <w:bookmarkEnd w:id="931"/>
      <w:r w:rsidRPr="008B2F8A">
        <w:tab/>
      </w:r>
      <w:bookmarkStart w:id="933" w:name="OLE_LINK1061"/>
      <w:bookmarkStart w:id="934" w:name="OLE_LINK1062"/>
      <w:r w:rsidRPr="008B2F8A">
        <w:t>Diagnostic accuracy of mammography</w:t>
      </w:r>
      <w:bookmarkEnd w:id="933"/>
      <w:bookmarkEnd w:id="934"/>
      <w:r w:rsidRPr="008B2F8A">
        <w:t>.</w:t>
      </w:r>
      <w:bookmarkEnd w:id="932"/>
    </w:p>
    <w:tbl>
      <w:tblPr>
        <w:tblStyle w:val="TableGrid"/>
        <w:tblW w:w="9071" w:type="dxa"/>
        <w:tblCellMar>
          <w:left w:w="28" w:type="dxa"/>
          <w:right w:w="28" w:type="dxa"/>
        </w:tblCellMar>
        <w:tblLook w:val="04A0" w:firstRow="1" w:lastRow="0" w:firstColumn="1" w:lastColumn="0" w:noHBand="0" w:noVBand="1"/>
        <w:tblCaption w:val="Diagnostic accuracy of mammography"/>
      </w:tblPr>
      <w:tblGrid>
        <w:gridCol w:w="1448"/>
        <w:gridCol w:w="1497"/>
        <w:gridCol w:w="390"/>
        <w:gridCol w:w="390"/>
        <w:gridCol w:w="403"/>
        <w:gridCol w:w="483"/>
        <w:gridCol w:w="2230"/>
        <w:gridCol w:w="2230"/>
      </w:tblGrid>
      <w:tr w:rsidR="00E47AB8" w:rsidRPr="008B2F8A" w14:paraId="6FD58AB8" w14:textId="77777777" w:rsidTr="00422306">
        <w:trPr>
          <w:tblHeader/>
        </w:trPr>
        <w:tc>
          <w:tcPr>
            <w:tcW w:w="1448" w:type="dxa"/>
            <w:vAlign w:val="center"/>
          </w:tcPr>
          <w:p w14:paraId="3A0D456F"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497" w:type="dxa"/>
          </w:tcPr>
          <w:p w14:paraId="2A2D9482" w14:textId="77777777" w:rsidR="00E47AB8" w:rsidRPr="008B2F8A" w:rsidRDefault="00E47AB8" w:rsidP="00422306">
            <w:pPr>
              <w:spacing w:before="40" w:after="80"/>
              <w:rPr>
                <w:rFonts w:ascii="Arial Narrow" w:hAnsi="Arial Narrow"/>
                <w:b/>
              </w:rPr>
            </w:pPr>
            <w:r w:rsidRPr="008B2F8A">
              <w:rPr>
                <w:rFonts w:ascii="Arial Narrow" w:hAnsi="Arial Narrow"/>
                <w:b/>
              </w:rPr>
              <w:t>Positive test</w:t>
            </w:r>
          </w:p>
        </w:tc>
        <w:tc>
          <w:tcPr>
            <w:tcW w:w="390" w:type="dxa"/>
            <w:vAlign w:val="center"/>
          </w:tcPr>
          <w:p w14:paraId="31A70942" w14:textId="77777777" w:rsidR="00E47AB8" w:rsidRPr="008B2F8A" w:rsidRDefault="00E47AB8" w:rsidP="00422306">
            <w:pPr>
              <w:spacing w:before="40" w:after="80"/>
              <w:rPr>
                <w:rFonts w:ascii="Arial Narrow" w:hAnsi="Arial Narrow"/>
                <w:b/>
              </w:rPr>
            </w:pPr>
            <w:r w:rsidRPr="008B2F8A">
              <w:rPr>
                <w:rFonts w:ascii="Arial Narrow" w:hAnsi="Arial Narrow"/>
                <w:b/>
              </w:rPr>
              <w:t>TP</w:t>
            </w:r>
          </w:p>
        </w:tc>
        <w:tc>
          <w:tcPr>
            <w:tcW w:w="390" w:type="dxa"/>
            <w:vAlign w:val="center"/>
          </w:tcPr>
          <w:p w14:paraId="701AEE22" w14:textId="77777777" w:rsidR="00E47AB8" w:rsidRPr="008B2F8A" w:rsidRDefault="00E47AB8" w:rsidP="00422306">
            <w:pPr>
              <w:spacing w:before="40" w:after="80"/>
              <w:rPr>
                <w:rFonts w:ascii="Arial Narrow" w:hAnsi="Arial Narrow"/>
                <w:b/>
              </w:rPr>
            </w:pPr>
            <w:r w:rsidRPr="008B2F8A">
              <w:rPr>
                <w:rFonts w:ascii="Arial Narrow" w:hAnsi="Arial Narrow"/>
                <w:b/>
              </w:rPr>
              <w:t>FP</w:t>
            </w:r>
          </w:p>
        </w:tc>
        <w:tc>
          <w:tcPr>
            <w:tcW w:w="403" w:type="dxa"/>
            <w:vAlign w:val="center"/>
          </w:tcPr>
          <w:p w14:paraId="542E814A" w14:textId="77777777" w:rsidR="00E47AB8" w:rsidRPr="008B2F8A" w:rsidRDefault="00E47AB8" w:rsidP="00422306">
            <w:pPr>
              <w:spacing w:before="40" w:after="80"/>
              <w:rPr>
                <w:rFonts w:ascii="Arial Narrow" w:hAnsi="Arial Narrow"/>
                <w:b/>
              </w:rPr>
            </w:pPr>
            <w:r w:rsidRPr="008B2F8A">
              <w:rPr>
                <w:rFonts w:ascii="Arial Narrow" w:hAnsi="Arial Narrow"/>
                <w:b/>
              </w:rPr>
              <w:t>FN</w:t>
            </w:r>
          </w:p>
        </w:tc>
        <w:tc>
          <w:tcPr>
            <w:tcW w:w="483" w:type="dxa"/>
            <w:vAlign w:val="center"/>
          </w:tcPr>
          <w:p w14:paraId="1722E64D" w14:textId="77777777" w:rsidR="00E47AB8" w:rsidRPr="008B2F8A" w:rsidRDefault="00E47AB8" w:rsidP="00422306">
            <w:pPr>
              <w:spacing w:before="40" w:after="80"/>
              <w:rPr>
                <w:rFonts w:ascii="Arial Narrow" w:hAnsi="Arial Narrow"/>
                <w:b/>
              </w:rPr>
            </w:pPr>
            <w:r w:rsidRPr="008B2F8A">
              <w:rPr>
                <w:rFonts w:ascii="Arial Narrow" w:hAnsi="Arial Narrow"/>
                <w:b/>
              </w:rPr>
              <w:t>TN</w:t>
            </w:r>
          </w:p>
        </w:tc>
        <w:tc>
          <w:tcPr>
            <w:tcW w:w="2230" w:type="dxa"/>
            <w:vAlign w:val="center"/>
          </w:tcPr>
          <w:p w14:paraId="30E9D976" w14:textId="085D33E8" w:rsidR="00E47AB8" w:rsidRPr="008B2F8A" w:rsidRDefault="00E47AB8" w:rsidP="00422306">
            <w:pPr>
              <w:spacing w:before="40" w:after="80"/>
              <w:rPr>
                <w:rFonts w:ascii="Arial Narrow" w:hAnsi="Arial Narrow"/>
                <w:b/>
              </w:rPr>
            </w:pPr>
            <w:r w:rsidRPr="008B2F8A">
              <w:rPr>
                <w:rFonts w:ascii="Arial Narrow" w:hAnsi="Arial Narrow"/>
                <w:b/>
              </w:rPr>
              <w:t xml:space="preserve">Sensitivity </w:t>
            </w:r>
            <w:r>
              <w:rPr>
                <w:rFonts w:ascii="Arial Narrow" w:hAnsi="Arial Narrow"/>
                <w:b/>
              </w:rPr>
              <w:t>[</w:t>
            </w:r>
            <w:r w:rsidRPr="008B2F8A">
              <w:rPr>
                <w:rFonts w:ascii="Arial Narrow" w:hAnsi="Arial Narrow"/>
                <w:b/>
              </w:rPr>
              <w:t>95% CI</w:t>
            </w:r>
            <w:r>
              <w:rPr>
                <w:rFonts w:ascii="Arial Narrow" w:hAnsi="Arial Narrow"/>
                <w:b/>
              </w:rPr>
              <w:t>]</w:t>
            </w:r>
          </w:p>
        </w:tc>
        <w:tc>
          <w:tcPr>
            <w:tcW w:w="2230" w:type="dxa"/>
            <w:vAlign w:val="center"/>
          </w:tcPr>
          <w:p w14:paraId="16485445" w14:textId="73E06A67" w:rsidR="00E47AB8" w:rsidRPr="008B2F8A" w:rsidRDefault="00E47AB8" w:rsidP="00422306">
            <w:pPr>
              <w:spacing w:before="40" w:after="80"/>
              <w:rPr>
                <w:rFonts w:ascii="Arial Narrow" w:hAnsi="Arial Narrow"/>
                <w:b/>
              </w:rPr>
            </w:pPr>
            <w:r w:rsidRPr="008B2F8A">
              <w:rPr>
                <w:rFonts w:ascii="Arial Narrow" w:hAnsi="Arial Narrow"/>
                <w:b/>
              </w:rPr>
              <w:t xml:space="preserve">Specificity </w:t>
            </w:r>
            <w:r>
              <w:rPr>
                <w:rFonts w:ascii="Arial Narrow" w:hAnsi="Arial Narrow"/>
                <w:b/>
              </w:rPr>
              <w:t>[</w:t>
            </w:r>
            <w:r w:rsidRPr="008B2F8A">
              <w:rPr>
                <w:rFonts w:ascii="Arial Narrow" w:hAnsi="Arial Narrow"/>
                <w:b/>
              </w:rPr>
              <w:t>95% CI</w:t>
            </w:r>
            <w:r>
              <w:rPr>
                <w:rFonts w:ascii="Arial Narrow" w:hAnsi="Arial Narrow"/>
                <w:b/>
              </w:rPr>
              <w:t>]</w:t>
            </w:r>
          </w:p>
        </w:tc>
      </w:tr>
      <w:tr w:rsidR="00E47AB8" w:rsidRPr="008B2F8A" w14:paraId="329E0740" w14:textId="77777777" w:rsidTr="00422306">
        <w:tc>
          <w:tcPr>
            <w:tcW w:w="1448" w:type="dxa"/>
          </w:tcPr>
          <w:p w14:paraId="6E37A2C3" w14:textId="035EF96B" w:rsidR="00E47AB8" w:rsidRPr="008B2F8A" w:rsidRDefault="00E47AB8" w:rsidP="00422306">
            <w:pPr>
              <w:spacing w:before="40" w:after="80"/>
              <w:rPr>
                <w:rFonts w:ascii="Arial Narrow" w:hAnsi="Arial Narrow"/>
              </w:rPr>
            </w:pPr>
            <w:r>
              <w:rPr>
                <w:rFonts w:ascii="Arial Narrow" w:hAnsi="Arial Narrow"/>
              </w:rPr>
              <w:t>Freitas et al, 2013</w:t>
            </w:r>
          </w:p>
        </w:tc>
        <w:tc>
          <w:tcPr>
            <w:tcW w:w="1497" w:type="dxa"/>
          </w:tcPr>
          <w:p w14:paraId="676BFEA9" w14:textId="77777777" w:rsidR="00E47AB8" w:rsidRPr="008B2F8A" w:rsidRDefault="00E47AB8" w:rsidP="00422306">
            <w:pPr>
              <w:spacing w:before="40" w:after="80"/>
              <w:rPr>
                <w:rFonts w:ascii="Arial Narrow" w:hAnsi="Arial Narrow"/>
              </w:rPr>
            </w:pPr>
            <w:r w:rsidRPr="008B2F8A">
              <w:rPr>
                <w:rFonts w:ascii="Arial Narrow" w:hAnsi="Arial Narrow"/>
              </w:rPr>
              <w:t>Biopsy</w:t>
            </w:r>
          </w:p>
        </w:tc>
        <w:tc>
          <w:tcPr>
            <w:tcW w:w="390" w:type="dxa"/>
          </w:tcPr>
          <w:p w14:paraId="351581EC" w14:textId="77777777" w:rsidR="00E47AB8" w:rsidRPr="008B2F8A" w:rsidRDefault="00E47AB8" w:rsidP="00422306">
            <w:pPr>
              <w:spacing w:before="40" w:after="80"/>
              <w:rPr>
                <w:rFonts w:ascii="Arial Narrow" w:hAnsi="Arial Narrow"/>
              </w:rPr>
            </w:pPr>
            <w:r w:rsidRPr="008B2F8A">
              <w:rPr>
                <w:rFonts w:ascii="Arial Narrow" w:hAnsi="Arial Narrow"/>
              </w:rPr>
              <w:t>9</w:t>
            </w:r>
          </w:p>
        </w:tc>
        <w:tc>
          <w:tcPr>
            <w:tcW w:w="390" w:type="dxa"/>
          </w:tcPr>
          <w:p w14:paraId="1525FD20" w14:textId="77777777" w:rsidR="00E47AB8" w:rsidRPr="008B2F8A" w:rsidRDefault="00E47AB8" w:rsidP="00422306">
            <w:pPr>
              <w:spacing w:before="40" w:after="80"/>
              <w:rPr>
                <w:rFonts w:ascii="Arial Narrow" w:hAnsi="Arial Narrow"/>
              </w:rPr>
            </w:pPr>
            <w:r w:rsidRPr="008B2F8A">
              <w:rPr>
                <w:rFonts w:ascii="Arial Narrow" w:hAnsi="Arial Narrow"/>
              </w:rPr>
              <w:t>2</w:t>
            </w:r>
          </w:p>
        </w:tc>
        <w:tc>
          <w:tcPr>
            <w:tcW w:w="403" w:type="dxa"/>
          </w:tcPr>
          <w:p w14:paraId="6D6C658D" w14:textId="77777777" w:rsidR="00E47AB8" w:rsidRPr="008B2F8A" w:rsidRDefault="00E47AB8" w:rsidP="00422306">
            <w:pPr>
              <w:spacing w:before="40" w:after="80"/>
              <w:rPr>
                <w:rFonts w:ascii="Arial Narrow" w:hAnsi="Arial Narrow"/>
              </w:rPr>
            </w:pPr>
            <w:r w:rsidRPr="008B2F8A">
              <w:rPr>
                <w:rFonts w:ascii="Arial Narrow" w:hAnsi="Arial Narrow"/>
              </w:rPr>
              <w:t>4</w:t>
            </w:r>
          </w:p>
        </w:tc>
        <w:tc>
          <w:tcPr>
            <w:tcW w:w="483" w:type="dxa"/>
          </w:tcPr>
          <w:p w14:paraId="7280C383" w14:textId="77777777" w:rsidR="00E47AB8" w:rsidRPr="008B2F8A" w:rsidRDefault="00E47AB8" w:rsidP="00422306">
            <w:pPr>
              <w:spacing w:before="40" w:after="80"/>
              <w:rPr>
                <w:rFonts w:ascii="Arial Narrow" w:hAnsi="Arial Narrow"/>
              </w:rPr>
            </w:pPr>
            <w:r w:rsidRPr="008B2F8A">
              <w:rPr>
                <w:rFonts w:ascii="Arial Narrow" w:hAnsi="Arial Narrow"/>
              </w:rPr>
              <w:t>83</w:t>
            </w:r>
          </w:p>
        </w:tc>
        <w:tc>
          <w:tcPr>
            <w:tcW w:w="2230" w:type="dxa"/>
          </w:tcPr>
          <w:p w14:paraId="50D96B01" w14:textId="77777777" w:rsidR="00E47AB8" w:rsidRPr="008B2F8A" w:rsidRDefault="00E47AB8" w:rsidP="00422306">
            <w:pPr>
              <w:spacing w:before="40" w:after="80"/>
              <w:rPr>
                <w:rFonts w:ascii="Arial Narrow" w:hAnsi="Arial Narrow"/>
              </w:rPr>
            </w:pPr>
            <w:r w:rsidRPr="008B2F8A">
              <w:rPr>
                <w:rFonts w:ascii="Arial Narrow" w:hAnsi="Arial Narrow"/>
              </w:rPr>
              <w:t>0.69 [0.39, 0.91]</w:t>
            </w:r>
          </w:p>
        </w:tc>
        <w:tc>
          <w:tcPr>
            <w:tcW w:w="2230" w:type="dxa"/>
          </w:tcPr>
          <w:p w14:paraId="3FEAED4A" w14:textId="77777777" w:rsidR="00E47AB8" w:rsidRPr="008B2F8A" w:rsidRDefault="00E47AB8" w:rsidP="00422306">
            <w:pPr>
              <w:spacing w:before="40" w:after="80"/>
              <w:rPr>
                <w:rFonts w:ascii="Arial Narrow" w:hAnsi="Arial Narrow"/>
              </w:rPr>
            </w:pPr>
            <w:r w:rsidRPr="008B2F8A">
              <w:rPr>
                <w:rFonts w:ascii="Arial Narrow" w:hAnsi="Arial Narrow"/>
              </w:rPr>
              <w:t>0.98 [0.92, 1.00]</w:t>
            </w:r>
          </w:p>
        </w:tc>
      </w:tr>
      <w:tr w:rsidR="00E47AB8" w:rsidRPr="008B2F8A" w14:paraId="026C9053" w14:textId="77777777" w:rsidTr="00422306">
        <w:tc>
          <w:tcPr>
            <w:tcW w:w="1448" w:type="dxa"/>
          </w:tcPr>
          <w:p w14:paraId="7388F425" w14:textId="6D93250E" w:rsidR="00E47AB8" w:rsidRPr="008B2F8A" w:rsidRDefault="00E47AB8" w:rsidP="00422306">
            <w:pPr>
              <w:spacing w:before="40" w:after="80"/>
              <w:rPr>
                <w:rFonts w:ascii="Arial Narrow" w:hAnsi="Arial Narrow"/>
              </w:rPr>
            </w:pPr>
            <w:r>
              <w:rPr>
                <w:rFonts w:ascii="Arial Narrow" w:hAnsi="Arial Narrow"/>
              </w:rPr>
              <w:t>Ng et al, 2013</w:t>
            </w:r>
          </w:p>
        </w:tc>
        <w:tc>
          <w:tcPr>
            <w:tcW w:w="1497" w:type="dxa"/>
          </w:tcPr>
          <w:p w14:paraId="680B1DBC" w14:textId="77777777" w:rsidR="00E47AB8" w:rsidRPr="008B2F8A" w:rsidRDefault="00E47AB8" w:rsidP="00422306">
            <w:pPr>
              <w:spacing w:before="40" w:after="80"/>
              <w:rPr>
                <w:rFonts w:ascii="Arial Narrow" w:hAnsi="Arial Narrow"/>
              </w:rPr>
            </w:pPr>
            <w:r w:rsidRPr="008B2F8A">
              <w:rPr>
                <w:rFonts w:ascii="Arial Narrow" w:hAnsi="Arial Narrow"/>
              </w:rPr>
              <w:t>Biopsy</w:t>
            </w:r>
          </w:p>
        </w:tc>
        <w:tc>
          <w:tcPr>
            <w:tcW w:w="390" w:type="dxa"/>
            <w:vAlign w:val="center"/>
          </w:tcPr>
          <w:p w14:paraId="0D809D87" w14:textId="77777777" w:rsidR="00E47AB8" w:rsidRPr="008B2F8A" w:rsidRDefault="00E47AB8" w:rsidP="00422306">
            <w:pPr>
              <w:spacing w:before="40" w:after="80"/>
              <w:rPr>
                <w:rFonts w:ascii="Arial Narrow" w:hAnsi="Arial Narrow"/>
              </w:rPr>
            </w:pPr>
            <w:r w:rsidRPr="008B2F8A">
              <w:rPr>
                <w:rFonts w:ascii="Arial Narrow" w:hAnsi="Arial Narrow"/>
              </w:rPr>
              <w:t>13</w:t>
            </w:r>
          </w:p>
        </w:tc>
        <w:tc>
          <w:tcPr>
            <w:tcW w:w="390" w:type="dxa"/>
            <w:vAlign w:val="center"/>
          </w:tcPr>
          <w:p w14:paraId="1A27EA8F" w14:textId="77777777" w:rsidR="00E47AB8" w:rsidRPr="008B2F8A" w:rsidRDefault="00E47AB8" w:rsidP="00422306">
            <w:pPr>
              <w:spacing w:before="40" w:after="80"/>
              <w:rPr>
                <w:rFonts w:ascii="Arial Narrow" w:hAnsi="Arial Narrow"/>
              </w:rPr>
            </w:pPr>
            <w:r w:rsidRPr="008B2F8A">
              <w:rPr>
                <w:rFonts w:ascii="Arial Narrow" w:hAnsi="Arial Narrow"/>
              </w:rPr>
              <w:t>25</w:t>
            </w:r>
          </w:p>
        </w:tc>
        <w:tc>
          <w:tcPr>
            <w:tcW w:w="403" w:type="dxa"/>
            <w:vAlign w:val="center"/>
          </w:tcPr>
          <w:p w14:paraId="085E315E" w14:textId="77777777" w:rsidR="00E47AB8" w:rsidRPr="008B2F8A" w:rsidRDefault="00E47AB8" w:rsidP="00422306">
            <w:pPr>
              <w:spacing w:before="40" w:after="80"/>
              <w:rPr>
                <w:rFonts w:ascii="Arial Narrow" w:hAnsi="Arial Narrow"/>
              </w:rPr>
            </w:pPr>
            <w:r w:rsidRPr="008B2F8A">
              <w:rPr>
                <w:rFonts w:ascii="Arial Narrow" w:hAnsi="Arial Narrow"/>
              </w:rPr>
              <w:t>6</w:t>
            </w:r>
          </w:p>
        </w:tc>
        <w:tc>
          <w:tcPr>
            <w:tcW w:w="483" w:type="dxa"/>
            <w:vAlign w:val="center"/>
          </w:tcPr>
          <w:p w14:paraId="20988638" w14:textId="77777777" w:rsidR="00E47AB8" w:rsidRPr="008B2F8A" w:rsidRDefault="00E47AB8" w:rsidP="00422306">
            <w:pPr>
              <w:spacing w:before="40" w:after="80"/>
              <w:rPr>
                <w:rFonts w:ascii="Arial Narrow" w:hAnsi="Arial Narrow"/>
              </w:rPr>
            </w:pPr>
            <w:r w:rsidRPr="008B2F8A">
              <w:rPr>
                <w:rFonts w:ascii="Arial Narrow" w:hAnsi="Arial Narrow"/>
              </w:rPr>
              <w:t>294</w:t>
            </w:r>
          </w:p>
        </w:tc>
        <w:tc>
          <w:tcPr>
            <w:tcW w:w="2230" w:type="dxa"/>
            <w:vAlign w:val="center"/>
          </w:tcPr>
          <w:p w14:paraId="1661C61F" w14:textId="77777777" w:rsidR="00E47AB8" w:rsidRPr="008B2F8A" w:rsidRDefault="00E47AB8" w:rsidP="00422306">
            <w:pPr>
              <w:spacing w:before="40" w:after="80"/>
              <w:rPr>
                <w:rFonts w:ascii="Arial Narrow" w:hAnsi="Arial Narrow"/>
              </w:rPr>
            </w:pPr>
            <w:r w:rsidRPr="008B2F8A">
              <w:rPr>
                <w:rFonts w:ascii="Arial Narrow" w:hAnsi="Arial Narrow"/>
              </w:rPr>
              <w:t>0.68 [0.43, 0.87]</w:t>
            </w:r>
          </w:p>
        </w:tc>
        <w:tc>
          <w:tcPr>
            <w:tcW w:w="2230" w:type="dxa"/>
            <w:vAlign w:val="center"/>
          </w:tcPr>
          <w:p w14:paraId="3FFA5A72" w14:textId="77777777" w:rsidR="00E47AB8" w:rsidRPr="008B2F8A" w:rsidRDefault="00E47AB8" w:rsidP="00422306">
            <w:pPr>
              <w:spacing w:before="40" w:after="80"/>
              <w:rPr>
                <w:rFonts w:ascii="Arial Narrow" w:hAnsi="Arial Narrow"/>
              </w:rPr>
            </w:pPr>
            <w:r w:rsidRPr="008B2F8A">
              <w:rPr>
                <w:rFonts w:ascii="Arial Narrow" w:hAnsi="Arial Narrow"/>
              </w:rPr>
              <w:t>0.92 [0.89, 0.95]</w:t>
            </w:r>
          </w:p>
        </w:tc>
      </w:tr>
      <w:tr w:rsidR="00E47AB8" w:rsidRPr="008B2F8A" w14:paraId="264A9564" w14:textId="77777777" w:rsidTr="00422306">
        <w:tc>
          <w:tcPr>
            <w:tcW w:w="1448" w:type="dxa"/>
          </w:tcPr>
          <w:p w14:paraId="19E96984" w14:textId="41018A37" w:rsidR="00E47AB8" w:rsidRPr="008B2F8A" w:rsidRDefault="00E47AB8" w:rsidP="00422306">
            <w:pPr>
              <w:spacing w:before="40" w:after="80"/>
              <w:rPr>
                <w:rFonts w:ascii="Arial Narrow" w:hAnsi="Arial Narrow"/>
              </w:rPr>
            </w:pPr>
            <w:r>
              <w:rPr>
                <w:rFonts w:ascii="Arial Narrow" w:hAnsi="Arial Narrow"/>
              </w:rPr>
              <w:t>Sung et al, 2011</w:t>
            </w:r>
          </w:p>
        </w:tc>
        <w:tc>
          <w:tcPr>
            <w:tcW w:w="1497" w:type="dxa"/>
          </w:tcPr>
          <w:p w14:paraId="2A81AAA0" w14:textId="77777777" w:rsidR="00E47AB8" w:rsidRPr="008B2F8A" w:rsidRDefault="00E47AB8" w:rsidP="00422306">
            <w:pPr>
              <w:spacing w:before="40" w:after="80"/>
              <w:rPr>
                <w:rFonts w:ascii="Arial Narrow" w:hAnsi="Arial Narrow"/>
              </w:rPr>
            </w:pPr>
            <w:r w:rsidRPr="008B2F8A">
              <w:rPr>
                <w:rFonts w:ascii="Arial Narrow" w:hAnsi="Arial Narrow"/>
              </w:rPr>
              <w:t>Biopsy</w:t>
            </w:r>
          </w:p>
        </w:tc>
        <w:tc>
          <w:tcPr>
            <w:tcW w:w="390" w:type="dxa"/>
          </w:tcPr>
          <w:p w14:paraId="4B7B730C" w14:textId="77777777" w:rsidR="00E47AB8" w:rsidRPr="008B2F8A" w:rsidRDefault="00E47AB8" w:rsidP="00422306">
            <w:pPr>
              <w:spacing w:before="40" w:after="80"/>
              <w:rPr>
                <w:rFonts w:ascii="Arial Narrow" w:hAnsi="Arial Narrow"/>
              </w:rPr>
            </w:pPr>
            <w:r w:rsidRPr="008B2F8A">
              <w:rPr>
                <w:rFonts w:ascii="Arial Narrow" w:hAnsi="Arial Narrow"/>
              </w:rPr>
              <w:t>6</w:t>
            </w:r>
          </w:p>
        </w:tc>
        <w:tc>
          <w:tcPr>
            <w:tcW w:w="390" w:type="dxa"/>
          </w:tcPr>
          <w:p w14:paraId="59F972AB" w14:textId="77777777" w:rsidR="00E47AB8" w:rsidRPr="008B2F8A" w:rsidRDefault="00E47AB8" w:rsidP="00422306">
            <w:pPr>
              <w:spacing w:before="40" w:after="80"/>
              <w:rPr>
                <w:rFonts w:ascii="Arial Narrow" w:hAnsi="Arial Narrow"/>
              </w:rPr>
            </w:pPr>
            <w:r w:rsidRPr="008B2F8A">
              <w:rPr>
                <w:rFonts w:ascii="Arial Narrow" w:hAnsi="Arial Narrow"/>
              </w:rPr>
              <w:t>5</w:t>
            </w:r>
          </w:p>
        </w:tc>
        <w:tc>
          <w:tcPr>
            <w:tcW w:w="403" w:type="dxa"/>
          </w:tcPr>
          <w:p w14:paraId="51B0E5C2" w14:textId="77777777" w:rsidR="00E47AB8" w:rsidRPr="008B2F8A" w:rsidRDefault="00E47AB8" w:rsidP="00422306">
            <w:pPr>
              <w:spacing w:before="40" w:after="80"/>
              <w:rPr>
                <w:rFonts w:ascii="Arial Narrow" w:hAnsi="Arial Narrow"/>
              </w:rPr>
            </w:pPr>
            <w:r w:rsidRPr="008B2F8A">
              <w:rPr>
                <w:rFonts w:ascii="Arial Narrow" w:hAnsi="Arial Narrow"/>
              </w:rPr>
              <w:t>3</w:t>
            </w:r>
          </w:p>
        </w:tc>
        <w:tc>
          <w:tcPr>
            <w:tcW w:w="483" w:type="dxa"/>
          </w:tcPr>
          <w:p w14:paraId="0A6B22F0" w14:textId="77777777" w:rsidR="00E47AB8" w:rsidRPr="008B2F8A" w:rsidRDefault="00E47AB8" w:rsidP="00422306">
            <w:pPr>
              <w:spacing w:before="40" w:after="80"/>
              <w:rPr>
                <w:rFonts w:ascii="Arial Narrow" w:hAnsi="Arial Narrow"/>
              </w:rPr>
            </w:pPr>
            <w:r w:rsidRPr="008B2F8A">
              <w:rPr>
                <w:rFonts w:ascii="Arial Narrow" w:hAnsi="Arial Narrow"/>
              </w:rPr>
              <w:t>69</w:t>
            </w:r>
          </w:p>
        </w:tc>
        <w:tc>
          <w:tcPr>
            <w:tcW w:w="2230" w:type="dxa"/>
          </w:tcPr>
          <w:p w14:paraId="4B281466" w14:textId="77777777" w:rsidR="00E47AB8" w:rsidRPr="008B2F8A" w:rsidRDefault="00E47AB8" w:rsidP="00422306">
            <w:pPr>
              <w:spacing w:before="40" w:after="80"/>
              <w:rPr>
                <w:rFonts w:ascii="Arial Narrow" w:hAnsi="Arial Narrow"/>
              </w:rPr>
            </w:pPr>
            <w:r w:rsidRPr="008B2F8A">
              <w:rPr>
                <w:rFonts w:ascii="Arial Narrow" w:hAnsi="Arial Narrow"/>
              </w:rPr>
              <w:t>0.67 [0.30, 0.93]</w:t>
            </w:r>
          </w:p>
        </w:tc>
        <w:tc>
          <w:tcPr>
            <w:tcW w:w="2230" w:type="dxa"/>
          </w:tcPr>
          <w:p w14:paraId="5BA36445" w14:textId="77777777" w:rsidR="00E47AB8" w:rsidRPr="008B2F8A" w:rsidRDefault="00E47AB8" w:rsidP="00422306">
            <w:pPr>
              <w:spacing w:before="40" w:after="80"/>
              <w:rPr>
                <w:rFonts w:ascii="Arial Narrow" w:hAnsi="Arial Narrow"/>
              </w:rPr>
            </w:pPr>
            <w:r w:rsidRPr="008B2F8A">
              <w:rPr>
                <w:rFonts w:ascii="Arial Narrow" w:hAnsi="Arial Narrow"/>
              </w:rPr>
              <w:t>0.93 [0.85, 0.98]</w:t>
            </w:r>
          </w:p>
        </w:tc>
      </w:tr>
    </w:tbl>
    <w:p w14:paraId="1651ED81" w14:textId="77777777" w:rsidR="00E47AB8" w:rsidRPr="008B2F8A" w:rsidRDefault="00E47AB8" w:rsidP="00BC154E">
      <w:pPr>
        <w:pStyle w:val="TableNotesLast"/>
      </w:pPr>
      <w:r w:rsidRPr="008B2F8A">
        <w:lastRenderedPageBreak/>
        <w:t>CI = confidence interval; TP = true-positive; FP = false-positive; FN = false-negative; TN = true-negative.</w:t>
      </w:r>
    </w:p>
    <w:p w14:paraId="60112EF9" w14:textId="77777777" w:rsidR="00E47AB8" w:rsidRPr="008B2F8A" w:rsidRDefault="00E47AB8" w:rsidP="00422306">
      <w:pPr>
        <w:pStyle w:val="Heading4"/>
      </w:pPr>
      <w:r w:rsidRPr="008B2F8A">
        <w:t>Additional cancer yield</w:t>
      </w:r>
    </w:p>
    <w:p w14:paraId="0E4400BE" w14:textId="1AB2E952" w:rsidR="00E47AB8" w:rsidRPr="008B2F8A" w:rsidRDefault="00E47AB8" w:rsidP="00422306">
      <w:r w:rsidRPr="008B2F8A">
        <w:t xml:space="preserve">The only study which compared MRI </w:t>
      </w:r>
      <w:r>
        <w:t>+</w:t>
      </w:r>
      <w:r w:rsidRPr="008B2F8A">
        <w:t xml:space="preserve"> mammography with mammography </w:t>
      </w:r>
      <w:r w:rsidRPr="008B2F8A">
        <w:rPr>
          <w:noProof/>
        </w:rPr>
        <w:t>(Ng et al, 2013)</w:t>
      </w:r>
      <w:r w:rsidRPr="008B2F8A">
        <w:t xml:space="preserve"> reported an incremental yield of 14.8 cancers per 1000 screening rounds with the addition of MRI (</w:t>
      </w:r>
      <w:r w:rsidRPr="008B2F8A">
        <w:fldChar w:fldCharType="begin"/>
      </w:r>
      <w:r w:rsidRPr="008B2F8A">
        <w:instrText xml:space="preserve"> REF _Ref368648835 \h </w:instrText>
      </w:r>
      <w:r w:rsidRPr="008B2F8A">
        <w:fldChar w:fldCharType="separate"/>
      </w:r>
      <w:r w:rsidR="00B81273" w:rsidRPr="008B2F8A">
        <w:t xml:space="preserve">Table </w:t>
      </w:r>
      <w:r w:rsidR="00B81273">
        <w:rPr>
          <w:noProof/>
        </w:rPr>
        <w:t>B</w:t>
      </w:r>
      <w:r w:rsidR="00B81273" w:rsidRPr="008B2F8A">
        <w:t>.</w:t>
      </w:r>
      <w:r w:rsidR="00B81273">
        <w:rPr>
          <w:noProof/>
        </w:rPr>
        <w:t>41</w:t>
      </w:r>
      <w:r w:rsidRPr="008B2F8A">
        <w:fldChar w:fldCharType="end"/>
      </w:r>
      <w:r w:rsidRPr="008B2F8A">
        <w:t xml:space="preserve">). This population had a high prevalence of disease and a lower incremental sensitivity than studies of women with high familial risk of breast cancer (see </w:t>
      </w:r>
      <w:r w:rsidRPr="008B2F8A">
        <w:fldChar w:fldCharType="begin"/>
      </w:r>
      <w:r w:rsidRPr="008B2F8A">
        <w:instrText xml:space="preserve"> REF _Ref368559372 \h </w:instrText>
      </w:r>
      <w:r w:rsidRPr="008B2F8A">
        <w:fldChar w:fldCharType="separate"/>
      </w:r>
      <w:r w:rsidR="00B81273" w:rsidRPr="008B2F8A">
        <w:t xml:space="preserve">Table </w:t>
      </w:r>
      <w:r w:rsidR="00B81273">
        <w:rPr>
          <w:noProof/>
        </w:rPr>
        <w:t>B</w:t>
      </w:r>
      <w:r w:rsidR="00B81273" w:rsidRPr="008B2F8A">
        <w:t>.</w:t>
      </w:r>
      <w:r w:rsidR="00B81273">
        <w:rPr>
          <w:noProof/>
        </w:rPr>
        <w:t>28</w:t>
      </w:r>
      <w:r w:rsidRPr="008B2F8A">
        <w:fldChar w:fldCharType="end"/>
      </w:r>
      <w:r w:rsidRPr="008B2F8A">
        <w:t xml:space="preserve">, page </w:t>
      </w:r>
      <w:r w:rsidRPr="008B2F8A">
        <w:fldChar w:fldCharType="begin"/>
      </w:r>
      <w:r w:rsidRPr="008B2F8A">
        <w:instrText xml:space="preserve"> PAGEREF _Ref368648701 \h </w:instrText>
      </w:r>
      <w:r w:rsidRPr="008B2F8A">
        <w:fldChar w:fldCharType="separate"/>
      </w:r>
      <w:r w:rsidR="00B81273">
        <w:rPr>
          <w:noProof/>
        </w:rPr>
        <w:t>48</w:t>
      </w:r>
      <w:r w:rsidRPr="008B2F8A">
        <w:fldChar w:fldCharType="end"/>
      </w:r>
      <w:r w:rsidRPr="008B2F8A">
        <w:t xml:space="preserve">). The prevalence of disease in this study may be affected by the very low number of women </w:t>
      </w:r>
      <w:r>
        <w:t xml:space="preserve">(4%) </w:t>
      </w:r>
      <w:r w:rsidRPr="008B2F8A">
        <w:t>who had had prior breast MRI.</w:t>
      </w:r>
    </w:p>
    <w:p w14:paraId="61DD3D48" w14:textId="77777777" w:rsidR="00E47AB8" w:rsidRPr="008B2F8A" w:rsidRDefault="00E47AB8" w:rsidP="00422306">
      <w:pPr>
        <w:pStyle w:val="Caption"/>
      </w:pPr>
      <w:bookmarkStart w:id="935" w:name="_Ref368648835"/>
      <w:bookmarkStart w:id="936" w:name="_Toc383424607"/>
      <w:r w:rsidRPr="008B2F8A">
        <w:t xml:space="preserve">Table </w:t>
      </w:r>
      <w:fldSimple w:instr=" STYLEREF 1 \s ">
        <w:r w:rsidR="00B81273">
          <w:rPr>
            <w:noProof/>
          </w:rPr>
          <w:t>B</w:t>
        </w:r>
      </w:fldSimple>
      <w:r w:rsidRPr="008B2F8A">
        <w:t>.</w:t>
      </w:r>
      <w:fldSimple w:instr=" SEQ Table \* ARABIC \s 1 ">
        <w:r w:rsidR="00B81273">
          <w:rPr>
            <w:noProof/>
          </w:rPr>
          <w:t>41</w:t>
        </w:r>
      </w:fldSimple>
      <w:bookmarkEnd w:id="935"/>
      <w:r w:rsidRPr="008B2F8A">
        <w:tab/>
      </w:r>
      <w:bookmarkStart w:id="937" w:name="OLE_LINK1063"/>
      <w:bookmarkStart w:id="938" w:name="OLE_LINK1064"/>
      <w:r w:rsidRPr="008B2F8A">
        <w:t>Incremental cancer yield of MRI over conventional testing</w:t>
      </w:r>
      <w:r>
        <w:t xml:space="preserve"> (</w:t>
      </w:r>
      <w:r w:rsidRPr="00EA3633">
        <w:t>Ng et al, 2013</w:t>
      </w:r>
      <w:r>
        <w:t>)</w:t>
      </w:r>
      <w:bookmarkEnd w:id="937"/>
      <w:bookmarkEnd w:id="938"/>
      <w:r w:rsidRPr="008B2F8A">
        <w:t>.</w:t>
      </w:r>
      <w:bookmarkEnd w:id="936"/>
    </w:p>
    <w:tbl>
      <w:tblPr>
        <w:tblStyle w:val="TableGrid"/>
        <w:tblW w:w="9070" w:type="dxa"/>
        <w:tblCellMar>
          <w:left w:w="28" w:type="dxa"/>
          <w:right w:w="28" w:type="dxa"/>
        </w:tblCellMar>
        <w:tblLook w:val="04A0" w:firstRow="1" w:lastRow="0" w:firstColumn="1" w:lastColumn="0" w:noHBand="0" w:noVBand="1"/>
        <w:tblCaption w:val="Incremental cancer yield of MRI over conventional testing (Ng et al, 2013)"/>
      </w:tblPr>
      <w:tblGrid>
        <w:gridCol w:w="1278"/>
        <w:gridCol w:w="1558"/>
        <w:gridCol w:w="1327"/>
        <w:gridCol w:w="1390"/>
        <w:gridCol w:w="1892"/>
        <w:gridCol w:w="1625"/>
      </w:tblGrid>
      <w:tr w:rsidR="00E47AB8" w:rsidRPr="008B2F8A" w14:paraId="16287A0E" w14:textId="77777777" w:rsidTr="00BC154E">
        <w:trPr>
          <w:tblHeader/>
        </w:trPr>
        <w:tc>
          <w:tcPr>
            <w:tcW w:w="1278" w:type="dxa"/>
            <w:vAlign w:val="bottom"/>
          </w:tcPr>
          <w:p w14:paraId="7F84DF33"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Conventional testing</w:t>
            </w:r>
          </w:p>
        </w:tc>
        <w:tc>
          <w:tcPr>
            <w:tcW w:w="1558" w:type="dxa"/>
            <w:vAlign w:val="bottom"/>
          </w:tcPr>
          <w:p w14:paraId="2773A4E2"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Prevalence of breast cancer (1st screening round)</w:t>
            </w:r>
          </w:p>
        </w:tc>
        <w:tc>
          <w:tcPr>
            <w:tcW w:w="0" w:type="auto"/>
            <w:vAlign w:val="bottom"/>
          </w:tcPr>
          <w:p w14:paraId="1A894799"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Total breast cancers detected</w:t>
            </w:r>
          </w:p>
        </w:tc>
        <w:tc>
          <w:tcPr>
            <w:tcW w:w="0" w:type="auto"/>
            <w:vAlign w:val="bottom"/>
          </w:tcPr>
          <w:p w14:paraId="1F8C75BA"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Incremental cancer yield</w:t>
            </w:r>
          </w:p>
        </w:tc>
        <w:tc>
          <w:tcPr>
            <w:tcW w:w="0" w:type="auto"/>
            <w:vAlign w:val="bottom"/>
          </w:tcPr>
          <w:p w14:paraId="6A8D1C70" w14:textId="77777777" w:rsidR="00E47AB8" w:rsidRPr="008B2F8A" w:rsidRDefault="00E47AB8" w:rsidP="00422306">
            <w:pPr>
              <w:spacing w:before="40" w:after="80"/>
              <w:jc w:val="center"/>
              <w:rPr>
                <w:rFonts w:ascii="Arial Narrow" w:hAnsi="Arial Narrow"/>
                <w:b/>
              </w:rPr>
            </w:pPr>
            <w:r w:rsidRPr="008B2F8A">
              <w:rPr>
                <w:rFonts w:ascii="Arial Narrow" w:hAnsi="Arial Narrow"/>
                <w:b/>
              </w:rPr>
              <w:t>Incremental yield per 1000 screening rounds</w:t>
            </w:r>
          </w:p>
        </w:tc>
        <w:tc>
          <w:tcPr>
            <w:tcW w:w="0" w:type="auto"/>
            <w:vAlign w:val="bottom"/>
          </w:tcPr>
          <w:p w14:paraId="4288D38C" w14:textId="794E6808" w:rsidR="00E47AB8" w:rsidRPr="008B2F8A" w:rsidRDefault="00E47AB8" w:rsidP="00422306">
            <w:pPr>
              <w:spacing w:before="40" w:after="80"/>
              <w:jc w:val="center"/>
              <w:rPr>
                <w:rFonts w:ascii="Arial Narrow" w:hAnsi="Arial Narrow"/>
                <w:b/>
              </w:rPr>
            </w:pPr>
            <w:r w:rsidRPr="008B2F8A">
              <w:rPr>
                <w:rFonts w:ascii="Arial Narrow" w:hAnsi="Arial Narrow"/>
                <w:b/>
              </w:rPr>
              <w:t>Incremental sensitivity  using MRI</w:t>
            </w:r>
          </w:p>
        </w:tc>
      </w:tr>
      <w:tr w:rsidR="00E47AB8" w:rsidRPr="008B2F8A" w14:paraId="2F74BE14" w14:textId="77777777" w:rsidTr="00BC154E">
        <w:tc>
          <w:tcPr>
            <w:tcW w:w="1278" w:type="dxa"/>
            <w:vAlign w:val="center"/>
          </w:tcPr>
          <w:p w14:paraId="29DF168C" w14:textId="77777777" w:rsidR="00E47AB8" w:rsidRPr="008B2F8A" w:rsidRDefault="00E47AB8" w:rsidP="00422306">
            <w:pPr>
              <w:spacing w:before="40" w:after="80"/>
              <w:jc w:val="center"/>
              <w:rPr>
                <w:rFonts w:ascii="Arial Narrow" w:hAnsi="Arial Narrow"/>
              </w:rPr>
            </w:pPr>
            <w:r w:rsidRPr="008B2F8A">
              <w:rPr>
                <w:rFonts w:ascii="Arial Narrow" w:hAnsi="Arial Narrow"/>
              </w:rPr>
              <w:t>Mammography</w:t>
            </w:r>
          </w:p>
        </w:tc>
        <w:tc>
          <w:tcPr>
            <w:tcW w:w="1558" w:type="dxa"/>
            <w:vAlign w:val="center"/>
          </w:tcPr>
          <w:p w14:paraId="6E70B9D2" w14:textId="77777777" w:rsidR="00E47AB8" w:rsidRPr="008B2F8A" w:rsidRDefault="00E47AB8" w:rsidP="00422306">
            <w:pPr>
              <w:spacing w:before="40" w:after="80"/>
              <w:jc w:val="center"/>
              <w:rPr>
                <w:rFonts w:ascii="Arial Narrow" w:hAnsi="Arial Narrow"/>
              </w:rPr>
            </w:pPr>
            <w:r w:rsidRPr="008B2F8A">
              <w:rPr>
                <w:rFonts w:ascii="Arial Narrow" w:hAnsi="Arial Narrow"/>
              </w:rPr>
              <w:t>7/134 (5%)</w:t>
            </w:r>
          </w:p>
        </w:tc>
        <w:tc>
          <w:tcPr>
            <w:tcW w:w="0" w:type="auto"/>
            <w:vAlign w:val="center"/>
          </w:tcPr>
          <w:p w14:paraId="759599A2" w14:textId="77777777" w:rsidR="00E47AB8" w:rsidRPr="008B2F8A" w:rsidRDefault="00E47AB8" w:rsidP="00422306">
            <w:pPr>
              <w:spacing w:before="40" w:after="80"/>
              <w:jc w:val="center"/>
              <w:rPr>
                <w:rFonts w:ascii="Arial Narrow" w:hAnsi="Arial Narrow"/>
              </w:rPr>
            </w:pPr>
            <w:r w:rsidRPr="008B2F8A">
              <w:rPr>
                <w:rFonts w:ascii="Arial Narrow" w:hAnsi="Arial Narrow"/>
              </w:rPr>
              <w:t>18</w:t>
            </w:r>
          </w:p>
        </w:tc>
        <w:tc>
          <w:tcPr>
            <w:tcW w:w="0" w:type="auto"/>
            <w:vAlign w:val="center"/>
          </w:tcPr>
          <w:p w14:paraId="0733CEDF" w14:textId="77777777" w:rsidR="00E47AB8" w:rsidRPr="008B2F8A" w:rsidRDefault="00E47AB8" w:rsidP="00422306">
            <w:pPr>
              <w:spacing w:before="40" w:after="80"/>
              <w:jc w:val="center"/>
              <w:rPr>
                <w:rFonts w:ascii="Arial Narrow" w:hAnsi="Arial Narrow"/>
              </w:rPr>
            </w:pPr>
            <w:r w:rsidRPr="008B2F8A">
              <w:rPr>
                <w:rFonts w:ascii="Arial Narrow" w:hAnsi="Arial Narrow"/>
              </w:rPr>
              <w:t>5/338</w:t>
            </w:r>
          </w:p>
        </w:tc>
        <w:tc>
          <w:tcPr>
            <w:tcW w:w="0" w:type="auto"/>
            <w:vAlign w:val="center"/>
          </w:tcPr>
          <w:p w14:paraId="6993ED98" w14:textId="77777777" w:rsidR="00E47AB8" w:rsidRPr="008B2F8A" w:rsidRDefault="00E47AB8" w:rsidP="00422306">
            <w:pPr>
              <w:spacing w:before="40" w:after="80"/>
              <w:jc w:val="center"/>
              <w:rPr>
                <w:rFonts w:ascii="Arial Narrow" w:hAnsi="Arial Narrow"/>
              </w:rPr>
            </w:pPr>
            <w:r w:rsidRPr="008B2F8A">
              <w:rPr>
                <w:rFonts w:ascii="Arial Narrow" w:hAnsi="Arial Narrow"/>
              </w:rPr>
              <w:t>14.8</w:t>
            </w:r>
          </w:p>
        </w:tc>
        <w:tc>
          <w:tcPr>
            <w:tcW w:w="0" w:type="auto"/>
            <w:vAlign w:val="center"/>
          </w:tcPr>
          <w:p w14:paraId="6B0EBCFA" w14:textId="77777777" w:rsidR="00E47AB8" w:rsidRPr="008B2F8A" w:rsidRDefault="00E47AB8" w:rsidP="00422306">
            <w:pPr>
              <w:spacing w:before="40" w:after="80"/>
              <w:jc w:val="center"/>
              <w:rPr>
                <w:rFonts w:ascii="Arial Narrow" w:hAnsi="Arial Narrow"/>
              </w:rPr>
            </w:pPr>
            <w:r w:rsidRPr="008B2F8A">
              <w:rPr>
                <w:rFonts w:ascii="Arial Narrow" w:hAnsi="Arial Narrow"/>
              </w:rPr>
              <w:t>27%</w:t>
            </w:r>
          </w:p>
        </w:tc>
      </w:tr>
    </w:tbl>
    <w:p w14:paraId="2CACD777" w14:textId="77777777" w:rsidR="00E47AB8" w:rsidRPr="008B2F8A" w:rsidRDefault="00E47AB8" w:rsidP="00BC154E">
      <w:pPr>
        <w:pStyle w:val="TableNotesLast"/>
      </w:pPr>
      <w:r w:rsidRPr="008B2F8A">
        <w:t>MRI = magnetic resonance imaging; CI = confidence interval.</w:t>
      </w:r>
    </w:p>
    <w:p w14:paraId="7DD2ADAB" w14:textId="77777777" w:rsidR="00E47AB8" w:rsidRPr="008B2F8A" w:rsidRDefault="00E47AB8" w:rsidP="00422306">
      <w:pPr>
        <w:pStyle w:val="Heading4"/>
      </w:pPr>
      <w:r w:rsidRPr="008B2F8A">
        <w:t>Test recall rates</w:t>
      </w:r>
    </w:p>
    <w:p w14:paraId="165D773A" w14:textId="3BCE8167" w:rsidR="00E47AB8" w:rsidRPr="008B2F8A" w:rsidRDefault="00E47AB8" w:rsidP="00422306">
      <w:r w:rsidRPr="008B2F8A">
        <w:t xml:space="preserve">The recall rate reported by </w:t>
      </w:r>
      <w:r>
        <w:t>Ng et al (2013)</w:t>
      </w:r>
      <w:r w:rsidRPr="008B2F8A">
        <w:t xml:space="preserve"> was 38% of screens (</w:t>
      </w:r>
      <w:r w:rsidRPr="008B2F8A">
        <w:fldChar w:fldCharType="begin"/>
      </w:r>
      <w:r w:rsidRPr="008B2F8A">
        <w:instrText xml:space="preserve"> REF _Ref368650622 \h </w:instrText>
      </w:r>
      <w:r w:rsidRPr="008B2F8A">
        <w:fldChar w:fldCharType="separate"/>
      </w:r>
      <w:r w:rsidR="00B81273" w:rsidRPr="008B2F8A">
        <w:t xml:space="preserve">Table </w:t>
      </w:r>
      <w:r w:rsidR="00B81273">
        <w:rPr>
          <w:noProof/>
        </w:rPr>
        <w:t>B</w:t>
      </w:r>
      <w:r w:rsidR="00B81273" w:rsidRPr="008B2F8A">
        <w:t>.</w:t>
      </w:r>
      <w:r w:rsidR="00B81273">
        <w:rPr>
          <w:noProof/>
        </w:rPr>
        <w:t>42</w:t>
      </w:r>
      <w:r w:rsidRPr="008B2F8A">
        <w:fldChar w:fldCharType="end"/>
      </w:r>
      <w:r w:rsidRPr="008B2F8A">
        <w:t>)</w:t>
      </w:r>
      <w:r>
        <w:t>.</w:t>
      </w:r>
      <w:r w:rsidRPr="008B2F8A">
        <w:t xml:space="preserve"> The biopsy rate of </w:t>
      </w:r>
      <w:r>
        <w:t xml:space="preserve">the </w:t>
      </w:r>
      <w:r w:rsidRPr="008B2F8A">
        <w:t xml:space="preserve">combined tests </w:t>
      </w:r>
      <w:r>
        <w:t>(</w:t>
      </w:r>
      <w:r w:rsidRPr="008B2F8A">
        <w:t>18%</w:t>
      </w:r>
      <w:r>
        <w:t>;</w:t>
      </w:r>
      <w:r w:rsidRPr="008B2F8A">
        <w:t xml:space="preserve"> 34% of patients)</w:t>
      </w:r>
      <w:r>
        <w:t xml:space="preserve"> </w:t>
      </w:r>
      <w:r w:rsidRPr="008B2F8A">
        <w:t xml:space="preserve">was higher than </w:t>
      </w:r>
      <w:r>
        <w:t xml:space="preserve">that of </w:t>
      </w:r>
      <w:r w:rsidRPr="008B2F8A">
        <w:t xml:space="preserve">MRI </w:t>
      </w:r>
      <w:r>
        <w:t xml:space="preserve">(12%) </w:t>
      </w:r>
      <w:r w:rsidRPr="008B2F8A">
        <w:t xml:space="preserve">or mammography (11%). </w:t>
      </w:r>
      <w:r w:rsidRPr="00BC154E">
        <w:rPr>
          <w:spacing w:val="-4"/>
        </w:rPr>
        <w:t>The false-positive biopsy rate was 13% for the combined tests, 7% for mammography and 9% for MRI.</w:t>
      </w:r>
    </w:p>
    <w:p w14:paraId="1AB3BA86" w14:textId="513A3C26" w:rsidR="00E47AB8" w:rsidRPr="008B2F8A" w:rsidRDefault="00E47AB8" w:rsidP="00422306">
      <w:pPr>
        <w:pStyle w:val="Caption"/>
      </w:pPr>
      <w:bookmarkStart w:id="939" w:name="_Ref368650622"/>
      <w:bookmarkStart w:id="940" w:name="_Toc383424608"/>
      <w:r w:rsidRPr="008B2F8A">
        <w:t xml:space="preserve">Table </w:t>
      </w:r>
      <w:fldSimple w:instr=" STYLEREF 1 \s ">
        <w:r w:rsidR="00B81273">
          <w:rPr>
            <w:noProof/>
          </w:rPr>
          <w:t>B</w:t>
        </w:r>
      </w:fldSimple>
      <w:r w:rsidRPr="008B2F8A">
        <w:t>.</w:t>
      </w:r>
      <w:fldSimple w:instr=" SEQ Table \* ARABIC \s 1 ">
        <w:r w:rsidR="00B81273">
          <w:rPr>
            <w:noProof/>
          </w:rPr>
          <w:t>42</w:t>
        </w:r>
      </w:fldSimple>
      <w:bookmarkEnd w:id="939"/>
      <w:r w:rsidRPr="008B2F8A">
        <w:tab/>
      </w:r>
      <w:bookmarkStart w:id="941" w:name="OLE_LINK1065"/>
      <w:bookmarkStart w:id="942" w:name="OLE_LINK1066"/>
      <w:r w:rsidRPr="008B2F8A">
        <w:t xml:space="preserve">Test recall and biopsy rates reported by </w:t>
      </w:r>
      <w:r>
        <w:t>Ng et al (2013)</w:t>
      </w:r>
      <w:bookmarkEnd w:id="941"/>
      <w:bookmarkEnd w:id="942"/>
      <w:r w:rsidRPr="008B2F8A">
        <w:rPr>
          <w:noProof/>
        </w:rPr>
        <w:t>.</w:t>
      </w:r>
      <w:bookmarkEnd w:id="940"/>
    </w:p>
    <w:tbl>
      <w:tblPr>
        <w:tblStyle w:val="TableGrid"/>
        <w:tblW w:w="9070" w:type="dxa"/>
        <w:tblCellMar>
          <w:left w:w="28" w:type="dxa"/>
          <w:right w:w="28" w:type="dxa"/>
        </w:tblCellMar>
        <w:tblLook w:val="04A0" w:firstRow="1" w:lastRow="0" w:firstColumn="1" w:lastColumn="0" w:noHBand="0" w:noVBand="1"/>
        <w:tblCaption w:val="Test recall and biopsy rates reported by Ng et al (2013)"/>
      </w:tblPr>
      <w:tblGrid>
        <w:gridCol w:w="1448"/>
        <w:gridCol w:w="1562"/>
        <w:gridCol w:w="2698"/>
        <w:gridCol w:w="3362"/>
      </w:tblGrid>
      <w:tr w:rsidR="00E47AB8" w:rsidRPr="008B2F8A" w14:paraId="3A0DF9D3" w14:textId="77777777" w:rsidTr="00BC154E">
        <w:trPr>
          <w:tblHeader/>
        </w:trPr>
        <w:tc>
          <w:tcPr>
            <w:tcW w:w="1448" w:type="dxa"/>
            <w:vAlign w:val="bottom"/>
          </w:tcPr>
          <w:p w14:paraId="7C0760F8" w14:textId="77777777" w:rsidR="00E47AB8" w:rsidRPr="008B2F8A" w:rsidRDefault="00E47AB8" w:rsidP="00422306">
            <w:pPr>
              <w:pStyle w:val="Heading4"/>
              <w:spacing w:before="40" w:after="80"/>
              <w:outlineLvl w:val="3"/>
              <w:rPr>
                <w:rFonts w:ascii="Arial Narrow" w:hAnsi="Arial Narrow"/>
                <w:sz w:val="20"/>
                <w:szCs w:val="20"/>
              </w:rPr>
            </w:pPr>
            <w:r w:rsidRPr="008B2F8A">
              <w:rPr>
                <w:rFonts w:ascii="Arial Narrow" w:hAnsi="Arial Narrow"/>
                <w:sz w:val="20"/>
                <w:szCs w:val="20"/>
              </w:rPr>
              <w:t>No. of patients (No. of screens)</w:t>
            </w:r>
          </w:p>
        </w:tc>
        <w:tc>
          <w:tcPr>
            <w:tcW w:w="1562" w:type="dxa"/>
            <w:vAlign w:val="bottom"/>
          </w:tcPr>
          <w:p w14:paraId="4220166F" w14:textId="77777777" w:rsidR="00E47AB8" w:rsidRPr="008B2F8A" w:rsidRDefault="00E47AB8" w:rsidP="00422306">
            <w:pPr>
              <w:pStyle w:val="Heading4"/>
              <w:spacing w:before="40" w:after="80"/>
              <w:outlineLvl w:val="3"/>
              <w:rPr>
                <w:rFonts w:ascii="Arial Narrow" w:hAnsi="Arial Narrow"/>
                <w:sz w:val="20"/>
                <w:szCs w:val="20"/>
              </w:rPr>
            </w:pPr>
            <w:r w:rsidRPr="008B2F8A">
              <w:rPr>
                <w:rFonts w:ascii="Arial Narrow" w:hAnsi="Arial Narrow"/>
                <w:sz w:val="20"/>
                <w:szCs w:val="20"/>
              </w:rPr>
              <w:t>Recall rate</w:t>
            </w:r>
          </w:p>
        </w:tc>
        <w:tc>
          <w:tcPr>
            <w:tcW w:w="2698" w:type="dxa"/>
            <w:vAlign w:val="bottom"/>
          </w:tcPr>
          <w:p w14:paraId="64098267" w14:textId="77777777" w:rsidR="00E47AB8" w:rsidRPr="008B2F8A" w:rsidRDefault="00E47AB8" w:rsidP="00422306">
            <w:pPr>
              <w:pStyle w:val="Heading4"/>
              <w:spacing w:before="40" w:after="80"/>
              <w:outlineLvl w:val="3"/>
              <w:rPr>
                <w:rFonts w:ascii="Arial Narrow" w:hAnsi="Arial Narrow"/>
                <w:sz w:val="20"/>
                <w:szCs w:val="20"/>
              </w:rPr>
            </w:pPr>
            <w:r w:rsidRPr="008B2F8A">
              <w:rPr>
                <w:rFonts w:ascii="Arial Narrow" w:hAnsi="Arial Narrow"/>
                <w:sz w:val="20"/>
                <w:szCs w:val="20"/>
              </w:rPr>
              <w:t>Biopsy rate</w:t>
            </w:r>
          </w:p>
        </w:tc>
        <w:tc>
          <w:tcPr>
            <w:tcW w:w="3362" w:type="dxa"/>
            <w:vAlign w:val="bottom"/>
          </w:tcPr>
          <w:p w14:paraId="5BDCA0B4" w14:textId="77777777" w:rsidR="00E47AB8" w:rsidRPr="008B2F8A" w:rsidRDefault="00E47AB8">
            <w:pPr>
              <w:pStyle w:val="Heading4"/>
              <w:spacing w:before="40" w:after="80"/>
              <w:outlineLvl w:val="3"/>
              <w:rPr>
                <w:rFonts w:ascii="Arial Narrow" w:hAnsi="Arial Narrow"/>
                <w:sz w:val="20"/>
                <w:szCs w:val="20"/>
                <w:lang w:eastAsia="en-US"/>
              </w:rPr>
            </w:pPr>
            <w:r w:rsidRPr="008B2F8A">
              <w:rPr>
                <w:rFonts w:ascii="Arial Narrow" w:hAnsi="Arial Narrow"/>
                <w:sz w:val="20"/>
                <w:szCs w:val="20"/>
              </w:rPr>
              <w:t>False-positive biopsy rates</w:t>
            </w:r>
          </w:p>
        </w:tc>
      </w:tr>
      <w:tr w:rsidR="00E47AB8" w:rsidRPr="008B2F8A" w14:paraId="092D5651" w14:textId="77777777" w:rsidTr="00BC154E">
        <w:tc>
          <w:tcPr>
            <w:tcW w:w="1448" w:type="dxa"/>
          </w:tcPr>
          <w:p w14:paraId="4535E4BA" w14:textId="77777777" w:rsidR="00E47AB8" w:rsidRPr="008B2F8A" w:rsidRDefault="00E47AB8" w:rsidP="00422306">
            <w:pPr>
              <w:pStyle w:val="Heading4"/>
              <w:spacing w:before="40" w:after="80"/>
              <w:outlineLvl w:val="3"/>
              <w:rPr>
                <w:rFonts w:ascii="Arial Narrow" w:hAnsi="Arial Narrow"/>
                <w:b w:val="0"/>
                <w:sz w:val="20"/>
                <w:szCs w:val="20"/>
              </w:rPr>
            </w:pPr>
            <w:r w:rsidRPr="008B2F8A">
              <w:rPr>
                <w:rFonts w:ascii="Arial Narrow" w:hAnsi="Arial Narrow"/>
                <w:b w:val="0"/>
                <w:sz w:val="20"/>
                <w:szCs w:val="20"/>
              </w:rPr>
              <w:t>134 (345)</w:t>
            </w:r>
          </w:p>
        </w:tc>
        <w:tc>
          <w:tcPr>
            <w:tcW w:w="1562" w:type="dxa"/>
          </w:tcPr>
          <w:p w14:paraId="3F947B94" w14:textId="3521DC5C" w:rsidR="00E47AB8" w:rsidRPr="008B2F8A" w:rsidRDefault="00E47AB8" w:rsidP="00422306">
            <w:pPr>
              <w:pStyle w:val="Heading4"/>
              <w:spacing w:before="40" w:after="80"/>
              <w:outlineLvl w:val="3"/>
              <w:rPr>
                <w:rFonts w:ascii="Arial Narrow" w:hAnsi="Arial Narrow"/>
                <w:b w:val="0"/>
                <w:sz w:val="20"/>
                <w:szCs w:val="20"/>
              </w:rPr>
            </w:pPr>
            <w:r w:rsidRPr="008B2F8A">
              <w:rPr>
                <w:rFonts w:ascii="Arial Narrow" w:hAnsi="Arial Narrow"/>
                <w:b w:val="0"/>
                <w:sz w:val="20"/>
                <w:szCs w:val="20"/>
              </w:rPr>
              <w:t>MRI</w:t>
            </w:r>
            <w:r w:rsidRPr="008B2F8A">
              <w:rPr>
                <w:rFonts w:ascii="Arial Narrow" w:hAnsi="Arial Narrow"/>
              </w:rPr>
              <w:t>​</w:t>
            </w:r>
            <w:r w:rsidRPr="00BC154E">
              <w:rPr>
                <w:rFonts w:ascii="Arial Narrow" w:hAnsi="Arial Narrow"/>
                <w:b w:val="0"/>
                <w:sz w:val="20"/>
                <w:szCs w:val="20"/>
              </w:rPr>
              <w:t>+</w:t>
            </w:r>
            <w:r w:rsidRPr="008B2F8A">
              <w:rPr>
                <w:rFonts w:ascii="Arial Narrow" w:hAnsi="Arial Narrow"/>
              </w:rPr>
              <w:t>​</w:t>
            </w:r>
            <w:r w:rsidRPr="008B2F8A">
              <w:rPr>
                <w:rFonts w:ascii="Arial Narrow" w:hAnsi="Arial Narrow"/>
                <w:b w:val="0"/>
                <w:sz w:val="20"/>
                <w:szCs w:val="20"/>
              </w:rPr>
              <w:t>M: 132/345 (38%)</w:t>
            </w:r>
          </w:p>
        </w:tc>
        <w:tc>
          <w:tcPr>
            <w:tcW w:w="2698" w:type="dxa"/>
          </w:tcPr>
          <w:p w14:paraId="3E55A599" w14:textId="43B5867A" w:rsidR="00E47AB8" w:rsidRPr="008B2F8A" w:rsidRDefault="00E47AB8" w:rsidP="00422306">
            <w:pPr>
              <w:pStyle w:val="Heading4"/>
              <w:spacing w:before="40" w:after="80"/>
              <w:outlineLvl w:val="3"/>
              <w:rPr>
                <w:rFonts w:ascii="Arial Narrow" w:hAnsi="Arial Narrow"/>
                <w:b w:val="0"/>
                <w:sz w:val="20"/>
                <w:szCs w:val="20"/>
              </w:rPr>
            </w:pPr>
            <w:r w:rsidRPr="008B2F8A">
              <w:rPr>
                <w:rFonts w:ascii="Arial Narrow" w:hAnsi="Arial Narrow"/>
                <w:b w:val="0"/>
                <w:sz w:val="20"/>
                <w:szCs w:val="20"/>
              </w:rPr>
              <w:t>MRI</w:t>
            </w:r>
            <w:r w:rsidRPr="008B2F8A">
              <w:rPr>
                <w:rFonts w:ascii="Arial Narrow" w:hAnsi="Arial Narrow"/>
              </w:rPr>
              <w:t>​</w:t>
            </w:r>
            <w:r w:rsidRPr="00BC154E">
              <w:rPr>
                <w:rFonts w:ascii="Arial Narrow" w:hAnsi="Arial Narrow"/>
                <w:b w:val="0"/>
                <w:sz w:val="20"/>
                <w:szCs w:val="20"/>
              </w:rPr>
              <w:t>+</w:t>
            </w:r>
            <w:r w:rsidRPr="008B2F8A">
              <w:rPr>
                <w:rFonts w:ascii="Arial Narrow" w:hAnsi="Arial Narrow"/>
              </w:rPr>
              <w:t>​</w:t>
            </w:r>
            <w:r w:rsidRPr="008B2F8A">
              <w:rPr>
                <w:rFonts w:ascii="Arial Narrow" w:hAnsi="Arial Narrow"/>
                <w:b w:val="0"/>
                <w:sz w:val="20"/>
                <w:szCs w:val="20"/>
              </w:rPr>
              <w:t>M: 63/345 (18%) (screens)</w:t>
            </w:r>
          </w:p>
          <w:p w14:paraId="76BEA756" w14:textId="77777777" w:rsidR="00E47AB8" w:rsidRPr="008B2F8A" w:rsidRDefault="00E47AB8" w:rsidP="00422306">
            <w:pPr>
              <w:spacing w:before="40" w:after="80"/>
              <w:rPr>
                <w:rFonts w:ascii="Arial Narrow" w:hAnsi="Arial Narrow"/>
              </w:rPr>
            </w:pPr>
            <w:r w:rsidRPr="008B2F8A">
              <w:rPr>
                <w:rFonts w:ascii="Arial Narrow" w:hAnsi="Arial Narrow"/>
              </w:rPr>
              <w:t>45/134 (34%) (patients)</w:t>
            </w:r>
          </w:p>
          <w:p w14:paraId="0B267665" w14:textId="77777777" w:rsidR="00E47AB8" w:rsidRPr="008B2F8A" w:rsidRDefault="00E47AB8" w:rsidP="00422306">
            <w:pPr>
              <w:spacing w:before="40" w:after="80"/>
              <w:rPr>
                <w:rFonts w:ascii="Arial Narrow" w:hAnsi="Arial Narrow"/>
              </w:rPr>
            </w:pPr>
            <w:r w:rsidRPr="008B2F8A">
              <w:rPr>
                <w:rFonts w:ascii="Arial Narrow" w:hAnsi="Arial Narrow"/>
              </w:rPr>
              <w:t>M: 38/345 (11%)</w:t>
            </w:r>
          </w:p>
          <w:p w14:paraId="5D98C6BF" w14:textId="77777777" w:rsidR="00E47AB8" w:rsidRPr="008B2F8A" w:rsidRDefault="00E47AB8" w:rsidP="00422306">
            <w:pPr>
              <w:spacing w:before="40" w:after="80"/>
              <w:rPr>
                <w:rFonts w:ascii="Arial Narrow" w:hAnsi="Arial Narrow"/>
              </w:rPr>
            </w:pPr>
            <w:r w:rsidRPr="008B2F8A">
              <w:rPr>
                <w:rFonts w:ascii="Arial Narrow" w:hAnsi="Arial Narrow"/>
              </w:rPr>
              <w:t>MRI: 42/345 (12%)</w:t>
            </w:r>
          </w:p>
        </w:tc>
        <w:tc>
          <w:tcPr>
            <w:tcW w:w="3362" w:type="dxa"/>
          </w:tcPr>
          <w:p w14:paraId="490D8738" w14:textId="77777777" w:rsidR="00E47AB8" w:rsidRPr="008B2F8A" w:rsidRDefault="00E47AB8" w:rsidP="00422306">
            <w:pPr>
              <w:pStyle w:val="Heading4"/>
              <w:spacing w:before="40" w:after="80"/>
              <w:outlineLvl w:val="3"/>
              <w:rPr>
                <w:rFonts w:ascii="Arial Narrow" w:hAnsi="Arial Narrow"/>
                <w:b w:val="0"/>
                <w:sz w:val="20"/>
                <w:szCs w:val="20"/>
              </w:rPr>
            </w:pPr>
            <w:r w:rsidRPr="008B2F8A">
              <w:rPr>
                <w:rFonts w:ascii="Arial Narrow" w:hAnsi="Arial Narrow"/>
                <w:b w:val="0"/>
                <w:sz w:val="20"/>
                <w:szCs w:val="20"/>
              </w:rPr>
              <w:t>45 negative procedures in 29 patients (13%)</w:t>
            </w:r>
          </w:p>
          <w:p w14:paraId="27095686" w14:textId="77777777" w:rsidR="00E47AB8" w:rsidRPr="008B2F8A" w:rsidRDefault="00E47AB8" w:rsidP="00422306">
            <w:pPr>
              <w:spacing w:before="40" w:after="80"/>
              <w:rPr>
                <w:rFonts w:ascii="Arial Narrow" w:hAnsi="Arial Narrow"/>
              </w:rPr>
            </w:pPr>
            <w:r w:rsidRPr="008B2F8A">
              <w:rPr>
                <w:rFonts w:ascii="Arial Narrow" w:hAnsi="Arial Narrow"/>
              </w:rPr>
              <w:t>M: 25 negative in 16 patients (7%)</w:t>
            </w:r>
          </w:p>
          <w:p w14:paraId="2C490ABA" w14:textId="77777777" w:rsidR="00E47AB8" w:rsidRPr="008B2F8A" w:rsidRDefault="00E47AB8" w:rsidP="00422306">
            <w:pPr>
              <w:spacing w:before="40" w:after="80"/>
              <w:rPr>
                <w:rFonts w:ascii="Arial Narrow" w:hAnsi="Arial Narrow"/>
              </w:rPr>
            </w:pPr>
            <w:r w:rsidRPr="008B2F8A">
              <w:rPr>
                <w:rFonts w:ascii="Arial Narrow" w:hAnsi="Arial Narrow"/>
              </w:rPr>
              <w:t>MRI: 30 negative in 23 patients (9%)</w:t>
            </w:r>
          </w:p>
        </w:tc>
      </w:tr>
    </w:tbl>
    <w:p w14:paraId="2B55259D" w14:textId="25F4CC44" w:rsidR="00E47AB8" w:rsidRPr="008B2F8A" w:rsidRDefault="00E47AB8" w:rsidP="00BC154E">
      <w:pPr>
        <w:pStyle w:val="TableNotesLast"/>
      </w:pPr>
      <w:r w:rsidRPr="008B2F8A">
        <w:t>MRI = magnetic resonance imaging; M = mammography.</w:t>
      </w:r>
    </w:p>
    <w:p w14:paraId="7C90B6BF" w14:textId="77777777" w:rsidR="00E47AB8" w:rsidRPr="008B2F8A" w:rsidRDefault="00E47AB8" w:rsidP="00E47AB8">
      <w:pPr>
        <w:pStyle w:val="Heading3"/>
        <w:numPr>
          <w:ilvl w:val="2"/>
          <w:numId w:val="42"/>
        </w:numPr>
      </w:pPr>
      <w:bookmarkStart w:id="943" w:name="_Toc383424479"/>
      <w:r w:rsidRPr="008B2F8A">
        <w:t>Health outcomes</w:t>
      </w:r>
      <w:bookmarkEnd w:id="943"/>
    </w:p>
    <w:p w14:paraId="56BFBEDD" w14:textId="77777777" w:rsidR="00E47AB8" w:rsidRPr="008B2F8A" w:rsidRDefault="00E47AB8" w:rsidP="00422306">
      <w:pPr>
        <w:outlineLvl w:val="3"/>
        <w:rPr>
          <w:b/>
          <w:sz w:val="24"/>
          <w:szCs w:val="24"/>
        </w:rPr>
      </w:pPr>
      <w:r w:rsidRPr="008B2F8A">
        <w:rPr>
          <w:b/>
          <w:sz w:val="24"/>
          <w:szCs w:val="24"/>
        </w:rPr>
        <w:t>Stage shift</w:t>
      </w:r>
    </w:p>
    <w:p w14:paraId="1509F955" w14:textId="79E4B4DF" w:rsidR="00E47AB8" w:rsidRPr="008B2F8A" w:rsidRDefault="00E47AB8" w:rsidP="00422306">
      <w:r w:rsidRPr="008B2F8A">
        <w:t>The small number of invasive screen</w:t>
      </w:r>
      <w:r>
        <w:t>-</w:t>
      </w:r>
      <w:r w:rsidRPr="008B2F8A">
        <w:t xml:space="preserve">detected cancers detected in </w:t>
      </w:r>
      <w:r>
        <w:t>Ng et al (2013)</w:t>
      </w:r>
      <w:r w:rsidRPr="008B2F8A">
        <w:t xml:space="preserve"> limits the analysis</w:t>
      </w:r>
      <w:r>
        <w:t>,</w:t>
      </w:r>
      <w:r w:rsidRPr="008B2F8A">
        <w:t xml:space="preserve"> </w:t>
      </w:r>
      <w:r>
        <w:t>as</w:t>
      </w:r>
      <w:r w:rsidRPr="008B2F8A">
        <w:t xml:space="preserve"> seven of eight invasive cancers detected </w:t>
      </w:r>
      <w:r>
        <w:t xml:space="preserve">were </w:t>
      </w:r>
      <w:r w:rsidRPr="008B2F8A">
        <w:t xml:space="preserve">both &lt;10 mm </w:t>
      </w:r>
      <w:r>
        <w:t xml:space="preserve">across </w:t>
      </w:r>
      <w:r w:rsidRPr="008B2F8A">
        <w:t>and node negative</w:t>
      </w:r>
      <w:r>
        <w:t xml:space="preserve"> (</w:t>
      </w:r>
      <w:r>
        <w:fldChar w:fldCharType="begin"/>
      </w:r>
      <w:r>
        <w:instrText xml:space="preserve"> REF _Ref256159984 \h </w:instrText>
      </w:r>
      <w:r>
        <w:fldChar w:fldCharType="separate"/>
      </w:r>
      <w:r w:rsidR="00B81273" w:rsidRPr="008B2F8A">
        <w:t xml:space="preserve">Table </w:t>
      </w:r>
      <w:r w:rsidR="00B81273">
        <w:rPr>
          <w:noProof/>
        </w:rPr>
        <w:t>B</w:t>
      </w:r>
      <w:r w:rsidR="00B81273" w:rsidRPr="008B2F8A">
        <w:t>.</w:t>
      </w:r>
      <w:r w:rsidR="00B81273">
        <w:rPr>
          <w:noProof/>
        </w:rPr>
        <w:t>43</w:t>
      </w:r>
      <w:r>
        <w:fldChar w:fldCharType="end"/>
      </w:r>
      <w:r>
        <w:t>)</w:t>
      </w:r>
      <w:r w:rsidRPr="008B2F8A">
        <w:t>. This study identified a high number of DCIS cases (9 of 18 screen</w:t>
      </w:r>
      <w:r>
        <w:t>-</w:t>
      </w:r>
      <w:r w:rsidRPr="008B2F8A">
        <w:t>detected cancers).</w:t>
      </w:r>
    </w:p>
    <w:p w14:paraId="3AAEEB93" w14:textId="77777777" w:rsidR="00E47AB8" w:rsidRPr="008B2F8A" w:rsidRDefault="00E47AB8" w:rsidP="00422306">
      <w:pPr>
        <w:pStyle w:val="Caption"/>
        <w:ind w:left="1278" w:hanging="1298"/>
      </w:pPr>
      <w:bookmarkStart w:id="944" w:name="_Ref256159984"/>
      <w:bookmarkStart w:id="945" w:name="_Toc383424609"/>
      <w:r w:rsidRPr="008B2F8A">
        <w:t xml:space="preserve">Table </w:t>
      </w:r>
      <w:fldSimple w:instr=" STYLEREF 1 \s ">
        <w:r w:rsidR="00B81273">
          <w:rPr>
            <w:noProof/>
          </w:rPr>
          <w:t>B</w:t>
        </w:r>
      </w:fldSimple>
      <w:r w:rsidRPr="008B2F8A">
        <w:t>.</w:t>
      </w:r>
      <w:fldSimple w:instr=" SEQ Table \* ARABIC \s 1 ">
        <w:r w:rsidR="00B81273">
          <w:rPr>
            <w:noProof/>
          </w:rPr>
          <w:t>43</w:t>
        </w:r>
      </w:fldSimple>
      <w:bookmarkEnd w:id="944"/>
      <w:r w:rsidRPr="008B2F8A">
        <w:tab/>
      </w:r>
      <w:bookmarkStart w:id="946" w:name="OLE_LINK1067"/>
      <w:bookmarkStart w:id="947" w:name="OLE_LINK1068"/>
      <w:r w:rsidRPr="008B2F8A">
        <w:t>Cancer stage, grade and nodal status for cases detected at screening of high-risk women</w:t>
      </w:r>
      <w:r>
        <w:t xml:space="preserve"> (</w:t>
      </w:r>
      <w:r w:rsidRPr="00ED4619">
        <w:t>Ng et al, 2013</w:t>
      </w:r>
      <w:r>
        <w:t>)</w:t>
      </w:r>
      <w:bookmarkEnd w:id="946"/>
      <w:bookmarkEnd w:id="947"/>
      <w:r w:rsidRPr="008B2F8A">
        <w:t>.</w:t>
      </w:r>
      <w:bookmarkEnd w:id="945"/>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ancer stage, grade and nodal status for cases detected at screening of high-risk women (Ng et al, 2013)"/>
      </w:tblPr>
      <w:tblGrid>
        <w:gridCol w:w="2298"/>
        <w:gridCol w:w="2558"/>
        <w:gridCol w:w="2556"/>
        <w:gridCol w:w="1658"/>
      </w:tblGrid>
      <w:tr w:rsidR="00E47AB8" w:rsidRPr="008B2F8A" w14:paraId="19B6CFA3" w14:textId="77777777" w:rsidTr="00BC154E">
        <w:trPr>
          <w:tblHeader/>
        </w:trPr>
        <w:tc>
          <w:tcPr>
            <w:tcW w:w="1267" w:type="pct"/>
            <w:vAlign w:val="bottom"/>
          </w:tcPr>
          <w:p w14:paraId="63903AFF" w14:textId="77777777" w:rsidR="00E47AB8" w:rsidRPr="008B2F8A" w:rsidRDefault="00E47AB8" w:rsidP="00422306">
            <w:pPr>
              <w:spacing w:before="40" w:after="80"/>
              <w:rPr>
                <w:rFonts w:ascii="Arial Narrow" w:hAnsi="Arial Narrow"/>
                <w:b/>
                <w:bCs/>
                <w:sz w:val="20"/>
                <w:szCs w:val="20"/>
                <w:lang w:eastAsia="en-AU"/>
              </w:rPr>
            </w:pPr>
            <w:r w:rsidRPr="008B2F8A">
              <w:rPr>
                <w:rFonts w:ascii="Arial Narrow" w:hAnsi="Arial Narrow"/>
                <w:b/>
                <w:bCs/>
                <w:sz w:val="20"/>
                <w:szCs w:val="20"/>
                <w:lang w:eastAsia="en-AU"/>
              </w:rPr>
              <w:t>Number of invasive breast cancer cases (number of in-situ cancers)</w:t>
            </w:r>
          </w:p>
        </w:tc>
        <w:tc>
          <w:tcPr>
            <w:tcW w:w="1410" w:type="pct"/>
            <w:vAlign w:val="bottom"/>
          </w:tcPr>
          <w:p w14:paraId="2F342540" w14:textId="77777777" w:rsidR="00E47AB8" w:rsidRPr="008B2F8A" w:rsidRDefault="00E47AB8" w:rsidP="00422306">
            <w:pPr>
              <w:spacing w:before="40" w:after="80"/>
              <w:rPr>
                <w:rFonts w:ascii="Arial Narrow" w:hAnsi="Arial Narrow"/>
                <w:b/>
                <w:bCs/>
                <w:sz w:val="20"/>
                <w:szCs w:val="20"/>
                <w:lang w:eastAsia="en-AU"/>
              </w:rPr>
            </w:pPr>
            <w:r w:rsidRPr="008B2F8A">
              <w:rPr>
                <w:rFonts w:ascii="Arial Narrow" w:hAnsi="Arial Narrow"/>
                <w:b/>
                <w:bCs/>
                <w:sz w:val="20"/>
                <w:szCs w:val="20"/>
                <w:lang w:eastAsia="en-AU"/>
              </w:rPr>
              <w:t>Invasive cancer cases &lt;10 mm (% of all invasive cancers detected by modality)</w:t>
            </w:r>
          </w:p>
        </w:tc>
        <w:tc>
          <w:tcPr>
            <w:tcW w:w="1409" w:type="pct"/>
            <w:vAlign w:val="bottom"/>
          </w:tcPr>
          <w:p w14:paraId="7E85CF34" w14:textId="77777777" w:rsidR="00E47AB8" w:rsidRPr="008B2F8A" w:rsidRDefault="00E47AB8" w:rsidP="00422306">
            <w:pPr>
              <w:spacing w:before="40" w:after="80"/>
              <w:rPr>
                <w:rFonts w:ascii="Arial Narrow" w:hAnsi="Arial Narrow"/>
                <w:b/>
                <w:bCs/>
                <w:sz w:val="20"/>
                <w:szCs w:val="20"/>
                <w:lang w:eastAsia="en-AU"/>
              </w:rPr>
            </w:pPr>
            <w:r w:rsidRPr="008B2F8A">
              <w:rPr>
                <w:rFonts w:ascii="Arial Narrow" w:hAnsi="Arial Narrow"/>
                <w:b/>
                <w:bCs/>
                <w:sz w:val="20"/>
                <w:szCs w:val="20"/>
                <w:lang w:eastAsia="en-AU"/>
              </w:rPr>
              <w:t>Negative lymph node/micro</w:t>
            </w:r>
            <w:r>
              <w:rPr>
                <w:rFonts w:ascii="Arial Narrow" w:hAnsi="Arial Narrow"/>
                <w:b/>
                <w:bCs/>
                <w:sz w:val="20"/>
                <w:szCs w:val="20"/>
                <w:lang w:eastAsia="en-AU"/>
              </w:rPr>
              <w:softHyphen/>
            </w:r>
            <w:r w:rsidRPr="008B2F8A">
              <w:rPr>
                <w:rFonts w:ascii="Arial Narrow" w:hAnsi="Arial Narrow"/>
                <w:b/>
                <w:bCs/>
                <w:sz w:val="20"/>
                <w:szCs w:val="20"/>
                <w:lang w:eastAsia="en-AU"/>
              </w:rPr>
              <w:t>metastases (% of all invasive cancers detected by modality)</w:t>
            </w:r>
          </w:p>
        </w:tc>
        <w:tc>
          <w:tcPr>
            <w:tcW w:w="914" w:type="pct"/>
            <w:vAlign w:val="bottom"/>
          </w:tcPr>
          <w:p w14:paraId="6E6AFE9D" w14:textId="77777777" w:rsidR="00E47AB8" w:rsidRPr="008B2F8A" w:rsidRDefault="00E47AB8" w:rsidP="00422306">
            <w:pPr>
              <w:spacing w:before="40" w:after="80"/>
              <w:rPr>
                <w:rFonts w:ascii="Arial Narrow" w:hAnsi="Arial Narrow"/>
                <w:b/>
                <w:bCs/>
                <w:sz w:val="20"/>
                <w:szCs w:val="20"/>
                <w:lang w:eastAsia="en-AU"/>
              </w:rPr>
            </w:pPr>
            <w:r w:rsidRPr="008B2F8A">
              <w:rPr>
                <w:rFonts w:ascii="Arial Narrow" w:hAnsi="Arial Narrow"/>
                <w:b/>
                <w:bCs/>
                <w:sz w:val="20"/>
                <w:szCs w:val="20"/>
                <w:lang w:eastAsia="en-AU"/>
              </w:rPr>
              <w:t>Histological grade</w:t>
            </w:r>
          </w:p>
        </w:tc>
      </w:tr>
      <w:tr w:rsidR="00E47AB8" w:rsidRPr="008B2F8A" w14:paraId="59597E22" w14:textId="77777777" w:rsidTr="00BC154E">
        <w:tc>
          <w:tcPr>
            <w:tcW w:w="1267" w:type="pct"/>
          </w:tcPr>
          <w:p w14:paraId="15486AC5" w14:textId="77777777" w:rsidR="00E47AB8" w:rsidRPr="008B2F8A" w:rsidRDefault="00E47AB8" w:rsidP="00422306">
            <w:pPr>
              <w:spacing w:before="40" w:after="80"/>
              <w:rPr>
                <w:rFonts w:ascii="Arial Narrow" w:hAnsi="Arial Narrow" w:cs="Arial"/>
                <w:sz w:val="20"/>
                <w:szCs w:val="20"/>
                <w:lang w:eastAsia="en-AU"/>
              </w:rPr>
            </w:pPr>
            <w:r w:rsidRPr="008B2F8A">
              <w:rPr>
                <w:rFonts w:ascii="Arial Narrow" w:hAnsi="Arial Narrow" w:cs="Arial"/>
                <w:sz w:val="20"/>
                <w:szCs w:val="20"/>
                <w:lang w:eastAsia="en-AU"/>
              </w:rPr>
              <w:t>8 (9)</w:t>
            </w:r>
            <w:r w:rsidRPr="008B2F8A">
              <w:rPr>
                <w:rFonts w:ascii="Arial Narrow" w:hAnsi="Arial Narrow" w:cs="Arial"/>
                <w:sz w:val="20"/>
                <w:szCs w:val="20"/>
                <w:vertAlign w:val="superscript"/>
                <w:lang w:eastAsia="en-AU"/>
              </w:rPr>
              <w:t>†</w:t>
            </w:r>
          </w:p>
          <w:p w14:paraId="1634D725" w14:textId="77777777" w:rsidR="00E47AB8" w:rsidRPr="008B2F8A" w:rsidRDefault="00E47AB8" w:rsidP="00422306">
            <w:pPr>
              <w:spacing w:before="40" w:after="80"/>
              <w:rPr>
                <w:rFonts w:ascii="Arial Narrow" w:hAnsi="Arial Narrow" w:cs="Arial"/>
                <w:sz w:val="20"/>
                <w:szCs w:val="20"/>
                <w:lang w:eastAsia="en-AU"/>
              </w:rPr>
            </w:pPr>
            <w:r w:rsidRPr="008B2F8A">
              <w:rPr>
                <w:rFonts w:ascii="Arial Narrow" w:hAnsi="Arial Narrow" w:cs="Arial"/>
                <w:i/>
                <w:sz w:val="20"/>
                <w:szCs w:val="20"/>
                <w:lang w:eastAsia="en-AU"/>
              </w:rPr>
              <w:t>MRI</w:t>
            </w:r>
            <w:r w:rsidRPr="008B2F8A">
              <w:rPr>
                <w:rFonts w:ascii="Arial Narrow" w:hAnsi="Arial Narrow" w:cs="Arial"/>
                <w:sz w:val="20"/>
                <w:szCs w:val="20"/>
                <w:lang w:eastAsia="en-AU"/>
              </w:rPr>
              <w:t>: 7 (4)</w:t>
            </w:r>
          </w:p>
          <w:p w14:paraId="042E562D" w14:textId="77777777" w:rsidR="00E47AB8" w:rsidRPr="008B2F8A" w:rsidRDefault="00E47AB8" w:rsidP="00422306">
            <w:pPr>
              <w:spacing w:before="40" w:after="80"/>
              <w:rPr>
                <w:rFonts w:ascii="Arial Narrow" w:hAnsi="Arial Narrow" w:cs="Arial"/>
                <w:sz w:val="20"/>
                <w:szCs w:val="20"/>
                <w:lang w:eastAsia="en-AU"/>
              </w:rPr>
            </w:pPr>
            <w:r w:rsidRPr="008B2F8A">
              <w:rPr>
                <w:rFonts w:ascii="Arial Narrow" w:hAnsi="Arial Narrow" w:cs="Arial"/>
                <w:i/>
                <w:sz w:val="20"/>
                <w:szCs w:val="20"/>
                <w:lang w:eastAsia="en-AU"/>
              </w:rPr>
              <w:lastRenderedPageBreak/>
              <w:t>M:</w:t>
            </w:r>
            <w:r w:rsidRPr="008B2F8A">
              <w:rPr>
                <w:rFonts w:ascii="Arial Narrow" w:hAnsi="Arial Narrow" w:cs="Arial"/>
                <w:sz w:val="20"/>
                <w:szCs w:val="20"/>
                <w:lang w:eastAsia="en-AU"/>
              </w:rPr>
              <w:t xml:space="preserve"> 7 (6)</w:t>
            </w:r>
          </w:p>
        </w:tc>
        <w:tc>
          <w:tcPr>
            <w:tcW w:w="1410" w:type="pct"/>
          </w:tcPr>
          <w:p w14:paraId="00ACA48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lastRenderedPageBreak/>
              <w:t>7/8 (88%) cases &lt;10 mm</w:t>
            </w:r>
          </w:p>
          <w:p w14:paraId="7A2FF6D9"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i/>
                <w:sz w:val="20"/>
                <w:szCs w:val="20"/>
                <w:lang w:eastAsia="en-AU"/>
              </w:rPr>
              <w:t>MRI</w:t>
            </w:r>
            <w:r w:rsidRPr="008B2F8A">
              <w:rPr>
                <w:rFonts w:ascii="Arial Narrow" w:hAnsi="Arial Narrow"/>
                <w:sz w:val="20"/>
                <w:szCs w:val="20"/>
                <w:lang w:eastAsia="en-AU"/>
              </w:rPr>
              <w:t>: 6/7</w:t>
            </w:r>
          </w:p>
          <w:p w14:paraId="1D1DEB0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i/>
                <w:sz w:val="20"/>
                <w:szCs w:val="20"/>
                <w:lang w:eastAsia="en-AU"/>
              </w:rPr>
              <w:lastRenderedPageBreak/>
              <w:t>M</w:t>
            </w:r>
            <w:r w:rsidRPr="008B2F8A">
              <w:rPr>
                <w:rFonts w:ascii="Arial Narrow" w:hAnsi="Arial Narrow"/>
                <w:sz w:val="20"/>
                <w:szCs w:val="20"/>
                <w:lang w:eastAsia="en-AU"/>
              </w:rPr>
              <w:t>: 6/7</w:t>
            </w:r>
          </w:p>
        </w:tc>
        <w:tc>
          <w:tcPr>
            <w:tcW w:w="1409" w:type="pct"/>
          </w:tcPr>
          <w:p w14:paraId="1FCF3FA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lastRenderedPageBreak/>
              <w:t>7/8 (88%) cases node negative</w:t>
            </w:r>
          </w:p>
          <w:p w14:paraId="6CC9625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i/>
                <w:sz w:val="20"/>
                <w:szCs w:val="20"/>
                <w:lang w:eastAsia="en-AU"/>
              </w:rPr>
              <w:t>MRI:</w:t>
            </w:r>
            <w:r w:rsidRPr="008B2F8A">
              <w:rPr>
                <w:rFonts w:ascii="Arial Narrow" w:hAnsi="Arial Narrow"/>
                <w:sz w:val="20"/>
                <w:szCs w:val="20"/>
                <w:lang w:eastAsia="en-AU"/>
              </w:rPr>
              <w:t xml:space="preserve"> 6/7</w:t>
            </w:r>
          </w:p>
          <w:p w14:paraId="04CDEBA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i/>
                <w:sz w:val="20"/>
                <w:szCs w:val="20"/>
                <w:lang w:eastAsia="en-AU"/>
              </w:rPr>
              <w:lastRenderedPageBreak/>
              <w:t>M:</w:t>
            </w:r>
            <w:r w:rsidRPr="008B2F8A">
              <w:rPr>
                <w:rFonts w:ascii="Arial Narrow" w:hAnsi="Arial Narrow"/>
                <w:sz w:val="20"/>
                <w:szCs w:val="20"/>
                <w:lang w:eastAsia="en-AU"/>
              </w:rPr>
              <w:t xml:space="preserve"> 6/7</w:t>
            </w:r>
          </w:p>
        </w:tc>
        <w:tc>
          <w:tcPr>
            <w:tcW w:w="914" w:type="pct"/>
          </w:tcPr>
          <w:p w14:paraId="6AD58BD4" w14:textId="77777777" w:rsidR="00E47AB8" w:rsidRPr="008B2F8A" w:rsidRDefault="00E47AB8" w:rsidP="00422306">
            <w:pPr>
              <w:spacing w:before="40" w:after="80"/>
              <w:rPr>
                <w:rFonts w:ascii="Arial Narrow" w:hAnsi="Arial Narrow"/>
                <w:i/>
                <w:sz w:val="20"/>
                <w:szCs w:val="20"/>
                <w:lang w:eastAsia="en-AU"/>
              </w:rPr>
            </w:pPr>
            <w:r w:rsidRPr="008B2F8A">
              <w:rPr>
                <w:rFonts w:ascii="Arial Narrow" w:hAnsi="Arial Narrow"/>
                <w:i/>
                <w:sz w:val="20"/>
                <w:szCs w:val="20"/>
                <w:lang w:eastAsia="en-AU"/>
              </w:rPr>
              <w:lastRenderedPageBreak/>
              <w:t xml:space="preserve">MRI </w:t>
            </w:r>
            <w:r w:rsidRPr="008B2F8A">
              <w:rPr>
                <w:rFonts w:ascii="Arial Narrow" w:hAnsi="Arial Narrow"/>
              </w:rPr>
              <w:t>​+​</w:t>
            </w:r>
            <w:r w:rsidRPr="008B2F8A">
              <w:rPr>
                <w:rFonts w:ascii="Arial Narrow" w:hAnsi="Arial Narrow"/>
                <w:i/>
                <w:sz w:val="20"/>
                <w:szCs w:val="20"/>
                <w:lang w:eastAsia="en-AU"/>
              </w:rPr>
              <w:t xml:space="preserve"> M:</w:t>
            </w:r>
          </w:p>
          <w:p w14:paraId="1D62260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G1 1/8, G3 2/8</w:t>
            </w:r>
          </w:p>
        </w:tc>
      </w:tr>
    </w:tbl>
    <w:p w14:paraId="5948C2E7" w14:textId="32853521" w:rsidR="00E47AB8" w:rsidRPr="008B2F8A" w:rsidRDefault="00E47AB8" w:rsidP="00BC154E">
      <w:pPr>
        <w:pStyle w:val="TableNotesLast"/>
        <w:rPr>
          <w:szCs w:val="18"/>
        </w:rPr>
      </w:pPr>
      <w:r w:rsidRPr="008B2F8A">
        <w:rPr>
          <w:vertAlign w:val="superscript"/>
        </w:rPr>
        <w:lastRenderedPageBreak/>
        <w:t xml:space="preserve">† </w:t>
      </w:r>
      <w:r w:rsidRPr="008B2F8A">
        <w:t xml:space="preserve">One phyllodes tumour was also diagnosed by MRI alone </w:t>
      </w:r>
      <w:r>
        <w:t>(not in</w:t>
      </w:r>
      <w:r w:rsidRPr="008B2F8A">
        <w:t>cluded</w:t>
      </w:r>
      <w:r>
        <w:t>)</w:t>
      </w:r>
      <w:r w:rsidRPr="008B2F8A">
        <w:t xml:space="preserve">. </w:t>
      </w:r>
      <w:r w:rsidRPr="008B2F8A">
        <w:rPr>
          <w:szCs w:val="18"/>
        </w:rPr>
        <w:t>MRI = magnetic resonance imaging; M = mammography.</w:t>
      </w:r>
    </w:p>
    <w:p w14:paraId="576A0EFA" w14:textId="77777777" w:rsidR="00E47AB8" w:rsidRPr="008B2F8A" w:rsidRDefault="00E47AB8" w:rsidP="00E47AB8">
      <w:pPr>
        <w:pStyle w:val="Heading2"/>
      </w:pPr>
      <w:bookmarkStart w:id="948" w:name="_Toc365552186"/>
      <w:bookmarkStart w:id="949" w:name="_Ref256063258"/>
      <w:bookmarkStart w:id="950" w:name="_Toc383424480"/>
      <w:r w:rsidRPr="008B2F8A">
        <w:t xml:space="preserve">Extended </w:t>
      </w:r>
      <w:bookmarkEnd w:id="948"/>
      <w:r w:rsidRPr="008B2F8A">
        <w:t>assessment of comparative harms</w:t>
      </w:r>
      <w:bookmarkEnd w:id="949"/>
      <w:bookmarkEnd w:id="950"/>
    </w:p>
    <w:p w14:paraId="1ACD7EB7" w14:textId="687BD93B" w:rsidR="00E47AB8" w:rsidRPr="008B2F8A" w:rsidRDefault="00E47AB8" w:rsidP="00590B8C">
      <w:pPr>
        <w:keepNext/>
      </w:pPr>
      <w:r w:rsidRPr="008B2F8A">
        <w:t xml:space="preserve">MSAC </w:t>
      </w:r>
      <w:r w:rsidRPr="008B2F8A">
        <w:rPr>
          <w:noProof/>
        </w:rPr>
        <w:t>(2006)</w:t>
      </w:r>
      <w:r w:rsidRPr="008B2F8A">
        <w:t xml:space="preserve"> identified the following </w:t>
      </w:r>
      <w:r>
        <w:t>concerns</w:t>
      </w:r>
      <w:r w:rsidRPr="008B2F8A">
        <w:t xml:space="preserve"> </w:t>
      </w:r>
      <w:r>
        <w:t xml:space="preserve">in </w:t>
      </w:r>
      <w:r w:rsidRPr="008B2F8A">
        <w:t>breast MRI screening for high-risk women:</w:t>
      </w:r>
    </w:p>
    <w:p w14:paraId="5882E98D" w14:textId="77777777" w:rsidR="00E47AB8" w:rsidRPr="008B2F8A" w:rsidRDefault="00E47AB8" w:rsidP="00590B8C">
      <w:pPr>
        <w:pStyle w:val="ListParagraph"/>
        <w:keepNext/>
        <w:numPr>
          <w:ilvl w:val="0"/>
          <w:numId w:val="31"/>
        </w:numPr>
      </w:pPr>
      <w:r w:rsidRPr="008B2F8A">
        <w:t>Adverse effects of false-positive findings (unnecessary investigation).</w:t>
      </w:r>
    </w:p>
    <w:p w14:paraId="3146B378" w14:textId="7249AAFC" w:rsidR="00E47AB8" w:rsidRPr="008B2F8A" w:rsidRDefault="00E47AB8" w:rsidP="00590B8C">
      <w:pPr>
        <w:pStyle w:val="ListParagraph"/>
        <w:keepNext/>
        <w:numPr>
          <w:ilvl w:val="0"/>
          <w:numId w:val="31"/>
        </w:numPr>
      </w:pPr>
      <w:r w:rsidRPr="008B2F8A">
        <w:t>Use in patients with contraindications to exposure to magnetic fields.</w:t>
      </w:r>
    </w:p>
    <w:p w14:paraId="005FD5FE" w14:textId="77777777" w:rsidR="00E47AB8" w:rsidRPr="008B2F8A" w:rsidRDefault="00E47AB8" w:rsidP="00E47AB8">
      <w:pPr>
        <w:pStyle w:val="ListParagraph"/>
        <w:numPr>
          <w:ilvl w:val="0"/>
          <w:numId w:val="31"/>
        </w:numPr>
      </w:pPr>
      <w:r w:rsidRPr="008B2F8A">
        <w:t>Allergy to gadolinium contrast agent.</w:t>
      </w:r>
    </w:p>
    <w:p w14:paraId="77A12B1D" w14:textId="77777777" w:rsidR="00E47AB8" w:rsidRPr="008B2F8A" w:rsidRDefault="00E47AB8" w:rsidP="00E47AB8">
      <w:pPr>
        <w:pStyle w:val="ListParagraph"/>
        <w:numPr>
          <w:ilvl w:val="0"/>
          <w:numId w:val="31"/>
        </w:numPr>
      </w:pPr>
      <w:r w:rsidRPr="008B2F8A">
        <w:t>Claustrophobia</w:t>
      </w:r>
      <w:r>
        <w:t>,</w:t>
      </w:r>
      <w:r w:rsidRPr="008B2F8A">
        <w:t xml:space="preserve"> which may preclude use in some patients.</w:t>
      </w:r>
    </w:p>
    <w:p w14:paraId="7D00006D" w14:textId="77777777" w:rsidR="00E47AB8" w:rsidRPr="008B2F8A" w:rsidRDefault="00E47AB8" w:rsidP="00E47AB8">
      <w:pPr>
        <w:pStyle w:val="ListParagraph"/>
        <w:numPr>
          <w:ilvl w:val="0"/>
          <w:numId w:val="31"/>
        </w:numPr>
      </w:pPr>
      <w:r w:rsidRPr="008B2F8A">
        <w:t>Patient discomfort due to the noise of the machine.</w:t>
      </w:r>
    </w:p>
    <w:p w14:paraId="041D5ECC" w14:textId="78B15642" w:rsidR="00E47AB8" w:rsidRPr="008B2F8A" w:rsidRDefault="00E47AB8" w:rsidP="00E47AB8">
      <w:pPr>
        <w:pStyle w:val="ListParagraph"/>
        <w:numPr>
          <w:ilvl w:val="0"/>
          <w:numId w:val="31"/>
        </w:numPr>
      </w:pPr>
      <w:r w:rsidRPr="008B2F8A">
        <w:t>Avoidance advised in pregnant women owing to limited evidence about the safety of MRI on the developing fetus.</w:t>
      </w:r>
    </w:p>
    <w:p w14:paraId="75CA5BB3" w14:textId="322FD0C4" w:rsidR="00E47AB8" w:rsidRPr="008B2F8A" w:rsidRDefault="00E47AB8" w:rsidP="00422306">
      <w:pPr>
        <w:rPr>
          <w:noProof/>
        </w:rPr>
      </w:pPr>
      <w:r w:rsidRPr="008B2F8A">
        <w:t xml:space="preserve">The discussion of MRI contraindications </w:t>
      </w:r>
      <w:r>
        <w:t xml:space="preserve">in </w:t>
      </w:r>
      <w:r w:rsidRPr="008B2F8A">
        <w:rPr>
          <w:noProof/>
        </w:rPr>
        <w:t xml:space="preserve">MSAC </w:t>
      </w:r>
      <w:r>
        <w:rPr>
          <w:noProof/>
        </w:rPr>
        <w:t>(</w:t>
      </w:r>
      <w:r w:rsidRPr="008B2F8A">
        <w:rPr>
          <w:noProof/>
        </w:rPr>
        <w:t>2006)</w:t>
      </w:r>
      <w:r w:rsidRPr="008B2F8A">
        <w:t xml:space="preserve"> should be considered alongside this report</w:t>
      </w:r>
      <w:r w:rsidRPr="008B2F8A">
        <w:rPr>
          <w:noProof/>
        </w:rPr>
        <w:t>.</w:t>
      </w:r>
    </w:p>
    <w:p w14:paraId="6F2CC694" w14:textId="6F68C777" w:rsidR="00E47AB8" w:rsidRPr="008B2F8A" w:rsidRDefault="00E47AB8" w:rsidP="00422306">
      <w:r w:rsidRPr="008B2F8A">
        <w:t>The key safety issue with mammography is exposure to ionising radiation. Because there are documented harms from exposure to ionising radiation</w:t>
      </w:r>
      <w:r>
        <w:t>,</w:t>
      </w:r>
      <w:r w:rsidRPr="008B2F8A">
        <w:t xml:space="preserve"> relevant evidence is summarised below. However, given that mammography is proposed for both the intervention and the comparator, the harms associated with mammography would be expected to be the same regardless of the addition of MRI to the existing mammographic surveillance.</w:t>
      </w:r>
    </w:p>
    <w:p w14:paraId="23CB12FB" w14:textId="2D4779DE" w:rsidR="00E47AB8" w:rsidRPr="008B2F8A" w:rsidRDefault="00E47AB8" w:rsidP="00422306">
      <w:r w:rsidRPr="008B2F8A">
        <w:t xml:space="preserve">The NICE (2013) review included a 2010 meta-analysis </w:t>
      </w:r>
      <w:r w:rsidRPr="008B2F8A">
        <w:rPr>
          <w:noProof/>
        </w:rPr>
        <w:t>(</w:t>
      </w:r>
      <w:bookmarkStart w:id="951" w:name="OLE_LINK830"/>
      <w:bookmarkStart w:id="952" w:name="OLE_LINK831"/>
      <w:r w:rsidRPr="008B2F8A">
        <w:rPr>
          <w:noProof/>
        </w:rPr>
        <w:t>Jansen-van der Weide et al, 2010</w:t>
      </w:r>
      <w:bookmarkEnd w:id="951"/>
      <w:bookmarkEnd w:id="952"/>
      <w:r w:rsidRPr="008B2F8A">
        <w:rPr>
          <w:noProof/>
        </w:rPr>
        <w:t>)</w:t>
      </w:r>
      <w:r>
        <w:rPr>
          <w:noProof/>
        </w:rPr>
        <w:t>,</w:t>
      </w:r>
      <w:r w:rsidRPr="008B2F8A">
        <w:t xml:space="preserve"> which suggested, on the basis of low-quality evidence from case-control studies, that exposure to low</w:t>
      </w:r>
      <w:r>
        <w:t>-</w:t>
      </w:r>
      <w:r w:rsidRPr="008B2F8A">
        <w:t>dose radiation during screening mammography or chest x-ray is associated with an increased risk of breast cancer in women with a familial or genetic predispositio</w:t>
      </w:r>
      <w:r>
        <w:t>n</w:t>
      </w:r>
      <w:r w:rsidRPr="008B2F8A">
        <w:t xml:space="preserve"> </w:t>
      </w:r>
      <w:r>
        <w:t>(</w:t>
      </w:r>
      <w:r w:rsidRPr="008B2F8A">
        <w:t xml:space="preserve">OR </w:t>
      </w:r>
      <w:r>
        <w:t>[</w:t>
      </w:r>
      <w:r w:rsidRPr="008B2F8A">
        <w:t>odds ratio</w:t>
      </w:r>
      <w:r>
        <w:t>]</w:t>
      </w:r>
      <w:r w:rsidRPr="008B2F8A">
        <w:t xml:space="preserve"> 1.3</w:t>
      </w:r>
      <w:r>
        <w:t>,</w:t>
      </w:r>
      <w:r w:rsidRPr="008B2F8A">
        <w:t xml:space="preserve"> </w:t>
      </w:r>
      <w:r>
        <w:t>[</w:t>
      </w:r>
      <w:r w:rsidRPr="008B2F8A">
        <w:t>95% CI 0.9–1.8</w:t>
      </w:r>
      <w:r>
        <w:t>]</w:t>
      </w:r>
      <w:r w:rsidRPr="008B2F8A">
        <w:t>). There was evidence of a dose</w:t>
      </w:r>
      <w:r>
        <w:t>–</w:t>
      </w:r>
      <w:r w:rsidRPr="008B2F8A">
        <w:t>response relationship between low</w:t>
      </w:r>
      <w:r>
        <w:t>-</w:t>
      </w:r>
      <w:r w:rsidRPr="008B2F8A">
        <w:t>dose radiation and breast cancer in this population: exposure to low</w:t>
      </w:r>
      <w:r>
        <w:t>-</w:t>
      </w:r>
      <w:r w:rsidRPr="008B2F8A">
        <w:t>dose radiation before the age of 20 years (OR 2.0</w:t>
      </w:r>
      <w:r>
        <w:t>,</w:t>
      </w:r>
      <w:r w:rsidRPr="008B2F8A">
        <w:t xml:space="preserve"> 95% CI 1.3–3.1) and five or more exposures (OR 1.8</w:t>
      </w:r>
      <w:r>
        <w:t>,</w:t>
      </w:r>
      <w:r w:rsidRPr="008B2F8A">
        <w:t xml:space="preserve"> 95% CI 1.1–3.0).</w:t>
      </w:r>
    </w:p>
    <w:p w14:paraId="40A3DA5C" w14:textId="67C8221F" w:rsidR="00E47AB8" w:rsidRPr="008B2F8A" w:rsidRDefault="00E47AB8" w:rsidP="00422306">
      <w:r w:rsidRPr="008B2F8A">
        <w:t>A review of the risk of exposure to low</w:t>
      </w:r>
      <w:r>
        <w:t>-</w:t>
      </w:r>
      <w:r w:rsidRPr="008B2F8A">
        <w:t xml:space="preserve">dose radiation during screening was included as an appendix in a recent Canadian HTA </w:t>
      </w:r>
      <w:r w:rsidRPr="008B2F8A">
        <w:rPr>
          <w:noProof/>
        </w:rPr>
        <w:t>(</w:t>
      </w:r>
      <w:bookmarkStart w:id="953" w:name="OLE_LINK832"/>
      <w:bookmarkStart w:id="954" w:name="OLE_LINK833"/>
      <w:r w:rsidRPr="008B2F8A">
        <w:rPr>
          <w:noProof/>
        </w:rPr>
        <w:t>Medical Advisory Secretariat, 2010</w:t>
      </w:r>
      <w:bookmarkEnd w:id="953"/>
      <w:bookmarkEnd w:id="954"/>
      <w:r w:rsidRPr="008B2F8A">
        <w:rPr>
          <w:noProof/>
        </w:rPr>
        <w:t>)</w:t>
      </w:r>
      <w:r>
        <w:rPr>
          <w:noProof/>
        </w:rPr>
        <w:t>,</w:t>
      </w:r>
      <w:r w:rsidRPr="008B2F8A">
        <w:t xml:space="preserve"> which </w:t>
      </w:r>
      <w:r>
        <w:t>drew</w:t>
      </w:r>
      <w:r w:rsidRPr="008B2F8A">
        <w:t xml:space="preserve"> the following conclusions:</w:t>
      </w:r>
    </w:p>
    <w:p w14:paraId="68FCD795" w14:textId="77777777" w:rsidR="00E47AB8" w:rsidRPr="008B2F8A" w:rsidRDefault="00E47AB8" w:rsidP="00422306">
      <w:pPr>
        <w:ind w:left="284"/>
        <w:rPr>
          <w:i/>
        </w:rPr>
      </w:pPr>
      <w:r w:rsidRPr="008B2F8A">
        <w:rPr>
          <w:i/>
        </w:rPr>
        <w:t>For women over 50 years of age, the benefits of mammography greatly outweigh the risk of radiation-induced breast cancer irrespective of the level of a woman’s inherent breast cancer risk.</w:t>
      </w:r>
    </w:p>
    <w:p w14:paraId="46E75901" w14:textId="77777777" w:rsidR="00E47AB8" w:rsidRPr="008B2F8A" w:rsidRDefault="00E47AB8" w:rsidP="00422306">
      <w:pPr>
        <w:ind w:left="284"/>
        <w:rPr>
          <w:i/>
        </w:rPr>
      </w:pPr>
      <w:r w:rsidRPr="008B2F8A">
        <w:rPr>
          <w:i/>
        </w:rPr>
        <w:t>Annual mammography for women aged 30–39 years who carry a breast cancer susceptibility gene or who have a strong family breast cancer history (defined as a first degree relative diagnosed in their thirties) has a favourable benefit:risk ratio. Mammography is estimated to detect 16 to 18 breast cancer cases for every one induced by radiation (Table 1). Initiation of screening at age 35 for this same group would increase the benefit:risk ratio to an even more favourable level of 34–50 cases detected for each one potentially induced.</w:t>
      </w:r>
    </w:p>
    <w:p w14:paraId="344E4817" w14:textId="77777777" w:rsidR="00E47AB8" w:rsidRPr="008B2F8A" w:rsidRDefault="00E47AB8" w:rsidP="00422306">
      <w:pPr>
        <w:ind w:left="284"/>
        <w:rPr>
          <w:i/>
        </w:rPr>
      </w:pPr>
      <w:r w:rsidRPr="008B2F8A">
        <w:rPr>
          <w:i/>
        </w:rPr>
        <w:t>Mammography for women under 30 years of age has an unfavourable benefit:risk ratio due to the challenges of detecting cancer in younger breasts, the aggressiveness of cancers at this age, the potential for radiation susceptibility at younger ages and a greater cumulative radiation exposure.</w:t>
      </w:r>
    </w:p>
    <w:p w14:paraId="3A307432" w14:textId="25D5BCDC" w:rsidR="00E47AB8" w:rsidRPr="008B2F8A" w:rsidRDefault="00E47AB8" w:rsidP="00422306">
      <w:pPr>
        <w:ind w:left="284"/>
        <w:rPr>
          <w:i/>
        </w:rPr>
      </w:pPr>
      <w:r w:rsidRPr="008B2F8A">
        <w:rPr>
          <w:i/>
        </w:rPr>
        <w:lastRenderedPageBreak/>
        <w:t>Mammography when used in combination with MRI for women who carry a strong breast cancer susceptibility (eg, BRCA1/</w:t>
      </w:r>
      <w:r w:rsidRPr="008B2F8A">
        <w:t>2</w:t>
      </w:r>
      <w:r w:rsidRPr="008B2F8A">
        <w:rPr>
          <w:i/>
        </w:rPr>
        <w:t xml:space="preserve"> carriers), which if begun at age 35 and continued for 35 years, may confer greatly improved benefit:risk ratios which were estimated to be about 220 to one.</w:t>
      </w:r>
    </w:p>
    <w:p w14:paraId="6FE673D5" w14:textId="77777777" w:rsidR="00E47AB8" w:rsidRPr="008B2F8A" w:rsidRDefault="00E47AB8" w:rsidP="00422306">
      <w:pPr>
        <w:ind w:left="284"/>
        <w:rPr>
          <w:i/>
        </w:rPr>
      </w:pPr>
      <w:r w:rsidRPr="008B2F8A">
        <w:rPr>
          <w:i/>
        </w:rPr>
        <w:t>While there is considerable uncertainty in the risk of radiation-induced breast cancer, the risk expressed in published studies is almost certainly conservative as the radiation dose absorbed by women receiving mammography recently has been substantially reduced by newer technology.</w:t>
      </w:r>
    </w:p>
    <w:p w14:paraId="76F6B221" w14:textId="0ADFE10A" w:rsidR="00E47AB8" w:rsidRPr="008B2F8A" w:rsidRDefault="00E47AB8" w:rsidP="00422306">
      <w:r w:rsidRPr="008B2F8A">
        <w:t xml:space="preserve">A large European study of </w:t>
      </w:r>
      <w:r w:rsidRPr="008B2F8A">
        <w:rPr>
          <w:i/>
        </w:rPr>
        <w:t>BRCA1/2</w:t>
      </w:r>
      <w:r w:rsidRPr="008B2F8A">
        <w:t xml:space="preserve"> carriers published in 2012 was cited in the HIQA (2013) review. It found that exposure to any ionising radiation before the age of 30 years was associated with an increased risk of breast cancer (HR 1.90, 95% CI 1.20–3.00); this risk was dose related </w:t>
      </w:r>
      <w:r w:rsidRPr="008B2F8A">
        <w:rPr>
          <w:noProof/>
        </w:rPr>
        <w:t>(</w:t>
      </w:r>
      <w:bookmarkStart w:id="955" w:name="OLE_LINK834"/>
      <w:bookmarkStart w:id="956" w:name="OLE_LINK835"/>
      <w:r w:rsidRPr="008B2F8A">
        <w:rPr>
          <w:noProof/>
        </w:rPr>
        <w:t>Anouk et al, 2012</w:t>
      </w:r>
      <w:bookmarkEnd w:id="955"/>
      <w:bookmarkEnd w:id="956"/>
      <w:r w:rsidRPr="008B2F8A">
        <w:rPr>
          <w:noProof/>
        </w:rPr>
        <w:t>)</w:t>
      </w:r>
      <w:r w:rsidRPr="008B2F8A">
        <w:t>. This increased risk was seen at doses substantially lower than those shown to be problematic in other cohorts exposed to ionising radiation</w:t>
      </w:r>
      <w:r>
        <w:t>,</w:t>
      </w:r>
      <w:r w:rsidRPr="008B2F8A">
        <w:t xml:space="preserve"> </w:t>
      </w:r>
      <w:r>
        <w:t>highlighting</w:t>
      </w:r>
      <w:r w:rsidRPr="008B2F8A">
        <w:t xml:space="preserve"> the potential increased radiosensitivity of </w:t>
      </w:r>
      <w:r w:rsidRPr="008B2F8A">
        <w:rPr>
          <w:i/>
        </w:rPr>
        <w:t>BRCA</w:t>
      </w:r>
      <w:r w:rsidRPr="008B2F8A">
        <w:t xml:space="preserve"> mutation carriers.</w:t>
      </w:r>
    </w:p>
    <w:p w14:paraId="711C90A6" w14:textId="77777777" w:rsidR="00E47AB8" w:rsidRPr="008B2F8A" w:rsidRDefault="00E47AB8" w:rsidP="00E47AB8">
      <w:pPr>
        <w:pStyle w:val="Heading2"/>
      </w:pPr>
      <w:bookmarkStart w:id="957" w:name="_Toc365552187"/>
      <w:bookmarkStart w:id="958" w:name="_Toc383424481"/>
      <w:r w:rsidRPr="008B2F8A">
        <w:t>Interpretation of the clinical evidence</w:t>
      </w:r>
      <w:bookmarkEnd w:id="957"/>
      <w:bookmarkEnd w:id="958"/>
    </w:p>
    <w:p w14:paraId="6FE62976" w14:textId="77777777" w:rsidR="00E47AB8" w:rsidRPr="008B2F8A" w:rsidRDefault="00E47AB8" w:rsidP="00422306">
      <w:r w:rsidRPr="008B2F8A">
        <w:t>Evidence about the relative effectiveness of adding MRI to standard mammography is limited to studies reporting on test accuracy. These studies are designed to demonstrate differences in the performance of different screening strategies and do not provide evidence about the impact of these strategies on patient outcomes.</w:t>
      </w:r>
    </w:p>
    <w:p w14:paraId="6BD18921" w14:textId="3FC9D620" w:rsidR="00E47AB8" w:rsidRPr="008B2F8A" w:rsidRDefault="00002208" w:rsidP="00E47AB8">
      <w:pPr>
        <w:pStyle w:val="Heading3"/>
        <w:numPr>
          <w:ilvl w:val="2"/>
          <w:numId w:val="42"/>
        </w:numPr>
      </w:pPr>
      <w:r>
        <w:t xml:space="preserve"> </w:t>
      </w:r>
      <w:bookmarkStart w:id="959" w:name="_Toc383424482"/>
      <w:r w:rsidR="00E47AB8" w:rsidRPr="008B2F8A">
        <w:t>Asymptomatic, high-risk women: MBS interim-funded item</w:t>
      </w:r>
      <w:bookmarkEnd w:id="959"/>
    </w:p>
    <w:p w14:paraId="60869B2A" w14:textId="1D6B0679" w:rsidR="00E47AB8" w:rsidRPr="008B2F8A" w:rsidRDefault="00E47AB8" w:rsidP="00422306">
      <w:r w:rsidRPr="008B2F8A">
        <w:t xml:space="preserve">The conclusions summarised in the following paragraphs largely mirror those of MSAC </w:t>
      </w:r>
      <w:r w:rsidRPr="008B2F8A">
        <w:rPr>
          <w:noProof/>
        </w:rPr>
        <w:t>(2006, p. 71)</w:t>
      </w:r>
      <w:r w:rsidRPr="008B2F8A">
        <w:t>.</w:t>
      </w:r>
    </w:p>
    <w:p w14:paraId="26FB94EB" w14:textId="12F11249" w:rsidR="00E47AB8" w:rsidRPr="008B2F8A" w:rsidRDefault="00E47AB8" w:rsidP="00422306">
      <w:r w:rsidRPr="008B2F8A">
        <w:t xml:space="preserve">This review identified five level III-1/2 studies investigating the relative test accuracy of screening protocols with and without breast MRI in high-risk women. Four of these studies provided evidence applicable to the proposed use of breast MRI </w:t>
      </w:r>
      <w:r>
        <w:t>+</w:t>
      </w:r>
      <w:r w:rsidRPr="008B2F8A">
        <w:t xml:space="preserve"> mammography versus mammography. Risk classification varied across studies</w:t>
      </w:r>
      <w:r>
        <w:t>.</w:t>
      </w:r>
      <w:r w:rsidRPr="008B2F8A">
        <w:t xml:space="preserve"> Two studies included women who would be classified as </w:t>
      </w:r>
      <w:r>
        <w:t xml:space="preserve">at </w:t>
      </w:r>
      <w:r w:rsidRPr="008B2F8A">
        <w:t xml:space="preserve">moderate rather than high risk (cumulative lifetime risk of &gt;15% or 20%). Although only one study was designed to assess breast MRI in women under the age of 50 years </w:t>
      </w:r>
      <w:r w:rsidRPr="008B2F8A">
        <w:rPr>
          <w:noProof/>
        </w:rPr>
        <w:t>(</w:t>
      </w:r>
      <w:r>
        <w:rPr>
          <w:noProof/>
        </w:rPr>
        <w:t>Leach, 2005</w:t>
      </w:r>
      <w:r w:rsidRPr="008B2F8A">
        <w:rPr>
          <w:noProof/>
        </w:rPr>
        <w:t>)</w:t>
      </w:r>
      <w:r w:rsidRPr="008B2F8A">
        <w:t xml:space="preserve">, all studies either had an average age of participants </w:t>
      </w:r>
      <w:r>
        <w:t>of</w:t>
      </w:r>
      <w:r w:rsidRPr="008B2F8A">
        <w:t xml:space="preserve"> &lt;50 years or enabled the calculation of diagnostic accuracy for a subset of women who were &lt;50 years or pre-menopausal.</w:t>
      </w:r>
    </w:p>
    <w:p w14:paraId="1C8CBC1D" w14:textId="31A3C8B1" w:rsidR="00E47AB8" w:rsidRPr="008B2F8A" w:rsidRDefault="00E47AB8" w:rsidP="00422306">
      <w:r w:rsidRPr="008B2F8A">
        <w:t xml:space="preserve">None of the studies were assessed as high quality; however, the consistency and precision of estimates of test sensitivity across these studies provide strong evidence that the combination of breast MRI and mammography is a highly sensitive test for the detection of breast cancer (range 0.85–0.94, HIQA [2013] meta-analysis 0.88 [0.78–0.93]) and offers approximately a 130% increase in the early detection of breast cancer over the use of mammography alone (range 0.36–0.40, HIQA </w:t>
      </w:r>
      <w:r>
        <w:t>[</w:t>
      </w:r>
      <w:r w:rsidRPr="008B2F8A">
        <w:t>2013</w:t>
      </w:r>
      <w:r>
        <w:t>]</w:t>
      </w:r>
      <w:r w:rsidRPr="008B2F8A">
        <w:t xml:space="preserve"> meta-analysis 0.38 </w:t>
      </w:r>
      <w:r>
        <w:t>[</w:t>
      </w:r>
      <w:r w:rsidRPr="008B2F8A">
        <w:t>0.26–0.51</w:t>
      </w:r>
      <w:r>
        <w:t>]</w:t>
      </w:r>
      <w:r w:rsidRPr="008B2F8A">
        <w:t>) in the surveillance of high-risk women.</w:t>
      </w:r>
    </w:p>
    <w:p w14:paraId="5E19559D" w14:textId="64F06192" w:rsidR="00E47AB8" w:rsidRPr="008B2F8A" w:rsidRDefault="00E47AB8" w:rsidP="00422306">
      <w:r w:rsidRPr="008B2F8A">
        <w:t>Less evidence was identified for an assessment of the relative accuracy of adding breast MRI to a mammography program that includes the use of ultrasound. Two studies reported an increased sensitivity of mammography combined with ultrasound (</w:t>
      </w:r>
      <w:r w:rsidRPr="008B2F8A">
        <w:rPr>
          <w:noProof/>
        </w:rPr>
        <w:t>Kuhl et al, 2005</w:t>
      </w:r>
      <w:r w:rsidRPr="008B2F8A">
        <w:t xml:space="preserve">; </w:t>
      </w:r>
      <w:r w:rsidRPr="008B2F8A">
        <w:rPr>
          <w:noProof/>
        </w:rPr>
        <w:t>Warner et al, 2004</w:t>
      </w:r>
      <w:r w:rsidRPr="008B2F8A">
        <w:t>) compared with mammography alone</w:t>
      </w:r>
      <w:r>
        <w:t>.</w:t>
      </w:r>
      <w:r w:rsidRPr="008B2F8A">
        <w:t xml:space="preserve"> </w:t>
      </w:r>
      <w:r>
        <w:t>They</w:t>
      </w:r>
      <w:r w:rsidRPr="008B2F8A">
        <w:t xml:space="preserve"> indicate that the incremental benefit of adding breast MRI to a screening program will be lower if standard imaging includes the routine or selected use of ultrasound</w:t>
      </w:r>
      <w:r w:rsidR="00B614BA" w:rsidRPr="00B614BA">
        <w:t xml:space="preserve"> </w:t>
      </w:r>
      <w:r w:rsidR="00B614BA">
        <w:t>than if it includes mammography alone</w:t>
      </w:r>
      <w:r w:rsidRPr="008B2F8A">
        <w:t>.</w:t>
      </w:r>
    </w:p>
    <w:p w14:paraId="0CF640E7" w14:textId="28A6DFAA" w:rsidR="00E47AB8" w:rsidRPr="008B2F8A" w:rsidRDefault="00E47AB8" w:rsidP="00422306">
      <w:r w:rsidRPr="008B2F8A">
        <w:lastRenderedPageBreak/>
        <w:t>Evidence about the specificity of screening protocols that include breast MRI was less consistent</w:t>
      </w:r>
      <w:r>
        <w:t>.</w:t>
      </w:r>
      <w:r w:rsidRPr="008B2F8A">
        <w:t xml:space="preserve"> </w:t>
      </w:r>
      <w:r>
        <w:t>This</w:t>
      </w:r>
      <w:r w:rsidRPr="008B2F8A">
        <w:t xml:space="preserve"> may be attributed, at least in part, to the different </w:t>
      </w:r>
      <w:r w:rsidR="00B614BA">
        <w:t>criteria</w:t>
      </w:r>
      <w:r w:rsidRPr="008B2F8A">
        <w:t xml:space="preserve"> used to define false-positives. The two studies which defined a false-positive as a test finding that initiated further testing to exclude malignancy provide the most relevant data and found specificities of 0.77 (0.75–0.79) (</w:t>
      </w:r>
      <w:r>
        <w:t>Leach, 2005</w:t>
      </w:r>
      <w:r w:rsidRPr="008B2F8A">
        <w:t xml:space="preserve">) and 0.85 (0.84–0.86) </w:t>
      </w:r>
      <w:r w:rsidRPr="008B2F8A">
        <w:rPr>
          <w:noProof/>
        </w:rPr>
        <w:t>(Kriege et al, 2006a)</w:t>
      </w:r>
      <w:r w:rsidRPr="008B2F8A">
        <w:t>, corresponding to a false-positive rate of 23% and 15%</w:t>
      </w:r>
      <w:r>
        <w:t>,</w:t>
      </w:r>
      <w:r w:rsidRPr="008B2F8A">
        <w:t xml:space="preserve"> respectively</w:t>
      </w:r>
      <w:r>
        <w:t>,</w:t>
      </w:r>
      <w:r w:rsidRPr="008B2F8A">
        <w:t xml:space="preserve"> compared with rate</w:t>
      </w:r>
      <w:r>
        <w:t>s</w:t>
      </w:r>
      <w:r w:rsidRPr="008B2F8A">
        <w:t xml:space="preserve"> for mammography alone of 7% and 5%</w:t>
      </w:r>
      <w:r>
        <w:t>,</w:t>
      </w:r>
      <w:r w:rsidRPr="008B2F8A">
        <w:t xml:space="preserve"> respectively. </w:t>
      </w:r>
      <w:r>
        <w:t>Leach (2005)</w:t>
      </w:r>
      <w:r w:rsidRPr="008B2F8A">
        <w:t xml:space="preserve"> reported </w:t>
      </w:r>
      <w:r>
        <w:t xml:space="preserve">that </w:t>
      </w:r>
      <w:r w:rsidRPr="008B2F8A">
        <w:t xml:space="preserve">the biopsy rate for false-positive imaging was 5% for MRI </w:t>
      </w:r>
      <w:r>
        <w:t>+</w:t>
      </w:r>
      <w:r w:rsidRPr="008B2F8A">
        <w:t xml:space="preserve"> mammography</w:t>
      </w:r>
      <w:r>
        <w:t>,</w:t>
      </w:r>
      <w:r w:rsidRPr="008B2F8A">
        <w:t xml:space="preserve"> versus 1.5% for mammography alone. Any clinical benefits associated with earlier detection should be weighed against the potential distress and costs of additional investigations for false-positive MRI findings.</w:t>
      </w:r>
      <w:bookmarkStart w:id="960" w:name="_Toc365552188"/>
    </w:p>
    <w:p w14:paraId="5E24A1BA" w14:textId="3FCF58FB" w:rsidR="00E47AB8" w:rsidRPr="008B2F8A" w:rsidRDefault="00E47AB8" w:rsidP="00422306">
      <w:pPr>
        <w:pStyle w:val="Heading4"/>
      </w:pPr>
      <w:r w:rsidRPr="008B2F8A">
        <w:t>Overall conclusions</w:t>
      </w:r>
      <w:r>
        <w:t xml:space="preserve">: </w:t>
      </w:r>
      <w:r w:rsidRPr="008B2F8A">
        <w:t>Asymptomatic, high-risk women: MBS interim-funded item</w:t>
      </w:r>
    </w:p>
    <w:p w14:paraId="3E5D452C" w14:textId="77777777" w:rsidR="00E47AB8" w:rsidRPr="008B2F8A" w:rsidRDefault="00E47AB8" w:rsidP="00E47AB8">
      <w:pPr>
        <w:pStyle w:val="ListParagraph"/>
        <w:numPr>
          <w:ilvl w:val="0"/>
          <w:numId w:val="50"/>
        </w:numPr>
      </w:pPr>
      <w:r w:rsidRPr="008B2F8A">
        <w:t>Breast MRI is a safe test.</w:t>
      </w:r>
    </w:p>
    <w:p w14:paraId="1B337257" w14:textId="24DF5746" w:rsidR="00E47AB8" w:rsidRPr="008B2F8A" w:rsidRDefault="00E47AB8" w:rsidP="00E47AB8">
      <w:pPr>
        <w:pStyle w:val="ListParagraph"/>
        <w:numPr>
          <w:ilvl w:val="0"/>
          <w:numId w:val="50"/>
        </w:numPr>
      </w:pPr>
      <w:r w:rsidRPr="008B2F8A">
        <w:t xml:space="preserve">Breast MRI offers a </w:t>
      </w:r>
      <w:r w:rsidRPr="00B614BA">
        <w:t>2.3 fold</w:t>
      </w:r>
      <w:r w:rsidRPr="008B2F8A">
        <w:t xml:space="preserve"> increase in the detection of breast cancer in younger high-risk women </w:t>
      </w:r>
      <w:r>
        <w:t>over</w:t>
      </w:r>
      <w:r w:rsidRPr="008B2F8A">
        <w:t xml:space="preserve"> mammography alone.</w:t>
      </w:r>
    </w:p>
    <w:p w14:paraId="1FB646C7" w14:textId="2723DC17" w:rsidR="00E47AB8" w:rsidRPr="008B2F8A" w:rsidRDefault="00E47AB8" w:rsidP="00E47AB8">
      <w:pPr>
        <w:pStyle w:val="ListParagraph"/>
        <w:numPr>
          <w:ilvl w:val="0"/>
          <w:numId w:val="50"/>
        </w:numPr>
      </w:pPr>
      <w:r w:rsidRPr="008B2F8A">
        <w:t xml:space="preserve">Breast MRI increases by </w:t>
      </w:r>
      <w:r w:rsidRPr="00B614BA">
        <w:t>3-fold</w:t>
      </w:r>
      <w:r w:rsidRPr="008B2F8A">
        <w:t xml:space="preserve"> the rate of investigations for false-positive findings.</w:t>
      </w:r>
    </w:p>
    <w:p w14:paraId="2EC60B99" w14:textId="51C3139E" w:rsidR="00E47AB8" w:rsidRPr="008B2F8A" w:rsidRDefault="00641928" w:rsidP="00E47AB8">
      <w:pPr>
        <w:pStyle w:val="Heading3"/>
        <w:numPr>
          <w:ilvl w:val="2"/>
          <w:numId w:val="42"/>
        </w:numPr>
      </w:pPr>
      <w:r>
        <w:t xml:space="preserve"> </w:t>
      </w:r>
      <w:bookmarkStart w:id="961" w:name="_Toc383424483"/>
      <w:r w:rsidR="00E47AB8" w:rsidRPr="008B2F8A">
        <w:t>Women with a history of treatment for invasive breast cancer</w:t>
      </w:r>
      <w:bookmarkEnd w:id="961"/>
    </w:p>
    <w:p w14:paraId="7EB7B51C" w14:textId="77777777" w:rsidR="00E47AB8" w:rsidRPr="008B2F8A" w:rsidRDefault="00E47AB8" w:rsidP="00422306">
      <w:r w:rsidRPr="008B2F8A">
        <w:t>This review identified two level III-2 studies of test accuracy investigating the relative accuracy of screening protocols with and without breast MRI in women with a history of treatment for invasive breast cancer. Both studies included women aged over 50 years (median of 57 and 55.7</w:t>
      </w:r>
      <w:r>
        <w:t xml:space="preserve"> years</w:t>
      </w:r>
      <w:r w:rsidRPr="008B2F8A">
        <w:t>). Both studies had methodological flaws and were at high risk of bias across multiple domains.</w:t>
      </w:r>
    </w:p>
    <w:p w14:paraId="68ABECC7" w14:textId="25BF3905" w:rsidR="00E47AB8" w:rsidRPr="008B2F8A" w:rsidRDefault="00E47AB8" w:rsidP="00422306">
      <w:r w:rsidRPr="008B2F8A">
        <w:t>The studies were consistent in showing that breast MRI combined with mammography is a highly sensitive test (no false-negatives identified) for the early detection of breast cancer in women with a previous history of invasive breast cancer</w:t>
      </w:r>
      <w:r>
        <w:t>.</w:t>
      </w:r>
      <w:r w:rsidRPr="008B2F8A">
        <w:t xml:space="preserve"> However, the small sample size</w:t>
      </w:r>
      <w:r>
        <w:t>s</w:t>
      </w:r>
      <w:r w:rsidRPr="008B2F8A">
        <w:t xml:space="preserve"> reduced the precision of these estimates and the statistical power. The studies suggest that breast MRI may double the early detection of breast cancer compared with mammography alone.</w:t>
      </w:r>
    </w:p>
    <w:p w14:paraId="26A78701" w14:textId="60853A98" w:rsidR="00E47AB8" w:rsidRPr="008B2F8A" w:rsidRDefault="00E47AB8" w:rsidP="00422306">
      <w:r w:rsidRPr="008B2F8A">
        <w:t xml:space="preserve">Evidence about specificity was inconsistent. </w:t>
      </w:r>
      <w:r>
        <w:t>Viehweg et al (2004)</w:t>
      </w:r>
      <w:r w:rsidRPr="008B2F8A">
        <w:t xml:space="preserve"> did not use the standard BI-RADS nomenclature to define a positive/negative test</w:t>
      </w:r>
      <w:r>
        <w:t>,</w:t>
      </w:r>
      <w:r w:rsidRPr="008B2F8A">
        <w:t xml:space="preserve"> and the threshold used was unclear. </w:t>
      </w:r>
      <w:r>
        <w:t>Berg et al (2012)</w:t>
      </w:r>
      <w:r w:rsidRPr="008B2F8A">
        <w:t xml:space="preserve"> defined a false-positive as a test finding that initiated further testing to exclude malignancy and found a specificity of 0.79 (0.73–0.83) for breast MRI </w:t>
      </w:r>
      <w:r>
        <w:t>+</w:t>
      </w:r>
      <w:r w:rsidRPr="008B2F8A">
        <w:t xml:space="preserve"> mammography</w:t>
      </w:r>
      <w:r>
        <w:t>,</w:t>
      </w:r>
      <w:r w:rsidRPr="008B2F8A">
        <w:t xml:space="preserve"> corresponding to a false-positive rate of 21% compared with 5% for mammography alone. The false-positive biopsy rate in this study was 4.0% for breast MRI </w:t>
      </w:r>
      <w:r>
        <w:t>+</w:t>
      </w:r>
      <w:r w:rsidRPr="008B2F8A">
        <w:t xml:space="preserve"> mammography</w:t>
      </w:r>
      <w:r>
        <w:t>,</w:t>
      </w:r>
      <w:r w:rsidRPr="008B2F8A">
        <w:t xml:space="preserve"> versus 0.73% for mammography alone. Any clinical benefits associated with earlier detection should be weighed against the potential distress and costs of additional investigations for false-positive MRI findings.</w:t>
      </w:r>
    </w:p>
    <w:p w14:paraId="03F2FCBF" w14:textId="7225B6F4" w:rsidR="00E47AB8" w:rsidRPr="008B2F8A" w:rsidRDefault="00E47AB8" w:rsidP="00422306">
      <w:pPr>
        <w:pStyle w:val="Heading4"/>
      </w:pPr>
      <w:r w:rsidRPr="008B2F8A">
        <w:t>Overall conclusions</w:t>
      </w:r>
      <w:r>
        <w:t xml:space="preserve">: </w:t>
      </w:r>
      <w:r w:rsidRPr="008B2F8A">
        <w:t>Women with a history of treatment for invasive breast cancer</w:t>
      </w:r>
    </w:p>
    <w:p w14:paraId="1BD6D486" w14:textId="77777777" w:rsidR="00E47AB8" w:rsidRPr="008B2F8A" w:rsidRDefault="00E47AB8" w:rsidP="00E47AB8">
      <w:pPr>
        <w:pStyle w:val="ListParagraph"/>
        <w:numPr>
          <w:ilvl w:val="0"/>
          <w:numId w:val="50"/>
        </w:numPr>
      </w:pPr>
      <w:r w:rsidRPr="008B2F8A">
        <w:t>Breast MRI is a safe test.</w:t>
      </w:r>
    </w:p>
    <w:p w14:paraId="1BA3E7CE" w14:textId="444DD6CF" w:rsidR="00E47AB8" w:rsidRPr="008B2F8A" w:rsidRDefault="00E47AB8" w:rsidP="00E47AB8">
      <w:pPr>
        <w:pStyle w:val="ListParagraph"/>
        <w:numPr>
          <w:ilvl w:val="0"/>
          <w:numId w:val="50"/>
        </w:numPr>
      </w:pPr>
      <w:r w:rsidRPr="008B2F8A">
        <w:t xml:space="preserve">Breast MRI may double the detection of breast cancer in women with a history of treatment for invasive breast cancer compared </w:t>
      </w:r>
      <w:r>
        <w:t>with</w:t>
      </w:r>
      <w:r w:rsidRPr="008B2F8A">
        <w:t xml:space="preserve"> mammography alone.</w:t>
      </w:r>
    </w:p>
    <w:p w14:paraId="7A009C7B" w14:textId="3D089344" w:rsidR="00E47AB8" w:rsidRPr="008B2F8A" w:rsidRDefault="00E47AB8" w:rsidP="00E47AB8">
      <w:pPr>
        <w:pStyle w:val="ListParagraph"/>
        <w:numPr>
          <w:ilvl w:val="0"/>
          <w:numId w:val="50"/>
        </w:numPr>
      </w:pPr>
      <w:r w:rsidRPr="008B2F8A">
        <w:t xml:space="preserve">Breast MRI may increase by </w:t>
      </w:r>
      <w:r w:rsidRPr="00B614BA">
        <w:t>4-fold</w:t>
      </w:r>
      <w:r w:rsidRPr="008B2F8A">
        <w:t xml:space="preserve"> the rate of investigations for false-positive findings</w:t>
      </w:r>
    </w:p>
    <w:p w14:paraId="048001F0" w14:textId="43D466E5" w:rsidR="00E47AB8" w:rsidRPr="008B2F8A" w:rsidRDefault="00641928" w:rsidP="00E47AB8">
      <w:pPr>
        <w:pStyle w:val="Heading3"/>
        <w:numPr>
          <w:ilvl w:val="2"/>
          <w:numId w:val="42"/>
        </w:numPr>
      </w:pPr>
      <w:r>
        <w:lastRenderedPageBreak/>
        <w:t xml:space="preserve"> </w:t>
      </w:r>
      <w:bookmarkStart w:id="962" w:name="_Toc383424484"/>
      <w:r w:rsidR="00E47AB8" w:rsidRPr="008B2F8A">
        <w:t>Women with a history of treatment for DCIS or LCIS</w:t>
      </w:r>
      <w:bookmarkEnd w:id="962"/>
    </w:p>
    <w:p w14:paraId="3DD7135A" w14:textId="49A68588" w:rsidR="00E47AB8" w:rsidRPr="008B2F8A" w:rsidRDefault="00E47AB8" w:rsidP="00422306">
      <w:r w:rsidRPr="008B2F8A">
        <w:t xml:space="preserve">This review did not identify any studies of test accuracy which compared screening protocols with and without breast MRI in women with a history of treatment for DCIS or LCIS. </w:t>
      </w:r>
      <w:r>
        <w:t>It</w:t>
      </w:r>
      <w:r w:rsidRPr="008B2F8A">
        <w:t xml:space="preserve"> did identify one level III-2 diagnostic accuracy study which compared breast MRI alone with mammography alone in women who had been treated for LCIS. The study was small and had a high risk of bias across multiple domains. </w:t>
      </w:r>
      <w:r>
        <w:t>It</w:t>
      </w:r>
      <w:r w:rsidRPr="008B2F8A">
        <w:t xml:space="preserve"> suggests MRI may double the early detection of breast cancer in women with a history of LCIS (sensitivity</w:t>
      </w:r>
      <w:r>
        <w:t>:</w:t>
      </w:r>
      <w:r w:rsidRPr="008B2F8A">
        <w:t xml:space="preserve"> MRI 0.71 [0.42, 0.92]</w:t>
      </w:r>
      <w:r>
        <w:t>,</w:t>
      </w:r>
      <w:r w:rsidRPr="008B2F8A">
        <w:t xml:space="preserve"> mammography 0.36 [0.13, 0.65]) </w:t>
      </w:r>
      <w:r w:rsidRPr="008B2F8A">
        <w:rPr>
          <w:noProof/>
        </w:rPr>
        <w:t>(Sung et al, 2011b)</w:t>
      </w:r>
      <w:r>
        <w:rPr>
          <w:noProof/>
        </w:rPr>
        <w:t>,</w:t>
      </w:r>
      <w:r w:rsidRPr="008B2F8A">
        <w:t xml:space="preserve"> and </w:t>
      </w:r>
      <w:r>
        <w:t xml:space="preserve">found </w:t>
      </w:r>
      <w:r w:rsidRPr="008B2F8A">
        <w:t>a 140% increase in the rate of biopsies for false-positive findings</w:t>
      </w:r>
      <w:r>
        <w:t>,</w:t>
      </w:r>
      <w:r w:rsidRPr="008B2F8A">
        <w:t xml:space="preserve"> but the body of evidence if too limited to </w:t>
      </w:r>
      <w:r>
        <w:t>allow</w:t>
      </w:r>
      <w:r w:rsidRPr="008B2F8A">
        <w:t xml:space="preserve"> any conclusions</w:t>
      </w:r>
      <w:r>
        <w:t xml:space="preserve"> to be drawn</w:t>
      </w:r>
      <w:r w:rsidRPr="008B2F8A">
        <w:t>.</w:t>
      </w:r>
    </w:p>
    <w:p w14:paraId="7F0E4240" w14:textId="467C3882" w:rsidR="00E47AB8" w:rsidRPr="008B2F8A" w:rsidRDefault="00641928" w:rsidP="00E47AB8">
      <w:pPr>
        <w:pStyle w:val="Heading3"/>
        <w:numPr>
          <w:ilvl w:val="2"/>
          <w:numId w:val="42"/>
        </w:numPr>
      </w:pPr>
      <w:r>
        <w:t xml:space="preserve"> </w:t>
      </w:r>
      <w:bookmarkStart w:id="963" w:name="_Toc383424485"/>
      <w:r w:rsidR="00E47AB8" w:rsidRPr="008B2F8A">
        <w:t>Women who have had chest irradiation between 10 and 35 years</w:t>
      </w:r>
      <w:bookmarkEnd w:id="963"/>
    </w:p>
    <w:p w14:paraId="61109A4B" w14:textId="359294BF" w:rsidR="00E47AB8" w:rsidRPr="008B2F8A" w:rsidRDefault="00E47AB8" w:rsidP="00422306">
      <w:r w:rsidRPr="008B2F8A">
        <w:t xml:space="preserve">This review identified one level III-1 test accuracy study investigating the relative accuracy of screening protocols with and without breast MRI for women who have had chest irradiation between </w:t>
      </w:r>
      <w:r>
        <w:t xml:space="preserve">the ages of </w:t>
      </w:r>
      <w:r w:rsidRPr="008B2F8A">
        <w:t xml:space="preserve">10 and 35 years </w:t>
      </w:r>
      <w:r w:rsidRPr="008B2F8A">
        <w:rPr>
          <w:noProof/>
        </w:rPr>
        <w:t>(Ng et al, 2013)</w:t>
      </w:r>
      <w:r w:rsidRPr="008B2F8A">
        <w:t xml:space="preserve">. </w:t>
      </w:r>
      <w:r>
        <w:t>Two</w:t>
      </w:r>
      <w:r w:rsidRPr="008B2F8A">
        <w:t xml:space="preserve"> additional level III-2 test accuracy studies investigated the accuracy of breast MRI alone compared with mammography alone (</w:t>
      </w:r>
      <w:r w:rsidRPr="008B2F8A">
        <w:rPr>
          <w:noProof/>
        </w:rPr>
        <w:t>Freitas et al, 2013</w:t>
      </w:r>
      <w:r w:rsidRPr="008B2F8A">
        <w:t xml:space="preserve">; </w:t>
      </w:r>
      <w:r w:rsidRPr="008B2F8A">
        <w:rPr>
          <w:noProof/>
        </w:rPr>
        <w:t>Sung et al, 2011a</w:t>
      </w:r>
      <w:r w:rsidRPr="008B2F8A">
        <w:t>). All studies had a mean or median age of &lt;50 years.</w:t>
      </w:r>
    </w:p>
    <w:p w14:paraId="54FC11A0" w14:textId="653E8E85" w:rsidR="00E47AB8" w:rsidRPr="008B2F8A" w:rsidRDefault="00E47AB8" w:rsidP="00422306">
      <w:r w:rsidRPr="008B2F8A">
        <w:t xml:space="preserve">The </w:t>
      </w:r>
      <w:r w:rsidRPr="008B2F8A">
        <w:rPr>
          <w:noProof/>
        </w:rPr>
        <w:t xml:space="preserve">Ng et al </w:t>
      </w:r>
      <w:r>
        <w:rPr>
          <w:noProof/>
        </w:rPr>
        <w:t>(</w:t>
      </w:r>
      <w:r w:rsidRPr="008B2F8A">
        <w:rPr>
          <w:noProof/>
        </w:rPr>
        <w:t>2013)</w:t>
      </w:r>
      <w:r w:rsidRPr="008B2F8A">
        <w:t xml:space="preserve"> study is the most applicable and at a lower risk of bias than the other included studies. It provides weak evidence that the addition of breast MRI increases the early detection of breast cancer over mammography alone in women who have had chest irradiation (sensitivity</w:t>
      </w:r>
      <w:r>
        <w:t>:</w:t>
      </w:r>
      <w:r w:rsidRPr="008B2F8A">
        <w:t xml:space="preserve"> breast MRI </w:t>
      </w:r>
      <w:r>
        <w:t>+</w:t>
      </w:r>
      <w:r w:rsidRPr="008B2F8A">
        <w:t xml:space="preserve"> mammography 0.95 [0.74, 1.00]</w:t>
      </w:r>
      <w:r>
        <w:t>,</w:t>
      </w:r>
      <w:r w:rsidRPr="008B2F8A">
        <w:t xml:space="preserve"> mammography alone 0.68 [0.43, 0.87])</w:t>
      </w:r>
      <w:r>
        <w:t>,</w:t>
      </w:r>
      <w:r w:rsidRPr="008B2F8A">
        <w:t xml:space="preserve"> an increase in the early detection of breast cancer of approximately 1.4-fold. The biopsy rate in this study was 18% (14.5</w:t>
      </w:r>
      <w:r>
        <w:t>%</w:t>
      </w:r>
      <w:r w:rsidRPr="008B2F8A">
        <w:t>–22.6</w:t>
      </w:r>
      <w:r>
        <w:t>%</w:t>
      </w:r>
      <w:r w:rsidRPr="008B2F8A">
        <w:t>) for the combined tests and 11% (8.0</w:t>
      </w:r>
      <w:r>
        <w:t>%</w:t>
      </w:r>
      <w:r w:rsidRPr="008B2F8A">
        <w:t>–14.7</w:t>
      </w:r>
      <w:r>
        <w:t>%</w:t>
      </w:r>
      <w:r w:rsidRPr="008B2F8A">
        <w:t>) for mammography alone, an increase in the rate of biopsy of 1.6 fold.</w:t>
      </w:r>
    </w:p>
    <w:p w14:paraId="653D13EB" w14:textId="3FF42C80" w:rsidR="00E47AB8" w:rsidRPr="008B2F8A" w:rsidRDefault="00E47AB8" w:rsidP="00422306">
      <w:r w:rsidRPr="008B2F8A">
        <w:t>Across all three studies, the sensitivity of mammography in this population was consistently higher than in other populations considered in this review (three studies: 0.67, 0.68 and 0.69)</w:t>
      </w:r>
      <w:r>
        <w:t>,</w:t>
      </w:r>
      <w:r w:rsidRPr="008B2F8A">
        <w:t xml:space="preserve"> and while the sensitivity of breast MRI alone was less consistent (three studies: 0.63, 0.67 and 0.92), in two of the studies the sensitivity of MRI alone was not greater than that of mammography alone (</w:t>
      </w:r>
      <w:r w:rsidRPr="008B2F8A">
        <w:rPr>
          <w:noProof/>
        </w:rPr>
        <w:t>Ng et al, 2013</w:t>
      </w:r>
      <w:r w:rsidRPr="008B2F8A">
        <w:t xml:space="preserve">; </w:t>
      </w:r>
      <w:r w:rsidRPr="008B2F8A">
        <w:rPr>
          <w:noProof/>
        </w:rPr>
        <w:t>Sung et al, 2011a</w:t>
      </w:r>
      <w:r w:rsidRPr="008B2F8A">
        <w:t>). Despite their lack of precision, the consistency of these studies suggests that breast MRI alone is not more sensitive than mammography alone in women who have had chest irradiation</w:t>
      </w:r>
      <w:r>
        <w:t>,</w:t>
      </w:r>
      <w:r w:rsidRPr="008B2F8A">
        <w:t xml:space="preserve"> and likewise the techniques have similar specificity. The combination of the two tests is likely to increase the detection of early breast cancer compared with either test alone, although to a lesser degree than in other high-risk populations.</w:t>
      </w:r>
    </w:p>
    <w:p w14:paraId="733214AE" w14:textId="155C0730" w:rsidR="00E47AB8" w:rsidRPr="008B2F8A" w:rsidRDefault="00E47AB8" w:rsidP="00422306">
      <w:pPr>
        <w:pStyle w:val="Heading4"/>
      </w:pPr>
      <w:r w:rsidRPr="008B2F8A">
        <w:t>Overall conclusions</w:t>
      </w:r>
      <w:r>
        <w:t xml:space="preserve">: </w:t>
      </w:r>
      <w:r w:rsidRPr="008B2F8A">
        <w:t>Women who have had chest irradiation between 10 and 35 years</w:t>
      </w:r>
    </w:p>
    <w:p w14:paraId="63505025" w14:textId="77777777" w:rsidR="00E47AB8" w:rsidRPr="008B2F8A" w:rsidRDefault="00E47AB8" w:rsidP="00E47AB8">
      <w:pPr>
        <w:pStyle w:val="ListParagraph"/>
        <w:numPr>
          <w:ilvl w:val="0"/>
          <w:numId w:val="50"/>
        </w:numPr>
      </w:pPr>
      <w:r w:rsidRPr="008B2F8A">
        <w:t>Breast MRI is a safe test.</w:t>
      </w:r>
    </w:p>
    <w:p w14:paraId="1B1F7BE0" w14:textId="2BEE77C8" w:rsidR="00E47AB8" w:rsidRPr="008B2F8A" w:rsidRDefault="00E47AB8" w:rsidP="00E47AB8">
      <w:pPr>
        <w:pStyle w:val="ListParagraph"/>
        <w:numPr>
          <w:ilvl w:val="0"/>
          <w:numId w:val="50"/>
        </w:numPr>
      </w:pPr>
      <w:r w:rsidRPr="008B2F8A">
        <w:t xml:space="preserve">Breast MRI may offer an approximately </w:t>
      </w:r>
      <w:r w:rsidRPr="001E79A9">
        <w:t>1.4-fold</w:t>
      </w:r>
      <w:r w:rsidRPr="008B2F8A">
        <w:t xml:space="preserve"> increase in the detection of breast cancer in women who have had chest irradiation between 10 and 35 years compared </w:t>
      </w:r>
      <w:r>
        <w:t>with</w:t>
      </w:r>
      <w:r w:rsidRPr="008B2F8A">
        <w:t xml:space="preserve"> mammography alone.</w:t>
      </w:r>
    </w:p>
    <w:p w14:paraId="21E01173" w14:textId="767609F8" w:rsidR="00E47AB8" w:rsidRPr="008B2F8A" w:rsidRDefault="00E47AB8" w:rsidP="00E47AB8">
      <w:pPr>
        <w:pStyle w:val="ListParagraph"/>
        <w:numPr>
          <w:ilvl w:val="0"/>
          <w:numId w:val="50"/>
        </w:numPr>
      </w:pPr>
      <w:r w:rsidRPr="008B2F8A">
        <w:t xml:space="preserve">Breast MRI may increase by approximately </w:t>
      </w:r>
      <w:r w:rsidRPr="001E79A9">
        <w:t>1.6-fold</w:t>
      </w:r>
      <w:r w:rsidRPr="008B2F8A">
        <w:t xml:space="preserve"> the rate of biopsy compared </w:t>
      </w:r>
      <w:r>
        <w:t>with</w:t>
      </w:r>
      <w:r w:rsidRPr="008B2F8A">
        <w:t xml:space="preserve"> mammography alone.</w:t>
      </w:r>
    </w:p>
    <w:bookmarkEnd w:id="960"/>
    <w:p w14:paraId="2C0A30C9" w14:textId="77777777" w:rsidR="00E47AB8" w:rsidRPr="008B2F8A" w:rsidRDefault="00E47AB8" w:rsidP="00422306">
      <w:pPr>
        <w:pStyle w:val="Heading4"/>
      </w:pPr>
      <w:r w:rsidRPr="008B2F8A">
        <w:br w:type="page"/>
      </w:r>
    </w:p>
    <w:p w14:paraId="1DFE57DA" w14:textId="77777777" w:rsidR="00E47AB8" w:rsidRPr="008B2F8A" w:rsidRDefault="00E47AB8" w:rsidP="00E47AB8">
      <w:pPr>
        <w:pStyle w:val="Heading1"/>
        <w:numPr>
          <w:ilvl w:val="0"/>
          <w:numId w:val="42"/>
        </w:numPr>
        <w:spacing w:after="0"/>
      </w:pPr>
      <w:bookmarkStart w:id="964" w:name="_Toc355274811"/>
      <w:bookmarkStart w:id="965" w:name="_Toc383424486"/>
      <w:r w:rsidRPr="008B2F8A">
        <w:lastRenderedPageBreak/>
        <w:t>Translating the clinical evaluation to economic evaluation</w:t>
      </w:r>
      <w:bookmarkEnd w:id="964"/>
      <w:bookmarkEnd w:id="965"/>
    </w:p>
    <w:p w14:paraId="417D0EF3" w14:textId="5F9DAA9C" w:rsidR="00E47AB8" w:rsidRPr="008B2F8A" w:rsidRDefault="00E47AB8" w:rsidP="00422306">
      <w:r w:rsidRPr="008B2F8A">
        <w:t xml:space="preserve">As shown in Section D, the results of the economic model presented in this assessment report are driven by several important differences between the surveillance using MRI </w:t>
      </w:r>
      <w:r>
        <w:t>+</w:t>
      </w:r>
      <w:r w:rsidRPr="008B2F8A">
        <w:t xml:space="preserve"> mammography </w:t>
      </w:r>
      <w:r>
        <w:t>and</w:t>
      </w:r>
      <w:r w:rsidRPr="008B2F8A">
        <w:t xml:space="preserve"> surveillance using mammography alone:</w:t>
      </w:r>
    </w:p>
    <w:p w14:paraId="75B3686D" w14:textId="73D625DA" w:rsidR="00E47AB8" w:rsidRPr="008B2F8A" w:rsidRDefault="00E47AB8" w:rsidP="00E47AB8">
      <w:pPr>
        <w:pStyle w:val="ListParagraph"/>
        <w:numPr>
          <w:ilvl w:val="0"/>
          <w:numId w:val="60"/>
        </w:numPr>
      </w:pPr>
      <w:r w:rsidRPr="008B2F8A">
        <w:t xml:space="preserve">MRI </w:t>
      </w:r>
      <w:r>
        <w:t>+</w:t>
      </w:r>
      <w:r w:rsidRPr="008B2F8A">
        <w:t xml:space="preserve"> mammography has </w:t>
      </w:r>
      <w:r>
        <w:t>higher</w:t>
      </w:r>
      <w:r w:rsidRPr="008B2F8A">
        <w:t xml:space="preserve"> sensitivity </w:t>
      </w:r>
      <w:r>
        <w:t>than</w:t>
      </w:r>
      <w:r w:rsidRPr="008B2F8A">
        <w:t xml:space="preserve"> mammography alone, leading to earlier detection in a higher proportion of cancers.</w:t>
      </w:r>
    </w:p>
    <w:p w14:paraId="7EBA09DE" w14:textId="77777777" w:rsidR="00E47AB8" w:rsidRPr="008B2F8A" w:rsidRDefault="00E47AB8" w:rsidP="00E47AB8">
      <w:pPr>
        <w:pStyle w:val="ListParagraph"/>
        <w:numPr>
          <w:ilvl w:val="0"/>
          <w:numId w:val="60"/>
        </w:numPr>
      </w:pPr>
      <w:r w:rsidRPr="008B2F8A">
        <w:t>Earlier detection of breast cancer leads to earlier treatment.</w:t>
      </w:r>
    </w:p>
    <w:p w14:paraId="4219759F" w14:textId="77777777" w:rsidR="00E47AB8" w:rsidRPr="008B2F8A" w:rsidRDefault="00E47AB8" w:rsidP="00E47AB8">
      <w:pPr>
        <w:pStyle w:val="ListParagraph"/>
        <w:numPr>
          <w:ilvl w:val="0"/>
          <w:numId w:val="60"/>
        </w:numPr>
      </w:pPr>
      <w:r w:rsidRPr="008B2F8A">
        <w:t>Earlier treatment of breast cancer leads to earlier accrual of treatment costs but improved prognosis.</w:t>
      </w:r>
    </w:p>
    <w:p w14:paraId="65C224DC" w14:textId="79770FE2" w:rsidR="00E47AB8" w:rsidRPr="008B2F8A" w:rsidRDefault="00E47AB8" w:rsidP="00E47AB8">
      <w:pPr>
        <w:pStyle w:val="ListParagraph"/>
        <w:numPr>
          <w:ilvl w:val="0"/>
          <w:numId w:val="60"/>
        </w:numPr>
      </w:pPr>
      <w:r w:rsidRPr="008B2F8A">
        <w:t xml:space="preserve">The benefits of MRI </w:t>
      </w:r>
      <w:r>
        <w:t>+</w:t>
      </w:r>
      <w:r w:rsidRPr="008B2F8A">
        <w:t xml:space="preserve"> mammography are balanced against the incremental cost of MRI scans and reduced specificity, resulting in additional costs for the follow-up of false-positive diagnoses.</w:t>
      </w:r>
    </w:p>
    <w:p w14:paraId="640CEC6D" w14:textId="67A93C52" w:rsidR="00E47AB8" w:rsidRPr="008B2F8A" w:rsidRDefault="00E47AB8" w:rsidP="00422306">
      <w:r w:rsidRPr="008B2F8A">
        <w:t>Five key translation issues were identified within this structure:</w:t>
      </w:r>
    </w:p>
    <w:p w14:paraId="5ED71000" w14:textId="77777777" w:rsidR="00E47AB8" w:rsidRPr="008B2F8A" w:rsidRDefault="00E47AB8" w:rsidP="00E47AB8">
      <w:pPr>
        <w:pStyle w:val="ListParagraph"/>
        <w:numPr>
          <w:ilvl w:val="0"/>
          <w:numId w:val="61"/>
        </w:numPr>
      </w:pPr>
      <w:r w:rsidRPr="008B2F8A">
        <w:t>Which accuracy data presented in Section B are most applicable to the populations being considered for MRI surveillance?</w:t>
      </w:r>
    </w:p>
    <w:p w14:paraId="7B8DBA3F" w14:textId="4566D243" w:rsidR="00E47AB8" w:rsidRPr="008B2F8A" w:rsidRDefault="00E47AB8" w:rsidP="00E47AB8">
      <w:pPr>
        <w:pStyle w:val="ListParagraph"/>
        <w:numPr>
          <w:ilvl w:val="0"/>
          <w:numId w:val="61"/>
        </w:numPr>
      </w:pPr>
      <w:r w:rsidRPr="008B2F8A">
        <w:t>What is the underlying risk of breast cancer in each of the proposed populations for screening</w:t>
      </w:r>
      <w:r>
        <w:t>;</w:t>
      </w:r>
      <w:r w:rsidRPr="008B2F8A">
        <w:t xml:space="preserve"> and</w:t>
      </w:r>
      <w:r>
        <w:t>,</w:t>
      </w:r>
      <w:r w:rsidRPr="008B2F8A">
        <w:t xml:space="preserve"> consequently, how many cancers would be detected earlier by MRI </w:t>
      </w:r>
      <w:r>
        <w:t>+</w:t>
      </w:r>
      <w:r w:rsidRPr="008B2F8A">
        <w:t xml:space="preserve"> mammography </w:t>
      </w:r>
      <w:r>
        <w:t>than by</w:t>
      </w:r>
      <w:r w:rsidRPr="008B2F8A">
        <w:t xml:space="preserve"> mammography alone?</w:t>
      </w:r>
    </w:p>
    <w:p w14:paraId="072EF275" w14:textId="77777777" w:rsidR="00E47AB8" w:rsidRPr="008B2F8A" w:rsidRDefault="00E47AB8" w:rsidP="00E47AB8">
      <w:pPr>
        <w:pStyle w:val="ListParagraph"/>
        <w:numPr>
          <w:ilvl w:val="0"/>
          <w:numId w:val="61"/>
        </w:numPr>
      </w:pPr>
      <w:r w:rsidRPr="008B2F8A">
        <w:t>What is the prognosis for women with breast cancer, and how is prognosis affected by a delay in diagnosis?</w:t>
      </w:r>
    </w:p>
    <w:p w14:paraId="2F1837D0" w14:textId="77777777" w:rsidR="00E47AB8" w:rsidRPr="008B2F8A" w:rsidRDefault="00E47AB8" w:rsidP="00E47AB8">
      <w:pPr>
        <w:pStyle w:val="ListParagraph"/>
        <w:numPr>
          <w:ilvl w:val="0"/>
          <w:numId w:val="61"/>
        </w:numPr>
      </w:pPr>
      <w:r w:rsidRPr="008B2F8A">
        <w:t>What are the resource use implications of the proposed screening program?</w:t>
      </w:r>
    </w:p>
    <w:p w14:paraId="4F220113" w14:textId="21DA887E" w:rsidR="00E47AB8" w:rsidRPr="008B2F8A" w:rsidRDefault="00E47AB8" w:rsidP="00E47AB8">
      <w:pPr>
        <w:pStyle w:val="ListParagraph"/>
        <w:numPr>
          <w:ilvl w:val="0"/>
          <w:numId w:val="61"/>
        </w:numPr>
      </w:pPr>
      <w:r w:rsidRPr="008B2F8A">
        <w:t>What are the quality of life implications of the proposed screening program; that is, what utility values apply to patients with cancer and to those who are falsely identified as having cancer?</w:t>
      </w:r>
    </w:p>
    <w:p w14:paraId="66901FED" w14:textId="57B30C15" w:rsidR="00E47AB8" w:rsidRPr="008B2F8A" w:rsidRDefault="00E47AB8" w:rsidP="00422306">
      <w:pPr>
        <w:rPr>
          <w:color w:val="000000"/>
          <w:sz w:val="24"/>
          <w:szCs w:val="24"/>
        </w:rPr>
      </w:pPr>
      <w:r w:rsidRPr="008B2F8A">
        <w:t xml:space="preserve">A review of economic evaluations, presented in Section D, found a number of economic models that address these key translation issues. </w:t>
      </w:r>
      <w:r>
        <w:t>Therefore</w:t>
      </w:r>
      <w:r w:rsidRPr="008B2F8A">
        <w:t>, the approaches used to address these issues are explained within the description of the economic model itself in Section D.</w:t>
      </w:r>
    </w:p>
    <w:p w14:paraId="4225A1C3" w14:textId="77777777" w:rsidR="00E47AB8" w:rsidRPr="008B2F8A" w:rsidRDefault="00E47AB8" w:rsidP="00422306">
      <w:r w:rsidRPr="008B2F8A">
        <w:br w:type="page"/>
      </w:r>
    </w:p>
    <w:p w14:paraId="38BB8770" w14:textId="77777777" w:rsidR="00E47AB8" w:rsidRPr="008B2F8A" w:rsidRDefault="00E47AB8" w:rsidP="00E47AB8">
      <w:pPr>
        <w:pStyle w:val="Heading1"/>
        <w:numPr>
          <w:ilvl w:val="0"/>
          <w:numId w:val="42"/>
        </w:numPr>
        <w:spacing w:after="0"/>
      </w:pPr>
      <w:bookmarkStart w:id="966" w:name="_Toc383424487"/>
      <w:r w:rsidRPr="008B2F8A">
        <w:lastRenderedPageBreak/>
        <w:t>Economic evaluation</w:t>
      </w:r>
      <w:bookmarkEnd w:id="966"/>
    </w:p>
    <w:p w14:paraId="0D47A61D" w14:textId="77777777" w:rsidR="00E47AB8" w:rsidRPr="008B2F8A" w:rsidRDefault="00E47AB8" w:rsidP="00E47AB8">
      <w:pPr>
        <w:pStyle w:val="Heading2"/>
      </w:pPr>
      <w:bookmarkStart w:id="967" w:name="_Toc383424488"/>
      <w:r w:rsidRPr="008B2F8A">
        <w:rPr>
          <w:rFonts w:eastAsiaTheme="majorEastAsia"/>
        </w:rPr>
        <w:t>Overview of the economic evaluation</w:t>
      </w:r>
      <w:bookmarkEnd w:id="967"/>
    </w:p>
    <w:p w14:paraId="10BC5285" w14:textId="2B27C14E" w:rsidR="00E47AB8" w:rsidRPr="007C6E89" w:rsidRDefault="00E47AB8" w:rsidP="00422306">
      <w:pPr>
        <w:spacing w:after="200"/>
        <w:rPr>
          <w:rFonts w:eastAsiaTheme="minorHAnsi" w:cstheme="minorBidi"/>
        </w:rPr>
      </w:pPr>
      <w:r w:rsidRPr="007C6E89">
        <w:rPr>
          <w:rFonts w:eastAsiaTheme="minorHAnsi" w:cstheme="minorBidi"/>
        </w:rPr>
        <w:t xml:space="preserve">The model used in the MSAC (2006) application for breast MRI was adapted from a published evaluation of the cost-effectiveness of MRI for screening women at high risk of breast cancer in the United States </w:t>
      </w:r>
      <w:r w:rsidRPr="007C6E89">
        <w:rPr>
          <w:rFonts w:eastAsiaTheme="minorHAnsi" w:cstheme="minorBidi"/>
          <w:noProof/>
        </w:rPr>
        <w:t>(</w:t>
      </w:r>
      <w:bookmarkStart w:id="968" w:name="OLE_LINK836"/>
      <w:bookmarkStart w:id="969" w:name="OLE_LINK837"/>
      <w:r w:rsidRPr="007C6E89">
        <w:rPr>
          <w:rFonts w:eastAsiaTheme="minorHAnsi" w:cstheme="minorBidi"/>
          <w:noProof/>
        </w:rPr>
        <w:t>Plevritis et al, 2006</w:t>
      </w:r>
      <w:bookmarkEnd w:id="968"/>
      <w:bookmarkEnd w:id="969"/>
      <w:r w:rsidRPr="007C6E89">
        <w:rPr>
          <w:rFonts w:eastAsiaTheme="minorHAnsi" w:cstheme="minorBidi"/>
          <w:noProof/>
        </w:rPr>
        <w:t>)</w:t>
      </w:r>
      <w:r w:rsidRPr="007C6E89">
        <w:rPr>
          <w:rFonts w:eastAsiaTheme="minorHAnsi" w:cstheme="minorBidi"/>
        </w:rPr>
        <w:t>. This evaluation applied evidence from diagnostic accuracy studies to a mathematical model of the natural history of breast cancer to estimate incremental effects, incremental cost and an incremental cost-effectiveness ratio (ICER) for MRI + mammography compared with mammography alone in different age groups and different risk groups in the United States. To translate this economic evaluation to an Australian setting and comply with MSAC decision-making processes, a secondary economic analysis was performed on the basis of the Plevritis model with the same assumptions about the diagnostic performance and effects of screening, but excluding indirect costs and applying Australian relative prices. This approach assumed that all parameters relating to the natural history and treatment of breast cancer in the United States would also apply in Australia, including prevalence, risk of breast cancer, treatments used, treatment efficacy and mortality. The overall economic conclusion of the MSAC (2006) report was that while</w:t>
      </w:r>
    </w:p>
    <w:p w14:paraId="23B683B2" w14:textId="4F10FED8" w:rsidR="00E47AB8" w:rsidRPr="007C6E89" w:rsidRDefault="00E47AB8" w:rsidP="00422306">
      <w:pPr>
        <w:spacing w:after="200"/>
        <w:ind w:left="426" w:right="521"/>
        <w:jc w:val="both"/>
        <w:rPr>
          <w:rFonts w:eastAsiaTheme="minorHAnsi" w:cstheme="minorBidi"/>
          <w:i/>
        </w:rPr>
      </w:pPr>
      <w:r w:rsidRPr="007C6E89">
        <w:rPr>
          <w:rFonts w:eastAsiaTheme="minorHAnsi" w:cstheme="minorBidi"/>
          <w:i/>
        </w:rPr>
        <w:t>‘breast MRI is potentially cost-effective for screening very high-risk women in the US such as BRCA1 mutation carriers between the ages of 35 and 54 years, it is unlikely to be cost-effective for screening BRCA2 carriers or a wider risk or age population such as that under consideration in Australia.</w:t>
      </w:r>
    </w:p>
    <w:p w14:paraId="2BE7132A" w14:textId="5A0D747E" w:rsidR="00E47AB8" w:rsidRPr="007C6E89" w:rsidRDefault="00E47AB8" w:rsidP="00422306">
      <w:pPr>
        <w:spacing w:after="200"/>
        <w:ind w:left="426" w:right="521"/>
        <w:jc w:val="both"/>
        <w:rPr>
          <w:rFonts w:eastAsiaTheme="minorHAnsi" w:cstheme="minorBidi"/>
          <w:i/>
        </w:rPr>
      </w:pPr>
      <w:r w:rsidRPr="007C6E89">
        <w:rPr>
          <w:rFonts w:eastAsiaTheme="minorHAnsi" w:cstheme="minorBidi"/>
          <w:i/>
        </w:rPr>
        <w:t>‘A secondary exploratory economic analysis for Australia, based on the Plevritis model with the same assumptions about diagnostic performance and the effects of screening, but excluding indirect costs and applying Australian relative prices, suggests the potential for breast MRI to be cost-effective in a select high-risk subgroup of the proposed screening population in Australia; for example, BRCA1 mutation carriers aged 35–54 years’ (pages 77–78).</w:t>
      </w:r>
    </w:p>
    <w:p w14:paraId="5AD70161" w14:textId="77777777" w:rsidR="00E47AB8" w:rsidRPr="007C6E89" w:rsidRDefault="00E47AB8" w:rsidP="00422306">
      <w:pPr>
        <w:spacing w:after="200"/>
        <w:rPr>
          <w:rFonts w:eastAsiaTheme="minorHAnsi" w:cstheme="minorBidi"/>
        </w:rPr>
      </w:pPr>
      <w:r w:rsidRPr="007C6E89">
        <w:rPr>
          <w:rFonts w:eastAsiaTheme="minorHAnsi" w:cstheme="minorBidi"/>
        </w:rPr>
        <w:t>Although interim funding was recommended for additional MRI screening, the MSAC concluded that there was considerable uncertainty surrounding the evaluation of cost-effectiveness and that the evidence presented in Assessment Report 1098 should be reviewed in not less than 3 years.</w:t>
      </w:r>
    </w:p>
    <w:p w14:paraId="055CDF40" w14:textId="76075017" w:rsidR="00E47AB8" w:rsidRPr="007C6E89" w:rsidRDefault="00E47AB8" w:rsidP="00422306">
      <w:pPr>
        <w:spacing w:after="200"/>
        <w:rPr>
          <w:rFonts w:eastAsiaTheme="minorHAnsi" w:cstheme="minorBidi"/>
        </w:rPr>
      </w:pPr>
      <w:r w:rsidRPr="007C6E89">
        <w:rPr>
          <w:rFonts w:eastAsiaTheme="minorHAnsi" w:cstheme="minorBidi"/>
        </w:rPr>
        <w:t xml:space="preserve">The economic evaluation presented in the current assessment report addresses some of the limitations of the previous assessment. The model presented here is an Australian adaptation of an economic model developed by the National Institute for Health and Clinical Excellence (NICE) in the United Kingdom to assess the cost-effectiveness of different surveillance strategies in women at high risk of breast cancer. The model was used to inform the development of NICE CG41 </w:t>
      </w:r>
      <w:r w:rsidRPr="007C6E89">
        <w:rPr>
          <w:rFonts w:eastAsiaTheme="minorHAnsi" w:cstheme="minorBidi"/>
          <w:noProof/>
        </w:rPr>
        <w:t>(2006)</w:t>
      </w:r>
      <w:r w:rsidRPr="007C6E89">
        <w:rPr>
          <w:rFonts w:eastAsiaTheme="minorHAnsi" w:cstheme="minorBidi"/>
        </w:rPr>
        <w:t xml:space="preserve"> on the </w:t>
      </w:r>
      <w:hyperlink r:id="rId37" w:history="1">
        <w:r w:rsidRPr="007C6E89">
          <w:rPr>
            <w:rFonts w:eastAsiaTheme="minorHAnsi" w:cstheme="minorBidi"/>
          </w:rPr>
          <w:t>classification and care of people at risk of familial breast cancer and management of breast cancer and related risks in people with a family history of breast cancer</w:t>
        </w:r>
      </w:hyperlink>
      <w:r w:rsidRPr="007C6E89">
        <w:rPr>
          <w:rFonts w:eastAsiaTheme="minorHAnsi" w:cstheme="minorBidi"/>
        </w:rPr>
        <w:t xml:space="preserve">. The most recent iteration of the clinical guideline, an update of NICE CG41, was issued in June 2013 </w:t>
      </w:r>
      <w:r w:rsidRPr="007C6E89">
        <w:rPr>
          <w:rFonts w:eastAsiaTheme="minorHAnsi" w:cstheme="minorBidi"/>
          <w:noProof/>
        </w:rPr>
        <w:t>(NICE, 2013)</w:t>
      </w:r>
      <w:r w:rsidRPr="007C6E89">
        <w:rPr>
          <w:rFonts w:eastAsiaTheme="minorHAnsi" w:cstheme="minorBidi"/>
        </w:rPr>
        <w:t>. A working version of the 2006 NICE model (</w:t>
      </w:r>
      <w:bookmarkStart w:id="970" w:name="OLE_LINK838"/>
      <w:bookmarkStart w:id="971" w:name="OLE_LINK839"/>
      <w:r w:rsidRPr="007C6E89">
        <w:rPr>
          <w:rFonts w:eastAsiaTheme="minorHAnsi" w:cstheme="minorBidi"/>
          <w:noProof/>
        </w:rPr>
        <w:t>Norman et al, 2007</w:t>
      </w:r>
      <w:r w:rsidRPr="007C6E89">
        <w:rPr>
          <w:rFonts w:eastAsiaTheme="minorHAnsi" w:cstheme="minorBidi"/>
        </w:rPr>
        <w:t xml:space="preserve">; </w:t>
      </w:r>
      <w:r w:rsidRPr="007C6E89">
        <w:rPr>
          <w:rFonts w:eastAsiaTheme="minorHAnsi" w:cstheme="minorBidi"/>
          <w:noProof/>
        </w:rPr>
        <w:t>National Collaborating Centre for Primary Care, 2006</w:t>
      </w:r>
      <w:bookmarkEnd w:id="970"/>
      <w:bookmarkEnd w:id="971"/>
      <w:r w:rsidRPr="007C6E89">
        <w:rPr>
          <w:rFonts w:eastAsiaTheme="minorHAnsi" w:cstheme="minorBidi"/>
        </w:rPr>
        <w:t>) was provided to the assessment group with the permission of its developers, the National Collaborating Centre for Primary Care.</w:t>
      </w:r>
    </w:p>
    <w:p w14:paraId="56ED5B23" w14:textId="77777777" w:rsidR="00E47AB8" w:rsidRPr="007C6E89" w:rsidRDefault="00E47AB8" w:rsidP="00422306">
      <w:pPr>
        <w:spacing w:after="200"/>
        <w:rPr>
          <w:rFonts w:eastAsiaTheme="minorHAnsi" w:cstheme="minorBidi"/>
        </w:rPr>
      </w:pPr>
      <w:r w:rsidRPr="007C6E89">
        <w:rPr>
          <w:rFonts w:eastAsiaTheme="minorHAnsi" w:cstheme="minorBidi"/>
        </w:rPr>
        <w:lastRenderedPageBreak/>
        <w:t>In this assessment report, all relevant model parameters and assumptions from the NICE model were updated to reflect the proposed use of MRI in Australia as reflected in the Decision-Analytic Protocol</w:t>
      </w:r>
      <w:r w:rsidRPr="0071000B">
        <w:rPr>
          <w:rFonts w:eastAsiaTheme="minorHAnsi" w:cstheme="minorBidi"/>
        </w:rPr>
        <w:t xml:space="preserve"> </w:t>
      </w:r>
      <w:r w:rsidRPr="007C6E89">
        <w:rPr>
          <w:rFonts w:eastAsiaTheme="minorHAnsi" w:cstheme="minorBidi"/>
        </w:rPr>
        <w:t xml:space="preserve">(DAP) (see Section </w:t>
      </w:r>
      <w:r w:rsidRPr="007C6E89">
        <w:rPr>
          <w:rFonts w:eastAsiaTheme="minorHAnsi" w:cstheme="minorBidi"/>
          <w:noProof/>
        </w:rPr>
        <w:fldChar w:fldCharType="begin"/>
      </w:r>
      <w:r w:rsidRPr="007C6E89">
        <w:rPr>
          <w:rFonts w:eastAsiaTheme="minorHAnsi" w:cstheme="minorBidi"/>
          <w:noProof/>
        </w:rPr>
        <w:instrText xml:space="preserve"> REF _Ref377540080 \r \h </w:instrText>
      </w:r>
      <w:r w:rsidRPr="007C6E89">
        <w:rPr>
          <w:rFonts w:eastAsiaTheme="minorHAnsi" w:cstheme="minorBidi"/>
          <w:noProof/>
        </w:rPr>
      </w:r>
      <w:r w:rsidRPr="007C6E89">
        <w:rPr>
          <w:rFonts w:eastAsiaTheme="minorHAnsi" w:cstheme="minorBidi"/>
          <w:noProof/>
        </w:rPr>
        <w:fldChar w:fldCharType="separate"/>
      </w:r>
      <w:r w:rsidR="00B81273">
        <w:rPr>
          <w:rFonts w:eastAsiaTheme="minorHAnsi" w:cstheme="minorBidi"/>
          <w:noProof/>
        </w:rPr>
        <w:t>D.3.3</w:t>
      </w:r>
      <w:r w:rsidRPr="007C6E89">
        <w:rPr>
          <w:rFonts w:eastAsiaTheme="minorHAnsi" w:cstheme="minorBidi"/>
          <w:noProof/>
        </w:rPr>
        <w:fldChar w:fldCharType="end"/>
      </w:r>
      <w:r w:rsidRPr="007C6E89">
        <w:rPr>
          <w:rFonts w:eastAsiaTheme="minorHAnsi" w:cstheme="minorBidi"/>
        </w:rPr>
        <w:t xml:space="preserve"> for a summary of how the model in this assessment report reflects the requirements of the DAP).</w:t>
      </w:r>
    </w:p>
    <w:p w14:paraId="6ACE3317" w14:textId="77777777" w:rsidR="00E47AB8" w:rsidRPr="008B2F8A" w:rsidRDefault="00E47AB8" w:rsidP="00E47AB8">
      <w:pPr>
        <w:pStyle w:val="Heading2"/>
        <w:rPr>
          <w:rFonts w:eastAsiaTheme="majorEastAsia"/>
        </w:rPr>
      </w:pPr>
      <w:bookmarkStart w:id="972" w:name="_Toc383424489"/>
      <w:r w:rsidRPr="008B2F8A">
        <w:rPr>
          <w:rFonts w:eastAsiaTheme="majorEastAsia"/>
        </w:rPr>
        <w:t>Population and circumstances of use reflected in the economic evaluation</w:t>
      </w:r>
      <w:bookmarkEnd w:id="972"/>
    </w:p>
    <w:p w14:paraId="038AF058" w14:textId="11988329" w:rsidR="00E47AB8" w:rsidRPr="007C6E89" w:rsidRDefault="00E47AB8" w:rsidP="00422306">
      <w:pPr>
        <w:spacing w:after="200"/>
        <w:rPr>
          <w:rFonts w:eastAsiaTheme="minorHAnsi" w:cstheme="minorBidi"/>
        </w:rPr>
      </w:pPr>
      <w:r w:rsidRPr="007C6E89">
        <w:rPr>
          <w:rFonts w:eastAsiaTheme="minorHAnsi" w:cstheme="minorBidi"/>
        </w:rPr>
        <w:t>As discussed in Section A, this assessment report presents an economic evaluation of annual screening with MRI in addition to mammography in patients that are currently eligible for screening through interim funding, as well as a number of additional high-risk groups. The change in the proposed patient population will see additional patients screened who would not previously have had access using the existing (interim) MBS items (63464 and 63467).</w:t>
      </w:r>
    </w:p>
    <w:p w14:paraId="04332488" w14:textId="5E4097B3" w:rsidR="00E47AB8" w:rsidRPr="007C6E89" w:rsidRDefault="00E47AB8" w:rsidP="00422306">
      <w:pPr>
        <w:spacing w:after="200"/>
        <w:rPr>
          <w:rFonts w:eastAsiaTheme="minorHAnsi" w:cstheme="minorBidi"/>
        </w:rPr>
      </w:pPr>
      <w:r w:rsidRPr="007C6E89">
        <w:rPr>
          <w:rFonts w:eastAsiaTheme="minorHAnsi" w:cstheme="minorBidi"/>
        </w:rPr>
        <w:t xml:space="preserve">On the basis of evidence presented in MSAC Application 1098, interim funding was made available to asymptomatic women, aged &lt;50 years, at high risk of breast cancer due to familial risk factors. Alternatively, patients are eligible for screening if genetic testing has identified the presence of a high-risk breast cancer gene mutation (eg, </w:t>
      </w:r>
      <w:r w:rsidRPr="0071000B">
        <w:rPr>
          <w:rFonts w:eastAsiaTheme="minorHAnsi" w:cstheme="minorBidi"/>
          <w:i/>
        </w:rPr>
        <w:t>BRCA1</w:t>
      </w:r>
      <w:r w:rsidRPr="007C6E89">
        <w:rPr>
          <w:rFonts w:eastAsiaTheme="minorHAnsi" w:cstheme="minorBidi"/>
        </w:rPr>
        <w:t xml:space="preserve">, </w:t>
      </w:r>
      <w:r w:rsidRPr="0071000B">
        <w:rPr>
          <w:rFonts w:eastAsiaTheme="minorHAnsi" w:cstheme="minorBidi"/>
          <w:i/>
        </w:rPr>
        <w:t>BRCA2</w:t>
      </w:r>
      <w:r w:rsidRPr="007C6E89">
        <w:rPr>
          <w:rFonts w:eastAsiaTheme="minorHAnsi" w:cstheme="minorBidi"/>
        </w:rPr>
        <w:t xml:space="preserve"> and </w:t>
      </w:r>
      <w:r w:rsidRPr="0071000B">
        <w:rPr>
          <w:rFonts w:eastAsiaTheme="minorHAnsi" w:cstheme="minorBidi"/>
          <w:i/>
        </w:rPr>
        <w:t>TP53</w:t>
      </w:r>
      <w:r w:rsidRPr="007C6E89">
        <w:rPr>
          <w:rFonts w:eastAsiaTheme="minorHAnsi" w:cstheme="minorBidi"/>
        </w:rPr>
        <w:t>). Patients in either of these groups may access MRI screening using MBS items 63464 (screening) and 63467 (follow-up after the detection of an abnormality). The eligibility criteria for these items (</w:t>
      </w:r>
      <w:r w:rsidRPr="008B2F8A">
        <w:rPr>
          <w:rFonts w:asciiTheme="minorHAnsi" w:eastAsiaTheme="minorHAnsi" w:hAnsiTheme="minorHAnsi" w:cstheme="minorBidi"/>
          <w:highlight w:val="yellow"/>
        </w:rPr>
        <w:fldChar w:fldCharType="begin"/>
      </w:r>
      <w:r w:rsidRPr="008B2F8A">
        <w:rPr>
          <w:rFonts w:asciiTheme="minorHAnsi" w:eastAsiaTheme="minorHAnsi" w:hAnsiTheme="minorHAnsi" w:cstheme="minorBidi"/>
          <w:highlight w:val="yellow"/>
        </w:rPr>
        <w:instrText xml:space="preserve"> REF _Ref368495104 \h </w:instrText>
      </w:r>
      <w:r w:rsidRPr="008B2F8A">
        <w:rPr>
          <w:rFonts w:asciiTheme="minorHAnsi" w:eastAsiaTheme="minorHAnsi" w:hAnsiTheme="minorHAnsi" w:cstheme="minorBidi"/>
          <w:highlight w:val="yellow"/>
        </w:rPr>
      </w:r>
      <w:r w:rsidRPr="008B2F8A">
        <w:rPr>
          <w:rFonts w:asciiTheme="minorHAnsi" w:eastAsiaTheme="minorHAnsi" w:hAnsiTheme="minorHAnsi" w:cstheme="minorBidi"/>
          <w:highlight w:val="yellow"/>
        </w:rPr>
        <w:fldChar w:fldCharType="separate"/>
      </w:r>
      <w:r w:rsidR="00B81273" w:rsidRPr="008B2F8A">
        <w:t xml:space="preserve">Table </w:t>
      </w:r>
      <w:r w:rsidR="00B81273">
        <w:rPr>
          <w:noProof/>
        </w:rPr>
        <w:t>A</w:t>
      </w:r>
      <w:r w:rsidR="00B81273" w:rsidRPr="008B2F8A">
        <w:t>.</w:t>
      </w:r>
      <w:r w:rsidR="00B81273">
        <w:rPr>
          <w:noProof/>
        </w:rPr>
        <w:t>5</w:t>
      </w:r>
      <w:r w:rsidRPr="008B2F8A">
        <w:rPr>
          <w:rFonts w:asciiTheme="minorHAnsi" w:eastAsiaTheme="minorHAnsi" w:hAnsiTheme="minorHAnsi" w:cstheme="minorBidi"/>
          <w:highlight w:val="yellow"/>
        </w:rPr>
        <w:fldChar w:fldCharType="end"/>
      </w:r>
      <w:r w:rsidRPr="007C6E89">
        <w:rPr>
          <w:rFonts w:eastAsiaTheme="minorHAnsi" w:cstheme="minorBidi"/>
        </w:rPr>
        <w:t xml:space="preserve">) were based on the evidence-based recommendations about categorising risk on the basis of family history, as outlined in </w:t>
      </w:r>
      <w:bookmarkStart w:id="973" w:name="OLE_LINK840"/>
      <w:bookmarkStart w:id="974" w:name="OLE_LINK841"/>
      <w:r w:rsidRPr="007C6E89">
        <w:rPr>
          <w:rFonts w:eastAsiaTheme="minorHAnsi" w:cstheme="minorBidi"/>
          <w:noProof/>
        </w:rPr>
        <w:t>NBCC (2000</w:t>
      </w:r>
      <w:bookmarkEnd w:id="973"/>
      <w:bookmarkEnd w:id="974"/>
      <w:r w:rsidRPr="007C6E89">
        <w:rPr>
          <w:rFonts w:eastAsiaTheme="minorHAnsi" w:cstheme="minorBidi"/>
          <w:noProof/>
        </w:rPr>
        <w:t>)</w:t>
      </w:r>
      <w:r w:rsidRPr="007C6E89">
        <w:rPr>
          <w:rFonts w:eastAsiaTheme="minorHAnsi" w:cstheme="minorBidi"/>
        </w:rPr>
        <w:t>. Patients fitting this description are classified as ‘high risk’ and have an average lifetime risk of 25%–50% for developing breast cancer. The guidelines note that &lt;1% of women will be categorised as at high risk by this definition. Although women with a confirmed gene mutation for breast cancer are listed in a separate category in the descriptor for MBS item 63464, the vast majority of these women would be identified only through genetic screening on the basis of a family history of breast cancer. The assessment report therefore presents a separate analysis of the cost-effectiveness of MRI screening in the subgroup of patients with a gene mutation for breast cancer, but notes that the analysis of the larger population of familial high-risk patients is most applicable to the population in which the MBS service is likely to be used.</w:t>
      </w:r>
    </w:p>
    <w:p w14:paraId="390D309A" w14:textId="36EF0EB3" w:rsidR="00E47AB8" w:rsidRPr="007C6E89" w:rsidRDefault="00E47AB8" w:rsidP="00422306">
      <w:pPr>
        <w:spacing w:after="200"/>
        <w:rPr>
          <w:rFonts w:eastAsiaTheme="minorHAnsi" w:cstheme="minorBidi"/>
        </w:rPr>
      </w:pPr>
      <w:r w:rsidRPr="007C6E89">
        <w:rPr>
          <w:rFonts w:eastAsiaTheme="minorHAnsi" w:cstheme="minorBidi"/>
        </w:rPr>
        <w:t>In addition to the existing MBS population, the application requests the inclusion of additional high-risk patient populations, namely women who are &lt;50 years of age and have had either:</w:t>
      </w:r>
    </w:p>
    <w:p w14:paraId="4A0E4A74" w14:textId="77777777" w:rsidR="00E47AB8" w:rsidRPr="008B2F8A" w:rsidRDefault="00E47AB8" w:rsidP="0071000B">
      <w:pPr>
        <w:numPr>
          <w:ilvl w:val="1"/>
          <w:numId w:val="105"/>
        </w:numPr>
        <w:spacing w:after="200"/>
        <w:ind w:left="852"/>
        <w:contextualSpacing/>
      </w:pPr>
      <w:r w:rsidRPr="008B2F8A">
        <w:t>a prior history of invasive breast cancer</w:t>
      </w:r>
    </w:p>
    <w:p w14:paraId="214B1B0F" w14:textId="0C13B070" w:rsidR="00E47AB8" w:rsidRPr="008B2F8A" w:rsidRDefault="00E47AB8" w:rsidP="0071000B">
      <w:pPr>
        <w:numPr>
          <w:ilvl w:val="1"/>
          <w:numId w:val="105"/>
        </w:numPr>
        <w:spacing w:after="200"/>
        <w:ind w:left="852"/>
        <w:contextualSpacing/>
      </w:pPr>
      <w:r w:rsidRPr="008B2F8A">
        <w:t>a prior history of treatment for LCIS or DCIS</w:t>
      </w:r>
    </w:p>
    <w:p w14:paraId="5959DCE6" w14:textId="2A2EB214" w:rsidR="00E47AB8" w:rsidRPr="008B2F8A" w:rsidRDefault="00E47AB8" w:rsidP="0071000B">
      <w:pPr>
        <w:numPr>
          <w:ilvl w:val="1"/>
          <w:numId w:val="105"/>
        </w:numPr>
        <w:spacing w:after="200"/>
        <w:ind w:left="850" w:hanging="357"/>
      </w:pPr>
      <w:r w:rsidRPr="008B2F8A">
        <w:t>radiotherapy to the chest area undertaken between 10 and 35 years of age.</w:t>
      </w:r>
    </w:p>
    <w:p w14:paraId="677C4436" w14:textId="4E4BCE1F" w:rsidR="00E47AB8" w:rsidRPr="007C6E89" w:rsidRDefault="00E47AB8" w:rsidP="00422306">
      <w:pPr>
        <w:spacing w:after="200"/>
        <w:rPr>
          <w:rFonts w:eastAsiaTheme="minorHAnsi" w:cstheme="minorBidi"/>
        </w:rPr>
      </w:pPr>
      <w:r w:rsidRPr="007C6E89">
        <w:rPr>
          <w:rFonts w:eastAsiaTheme="minorHAnsi" w:cstheme="minorBidi"/>
        </w:rPr>
        <w:t xml:space="preserve">In relation to patients with a prior history of breast cancer (DCIS, LCIS, invasive), those with a gene mutation that puts them at a high risk of breast cancer already have access to MRI screening under MBS items 63464 and 63467, since the item descriptors do not specifically exclude patients who have previously had breast cancer. Therefore, the population of primary concern in this application was considered to be patients with a prior history of breast cancer, </w:t>
      </w:r>
      <w:r w:rsidRPr="0071000B">
        <w:rPr>
          <w:rFonts w:eastAsiaTheme="minorHAnsi" w:cstheme="minorBidi"/>
          <w:i/>
        </w:rPr>
        <w:t>without</w:t>
      </w:r>
      <w:r w:rsidRPr="007C6E89">
        <w:rPr>
          <w:rFonts w:eastAsiaTheme="minorHAnsi" w:cstheme="minorBidi"/>
        </w:rPr>
        <w:t xml:space="preserve"> the presence of a high-risk gene mutation.</w:t>
      </w:r>
    </w:p>
    <w:p w14:paraId="2551B199" w14:textId="3856093D" w:rsidR="00E47AB8" w:rsidRPr="007C6E89" w:rsidRDefault="00E47AB8" w:rsidP="00422306">
      <w:pPr>
        <w:spacing w:after="200"/>
        <w:rPr>
          <w:rFonts w:eastAsiaTheme="minorHAnsi" w:cstheme="minorBidi"/>
        </w:rPr>
      </w:pPr>
      <w:r w:rsidRPr="007C6E89">
        <w:rPr>
          <w:rFonts w:eastAsiaTheme="minorHAnsi" w:cstheme="minorBidi"/>
        </w:rPr>
        <w:t xml:space="preserve">The five populations included in this economic evaluation are presented in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_Ref375134205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1</w:t>
      </w:r>
      <w:r w:rsidRPr="008B2F8A">
        <w:rPr>
          <w:rFonts w:asciiTheme="minorHAnsi" w:eastAsiaTheme="minorHAnsi" w:hAnsiTheme="minorHAnsi" w:cstheme="minorBidi"/>
        </w:rPr>
        <w:fldChar w:fldCharType="end"/>
      </w:r>
      <w:r w:rsidRPr="007C6E89">
        <w:rPr>
          <w:rFonts w:eastAsiaTheme="minorHAnsi" w:cstheme="minorBidi"/>
        </w:rPr>
        <w:t xml:space="preserve">. The same model structure (based on the 2006 NICE economic model) is used to evaluate cost-effectiveness in </w:t>
      </w:r>
      <w:r w:rsidRPr="007C6E89">
        <w:rPr>
          <w:rFonts w:eastAsiaTheme="minorHAnsi" w:cstheme="minorBidi"/>
        </w:rPr>
        <w:lastRenderedPageBreak/>
        <w:t>each population; however, the model parameters (eg, risk of breast cancer, breast cancer prognosis, diagnostic accuracy of screening and age at screening) differ to reflect the characteristics of each population group.</w:t>
      </w:r>
    </w:p>
    <w:p w14:paraId="4A16F63A" w14:textId="77777777" w:rsidR="00E47AB8" w:rsidRPr="008B2F8A" w:rsidRDefault="00E47AB8" w:rsidP="00422306">
      <w:pPr>
        <w:pStyle w:val="Caption"/>
      </w:pPr>
      <w:bookmarkStart w:id="975" w:name="_Ref375134205"/>
      <w:bookmarkStart w:id="976" w:name="_Toc383424610"/>
      <w:r w:rsidRPr="008B2F8A">
        <w:t xml:space="preserve">Table </w:t>
      </w:r>
      <w:fldSimple w:instr=" STYLEREF 1 \s ">
        <w:r w:rsidR="00B81273">
          <w:rPr>
            <w:noProof/>
          </w:rPr>
          <w:t>D</w:t>
        </w:r>
      </w:fldSimple>
      <w:r w:rsidRPr="008B2F8A">
        <w:t>.</w:t>
      </w:r>
      <w:fldSimple w:instr=" SEQ Table \* ARABIC \s 1 ">
        <w:r w:rsidR="00B81273">
          <w:rPr>
            <w:noProof/>
          </w:rPr>
          <w:t>1</w:t>
        </w:r>
      </w:fldSimple>
      <w:bookmarkEnd w:id="975"/>
      <w:r w:rsidRPr="008B2F8A">
        <w:tab/>
      </w:r>
      <w:bookmarkStart w:id="977" w:name="OLE_LINK1069"/>
      <w:bookmarkStart w:id="978" w:name="OLE_LINK1070"/>
      <w:r w:rsidRPr="008B2F8A">
        <w:t>Populations modelled in the economic evaluation</w:t>
      </w:r>
      <w:bookmarkEnd w:id="977"/>
      <w:bookmarkEnd w:id="978"/>
      <w:r w:rsidRPr="008B2F8A">
        <w:t>.</w:t>
      </w:r>
      <w:bookmarkEnd w:id="976"/>
    </w:p>
    <w:tbl>
      <w:tblPr>
        <w:tblStyle w:val="TableGrid"/>
        <w:tblW w:w="9070" w:type="dxa"/>
        <w:tblCellMar>
          <w:left w:w="28" w:type="dxa"/>
          <w:right w:w="28" w:type="dxa"/>
        </w:tblCellMar>
        <w:tblLook w:val="04A0" w:firstRow="1" w:lastRow="0" w:firstColumn="1" w:lastColumn="0" w:noHBand="0" w:noVBand="1"/>
        <w:tblCaption w:val="Populations modelled in the economic evaluation"/>
      </w:tblPr>
      <w:tblGrid>
        <w:gridCol w:w="1021"/>
        <w:gridCol w:w="4544"/>
        <w:gridCol w:w="3505"/>
      </w:tblGrid>
      <w:tr w:rsidR="00E47AB8" w:rsidRPr="008B2F8A" w14:paraId="5AB624E8" w14:textId="77777777" w:rsidTr="0071000B">
        <w:trPr>
          <w:tblHeader/>
        </w:trPr>
        <w:tc>
          <w:tcPr>
            <w:tcW w:w="563" w:type="pct"/>
            <w:shd w:val="clear" w:color="auto" w:fill="FFFFFF" w:themeFill="background1"/>
          </w:tcPr>
          <w:p w14:paraId="6DF0D906" w14:textId="77777777" w:rsidR="00E47AB8" w:rsidRPr="008B2F8A" w:rsidRDefault="00E47AB8" w:rsidP="00422306">
            <w:pPr>
              <w:spacing w:before="40" w:after="80"/>
              <w:rPr>
                <w:rFonts w:ascii="Arial Narrow" w:hAnsi="Arial Narrow" w:cs="Arial"/>
                <w:b/>
              </w:rPr>
            </w:pPr>
            <w:r w:rsidRPr="008B2F8A">
              <w:rPr>
                <w:rFonts w:ascii="Arial Narrow" w:hAnsi="Arial Narrow" w:cs="Arial"/>
                <w:b/>
              </w:rPr>
              <w:t xml:space="preserve">Analysis </w:t>
            </w:r>
          </w:p>
        </w:tc>
        <w:tc>
          <w:tcPr>
            <w:tcW w:w="2505" w:type="pct"/>
            <w:shd w:val="clear" w:color="auto" w:fill="FFFFFF" w:themeFill="background1"/>
          </w:tcPr>
          <w:p w14:paraId="4BC29FBC" w14:textId="77777777" w:rsidR="00E47AB8" w:rsidRPr="008B2F8A" w:rsidRDefault="00E47AB8" w:rsidP="00422306">
            <w:pPr>
              <w:spacing w:before="40" w:after="80"/>
              <w:rPr>
                <w:rFonts w:ascii="Arial Narrow" w:hAnsi="Arial Narrow" w:cs="Arial"/>
                <w:b/>
              </w:rPr>
            </w:pPr>
            <w:r w:rsidRPr="008B2F8A">
              <w:rPr>
                <w:rFonts w:ascii="Arial Narrow" w:hAnsi="Arial Narrow" w:cs="Arial"/>
                <w:b/>
              </w:rPr>
              <w:t>Population</w:t>
            </w:r>
          </w:p>
        </w:tc>
        <w:tc>
          <w:tcPr>
            <w:tcW w:w="1932" w:type="pct"/>
            <w:shd w:val="clear" w:color="auto" w:fill="FFFFFF" w:themeFill="background1"/>
          </w:tcPr>
          <w:p w14:paraId="0476C026" w14:textId="77777777" w:rsidR="00E47AB8" w:rsidRPr="008B2F8A" w:rsidRDefault="00E47AB8" w:rsidP="00422306">
            <w:pPr>
              <w:spacing w:before="40" w:after="80"/>
              <w:rPr>
                <w:rFonts w:ascii="Arial Narrow" w:hAnsi="Arial Narrow" w:cs="Arial"/>
                <w:b/>
              </w:rPr>
            </w:pPr>
            <w:r w:rsidRPr="008B2F8A">
              <w:rPr>
                <w:rFonts w:ascii="Arial Narrow" w:hAnsi="Arial Narrow" w:cs="Arial"/>
                <w:b/>
              </w:rPr>
              <w:t>Current funding</w:t>
            </w:r>
          </w:p>
        </w:tc>
      </w:tr>
      <w:tr w:rsidR="00E47AB8" w:rsidRPr="008B2F8A" w14:paraId="63E481A2" w14:textId="77777777" w:rsidTr="0071000B">
        <w:tc>
          <w:tcPr>
            <w:tcW w:w="563" w:type="pct"/>
            <w:shd w:val="clear" w:color="auto" w:fill="FFFFFF" w:themeFill="background1"/>
          </w:tcPr>
          <w:p w14:paraId="18B2AD7A" w14:textId="77777777" w:rsidR="00E47AB8" w:rsidRPr="008B2F8A" w:rsidRDefault="00E47AB8" w:rsidP="00422306">
            <w:pPr>
              <w:spacing w:before="40" w:after="80"/>
              <w:rPr>
                <w:rFonts w:ascii="Arial Narrow" w:hAnsi="Arial Narrow" w:cs="Arial"/>
              </w:rPr>
            </w:pPr>
            <w:r w:rsidRPr="008B2F8A">
              <w:rPr>
                <w:rFonts w:ascii="Arial Narrow" w:hAnsi="Arial Narrow" w:cs="Arial"/>
              </w:rPr>
              <w:t>Analysis 1</w:t>
            </w:r>
          </w:p>
        </w:tc>
        <w:tc>
          <w:tcPr>
            <w:tcW w:w="2505" w:type="pct"/>
            <w:shd w:val="clear" w:color="auto" w:fill="FFFFFF" w:themeFill="background1"/>
          </w:tcPr>
          <w:p w14:paraId="19B5E8F4" w14:textId="77777777" w:rsidR="00E47AB8" w:rsidRPr="008B2F8A" w:rsidRDefault="00E47AB8" w:rsidP="00422306">
            <w:pPr>
              <w:spacing w:before="40" w:after="80"/>
              <w:rPr>
                <w:rFonts w:ascii="Arial Narrow" w:hAnsi="Arial Narrow" w:cs="Arial"/>
              </w:rPr>
            </w:pPr>
            <w:r w:rsidRPr="008B2F8A">
              <w:rPr>
                <w:rFonts w:ascii="Arial Narrow" w:hAnsi="Arial Narrow" w:cs="Arial"/>
              </w:rPr>
              <w:t>High-risk based on confirmed breast cancer gene mutation</w:t>
            </w:r>
          </w:p>
        </w:tc>
        <w:tc>
          <w:tcPr>
            <w:tcW w:w="1932" w:type="pct"/>
            <w:shd w:val="clear" w:color="auto" w:fill="FFFFFF" w:themeFill="background1"/>
          </w:tcPr>
          <w:p w14:paraId="72B6A4FD" w14:textId="77777777" w:rsidR="00E47AB8" w:rsidRPr="008B2F8A" w:rsidRDefault="00E47AB8" w:rsidP="00422306">
            <w:pPr>
              <w:spacing w:before="40" w:after="80"/>
              <w:rPr>
                <w:rFonts w:ascii="Arial Narrow" w:hAnsi="Arial Narrow" w:cs="Arial"/>
              </w:rPr>
            </w:pPr>
            <w:r w:rsidRPr="008B2F8A">
              <w:rPr>
                <w:rFonts w:ascii="Arial Narrow" w:hAnsi="Arial Narrow" w:cs="Arial"/>
              </w:rPr>
              <w:t>Interim funding (MBS items 63464 and 63467)</w:t>
            </w:r>
          </w:p>
        </w:tc>
      </w:tr>
      <w:tr w:rsidR="00E47AB8" w:rsidRPr="008B2F8A" w14:paraId="64DD1A1F" w14:textId="77777777" w:rsidTr="0071000B">
        <w:tc>
          <w:tcPr>
            <w:tcW w:w="563" w:type="pct"/>
            <w:shd w:val="clear" w:color="auto" w:fill="FFFFFF" w:themeFill="background1"/>
          </w:tcPr>
          <w:p w14:paraId="504E0A47" w14:textId="77777777" w:rsidR="00E47AB8" w:rsidRPr="008B2F8A" w:rsidRDefault="00E47AB8" w:rsidP="00422306">
            <w:pPr>
              <w:spacing w:before="40" w:after="80"/>
              <w:rPr>
                <w:rFonts w:ascii="Arial Narrow" w:hAnsi="Arial Narrow" w:cs="Arial"/>
              </w:rPr>
            </w:pPr>
            <w:r w:rsidRPr="008B2F8A">
              <w:rPr>
                <w:rFonts w:ascii="Arial Narrow" w:hAnsi="Arial Narrow" w:cs="Arial"/>
              </w:rPr>
              <w:t>Analysis 2</w:t>
            </w:r>
          </w:p>
        </w:tc>
        <w:tc>
          <w:tcPr>
            <w:tcW w:w="2505" w:type="pct"/>
            <w:shd w:val="clear" w:color="auto" w:fill="FFFFFF" w:themeFill="background1"/>
          </w:tcPr>
          <w:p w14:paraId="5CED2B3F" w14:textId="77777777" w:rsidR="00E47AB8" w:rsidRPr="008B2F8A" w:rsidRDefault="00E47AB8" w:rsidP="00422306">
            <w:pPr>
              <w:spacing w:before="40" w:after="80"/>
              <w:rPr>
                <w:rFonts w:ascii="Arial Narrow" w:hAnsi="Arial Narrow" w:cs="Arial"/>
              </w:rPr>
            </w:pPr>
            <w:r w:rsidRPr="008B2F8A">
              <w:rPr>
                <w:rFonts w:ascii="Arial Narrow" w:hAnsi="Arial Narrow" w:cs="Arial"/>
              </w:rPr>
              <w:t>Familial high-risk</w:t>
            </w:r>
          </w:p>
        </w:tc>
        <w:tc>
          <w:tcPr>
            <w:tcW w:w="1932" w:type="pct"/>
            <w:shd w:val="clear" w:color="auto" w:fill="FFFFFF" w:themeFill="background1"/>
          </w:tcPr>
          <w:p w14:paraId="11A0E77B" w14:textId="77777777" w:rsidR="00E47AB8" w:rsidRPr="008B2F8A" w:rsidRDefault="00E47AB8" w:rsidP="00422306">
            <w:pPr>
              <w:spacing w:before="40" w:after="80"/>
              <w:rPr>
                <w:rFonts w:ascii="Arial Narrow" w:hAnsi="Arial Narrow" w:cs="Arial"/>
              </w:rPr>
            </w:pPr>
            <w:r w:rsidRPr="008B2F8A">
              <w:rPr>
                <w:rFonts w:ascii="Arial Narrow" w:hAnsi="Arial Narrow" w:cs="Arial"/>
              </w:rPr>
              <w:t>Interim funding (MBS items 63464 and 63467)</w:t>
            </w:r>
          </w:p>
        </w:tc>
      </w:tr>
      <w:tr w:rsidR="00E47AB8" w:rsidRPr="008B2F8A" w14:paraId="75691701" w14:textId="77777777" w:rsidTr="0071000B">
        <w:tc>
          <w:tcPr>
            <w:tcW w:w="563" w:type="pct"/>
            <w:shd w:val="clear" w:color="auto" w:fill="FFFFFF" w:themeFill="background1"/>
          </w:tcPr>
          <w:p w14:paraId="113FF932" w14:textId="77777777" w:rsidR="00E47AB8" w:rsidRPr="008B2F8A" w:rsidRDefault="00E47AB8" w:rsidP="00422306">
            <w:pPr>
              <w:spacing w:before="40" w:after="80"/>
              <w:rPr>
                <w:rFonts w:ascii="Arial Narrow" w:hAnsi="Arial Narrow" w:cs="Arial"/>
              </w:rPr>
            </w:pPr>
            <w:r w:rsidRPr="008B2F8A">
              <w:rPr>
                <w:rFonts w:ascii="Arial Narrow" w:hAnsi="Arial Narrow" w:cs="Arial"/>
              </w:rPr>
              <w:t>Analysis 3</w:t>
            </w:r>
          </w:p>
        </w:tc>
        <w:tc>
          <w:tcPr>
            <w:tcW w:w="2505" w:type="pct"/>
            <w:shd w:val="clear" w:color="auto" w:fill="FFFFFF" w:themeFill="background1"/>
          </w:tcPr>
          <w:p w14:paraId="5E47B626" w14:textId="77777777" w:rsidR="00E47AB8" w:rsidRPr="008B2F8A" w:rsidRDefault="00E47AB8" w:rsidP="00422306">
            <w:pPr>
              <w:spacing w:before="40" w:after="80"/>
              <w:rPr>
                <w:rFonts w:ascii="Arial Narrow" w:hAnsi="Arial Narrow" w:cs="Arial"/>
              </w:rPr>
            </w:pPr>
            <w:r w:rsidRPr="008B2F8A">
              <w:rPr>
                <w:rFonts w:ascii="Arial Narrow" w:hAnsi="Arial Narrow" w:cs="Arial"/>
              </w:rPr>
              <w:t>Prior history of invasive breast cancer</w:t>
            </w:r>
          </w:p>
        </w:tc>
        <w:tc>
          <w:tcPr>
            <w:tcW w:w="1932" w:type="pct"/>
            <w:shd w:val="clear" w:color="auto" w:fill="FFFFFF" w:themeFill="background1"/>
          </w:tcPr>
          <w:p w14:paraId="0023B87C" w14:textId="77777777" w:rsidR="00E47AB8" w:rsidRPr="008B2F8A" w:rsidRDefault="00E47AB8" w:rsidP="00422306">
            <w:pPr>
              <w:spacing w:before="40" w:after="80"/>
              <w:rPr>
                <w:rFonts w:ascii="Arial Narrow" w:hAnsi="Arial Narrow" w:cs="Arial"/>
              </w:rPr>
            </w:pPr>
            <w:r w:rsidRPr="008B2F8A">
              <w:rPr>
                <w:rFonts w:ascii="Arial Narrow" w:hAnsi="Arial Narrow" w:cs="Arial"/>
              </w:rPr>
              <w:t>Not reimbursed through Medicare</w:t>
            </w:r>
          </w:p>
        </w:tc>
      </w:tr>
      <w:tr w:rsidR="00E47AB8" w:rsidRPr="008B2F8A" w14:paraId="0448C323" w14:textId="77777777" w:rsidTr="0071000B">
        <w:tc>
          <w:tcPr>
            <w:tcW w:w="563" w:type="pct"/>
            <w:shd w:val="clear" w:color="auto" w:fill="FFFFFF" w:themeFill="background1"/>
          </w:tcPr>
          <w:p w14:paraId="5BA476C7" w14:textId="77777777" w:rsidR="00E47AB8" w:rsidRPr="008B2F8A" w:rsidRDefault="00E47AB8" w:rsidP="00422306">
            <w:pPr>
              <w:spacing w:before="40" w:after="80"/>
              <w:rPr>
                <w:rFonts w:ascii="Arial Narrow" w:hAnsi="Arial Narrow" w:cs="Arial"/>
              </w:rPr>
            </w:pPr>
            <w:r w:rsidRPr="008B2F8A">
              <w:rPr>
                <w:rFonts w:ascii="Arial Narrow" w:hAnsi="Arial Narrow" w:cs="Arial"/>
              </w:rPr>
              <w:t>Analysis 4</w:t>
            </w:r>
          </w:p>
        </w:tc>
        <w:tc>
          <w:tcPr>
            <w:tcW w:w="2505" w:type="pct"/>
            <w:shd w:val="clear" w:color="auto" w:fill="FFFFFF" w:themeFill="background1"/>
          </w:tcPr>
          <w:p w14:paraId="4F6D8A6E" w14:textId="77777777" w:rsidR="00E47AB8" w:rsidRPr="008B2F8A" w:rsidRDefault="00E47AB8" w:rsidP="00422306">
            <w:pPr>
              <w:spacing w:before="40" w:after="80"/>
              <w:rPr>
                <w:rFonts w:ascii="Arial Narrow" w:hAnsi="Arial Narrow" w:cs="Arial"/>
              </w:rPr>
            </w:pPr>
            <w:r w:rsidRPr="008B2F8A">
              <w:rPr>
                <w:rFonts w:ascii="Arial Narrow" w:hAnsi="Arial Narrow" w:cs="Arial"/>
              </w:rPr>
              <w:t>Prior history of treatment for DCIS or LCIS</w:t>
            </w:r>
          </w:p>
        </w:tc>
        <w:tc>
          <w:tcPr>
            <w:tcW w:w="1932" w:type="pct"/>
            <w:shd w:val="clear" w:color="auto" w:fill="FFFFFF" w:themeFill="background1"/>
          </w:tcPr>
          <w:p w14:paraId="38648B82" w14:textId="77777777" w:rsidR="00E47AB8" w:rsidRPr="008B2F8A" w:rsidRDefault="00E47AB8" w:rsidP="00422306">
            <w:pPr>
              <w:spacing w:before="40" w:after="80"/>
              <w:rPr>
                <w:rFonts w:ascii="Arial Narrow" w:hAnsi="Arial Narrow" w:cs="Arial"/>
              </w:rPr>
            </w:pPr>
            <w:r w:rsidRPr="008B2F8A">
              <w:rPr>
                <w:rFonts w:ascii="Arial Narrow" w:hAnsi="Arial Narrow" w:cs="Arial"/>
              </w:rPr>
              <w:t>Not reimbursed through Medicare</w:t>
            </w:r>
          </w:p>
        </w:tc>
      </w:tr>
      <w:tr w:rsidR="00E47AB8" w:rsidRPr="008B2F8A" w14:paraId="35C1060E" w14:textId="77777777" w:rsidTr="0071000B">
        <w:tc>
          <w:tcPr>
            <w:tcW w:w="563" w:type="pct"/>
            <w:shd w:val="clear" w:color="auto" w:fill="FFFFFF" w:themeFill="background1"/>
          </w:tcPr>
          <w:p w14:paraId="7672BF13" w14:textId="77777777" w:rsidR="00E47AB8" w:rsidRPr="008B2F8A" w:rsidRDefault="00E47AB8" w:rsidP="00422306">
            <w:pPr>
              <w:spacing w:before="40" w:after="80"/>
              <w:rPr>
                <w:rFonts w:ascii="Arial Narrow" w:hAnsi="Arial Narrow" w:cs="Arial"/>
              </w:rPr>
            </w:pPr>
            <w:r w:rsidRPr="008B2F8A">
              <w:rPr>
                <w:rFonts w:ascii="Arial Narrow" w:hAnsi="Arial Narrow" w:cs="Arial"/>
              </w:rPr>
              <w:t>Analysis 5</w:t>
            </w:r>
          </w:p>
        </w:tc>
        <w:tc>
          <w:tcPr>
            <w:tcW w:w="2505" w:type="pct"/>
            <w:shd w:val="clear" w:color="auto" w:fill="FFFFFF" w:themeFill="background1"/>
          </w:tcPr>
          <w:p w14:paraId="2B191FEF" w14:textId="77777777" w:rsidR="00E47AB8" w:rsidRPr="008B2F8A" w:rsidRDefault="00E47AB8" w:rsidP="00422306">
            <w:pPr>
              <w:spacing w:before="40" w:after="80"/>
              <w:rPr>
                <w:rFonts w:ascii="Arial Narrow" w:hAnsi="Arial Narrow" w:cs="Arial"/>
              </w:rPr>
            </w:pPr>
            <w:r w:rsidRPr="008B2F8A">
              <w:rPr>
                <w:rFonts w:ascii="Arial Narrow" w:hAnsi="Arial Narrow" w:cs="Arial"/>
              </w:rPr>
              <w:t>Women with chest radiotherapy between 10 and 35 years</w:t>
            </w:r>
          </w:p>
        </w:tc>
        <w:tc>
          <w:tcPr>
            <w:tcW w:w="1932" w:type="pct"/>
            <w:shd w:val="clear" w:color="auto" w:fill="FFFFFF" w:themeFill="background1"/>
          </w:tcPr>
          <w:p w14:paraId="7DEADA2E" w14:textId="77777777" w:rsidR="00E47AB8" w:rsidRPr="008B2F8A" w:rsidRDefault="00E47AB8" w:rsidP="00422306">
            <w:pPr>
              <w:spacing w:before="40" w:after="80"/>
              <w:rPr>
                <w:rFonts w:ascii="Arial Narrow" w:hAnsi="Arial Narrow" w:cs="Arial"/>
              </w:rPr>
            </w:pPr>
            <w:r w:rsidRPr="008B2F8A">
              <w:rPr>
                <w:rFonts w:ascii="Arial Narrow" w:hAnsi="Arial Narrow" w:cs="Arial"/>
              </w:rPr>
              <w:t>Not reimbursed through Medicare</w:t>
            </w:r>
          </w:p>
        </w:tc>
      </w:tr>
    </w:tbl>
    <w:p w14:paraId="49121DED" w14:textId="77777777" w:rsidR="00E47AB8" w:rsidRPr="007C6E89" w:rsidRDefault="00E47AB8" w:rsidP="00422306">
      <w:pPr>
        <w:shd w:val="clear" w:color="auto" w:fill="FFFFFF" w:themeFill="background1"/>
        <w:spacing w:after="200"/>
        <w:rPr>
          <w:rFonts w:eastAsiaTheme="minorHAnsi" w:cstheme="minorBidi"/>
        </w:rPr>
      </w:pPr>
    </w:p>
    <w:p w14:paraId="5712FAF1" w14:textId="77777777" w:rsidR="00E47AB8" w:rsidRPr="008B2F8A" w:rsidRDefault="00E47AB8" w:rsidP="00E47AB8">
      <w:pPr>
        <w:pStyle w:val="Heading2"/>
      </w:pPr>
      <w:bookmarkStart w:id="979" w:name="_Toc383424490"/>
      <w:r w:rsidRPr="008B2F8A">
        <w:t>Structure and rationale of the economic evaluation</w:t>
      </w:r>
      <w:bookmarkEnd w:id="979"/>
    </w:p>
    <w:p w14:paraId="0E31D455" w14:textId="77777777" w:rsidR="00E47AB8" w:rsidRPr="008B2F8A" w:rsidRDefault="00E47AB8" w:rsidP="00E47AB8">
      <w:pPr>
        <w:pStyle w:val="Heading3"/>
        <w:numPr>
          <w:ilvl w:val="2"/>
          <w:numId w:val="42"/>
        </w:numPr>
      </w:pPr>
      <w:bookmarkStart w:id="980" w:name="_Toc383424491"/>
      <w:r w:rsidRPr="008B2F8A">
        <w:t>Review of published economic evaluations</w:t>
      </w:r>
      <w:bookmarkEnd w:id="980"/>
    </w:p>
    <w:p w14:paraId="28AB801F" w14:textId="77777777" w:rsidR="00E47AB8" w:rsidRPr="008B2F8A" w:rsidRDefault="00E47AB8" w:rsidP="00422306">
      <w:pPr>
        <w:pStyle w:val="Heading4"/>
      </w:pPr>
      <w:r w:rsidRPr="008B2F8A">
        <w:t>Review of the primary economic literature 2006–2013</w:t>
      </w:r>
    </w:p>
    <w:p w14:paraId="565EE46D" w14:textId="36D6FE49" w:rsidR="00E47AB8" w:rsidRPr="007C6E89" w:rsidRDefault="00E47AB8" w:rsidP="00422306">
      <w:pPr>
        <w:spacing w:after="200"/>
        <w:rPr>
          <w:rFonts w:eastAsiaTheme="minorHAnsi" w:cstheme="minorBidi"/>
        </w:rPr>
      </w:pPr>
      <w:r w:rsidRPr="007C6E89">
        <w:rPr>
          <w:rFonts w:eastAsiaTheme="minorHAnsi" w:cstheme="minorBidi"/>
        </w:rPr>
        <w:t>The literature search</w:t>
      </w:r>
      <w:r w:rsidR="00694E4E">
        <w:rPr>
          <w:rFonts w:eastAsiaTheme="minorHAnsi" w:cstheme="minorBidi"/>
        </w:rPr>
        <w:t xml:space="preserve">, detailed in </w:t>
      </w:r>
      <w:r w:rsidR="00694E4E">
        <w:rPr>
          <w:rFonts w:eastAsiaTheme="minorHAnsi" w:cstheme="minorBidi"/>
        </w:rPr>
        <w:fldChar w:fldCharType="begin"/>
      </w:r>
      <w:r w:rsidR="00694E4E">
        <w:rPr>
          <w:rFonts w:eastAsiaTheme="minorHAnsi" w:cstheme="minorBidi"/>
        </w:rPr>
        <w:instrText xml:space="preserve"> REF _Ref373401753 \h </w:instrText>
      </w:r>
      <w:r w:rsidR="00694E4E">
        <w:rPr>
          <w:rFonts w:eastAsiaTheme="minorHAnsi" w:cstheme="minorBidi"/>
        </w:rPr>
      </w:r>
      <w:r w:rsidR="00694E4E">
        <w:rPr>
          <w:rFonts w:eastAsiaTheme="minorHAnsi" w:cstheme="minorBidi"/>
        </w:rPr>
        <w:fldChar w:fldCharType="separate"/>
      </w:r>
      <w:r w:rsidR="00B81273" w:rsidRPr="008B2F8A">
        <w:t xml:space="preserve">Appendix </w:t>
      </w:r>
      <w:r w:rsidR="00B81273">
        <w:rPr>
          <w:noProof/>
        </w:rPr>
        <w:t>2</w:t>
      </w:r>
      <w:r w:rsidR="00694E4E">
        <w:rPr>
          <w:rFonts w:eastAsiaTheme="minorHAnsi" w:cstheme="minorBidi"/>
        </w:rPr>
        <w:fldChar w:fldCharType="end"/>
      </w:r>
      <w:r w:rsidR="00694E4E">
        <w:rPr>
          <w:rFonts w:eastAsiaTheme="minorHAnsi" w:cstheme="minorBidi"/>
        </w:rPr>
        <w:t>,</w:t>
      </w:r>
      <w:r w:rsidRPr="007C6E89">
        <w:rPr>
          <w:rFonts w:eastAsiaTheme="minorHAnsi" w:cstheme="minorBidi"/>
        </w:rPr>
        <w:t xml:space="preserve"> identified 10 papers that included a formal economic evaluation relevant to this assessment report. An overview of the primary economic studies identified by the literature search is provided in </w:t>
      </w:r>
      <w:r w:rsidRPr="007C6E89">
        <w:rPr>
          <w:rFonts w:eastAsiaTheme="minorHAnsi" w:cstheme="minorBidi"/>
        </w:rPr>
        <w:fldChar w:fldCharType="begin"/>
      </w:r>
      <w:r w:rsidRPr="007C6E89">
        <w:rPr>
          <w:rFonts w:eastAsiaTheme="minorHAnsi" w:cstheme="minorBidi"/>
        </w:rPr>
        <w:instrText xml:space="preserve"> REF _Ref375220160 \h  \* MERGEFORMAT </w:instrText>
      </w:r>
      <w:r w:rsidRPr="007C6E89">
        <w:rPr>
          <w:rFonts w:eastAsiaTheme="minorHAnsi" w:cstheme="minorBidi"/>
        </w:rPr>
      </w:r>
      <w:r w:rsidRPr="007C6E89">
        <w:rPr>
          <w:rFonts w:eastAsiaTheme="minorHAnsi" w:cstheme="minorBidi"/>
        </w:rPr>
        <w:fldChar w:fldCharType="separate"/>
      </w:r>
      <w:r w:rsidR="00B81273" w:rsidRPr="00B81273">
        <w:rPr>
          <w:rFonts w:eastAsiaTheme="minorHAnsi" w:cstheme="minorBidi"/>
        </w:rPr>
        <w:t xml:space="preserve">Table </w:t>
      </w:r>
      <w:r w:rsidR="00B81273" w:rsidRPr="00B81273">
        <w:rPr>
          <w:rFonts w:eastAsiaTheme="minorHAnsi" w:cstheme="minorBidi"/>
          <w:noProof/>
        </w:rPr>
        <w:t>D</w:t>
      </w:r>
      <w:r w:rsidR="00B81273" w:rsidRPr="00B81273">
        <w:rPr>
          <w:rFonts w:eastAsiaTheme="minorHAnsi" w:cstheme="minorBidi"/>
          <w:bCs/>
          <w:noProof/>
          <w:szCs w:val="18"/>
        </w:rPr>
        <w:t>.2</w:t>
      </w:r>
      <w:r w:rsidRPr="007C6E89">
        <w:rPr>
          <w:rFonts w:eastAsiaTheme="minorHAnsi" w:cstheme="minorBidi"/>
        </w:rPr>
        <w:fldChar w:fldCharType="end"/>
      </w:r>
      <w:r w:rsidRPr="007C6E89">
        <w:rPr>
          <w:rFonts w:eastAsiaTheme="minorHAnsi" w:cstheme="minorBidi"/>
        </w:rPr>
        <w:t>.</w:t>
      </w:r>
    </w:p>
    <w:p w14:paraId="116E0829" w14:textId="01B7ECCC" w:rsidR="00E47AB8" w:rsidRPr="007C6E89" w:rsidRDefault="00E47AB8" w:rsidP="00422306">
      <w:pPr>
        <w:spacing w:after="200"/>
        <w:rPr>
          <w:rFonts w:eastAsiaTheme="minorHAnsi" w:cstheme="minorBidi"/>
        </w:rPr>
      </w:pPr>
      <w:r w:rsidRPr="007C6E89">
        <w:rPr>
          <w:rFonts w:eastAsiaTheme="minorHAnsi" w:cstheme="minorBidi"/>
        </w:rPr>
        <w:t xml:space="preserve">Substantial variation exists between the studies in terms of the populations analysed, the interventions and comparators, and the assumptions driving the economic models. Most studies were concerned with the screening of women with </w:t>
      </w:r>
      <w:r w:rsidRPr="0071000B">
        <w:rPr>
          <w:rFonts w:eastAsiaTheme="minorHAnsi" w:cstheme="minorBidi"/>
          <w:i/>
        </w:rPr>
        <w:t>BRCA1</w:t>
      </w:r>
      <w:r w:rsidRPr="007C6E89">
        <w:rPr>
          <w:rFonts w:eastAsiaTheme="minorHAnsi" w:cstheme="minorBidi"/>
        </w:rPr>
        <w:t xml:space="preserve">/2 mutations; </w:t>
      </w:r>
      <w:bookmarkStart w:id="981" w:name="OLE_LINK842"/>
      <w:bookmarkStart w:id="982" w:name="OLE_LINK843"/>
      <w:r w:rsidRPr="007C6E89">
        <w:rPr>
          <w:rFonts w:eastAsiaTheme="minorHAnsi" w:cstheme="minorBidi"/>
        </w:rPr>
        <w:t xml:space="preserve">Griebsch et al </w:t>
      </w:r>
      <w:r w:rsidRPr="007C6E89">
        <w:rPr>
          <w:rFonts w:eastAsiaTheme="minorHAnsi" w:cstheme="minorBidi"/>
          <w:noProof/>
        </w:rPr>
        <w:t>(2006)</w:t>
      </w:r>
      <w:r w:rsidRPr="007C6E89">
        <w:rPr>
          <w:rFonts w:eastAsiaTheme="minorHAnsi" w:cstheme="minorBidi"/>
        </w:rPr>
        <w:t xml:space="preserve">, Moore et al </w:t>
      </w:r>
      <w:r w:rsidRPr="007C6E89">
        <w:rPr>
          <w:rFonts w:eastAsiaTheme="minorHAnsi" w:cstheme="minorBidi"/>
          <w:noProof/>
        </w:rPr>
        <w:t>(2009)</w:t>
      </w:r>
      <w:r w:rsidRPr="007C6E89">
        <w:rPr>
          <w:rFonts w:eastAsiaTheme="minorHAnsi" w:cstheme="minorBidi"/>
        </w:rPr>
        <w:t xml:space="preserve">, </w:t>
      </w:r>
      <w:bookmarkStart w:id="983" w:name="OLE_LINK127"/>
      <w:r w:rsidRPr="007C6E89">
        <w:rPr>
          <w:rFonts w:eastAsiaTheme="minorHAnsi" w:cstheme="minorBidi"/>
        </w:rPr>
        <w:t xml:space="preserve">Taneja </w:t>
      </w:r>
      <w:bookmarkEnd w:id="983"/>
      <w:r w:rsidRPr="007C6E89">
        <w:rPr>
          <w:rFonts w:eastAsiaTheme="minorHAnsi" w:cstheme="minorBidi"/>
        </w:rPr>
        <w:t xml:space="preserve">et al </w:t>
      </w:r>
      <w:r w:rsidRPr="007C6E89">
        <w:rPr>
          <w:rFonts w:eastAsiaTheme="minorHAnsi" w:cstheme="minorBidi"/>
          <w:noProof/>
        </w:rPr>
        <w:t>(200</w:t>
      </w:r>
      <w:r w:rsidR="00E114B3">
        <w:rPr>
          <w:rFonts w:eastAsiaTheme="minorHAnsi" w:cstheme="minorBidi"/>
          <w:noProof/>
        </w:rPr>
        <w:t>9</w:t>
      </w:r>
      <w:r w:rsidRPr="007C6E89">
        <w:rPr>
          <w:rFonts w:eastAsiaTheme="minorHAnsi" w:cstheme="minorBidi"/>
          <w:noProof/>
        </w:rPr>
        <w:t>)</w:t>
      </w:r>
      <w:r w:rsidRPr="007C6E89">
        <w:rPr>
          <w:rFonts w:eastAsiaTheme="minorHAnsi" w:cstheme="minorBidi"/>
        </w:rPr>
        <w:t xml:space="preserve"> and </w:t>
      </w:r>
      <w:bookmarkStart w:id="984" w:name="OLE_LINK128"/>
      <w:r w:rsidRPr="007C6E89">
        <w:rPr>
          <w:rFonts w:eastAsiaTheme="minorHAnsi" w:cstheme="minorBidi"/>
        </w:rPr>
        <w:t xml:space="preserve">Saadatmand </w:t>
      </w:r>
      <w:bookmarkEnd w:id="984"/>
      <w:r w:rsidRPr="007C6E89">
        <w:rPr>
          <w:rFonts w:eastAsiaTheme="minorHAnsi" w:cstheme="minorBidi"/>
        </w:rPr>
        <w:t xml:space="preserve">et al </w:t>
      </w:r>
      <w:r w:rsidRPr="007C6E89">
        <w:rPr>
          <w:rFonts w:eastAsiaTheme="minorHAnsi" w:cstheme="minorBidi"/>
          <w:noProof/>
        </w:rPr>
        <w:t>(2013</w:t>
      </w:r>
      <w:bookmarkEnd w:id="981"/>
      <w:bookmarkEnd w:id="982"/>
      <w:r w:rsidRPr="007C6E89">
        <w:rPr>
          <w:rFonts w:eastAsiaTheme="minorHAnsi" w:cstheme="minorBidi"/>
          <w:noProof/>
        </w:rPr>
        <w:t>)</w:t>
      </w:r>
      <w:r w:rsidRPr="007C6E89">
        <w:rPr>
          <w:rFonts w:eastAsiaTheme="minorHAnsi" w:cstheme="minorBidi"/>
        </w:rPr>
        <w:t xml:space="preserve"> included a broader population of women at high risk of breast cancer due to family history. None of the studies included all the populations of interest in this assessment report, and none provided results that would be directly applicable to the requested indications and the Australian healthcare setting. Nonetheless, the conclusions are relatively consistent, with mammography alone as the most cost-effective strategy after no screening, followed by MRI + mammography, and finally MRI alone.</w:t>
      </w:r>
    </w:p>
    <w:p w14:paraId="453BC936" w14:textId="0186EED8" w:rsidR="00E47AB8" w:rsidRPr="007C6E89" w:rsidRDefault="00E47AB8" w:rsidP="00422306">
      <w:pPr>
        <w:spacing w:after="200"/>
        <w:rPr>
          <w:rFonts w:eastAsiaTheme="minorHAnsi" w:cstheme="minorBidi"/>
        </w:rPr>
      </w:pPr>
      <w:bookmarkStart w:id="985" w:name="OLE_LINK844"/>
      <w:bookmarkStart w:id="986" w:name="OLE_LINK845"/>
      <w:r w:rsidRPr="007C6E89">
        <w:rPr>
          <w:rFonts w:eastAsiaTheme="minorHAnsi" w:cstheme="minorBidi"/>
        </w:rPr>
        <w:t xml:space="preserve">Norman et al </w:t>
      </w:r>
      <w:r w:rsidRPr="007C6E89">
        <w:rPr>
          <w:rFonts w:eastAsiaTheme="minorHAnsi" w:cstheme="minorBidi"/>
          <w:noProof/>
        </w:rPr>
        <w:t>(2007</w:t>
      </w:r>
      <w:bookmarkEnd w:id="985"/>
      <w:bookmarkEnd w:id="986"/>
      <w:r w:rsidRPr="007C6E89">
        <w:rPr>
          <w:rFonts w:eastAsiaTheme="minorHAnsi" w:cstheme="minorBidi"/>
          <w:noProof/>
        </w:rPr>
        <w:t>)</w:t>
      </w:r>
      <w:r w:rsidRPr="007C6E89">
        <w:rPr>
          <w:rFonts w:eastAsiaTheme="minorHAnsi" w:cstheme="minorBidi"/>
        </w:rPr>
        <w:t xml:space="preserve"> reports the economic evaluation associated with NICE CG41 on familial breast cancer </w:t>
      </w:r>
      <w:r w:rsidRPr="007C6E89">
        <w:rPr>
          <w:rFonts w:eastAsiaTheme="minorHAnsi" w:cstheme="minorBidi"/>
          <w:noProof/>
        </w:rPr>
        <w:t>(NICE, 2006)</w:t>
      </w:r>
      <w:r w:rsidRPr="007C6E89">
        <w:rPr>
          <w:rFonts w:eastAsiaTheme="minorHAnsi" w:cstheme="minorBidi"/>
        </w:rPr>
        <w:t xml:space="preserve">. It reports the cost-effectiveness of MRI screening for breast cancer in </w:t>
      </w:r>
      <w:r w:rsidRPr="0071000B">
        <w:rPr>
          <w:rFonts w:eastAsiaTheme="minorHAnsi" w:cstheme="minorBidi"/>
          <w:i/>
        </w:rPr>
        <w:t>BRCA</w:t>
      </w:r>
      <w:r w:rsidRPr="007C6E89">
        <w:rPr>
          <w:rFonts w:eastAsiaTheme="minorHAnsi" w:cstheme="minorBidi"/>
        </w:rPr>
        <w:t xml:space="preserve"> mutation carriers aged 30 to 49 years, while the full clinical guidance by NICE presents a </w:t>
      </w:r>
      <w:bookmarkStart w:id="987" w:name="OLE_LINK399"/>
      <w:bookmarkStart w:id="988" w:name="OLE_LINK400"/>
      <w:r w:rsidRPr="007C6E89">
        <w:rPr>
          <w:rFonts w:eastAsiaTheme="minorHAnsi" w:cstheme="minorBidi"/>
        </w:rPr>
        <w:t>cost utility analysis</w:t>
      </w:r>
      <w:bookmarkEnd w:id="987"/>
      <w:bookmarkEnd w:id="988"/>
      <w:r w:rsidRPr="007C6E89">
        <w:rPr>
          <w:rFonts w:eastAsiaTheme="minorHAnsi" w:cstheme="minorBidi"/>
        </w:rPr>
        <w:t xml:space="preserve"> (CUA) of various surveillance strategies in a range of high-risk populations. Therefore, while Norman et al </w:t>
      </w:r>
      <w:r w:rsidRPr="007C6E89">
        <w:rPr>
          <w:rFonts w:eastAsiaTheme="minorHAnsi" w:cstheme="minorBidi"/>
          <w:noProof/>
        </w:rPr>
        <w:t>(2007)</w:t>
      </w:r>
      <w:r w:rsidRPr="007C6E89">
        <w:rPr>
          <w:rFonts w:eastAsiaTheme="minorHAnsi" w:cstheme="minorBidi"/>
        </w:rPr>
        <w:t xml:space="preserve"> is relevant to the economic evaluation presented in this application, the full report for NICE CG41 is the primary reference used here.</w:t>
      </w:r>
    </w:p>
    <w:p w14:paraId="21A2FEED" w14:textId="77777777" w:rsidR="00E47AB8" w:rsidRPr="007C6E89" w:rsidRDefault="00E47AB8" w:rsidP="00422306">
      <w:pPr>
        <w:spacing w:after="200"/>
        <w:rPr>
          <w:rFonts w:eastAsiaTheme="minorHAnsi" w:cstheme="minorBidi"/>
        </w:rPr>
        <w:sectPr w:rsidR="00E47AB8" w:rsidRPr="007C6E89" w:rsidSect="00422306">
          <w:headerReference w:type="default" r:id="rId38"/>
          <w:footerReference w:type="default" r:id="rId39"/>
          <w:endnotePr>
            <w:numFmt w:val="decimal"/>
          </w:endnotePr>
          <w:pgSz w:w="11906" w:h="16838"/>
          <w:pgMar w:top="1418" w:right="1418" w:bottom="1418" w:left="1418" w:header="708" w:footer="708" w:gutter="0"/>
          <w:pgNumType w:start="1"/>
          <w:cols w:space="708"/>
          <w:docGrid w:linePitch="360"/>
        </w:sectPr>
      </w:pPr>
    </w:p>
    <w:p w14:paraId="051A8991" w14:textId="77777777" w:rsidR="00E47AB8" w:rsidRPr="008B2F8A" w:rsidRDefault="00E47AB8" w:rsidP="00422306">
      <w:pPr>
        <w:pStyle w:val="Caption"/>
      </w:pPr>
      <w:bookmarkStart w:id="989" w:name="_Ref375220160"/>
      <w:bookmarkStart w:id="990" w:name="_Toc383424611"/>
      <w:r w:rsidRPr="008B2F8A">
        <w:lastRenderedPageBreak/>
        <w:t xml:space="preserve">Table </w:t>
      </w:r>
      <w:fldSimple w:instr=" STYLEREF 1 \s ">
        <w:r w:rsidR="00B81273">
          <w:rPr>
            <w:noProof/>
          </w:rPr>
          <w:t>D</w:t>
        </w:r>
      </w:fldSimple>
      <w:r w:rsidRPr="008B2F8A">
        <w:t>.</w:t>
      </w:r>
      <w:fldSimple w:instr=" SEQ Table \* ARABIC \s 1 ">
        <w:r w:rsidR="00B81273">
          <w:rPr>
            <w:noProof/>
          </w:rPr>
          <w:t>2</w:t>
        </w:r>
      </w:fldSimple>
      <w:bookmarkEnd w:id="989"/>
      <w:r w:rsidRPr="008B2F8A">
        <w:tab/>
      </w:r>
      <w:bookmarkStart w:id="991" w:name="OLE_LINK1071"/>
      <w:bookmarkStart w:id="992" w:name="OLE_LINK1072"/>
      <w:r w:rsidRPr="008B2F8A">
        <w:t>Economic evaluations studies published since the MSAC (2006) report assessing MRI in combination with mammography</w:t>
      </w:r>
      <w:bookmarkEnd w:id="991"/>
      <w:bookmarkEnd w:id="992"/>
      <w:r w:rsidRPr="008B2F8A">
        <w:t>.</w:t>
      </w:r>
      <w:bookmarkEnd w:id="990"/>
    </w:p>
    <w:tbl>
      <w:tblPr>
        <w:tblStyle w:val="TableGrid"/>
        <w:tblW w:w="0" w:type="auto"/>
        <w:tblCellMar>
          <w:left w:w="28" w:type="dxa"/>
          <w:right w:w="28" w:type="dxa"/>
        </w:tblCellMar>
        <w:tblLook w:val="04A0" w:firstRow="1" w:lastRow="0" w:firstColumn="1" w:lastColumn="0" w:noHBand="0" w:noVBand="1"/>
        <w:tblCaption w:val="Economic evaluations studies published since the MSAC (2006) report assessing MRI in combination with mammography"/>
      </w:tblPr>
      <w:tblGrid>
        <w:gridCol w:w="1355"/>
        <w:gridCol w:w="1052"/>
        <w:gridCol w:w="1254"/>
        <w:gridCol w:w="2062"/>
        <w:gridCol w:w="1791"/>
        <w:gridCol w:w="1119"/>
        <w:gridCol w:w="1385"/>
        <w:gridCol w:w="1395"/>
        <w:gridCol w:w="2645"/>
      </w:tblGrid>
      <w:tr w:rsidR="00E47AB8" w:rsidRPr="008B2F8A" w14:paraId="2FA5B035" w14:textId="77777777" w:rsidTr="00422306">
        <w:trPr>
          <w:cantSplit/>
          <w:tblHeader/>
        </w:trPr>
        <w:tc>
          <w:tcPr>
            <w:tcW w:w="1363" w:type="dxa"/>
            <w:vAlign w:val="bottom"/>
          </w:tcPr>
          <w:p w14:paraId="661C2D61"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1053" w:type="dxa"/>
            <w:vAlign w:val="bottom"/>
          </w:tcPr>
          <w:p w14:paraId="6205DACC" w14:textId="77777777" w:rsidR="00E47AB8" w:rsidRPr="008B2F8A" w:rsidRDefault="00E47AB8" w:rsidP="00422306">
            <w:pPr>
              <w:spacing w:before="40" w:after="80"/>
              <w:rPr>
                <w:rFonts w:ascii="Arial Narrow" w:hAnsi="Arial Narrow"/>
                <w:b/>
              </w:rPr>
            </w:pPr>
            <w:r w:rsidRPr="008B2F8A">
              <w:rPr>
                <w:rFonts w:ascii="Arial Narrow" w:hAnsi="Arial Narrow"/>
                <w:b/>
              </w:rPr>
              <w:t>Location</w:t>
            </w:r>
          </w:p>
        </w:tc>
        <w:tc>
          <w:tcPr>
            <w:tcW w:w="1262" w:type="dxa"/>
            <w:vAlign w:val="bottom"/>
          </w:tcPr>
          <w:p w14:paraId="15A7A7EB" w14:textId="77777777" w:rsidR="00E47AB8" w:rsidRPr="008B2F8A" w:rsidRDefault="00E47AB8" w:rsidP="00422306">
            <w:pPr>
              <w:spacing w:before="40" w:after="80"/>
              <w:rPr>
                <w:rFonts w:ascii="Arial Narrow" w:hAnsi="Arial Narrow"/>
                <w:b/>
              </w:rPr>
            </w:pPr>
            <w:r w:rsidRPr="008B2F8A">
              <w:rPr>
                <w:rFonts w:ascii="Arial Narrow" w:hAnsi="Arial Narrow"/>
                <w:b/>
              </w:rPr>
              <w:t>Population</w:t>
            </w:r>
          </w:p>
        </w:tc>
        <w:tc>
          <w:tcPr>
            <w:tcW w:w="2087" w:type="dxa"/>
            <w:vAlign w:val="bottom"/>
          </w:tcPr>
          <w:p w14:paraId="5BE193BF" w14:textId="77777777" w:rsidR="00E47AB8" w:rsidRPr="008B2F8A" w:rsidRDefault="00E47AB8" w:rsidP="00422306">
            <w:pPr>
              <w:spacing w:before="40" w:after="80"/>
              <w:rPr>
                <w:rFonts w:ascii="Arial Narrow" w:hAnsi="Arial Narrow"/>
                <w:b/>
              </w:rPr>
            </w:pPr>
            <w:r w:rsidRPr="008B2F8A">
              <w:rPr>
                <w:rFonts w:ascii="Arial Narrow" w:hAnsi="Arial Narrow"/>
                <w:b/>
              </w:rPr>
              <w:t>Intervention and comparator</w:t>
            </w:r>
          </w:p>
        </w:tc>
        <w:tc>
          <w:tcPr>
            <w:tcW w:w="1806" w:type="dxa"/>
            <w:vAlign w:val="bottom"/>
          </w:tcPr>
          <w:p w14:paraId="77EDFB1F" w14:textId="77777777" w:rsidR="00E47AB8" w:rsidRPr="008B2F8A" w:rsidRDefault="00E47AB8" w:rsidP="00422306">
            <w:pPr>
              <w:spacing w:before="40" w:after="80"/>
              <w:rPr>
                <w:rFonts w:ascii="Arial Narrow" w:hAnsi="Arial Narrow"/>
                <w:b/>
              </w:rPr>
            </w:pPr>
            <w:r w:rsidRPr="008B2F8A">
              <w:rPr>
                <w:rFonts w:ascii="Arial Narrow" w:hAnsi="Arial Narrow"/>
                <w:b/>
              </w:rPr>
              <w:t xml:space="preserve">Model approach, age of entry into model </w:t>
            </w:r>
          </w:p>
        </w:tc>
        <w:tc>
          <w:tcPr>
            <w:tcW w:w="1125" w:type="dxa"/>
            <w:vAlign w:val="bottom"/>
          </w:tcPr>
          <w:p w14:paraId="7FC7D450" w14:textId="77777777" w:rsidR="00E47AB8" w:rsidRPr="008B2F8A" w:rsidRDefault="00E47AB8" w:rsidP="00422306">
            <w:pPr>
              <w:spacing w:before="40" w:after="80"/>
              <w:rPr>
                <w:rFonts w:ascii="Arial Narrow" w:hAnsi="Arial Narrow"/>
                <w:b/>
              </w:rPr>
            </w:pPr>
            <w:r w:rsidRPr="008B2F8A">
              <w:rPr>
                <w:rFonts w:ascii="Arial Narrow" w:hAnsi="Arial Narrow"/>
                <w:b/>
              </w:rPr>
              <w:t>Outcomes assessed</w:t>
            </w:r>
          </w:p>
        </w:tc>
        <w:tc>
          <w:tcPr>
            <w:tcW w:w="1398" w:type="dxa"/>
            <w:vAlign w:val="bottom"/>
          </w:tcPr>
          <w:p w14:paraId="3028EB3D" w14:textId="77777777" w:rsidR="00E47AB8" w:rsidRPr="008B2F8A" w:rsidRDefault="00E47AB8" w:rsidP="00422306">
            <w:pPr>
              <w:spacing w:before="40" w:after="80"/>
              <w:rPr>
                <w:rFonts w:ascii="Arial Narrow" w:hAnsi="Arial Narrow"/>
                <w:b/>
              </w:rPr>
            </w:pPr>
            <w:r w:rsidRPr="008B2F8A">
              <w:rPr>
                <w:rFonts w:ascii="Arial Narrow" w:hAnsi="Arial Narrow"/>
                <w:b/>
              </w:rPr>
              <w:t>Costs included</w:t>
            </w:r>
          </w:p>
        </w:tc>
        <w:tc>
          <w:tcPr>
            <w:tcW w:w="1403" w:type="dxa"/>
            <w:vAlign w:val="bottom"/>
          </w:tcPr>
          <w:p w14:paraId="2CD54579" w14:textId="77777777" w:rsidR="00E47AB8" w:rsidRPr="008B2F8A" w:rsidRDefault="00E47AB8" w:rsidP="00422306">
            <w:pPr>
              <w:spacing w:before="40" w:after="80"/>
              <w:rPr>
                <w:rFonts w:ascii="Arial Narrow" w:hAnsi="Arial Narrow"/>
                <w:b/>
              </w:rPr>
            </w:pPr>
            <w:r w:rsidRPr="008B2F8A">
              <w:rPr>
                <w:rFonts w:ascii="Arial Narrow" w:hAnsi="Arial Narrow"/>
                <w:b/>
              </w:rPr>
              <w:t>Applicability</w:t>
            </w:r>
          </w:p>
        </w:tc>
        <w:tc>
          <w:tcPr>
            <w:tcW w:w="2677" w:type="dxa"/>
            <w:vAlign w:val="bottom"/>
          </w:tcPr>
          <w:p w14:paraId="0CD70349" w14:textId="30857BE2" w:rsidR="00E47AB8" w:rsidRPr="008B2F8A" w:rsidRDefault="00E47AB8" w:rsidP="00422306">
            <w:pPr>
              <w:spacing w:before="40" w:after="80"/>
              <w:rPr>
                <w:rFonts w:ascii="Arial Narrow" w:hAnsi="Arial Narrow"/>
                <w:b/>
              </w:rPr>
            </w:pPr>
            <w:r w:rsidRPr="008B2F8A">
              <w:rPr>
                <w:rFonts w:ascii="Arial Narrow" w:hAnsi="Arial Narrow"/>
                <w:b/>
              </w:rPr>
              <w:t>Incremental cost-effectiveness ratios</w:t>
            </w:r>
          </w:p>
        </w:tc>
      </w:tr>
      <w:tr w:rsidR="00E47AB8" w:rsidRPr="008B2F8A" w14:paraId="60FEE353" w14:textId="77777777" w:rsidTr="00422306">
        <w:trPr>
          <w:cantSplit/>
        </w:trPr>
        <w:tc>
          <w:tcPr>
            <w:tcW w:w="1363" w:type="dxa"/>
          </w:tcPr>
          <w:p w14:paraId="0265ACF0" w14:textId="37F23009" w:rsidR="00E47AB8" w:rsidRPr="008B2F8A" w:rsidRDefault="00E47AB8" w:rsidP="00422306">
            <w:pPr>
              <w:spacing w:before="40" w:after="80"/>
              <w:rPr>
                <w:rFonts w:ascii="Arial Narrow" w:hAnsi="Arial Narrow"/>
              </w:rPr>
            </w:pPr>
            <w:bookmarkStart w:id="993" w:name="OLE_LINK129"/>
            <w:r w:rsidRPr="008B2F8A">
              <w:rPr>
                <w:rFonts w:ascii="Arial Narrow" w:hAnsi="Arial Narrow"/>
              </w:rPr>
              <w:t>Cott</w:t>
            </w:r>
            <w:bookmarkStart w:id="994" w:name="OLE_LINK130"/>
            <w:bookmarkEnd w:id="993"/>
            <w:r w:rsidR="00694E4E">
              <w:rPr>
                <w:rFonts w:ascii="Arial Narrow" w:hAnsi="Arial Narrow"/>
              </w:rPr>
              <w:t xml:space="preserve"> </w:t>
            </w:r>
            <w:r w:rsidRPr="008B2F8A">
              <w:rPr>
                <w:rFonts w:ascii="Arial Narrow" w:hAnsi="Arial Narrow"/>
              </w:rPr>
              <w:t xml:space="preserve">Chubiz </w:t>
            </w:r>
            <w:bookmarkEnd w:id="994"/>
            <w:r w:rsidRPr="008B2F8A">
              <w:rPr>
                <w:rFonts w:ascii="Arial Narrow" w:hAnsi="Arial Narrow"/>
              </w:rPr>
              <w:t>et al, 2013</w:t>
            </w:r>
          </w:p>
        </w:tc>
        <w:tc>
          <w:tcPr>
            <w:tcW w:w="1053" w:type="dxa"/>
          </w:tcPr>
          <w:p w14:paraId="11A811D6" w14:textId="77777777" w:rsidR="00E47AB8" w:rsidRPr="008B2F8A" w:rsidRDefault="00E47AB8" w:rsidP="00422306">
            <w:pPr>
              <w:spacing w:before="40" w:after="80"/>
              <w:rPr>
                <w:rFonts w:ascii="Arial Narrow" w:hAnsi="Arial Narrow"/>
              </w:rPr>
            </w:pPr>
            <w:r w:rsidRPr="008B2F8A">
              <w:rPr>
                <w:rFonts w:ascii="Arial Narrow" w:hAnsi="Arial Narrow"/>
              </w:rPr>
              <w:t>US</w:t>
            </w:r>
          </w:p>
        </w:tc>
        <w:tc>
          <w:tcPr>
            <w:tcW w:w="1262" w:type="dxa"/>
          </w:tcPr>
          <w:p w14:paraId="77C0FD62" w14:textId="77777777" w:rsidR="00E47AB8" w:rsidRPr="008B2F8A" w:rsidRDefault="00E47AB8" w:rsidP="00422306">
            <w:pPr>
              <w:spacing w:before="40" w:after="80"/>
              <w:rPr>
                <w:rFonts w:ascii="Arial Narrow" w:hAnsi="Arial Narrow"/>
              </w:rPr>
            </w:pPr>
            <w:r w:rsidRPr="0071000B">
              <w:rPr>
                <w:rFonts w:ascii="Arial Narrow" w:hAnsi="Arial Narrow"/>
                <w:i/>
              </w:rPr>
              <w:t>BRCA1</w:t>
            </w:r>
            <w:r w:rsidRPr="008B2F8A">
              <w:rPr>
                <w:rFonts w:ascii="Arial Narrow" w:hAnsi="Arial Narrow"/>
              </w:rPr>
              <w:t>/2</w:t>
            </w:r>
          </w:p>
        </w:tc>
        <w:tc>
          <w:tcPr>
            <w:tcW w:w="2087" w:type="dxa"/>
          </w:tcPr>
          <w:p w14:paraId="41C583C0" w14:textId="77777777" w:rsidR="00E47AB8" w:rsidRPr="008B2F8A" w:rsidRDefault="00E47AB8" w:rsidP="00422306">
            <w:pPr>
              <w:spacing w:before="40" w:after="80"/>
              <w:rPr>
                <w:rFonts w:ascii="Arial Narrow" w:hAnsi="Arial Narrow"/>
              </w:rPr>
            </w:pPr>
            <w:r w:rsidRPr="008B2F8A">
              <w:rPr>
                <w:rFonts w:ascii="Arial Narrow" w:hAnsi="Arial Narrow"/>
              </w:rPr>
              <w:t>Mammography vs</w:t>
            </w:r>
          </w:p>
          <w:p w14:paraId="515C2CFF" w14:textId="77777777" w:rsidR="00E47AB8" w:rsidRPr="008B2F8A" w:rsidRDefault="00E47AB8" w:rsidP="00422306">
            <w:pPr>
              <w:spacing w:before="40" w:after="80"/>
              <w:rPr>
                <w:rFonts w:ascii="Arial Narrow" w:hAnsi="Arial Narrow"/>
              </w:rPr>
            </w:pPr>
            <w:r w:rsidRPr="008B2F8A">
              <w:rPr>
                <w:rFonts w:ascii="Arial Narrow" w:hAnsi="Arial Narrow"/>
              </w:rPr>
              <w:t>MRI (alone)</w:t>
            </w:r>
          </w:p>
          <w:p w14:paraId="58372114" w14:textId="0BEE5569" w:rsidR="00E47AB8" w:rsidRPr="008B2F8A" w:rsidRDefault="00E47AB8" w:rsidP="00422306">
            <w:pPr>
              <w:spacing w:before="40" w:after="80"/>
              <w:rPr>
                <w:rFonts w:ascii="Arial Narrow" w:hAnsi="Arial Narrow"/>
              </w:rPr>
            </w:pPr>
            <w:r w:rsidRPr="008B2F8A">
              <w:rPr>
                <w:rFonts w:ascii="Arial Narrow" w:hAnsi="Arial Narrow"/>
              </w:rPr>
              <w:t>Mammography ​+​ MRI (alternating at 6-month intervals)</w:t>
            </w:r>
          </w:p>
        </w:tc>
        <w:tc>
          <w:tcPr>
            <w:tcW w:w="1806" w:type="dxa"/>
          </w:tcPr>
          <w:p w14:paraId="55FCF26D" w14:textId="77777777" w:rsidR="00E47AB8" w:rsidRPr="008B2F8A" w:rsidRDefault="00E47AB8" w:rsidP="00422306">
            <w:pPr>
              <w:spacing w:before="40" w:after="80"/>
              <w:rPr>
                <w:rFonts w:ascii="Arial Narrow" w:hAnsi="Arial Narrow"/>
              </w:rPr>
            </w:pPr>
            <w:r w:rsidRPr="008B2F8A">
              <w:rPr>
                <w:rFonts w:ascii="Arial Narrow" w:hAnsi="Arial Narrow"/>
              </w:rPr>
              <w:t>Markov model</w:t>
            </w:r>
          </w:p>
          <w:p w14:paraId="63ED2A98" w14:textId="77777777" w:rsidR="00E47AB8" w:rsidRPr="008B2F8A" w:rsidRDefault="00E47AB8" w:rsidP="00422306">
            <w:pPr>
              <w:spacing w:before="40" w:after="80"/>
              <w:rPr>
                <w:rFonts w:ascii="Arial Narrow" w:hAnsi="Arial Narrow"/>
              </w:rPr>
            </w:pPr>
            <w:r w:rsidRPr="008B2F8A">
              <w:rPr>
                <w:rFonts w:ascii="Arial Narrow" w:hAnsi="Arial Narrow"/>
              </w:rPr>
              <w:t>Screening age: &gt;25 years</w:t>
            </w:r>
          </w:p>
        </w:tc>
        <w:tc>
          <w:tcPr>
            <w:tcW w:w="1125" w:type="dxa"/>
          </w:tcPr>
          <w:p w14:paraId="1C87F1BF"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1398" w:type="dxa"/>
          </w:tcPr>
          <w:p w14:paraId="2651EEC6"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diagnostics and treatment and patient costs</w:t>
            </w:r>
          </w:p>
        </w:tc>
        <w:tc>
          <w:tcPr>
            <w:tcW w:w="1403" w:type="dxa"/>
          </w:tcPr>
          <w:p w14:paraId="3041F939" w14:textId="514F66FC" w:rsidR="00E47AB8" w:rsidRPr="008B2F8A" w:rsidRDefault="00E47AB8" w:rsidP="00422306">
            <w:pPr>
              <w:spacing w:before="40" w:after="80"/>
              <w:rPr>
                <w:rFonts w:ascii="Arial Narrow" w:hAnsi="Arial Narrow"/>
              </w:rPr>
            </w:pPr>
            <w:r w:rsidRPr="008B2F8A">
              <w:rPr>
                <w:rFonts w:ascii="Arial Narrow" w:hAnsi="Arial Narrow"/>
              </w:rPr>
              <w:t>Limited on the basis of intervention</w:t>
            </w:r>
          </w:p>
        </w:tc>
        <w:tc>
          <w:tcPr>
            <w:tcW w:w="2677" w:type="dxa"/>
          </w:tcPr>
          <w:p w14:paraId="6E02CAA2" w14:textId="77777777" w:rsidR="00E47AB8" w:rsidRPr="008B2F8A" w:rsidRDefault="00E47AB8" w:rsidP="00422306">
            <w:pPr>
              <w:spacing w:before="40" w:after="80"/>
              <w:rPr>
                <w:rFonts w:ascii="Arial Narrow" w:hAnsi="Arial Narrow"/>
              </w:rPr>
            </w:pPr>
            <w:r w:rsidRPr="0071000B">
              <w:rPr>
                <w:rFonts w:ascii="Arial Narrow" w:hAnsi="Arial Narrow"/>
                <w:i/>
                <w:u w:val="single"/>
              </w:rPr>
              <w:t>BRCA1</w:t>
            </w:r>
          </w:p>
          <w:p w14:paraId="7C249B44" w14:textId="77777777" w:rsidR="00E47AB8" w:rsidRPr="008B2F8A" w:rsidRDefault="00E47AB8" w:rsidP="00422306">
            <w:pPr>
              <w:spacing w:before="40" w:after="80"/>
              <w:rPr>
                <w:rFonts w:ascii="Arial Narrow" w:hAnsi="Arial Narrow"/>
              </w:rPr>
            </w:pPr>
            <w:r w:rsidRPr="008B2F8A">
              <w:rPr>
                <w:rFonts w:ascii="Arial Narrow" w:hAnsi="Arial Narrow"/>
              </w:rPr>
              <w:t>Digital mammography and MRI alternating at 6-month intervals:</w:t>
            </w:r>
          </w:p>
          <w:p w14:paraId="236567A1" w14:textId="77777777" w:rsidR="00E47AB8" w:rsidRPr="008B2F8A" w:rsidRDefault="00E47AB8" w:rsidP="00422306">
            <w:pPr>
              <w:spacing w:before="40" w:after="80"/>
              <w:rPr>
                <w:rFonts w:ascii="Arial Narrow" w:hAnsi="Arial Narrow"/>
              </w:rPr>
            </w:pPr>
            <w:r w:rsidRPr="008B2F8A">
              <w:rPr>
                <w:rFonts w:ascii="Arial Narrow" w:hAnsi="Arial Narrow"/>
              </w:rPr>
              <w:t>$74,200/QALY</w:t>
            </w:r>
          </w:p>
          <w:p w14:paraId="044562EF" w14:textId="77777777" w:rsidR="00E47AB8" w:rsidRPr="008B2F8A" w:rsidRDefault="00E47AB8" w:rsidP="00422306">
            <w:pPr>
              <w:spacing w:before="40" w:after="80"/>
              <w:rPr>
                <w:rFonts w:ascii="Arial Narrow" w:hAnsi="Arial Narrow"/>
              </w:rPr>
            </w:pPr>
            <w:r w:rsidRPr="0071000B">
              <w:rPr>
                <w:rFonts w:ascii="Arial Narrow" w:hAnsi="Arial Narrow"/>
                <w:i/>
                <w:u w:val="single"/>
              </w:rPr>
              <w:t>BRCA2</w:t>
            </w:r>
          </w:p>
          <w:p w14:paraId="74F11D53" w14:textId="77777777" w:rsidR="00E47AB8" w:rsidRPr="008B2F8A" w:rsidRDefault="00E47AB8" w:rsidP="00422306">
            <w:pPr>
              <w:spacing w:before="40" w:after="80"/>
              <w:rPr>
                <w:rFonts w:ascii="Arial Narrow" w:hAnsi="Arial Narrow"/>
              </w:rPr>
            </w:pPr>
            <w:r w:rsidRPr="008B2F8A">
              <w:rPr>
                <w:rFonts w:ascii="Arial Narrow" w:hAnsi="Arial Narrow"/>
              </w:rPr>
              <w:t>$215,700/QALY</w:t>
            </w:r>
          </w:p>
        </w:tc>
      </w:tr>
      <w:tr w:rsidR="00E47AB8" w:rsidRPr="008B2F8A" w14:paraId="1466FA07" w14:textId="77777777" w:rsidTr="00422306">
        <w:trPr>
          <w:cantSplit/>
        </w:trPr>
        <w:tc>
          <w:tcPr>
            <w:tcW w:w="1363" w:type="dxa"/>
          </w:tcPr>
          <w:p w14:paraId="2D63CFD4" w14:textId="77777777" w:rsidR="00E47AB8" w:rsidRPr="008B2F8A" w:rsidRDefault="00E47AB8" w:rsidP="00422306">
            <w:pPr>
              <w:spacing w:before="40" w:after="80"/>
              <w:rPr>
                <w:rFonts w:ascii="Arial Narrow" w:hAnsi="Arial Narrow"/>
              </w:rPr>
            </w:pPr>
            <w:bookmarkStart w:id="995" w:name="OLE_LINK131"/>
            <w:r w:rsidRPr="008B2F8A">
              <w:rPr>
                <w:rFonts w:ascii="Arial Narrow" w:hAnsi="Arial Narrow"/>
              </w:rPr>
              <w:t xml:space="preserve">Grann </w:t>
            </w:r>
            <w:bookmarkEnd w:id="995"/>
            <w:r w:rsidRPr="008B2F8A">
              <w:rPr>
                <w:rFonts w:ascii="Arial Narrow" w:hAnsi="Arial Narrow"/>
              </w:rPr>
              <w:t>et al, 2011</w:t>
            </w:r>
          </w:p>
        </w:tc>
        <w:tc>
          <w:tcPr>
            <w:tcW w:w="1053" w:type="dxa"/>
          </w:tcPr>
          <w:p w14:paraId="6928C856" w14:textId="77777777" w:rsidR="00E47AB8" w:rsidRPr="008B2F8A" w:rsidRDefault="00E47AB8" w:rsidP="00422306">
            <w:pPr>
              <w:spacing w:before="40" w:after="80"/>
              <w:rPr>
                <w:rFonts w:ascii="Arial Narrow" w:hAnsi="Arial Narrow"/>
              </w:rPr>
            </w:pPr>
            <w:r w:rsidRPr="008B2F8A">
              <w:rPr>
                <w:rFonts w:ascii="Arial Narrow" w:hAnsi="Arial Narrow"/>
              </w:rPr>
              <w:t>US</w:t>
            </w:r>
          </w:p>
        </w:tc>
        <w:tc>
          <w:tcPr>
            <w:tcW w:w="1262" w:type="dxa"/>
          </w:tcPr>
          <w:p w14:paraId="5C9A80A7" w14:textId="77777777" w:rsidR="00E47AB8" w:rsidRPr="008B2F8A" w:rsidRDefault="00E47AB8" w:rsidP="00422306">
            <w:pPr>
              <w:spacing w:before="40" w:after="80"/>
              <w:rPr>
                <w:rFonts w:ascii="Arial Narrow" w:hAnsi="Arial Narrow"/>
              </w:rPr>
            </w:pPr>
            <w:r w:rsidRPr="0071000B">
              <w:rPr>
                <w:rFonts w:ascii="Arial Narrow" w:hAnsi="Arial Narrow"/>
                <w:i/>
              </w:rPr>
              <w:t>BRCA1</w:t>
            </w:r>
            <w:r w:rsidRPr="008B2F8A">
              <w:rPr>
                <w:rFonts w:ascii="Arial Narrow" w:hAnsi="Arial Narrow"/>
              </w:rPr>
              <w:t>/2</w:t>
            </w:r>
          </w:p>
        </w:tc>
        <w:tc>
          <w:tcPr>
            <w:tcW w:w="2087" w:type="dxa"/>
          </w:tcPr>
          <w:p w14:paraId="2E4678B6" w14:textId="77777777" w:rsidR="00E47AB8" w:rsidRPr="008B2F8A" w:rsidRDefault="00E47AB8" w:rsidP="00422306">
            <w:pPr>
              <w:spacing w:before="40" w:after="80"/>
              <w:rPr>
                <w:rFonts w:ascii="Arial Narrow" w:hAnsi="Arial Narrow"/>
              </w:rPr>
            </w:pPr>
            <w:r w:rsidRPr="008B2F8A">
              <w:rPr>
                <w:rFonts w:ascii="Arial Narrow" w:hAnsi="Arial Narrow"/>
              </w:rPr>
              <w:t>Mammography vs</w:t>
            </w:r>
          </w:p>
          <w:p w14:paraId="6091A320" w14:textId="77777777" w:rsidR="00E47AB8" w:rsidRPr="008B2F8A" w:rsidRDefault="00E47AB8" w:rsidP="00422306">
            <w:pPr>
              <w:spacing w:before="40" w:after="80"/>
              <w:rPr>
                <w:rFonts w:ascii="Arial Narrow" w:hAnsi="Arial Narrow"/>
              </w:rPr>
            </w:pPr>
            <w:r w:rsidRPr="008B2F8A">
              <w:rPr>
                <w:rFonts w:ascii="Arial Narrow" w:hAnsi="Arial Narrow"/>
              </w:rPr>
              <w:t>Mammography ​+​ MRI</w:t>
            </w:r>
          </w:p>
          <w:p w14:paraId="4E2BE7A1" w14:textId="77777777" w:rsidR="00E47AB8" w:rsidRPr="008B2F8A" w:rsidRDefault="00E47AB8" w:rsidP="00422306">
            <w:pPr>
              <w:spacing w:before="40" w:after="80"/>
              <w:rPr>
                <w:rFonts w:ascii="Arial Narrow" w:hAnsi="Arial Narrow"/>
              </w:rPr>
            </w:pPr>
            <w:r w:rsidRPr="008B2F8A">
              <w:rPr>
                <w:rFonts w:ascii="Arial Narrow" w:hAnsi="Arial Narrow"/>
              </w:rPr>
              <w:t>(other interventions associated with ovarian cancer also included)</w:t>
            </w:r>
          </w:p>
        </w:tc>
        <w:tc>
          <w:tcPr>
            <w:tcW w:w="1806" w:type="dxa"/>
          </w:tcPr>
          <w:p w14:paraId="0561DFA3" w14:textId="77777777" w:rsidR="00E47AB8" w:rsidRPr="008B2F8A" w:rsidRDefault="00E47AB8" w:rsidP="00422306">
            <w:pPr>
              <w:spacing w:before="40" w:after="80"/>
              <w:rPr>
                <w:rFonts w:ascii="Arial Narrow" w:hAnsi="Arial Narrow"/>
              </w:rPr>
            </w:pPr>
            <w:r w:rsidRPr="008B2F8A">
              <w:rPr>
                <w:rFonts w:ascii="Arial Narrow" w:hAnsi="Arial Narrow"/>
              </w:rPr>
              <w:t>Markov model</w:t>
            </w:r>
          </w:p>
          <w:p w14:paraId="16CD2305" w14:textId="77777777" w:rsidR="00E47AB8" w:rsidRPr="008B2F8A" w:rsidRDefault="00E47AB8" w:rsidP="00422306">
            <w:pPr>
              <w:spacing w:before="40" w:after="80"/>
              <w:rPr>
                <w:rFonts w:ascii="Arial Narrow" w:hAnsi="Arial Narrow"/>
              </w:rPr>
            </w:pPr>
            <w:r w:rsidRPr="008B2F8A">
              <w:rPr>
                <w:rFonts w:ascii="Arial Narrow" w:hAnsi="Arial Narrow"/>
              </w:rPr>
              <w:t>Screening age: 30–65 years</w:t>
            </w:r>
          </w:p>
          <w:p w14:paraId="56C53023" w14:textId="77777777" w:rsidR="00E47AB8" w:rsidRPr="008B2F8A" w:rsidRDefault="00E47AB8" w:rsidP="00422306">
            <w:pPr>
              <w:spacing w:before="40" w:after="80"/>
              <w:rPr>
                <w:rFonts w:ascii="Arial Narrow" w:hAnsi="Arial Narrow"/>
              </w:rPr>
            </w:pPr>
          </w:p>
        </w:tc>
        <w:tc>
          <w:tcPr>
            <w:tcW w:w="1125" w:type="dxa"/>
          </w:tcPr>
          <w:p w14:paraId="65D486D4"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1398" w:type="dxa"/>
          </w:tcPr>
          <w:p w14:paraId="2545643C" w14:textId="77777777" w:rsidR="00E47AB8" w:rsidRPr="008B2F8A" w:rsidRDefault="00E47AB8" w:rsidP="00422306">
            <w:pPr>
              <w:spacing w:before="40" w:after="80"/>
              <w:rPr>
                <w:rFonts w:ascii="Arial Narrow" w:hAnsi="Arial Narrow"/>
              </w:rPr>
            </w:pPr>
            <w:r w:rsidRPr="008B2F8A">
              <w:rPr>
                <w:rFonts w:ascii="Arial Narrow" w:hAnsi="Arial Narrow"/>
              </w:rPr>
              <w:t>Screening and cancer care costs</w:t>
            </w:r>
          </w:p>
        </w:tc>
        <w:tc>
          <w:tcPr>
            <w:tcW w:w="1403" w:type="dxa"/>
          </w:tcPr>
          <w:p w14:paraId="722316E1" w14:textId="6E2EBED4" w:rsidR="00E47AB8" w:rsidRPr="008B2F8A" w:rsidRDefault="00E47AB8" w:rsidP="00422306">
            <w:pPr>
              <w:spacing w:before="40" w:after="80"/>
              <w:rPr>
                <w:rFonts w:ascii="Arial Narrow" w:hAnsi="Arial Narrow"/>
              </w:rPr>
            </w:pPr>
            <w:r w:rsidRPr="008B2F8A">
              <w:rPr>
                <w:rFonts w:ascii="Arial Narrow" w:hAnsi="Arial Narrow"/>
              </w:rPr>
              <w:t>Limited owing to population (30–65 years) and no information on test performance to inform model</w:t>
            </w:r>
          </w:p>
        </w:tc>
        <w:tc>
          <w:tcPr>
            <w:tcW w:w="2677" w:type="dxa"/>
          </w:tcPr>
          <w:p w14:paraId="4731A1B6" w14:textId="77777777" w:rsidR="00E47AB8" w:rsidRPr="008B2F8A" w:rsidRDefault="00E47AB8" w:rsidP="00422306">
            <w:pPr>
              <w:spacing w:before="40" w:after="80"/>
              <w:rPr>
                <w:rFonts w:ascii="Arial Narrow" w:hAnsi="Arial Narrow"/>
                <w:u w:val="single"/>
              </w:rPr>
            </w:pPr>
            <w:r w:rsidRPr="0071000B">
              <w:rPr>
                <w:rFonts w:ascii="Arial Narrow" w:hAnsi="Arial Narrow"/>
                <w:i/>
                <w:u w:val="single"/>
              </w:rPr>
              <w:t>BRCA1</w:t>
            </w:r>
          </w:p>
          <w:p w14:paraId="56159337" w14:textId="125BB51E" w:rsidR="00E47AB8" w:rsidRPr="008B2F8A" w:rsidRDefault="00E47AB8" w:rsidP="00422306">
            <w:pPr>
              <w:spacing w:before="40" w:after="80"/>
              <w:rPr>
                <w:rFonts w:ascii="Arial Narrow" w:hAnsi="Arial Narrow"/>
              </w:rPr>
            </w:pPr>
            <w:r w:rsidRPr="008B2F8A">
              <w:rPr>
                <w:rFonts w:ascii="Arial Narrow" w:hAnsi="Arial Narrow"/>
              </w:rPr>
              <w:t>MRI​+​mammography: €123,900/QALY</w:t>
            </w:r>
          </w:p>
          <w:p w14:paraId="14BD857E" w14:textId="77777777" w:rsidR="00E47AB8" w:rsidRPr="008B2F8A" w:rsidRDefault="00E47AB8" w:rsidP="00422306">
            <w:pPr>
              <w:spacing w:before="40" w:after="80"/>
              <w:rPr>
                <w:rFonts w:ascii="Arial Narrow" w:hAnsi="Arial Narrow"/>
                <w:u w:val="single"/>
              </w:rPr>
            </w:pPr>
            <w:r w:rsidRPr="0071000B">
              <w:rPr>
                <w:rFonts w:ascii="Arial Narrow" w:hAnsi="Arial Narrow"/>
                <w:i/>
                <w:u w:val="single"/>
              </w:rPr>
              <w:t>BRCA2</w:t>
            </w:r>
          </w:p>
          <w:p w14:paraId="45B6E473" w14:textId="633FFB2A" w:rsidR="00E47AB8" w:rsidRPr="008B2F8A" w:rsidRDefault="00E47AB8" w:rsidP="00422306">
            <w:pPr>
              <w:spacing w:before="40" w:after="80"/>
              <w:rPr>
                <w:rFonts w:ascii="Arial Narrow" w:hAnsi="Arial Narrow"/>
              </w:rPr>
            </w:pPr>
            <w:r w:rsidRPr="008B2F8A">
              <w:rPr>
                <w:rFonts w:ascii="Arial Narrow" w:hAnsi="Arial Narrow"/>
              </w:rPr>
              <w:t>MRI​+​mammography: €71,900/QALY</w:t>
            </w:r>
          </w:p>
        </w:tc>
      </w:tr>
      <w:tr w:rsidR="00E47AB8" w:rsidRPr="008B2F8A" w14:paraId="01C24615" w14:textId="77777777" w:rsidTr="00422306">
        <w:trPr>
          <w:cantSplit/>
        </w:trPr>
        <w:tc>
          <w:tcPr>
            <w:tcW w:w="1363" w:type="dxa"/>
          </w:tcPr>
          <w:p w14:paraId="4D92A7BF" w14:textId="28936E19" w:rsidR="00E47AB8" w:rsidRPr="008B2F8A" w:rsidRDefault="00E47AB8" w:rsidP="0071000B">
            <w:pPr>
              <w:spacing w:before="40" w:after="80"/>
              <w:rPr>
                <w:rFonts w:ascii="Arial Narrow" w:hAnsi="Arial Narrow"/>
                <w:color w:val="000000"/>
                <w:lang w:eastAsia="en-US"/>
              </w:rPr>
            </w:pPr>
            <w:bookmarkStart w:id="996" w:name="OLE_LINK132"/>
            <w:r w:rsidRPr="008B2F8A">
              <w:rPr>
                <w:rFonts w:ascii="Arial Narrow" w:hAnsi="Arial Narrow"/>
              </w:rPr>
              <w:t xml:space="preserve">Griebsch </w:t>
            </w:r>
            <w:bookmarkEnd w:id="996"/>
            <w:r w:rsidRPr="008B2F8A">
              <w:rPr>
                <w:rFonts w:ascii="Arial Narrow" w:hAnsi="Arial Narrow"/>
              </w:rPr>
              <w:t>et al, 2006</w:t>
            </w:r>
          </w:p>
        </w:tc>
        <w:tc>
          <w:tcPr>
            <w:tcW w:w="1053" w:type="dxa"/>
          </w:tcPr>
          <w:p w14:paraId="0E3A35FD" w14:textId="77777777" w:rsidR="00E47AB8" w:rsidRPr="008B2F8A" w:rsidRDefault="00E47AB8" w:rsidP="00422306">
            <w:pPr>
              <w:spacing w:before="40" w:after="80"/>
              <w:rPr>
                <w:rFonts w:ascii="Arial Narrow" w:hAnsi="Arial Narrow"/>
              </w:rPr>
            </w:pPr>
            <w:r w:rsidRPr="008B2F8A">
              <w:rPr>
                <w:rFonts w:ascii="Arial Narrow" w:hAnsi="Arial Narrow"/>
              </w:rPr>
              <w:t>UK</w:t>
            </w:r>
          </w:p>
        </w:tc>
        <w:tc>
          <w:tcPr>
            <w:tcW w:w="1262" w:type="dxa"/>
          </w:tcPr>
          <w:p w14:paraId="6A35D817" w14:textId="2FCD1E73" w:rsidR="00E47AB8" w:rsidRPr="008B2F8A" w:rsidRDefault="00E47AB8" w:rsidP="00422306">
            <w:pPr>
              <w:spacing w:before="40" w:after="80"/>
              <w:rPr>
                <w:rFonts w:ascii="Arial Narrow" w:hAnsi="Arial Narrow"/>
              </w:rPr>
            </w:pPr>
            <w:r w:rsidRPr="0071000B">
              <w:rPr>
                <w:rFonts w:ascii="Arial Narrow" w:hAnsi="Arial Narrow"/>
                <w:i/>
              </w:rPr>
              <w:t>BRCA1/2</w:t>
            </w:r>
            <w:r w:rsidRPr="008B2F8A">
              <w:rPr>
                <w:rFonts w:ascii="Arial Narrow" w:hAnsi="Arial Narrow"/>
              </w:rPr>
              <w:t xml:space="preserve">, </w:t>
            </w:r>
            <w:r w:rsidRPr="0071000B">
              <w:rPr>
                <w:rFonts w:ascii="Arial Narrow" w:hAnsi="Arial Narrow"/>
                <w:i/>
              </w:rPr>
              <w:t>TP53</w:t>
            </w:r>
            <w:r w:rsidRPr="008B2F8A">
              <w:rPr>
                <w:rFonts w:ascii="Arial Narrow" w:hAnsi="Arial Narrow"/>
              </w:rPr>
              <w:t xml:space="preserve"> carriers, their close relatives and others of high </w:t>
            </w:r>
            <w:r>
              <w:rPr>
                <w:rFonts w:ascii="Arial Narrow" w:hAnsi="Arial Narrow"/>
              </w:rPr>
              <w:t>famil</w:t>
            </w:r>
            <w:r w:rsidR="008F355F">
              <w:rPr>
                <w:rFonts w:ascii="Arial Narrow" w:hAnsi="Arial Narrow"/>
              </w:rPr>
              <w:t>i</w:t>
            </w:r>
            <w:r>
              <w:rPr>
                <w:rFonts w:ascii="Arial Narrow" w:hAnsi="Arial Narrow"/>
              </w:rPr>
              <w:t>al</w:t>
            </w:r>
            <w:r w:rsidRPr="008B2F8A">
              <w:rPr>
                <w:rFonts w:ascii="Arial Narrow" w:hAnsi="Arial Narrow"/>
              </w:rPr>
              <w:t xml:space="preserve"> risk</w:t>
            </w:r>
          </w:p>
        </w:tc>
        <w:tc>
          <w:tcPr>
            <w:tcW w:w="2087" w:type="dxa"/>
          </w:tcPr>
          <w:p w14:paraId="2EAFD880" w14:textId="77777777" w:rsidR="00E47AB8" w:rsidRPr="008B2F8A" w:rsidRDefault="00E47AB8" w:rsidP="00422306">
            <w:pPr>
              <w:spacing w:before="40" w:after="80"/>
              <w:rPr>
                <w:rFonts w:ascii="Arial Narrow" w:hAnsi="Arial Narrow"/>
              </w:rPr>
            </w:pPr>
            <w:r w:rsidRPr="008B2F8A">
              <w:rPr>
                <w:rFonts w:ascii="Arial Narrow" w:hAnsi="Arial Narrow"/>
              </w:rPr>
              <w:t>Mammography vs</w:t>
            </w:r>
          </w:p>
          <w:p w14:paraId="2B1180CA" w14:textId="77777777" w:rsidR="00E47AB8" w:rsidRPr="008B2F8A" w:rsidRDefault="00E47AB8" w:rsidP="00422306">
            <w:pPr>
              <w:spacing w:before="40" w:after="80"/>
              <w:rPr>
                <w:rFonts w:ascii="Arial Narrow" w:hAnsi="Arial Narrow"/>
              </w:rPr>
            </w:pPr>
            <w:r w:rsidRPr="008B2F8A">
              <w:rPr>
                <w:rFonts w:ascii="Arial Narrow" w:hAnsi="Arial Narrow"/>
              </w:rPr>
              <w:t>MRI (alone)</w:t>
            </w:r>
          </w:p>
          <w:p w14:paraId="59869A80" w14:textId="77777777" w:rsidR="00E47AB8" w:rsidRPr="008B2F8A" w:rsidRDefault="00E47AB8" w:rsidP="00422306">
            <w:pPr>
              <w:spacing w:before="40" w:after="80"/>
              <w:rPr>
                <w:rFonts w:ascii="Arial Narrow" w:hAnsi="Arial Narrow"/>
              </w:rPr>
            </w:pPr>
            <w:r w:rsidRPr="008B2F8A">
              <w:rPr>
                <w:rFonts w:ascii="Arial Narrow" w:hAnsi="Arial Narrow"/>
              </w:rPr>
              <w:t>Mammography ​+​ MRI</w:t>
            </w:r>
          </w:p>
        </w:tc>
        <w:tc>
          <w:tcPr>
            <w:tcW w:w="1806" w:type="dxa"/>
          </w:tcPr>
          <w:p w14:paraId="1BE20787" w14:textId="441DDCAF" w:rsidR="00E47AB8" w:rsidRPr="008B2F8A" w:rsidRDefault="00E47AB8" w:rsidP="00422306">
            <w:pPr>
              <w:spacing w:before="40" w:after="80"/>
              <w:rPr>
                <w:rFonts w:ascii="Arial Narrow" w:hAnsi="Arial Narrow"/>
              </w:rPr>
            </w:pPr>
            <w:r w:rsidRPr="008B2F8A">
              <w:rPr>
                <w:rFonts w:ascii="Arial Narrow" w:hAnsi="Arial Narrow"/>
              </w:rPr>
              <w:t>Based on the results of MARIBS study</w:t>
            </w:r>
          </w:p>
          <w:p w14:paraId="49479684" w14:textId="77777777" w:rsidR="00E47AB8" w:rsidRPr="008B2F8A" w:rsidRDefault="00E47AB8" w:rsidP="00422306">
            <w:pPr>
              <w:spacing w:before="40" w:after="80"/>
              <w:rPr>
                <w:rFonts w:ascii="Arial Narrow" w:hAnsi="Arial Narrow"/>
              </w:rPr>
            </w:pPr>
            <w:r w:rsidRPr="008B2F8A">
              <w:rPr>
                <w:rFonts w:ascii="Arial Narrow" w:hAnsi="Arial Narrow"/>
              </w:rPr>
              <w:t>Screening age: 35–49 years</w:t>
            </w:r>
          </w:p>
        </w:tc>
        <w:tc>
          <w:tcPr>
            <w:tcW w:w="1125" w:type="dxa"/>
          </w:tcPr>
          <w:p w14:paraId="5A6622F0" w14:textId="77777777" w:rsidR="00E47AB8" w:rsidRPr="008B2F8A" w:rsidRDefault="00E47AB8" w:rsidP="00422306">
            <w:pPr>
              <w:spacing w:before="40" w:after="80"/>
              <w:rPr>
                <w:rFonts w:ascii="Arial Narrow" w:hAnsi="Arial Narrow"/>
              </w:rPr>
            </w:pPr>
            <w:r w:rsidRPr="008B2F8A">
              <w:rPr>
                <w:rFonts w:ascii="Arial Narrow" w:hAnsi="Arial Narrow"/>
              </w:rPr>
              <w:t>Cancers detected</w:t>
            </w:r>
          </w:p>
        </w:tc>
        <w:tc>
          <w:tcPr>
            <w:tcW w:w="1398" w:type="dxa"/>
          </w:tcPr>
          <w:p w14:paraId="1B573AFD" w14:textId="77777777" w:rsidR="00E47AB8" w:rsidRPr="008B2F8A" w:rsidRDefault="00E47AB8" w:rsidP="00422306">
            <w:pPr>
              <w:spacing w:before="40" w:after="80"/>
              <w:rPr>
                <w:rFonts w:ascii="Arial Narrow" w:hAnsi="Arial Narrow"/>
              </w:rPr>
            </w:pPr>
            <w:r w:rsidRPr="008B2F8A">
              <w:rPr>
                <w:rFonts w:ascii="Arial Narrow" w:hAnsi="Arial Narrow"/>
              </w:rPr>
              <w:t>Screening costs</w:t>
            </w:r>
          </w:p>
        </w:tc>
        <w:tc>
          <w:tcPr>
            <w:tcW w:w="1403" w:type="dxa"/>
          </w:tcPr>
          <w:p w14:paraId="7C7EC1AA" w14:textId="48A8045C" w:rsidR="00E47AB8" w:rsidRPr="008B2F8A" w:rsidRDefault="00E47AB8" w:rsidP="00422306">
            <w:pPr>
              <w:spacing w:before="40" w:after="80"/>
              <w:rPr>
                <w:rFonts w:ascii="Arial Narrow" w:hAnsi="Arial Narrow"/>
              </w:rPr>
            </w:pPr>
            <w:r w:rsidRPr="008B2F8A">
              <w:rPr>
                <w:rFonts w:ascii="Arial Narrow" w:hAnsi="Arial Narrow"/>
              </w:rPr>
              <w:t>Limited on the basis of source of data</w:t>
            </w:r>
          </w:p>
        </w:tc>
        <w:tc>
          <w:tcPr>
            <w:tcW w:w="2677" w:type="dxa"/>
          </w:tcPr>
          <w:p w14:paraId="25D89B15" w14:textId="77777777" w:rsidR="00E47AB8" w:rsidRPr="008B2F8A" w:rsidRDefault="00E47AB8" w:rsidP="00422306">
            <w:pPr>
              <w:spacing w:before="40" w:after="80"/>
              <w:rPr>
                <w:rFonts w:ascii="Arial Narrow" w:hAnsi="Arial Narrow"/>
              </w:rPr>
            </w:pPr>
            <w:r w:rsidRPr="008B2F8A">
              <w:rPr>
                <w:rFonts w:ascii="Arial Narrow" w:hAnsi="Arial Narrow"/>
              </w:rPr>
              <w:t>MRI​+​mammography: £34,951.33 per additional cancer detected</w:t>
            </w:r>
          </w:p>
        </w:tc>
      </w:tr>
      <w:tr w:rsidR="00E47AB8" w:rsidRPr="008B2F8A" w14:paraId="09A00BE9" w14:textId="77777777" w:rsidTr="00422306">
        <w:trPr>
          <w:cantSplit/>
        </w:trPr>
        <w:tc>
          <w:tcPr>
            <w:tcW w:w="1363" w:type="dxa"/>
          </w:tcPr>
          <w:p w14:paraId="150731C1"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Lee et al, 2010</w:t>
            </w:r>
          </w:p>
        </w:tc>
        <w:tc>
          <w:tcPr>
            <w:tcW w:w="1053" w:type="dxa"/>
          </w:tcPr>
          <w:p w14:paraId="500C6D57" w14:textId="77777777" w:rsidR="00E47AB8" w:rsidRPr="008B2F8A" w:rsidRDefault="00E47AB8" w:rsidP="00422306">
            <w:pPr>
              <w:spacing w:before="40" w:after="80"/>
              <w:rPr>
                <w:rFonts w:ascii="Arial Narrow" w:hAnsi="Arial Narrow"/>
              </w:rPr>
            </w:pPr>
            <w:r w:rsidRPr="008B2F8A">
              <w:rPr>
                <w:rFonts w:ascii="Arial Narrow" w:hAnsi="Arial Narrow"/>
              </w:rPr>
              <w:t>US</w:t>
            </w:r>
          </w:p>
        </w:tc>
        <w:tc>
          <w:tcPr>
            <w:tcW w:w="1262" w:type="dxa"/>
          </w:tcPr>
          <w:p w14:paraId="07CB843E" w14:textId="77777777" w:rsidR="00E47AB8" w:rsidRPr="008B2F8A" w:rsidRDefault="00E47AB8" w:rsidP="00422306">
            <w:pPr>
              <w:spacing w:before="40" w:after="80"/>
              <w:rPr>
                <w:rFonts w:ascii="Arial Narrow" w:hAnsi="Arial Narrow"/>
              </w:rPr>
            </w:pPr>
            <w:r w:rsidRPr="0071000B">
              <w:rPr>
                <w:rFonts w:ascii="Arial Narrow" w:hAnsi="Arial Narrow"/>
                <w:i/>
              </w:rPr>
              <w:t>BRCA1</w:t>
            </w:r>
          </w:p>
        </w:tc>
        <w:tc>
          <w:tcPr>
            <w:tcW w:w="2087" w:type="dxa"/>
          </w:tcPr>
          <w:p w14:paraId="259CE5A3" w14:textId="77777777" w:rsidR="00E47AB8" w:rsidRPr="008B2F8A" w:rsidRDefault="00E47AB8" w:rsidP="00422306">
            <w:pPr>
              <w:spacing w:before="40" w:after="80"/>
              <w:rPr>
                <w:rFonts w:ascii="Arial Narrow" w:hAnsi="Arial Narrow"/>
              </w:rPr>
            </w:pPr>
            <w:r w:rsidRPr="008B2F8A">
              <w:rPr>
                <w:rFonts w:ascii="Arial Narrow" w:hAnsi="Arial Narrow"/>
              </w:rPr>
              <w:t>Clinical surveillance vs</w:t>
            </w:r>
          </w:p>
          <w:p w14:paraId="0F227104" w14:textId="77777777" w:rsidR="00E47AB8" w:rsidRPr="008B2F8A" w:rsidRDefault="00E47AB8" w:rsidP="00422306">
            <w:pPr>
              <w:spacing w:before="40" w:after="80"/>
              <w:rPr>
                <w:rFonts w:ascii="Arial Narrow" w:hAnsi="Arial Narrow"/>
              </w:rPr>
            </w:pPr>
            <w:r w:rsidRPr="008B2F8A">
              <w:rPr>
                <w:rFonts w:ascii="Arial Narrow" w:hAnsi="Arial Narrow"/>
              </w:rPr>
              <w:t>Mammography (alone)</w:t>
            </w:r>
          </w:p>
          <w:p w14:paraId="37564EEA" w14:textId="77777777" w:rsidR="00E47AB8" w:rsidRPr="008B2F8A" w:rsidRDefault="00E47AB8" w:rsidP="00422306">
            <w:pPr>
              <w:spacing w:before="40" w:after="80"/>
              <w:rPr>
                <w:rFonts w:ascii="Arial Narrow" w:hAnsi="Arial Narrow"/>
              </w:rPr>
            </w:pPr>
            <w:r w:rsidRPr="008B2F8A">
              <w:rPr>
                <w:rFonts w:ascii="Arial Narrow" w:hAnsi="Arial Narrow"/>
              </w:rPr>
              <w:t>MRI (alone)</w:t>
            </w:r>
          </w:p>
          <w:p w14:paraId="051E4426" w14:textId="77777777" w:rsidR="00E47AB8" w:rsidRPr="008B2F8A" w:rsidRDefault="00E47AB8" w:rsidP="00422306">
            <w:pPr>
              <w:spacing w:before="40" w:after="80"/>
              <w:rPr>
                <w:rFonts w:ascii="Arial Narrow" w:hAnsi="Arial Narrow"/>
              </w:rPr>
            </w:pPr>
            <w:r w:rsidRPr="008B2F8A">
              <w:rPr>
                <w:rFonts w:ascii="Arial Narrow" w:hAnsi="Arial Narrow"/>
              </w:rPr>
              <w:t>Mammography ​+​ MRI</w:t>
            </w:r>
          </w:p>
        </w:tc>
        <w:tc>
          <w:tcPr>
            <w:tcW w:w="1806" w:type="dxa"/>
          </w:tcPr>
          <w:p w14:paraId="752910D0" w14:textId="77777777" w:rsidR="00E47AB8" w:rsidRPr="008B2F8A" w:rsidRDefault="00E47AB8" w:rsidP="00422306">
            <w:pPr>
              <w:spacing w:before="40" w:after="80"/>
              <w:rPr>
                <w:rFonts w:ascii="Arial Narrow" w:hAnsi="Arial Narrow"/>
              </w:rPr>
            </w:pPr>
            <w:r w:rsidRPr="008B2F8A">
              <w:rPr>
                <w:rFonts w:ascii="Arial Narrow" w:hAnsi="Arial Narrow"/>
              </w:rPr>
              <w:t>Probabilistic Markov model</w:t>
            </w:r>
          </w:p>
          <w:p w14:paraId="4376DF71" w14:textId="77777777" w:rsidR="00E47AB8" w:rsidRPr="008B2F8A" w:rsidRDefault="00E47AB8" w:rsidP="00422306">
            <w:pPr>
              <w:spacing w:before="40" w:after="80"/>
              <w:rPr>
                <w:rFonts w:ascii="Arial Narrow" w:hAnsi="Arial Narrow"/>
              </w:rPr>
            </w:pPr>
            <w:r w:rsidRPr="008B2F8A">
              <w:rPr>
                <w:rFonts w:ascii="Arial Narrow" w:hAnsi="Arial Narrow"/>
              </w:rPr>
              <w:t>Screening age: &gt;25 years</w:t>
            </w:r>
          </w:p>
        </w:tc>
        <w:tc>
          <w:tcPr>
            <w:tcW w:w="1125" w:type="dxa"/>
          </w:tcPr>
          <w:p w14:paraId="4266D0D6"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1398" w:type="dxa"/>
          </w:tcPr>
          <w:p w14:paraId="7D6672F6" w14:textId="77777777" w:rsidR="00E47AB8" w:rsidRPr="008B2F8A" w:rsidRDefault="00E47AB8" w:rsidP="00422306">
            <w:pPr>
              <w:spacing w:before="40" w:after="80"/>
              <w:rPr>
                <w:rFonts w:ascii="Arial Narrow" w:hAnsi="Arial Narrow"/>
              </w:rPr>
            </w:pPr>
            <w:r w:rsidRPr="008B2F8A">
              <w:rPr>
                <w:rFonts w:ascii="Arial Narrow" w:hAnsi="Arial Narrow"/>
              </w:rPr>
              <w:t>Screening costs, diagnostic evaluation, treatment and patient time</w:t>
            </w:r>
          </w:p>
        </w:tc>
        <w:tc>
          <w:tcPr>
            <w:tcW w:w="1403" w:type="dxa"/>
          </w:tcPr>
          <w:p w14:paraId="5E5543AC" w14:textId="70BC0EA4" w:rsidR="00E47AB8" w:rsidRPr="008B2F8A" w:rsidRDefault="00E47AB8" w:rsidP="00422306">
            <w:pPr>
              <w:spacing w:before="40" w:after="80"/>
              <w:rPr>
                <w:rFonts w:ascii="Arial Narrow" w:hAnsi="Arial Narrow"/>
              </w:rPr>
            </w:pPr>
            <w:r w:rsidRPr="008B2F8A">
              <w:rPr>
                <w:rFonts w:ascii="Arial Narrow" w:hAnsi="Arial Narrow"/>
              </w:rPr>
              <w:t>Limited on the basis of population and comparator; few details on cost</w:t>
            </w:r>
          </w:p>
        </w:tc>
        <w:tc>
          <w:tcPr>
            <w:tcW w:w="2677" w:type="dxa"/>
          </w:tcPr>
          <w:p w14:paraId="08120484" w14:textId="77777777" w:rsidR="00E47AB8" w:rsidRPr="008B2F8A" w:rsidRDefault="00E47AB8" w:rsidP="00422306">
            <w:pPr>
              <w:spacing w:before="40" w:after="80"/>
              <w:rPr>
                <w:rFonts w:ascii="Arial Narrow" w:hAnsi="Arial Narrow"/>
              </w:rPr>
            </w:pPr>
            <w:r w:rsidRPr="008B2F8A">
              <w:rPr>
                <w:rFonts w:ascii="Arial Narrow" w:hAnsi="Arial Narrow"/>
              </w:rPr>
              <w:t>Mammography: £12,076.57/QALY</w:t>
            </w:r>
          </w:p>
          <w:p w14:paraId="3643E610" w14:textId="77777777" w:rsidR="00E47AB8" w:rsidRPr="008B2F8A" w:rsidRDefault="00E47AB8" w:rsidP="00422306">
            <w:pPr>
              <w:spacing w:before="40" w:after="80"/>
              <w:rPr>
                <w:rFonts w:ascii="Arial Narrow" w:hAnsi="Arial Narrow"/>
              </w:rPr>
            </w:pPr>
            <w:r w:rsidRPr="008B2F8A">
              <w:rPr>
                <w:rFonts w:ascii="Arial Narrow" w:hAnsi="Arial Narrow"/>
              </w:rPr>
              <w:t>MRI alone: £148,791.75/QALY</w:t>
            </w:r>
          </w:p>
          <w:p w14:paraId="65DDD0CC" w14:textId="77777777" w:rsidR="00E47AB8" w:rsidRPr="008B2F8A" w:rsidRDefault="00E47AB8" w:rsidP="00422306">
            <w:pPr>
              <w:spacing w:before="40" w:after="80"/>
              <w:rPr>
                <w:rFonts w:ascii="Arial Narrow" w:hAnsi="Arial Narrow"/>
              </w:rPr>
            </w:pPr>
            <w:r w:rsidRPr="008B2F8A">
              <w:rPr>
                <w:rFonts w:ascii="Arial Narrow" w:hAnsi="Arial Narrow"/>
              </w:rPr>
              <w:t>Combined: £49,835.41/QALY</w:t>
            </w:r>
          </w:p>
        </w:tc>
      </w:tr>
      <w:tr w:rsidR="00E47AB8" w:rsidRPr="008B2F8A" w14:paraId="47724361" w14:textId="77777777" w:rsidTr="00422306">
        <w:trPr>
          <w:cantSplit/>
        </w:trPr>
        <w:tc>
          <w:tcPr>
            <w:tcW w:w="1363" w:type="dxa"/>
          </w:tcPr>
          <w:p w14:paraId="5BF5AF67" w14:textId="77777777" w:rsidR="00E47AB8" w:rsidRPr="008B2F8A" w:rsidRDefault="00E47AB8" w:rsidP="00422306">
            <w:pPr>
              <w:spacing w:before="40" w:after="80"/>
              <w:rPr>
                <w:rFonts w:ascii="Arial Narrow" w:hAnsi="Arial Narrow"/>
              </w:rPr>
            </w:pPr>
            <w:r w:rsidRPr="008B2F8A">
              <w:rPr>
                <w:rFonts w:ascii="Arial Narrow" w:hAnsi="Arial Narrow"/>
              </w:rPr>
              <w:t>Moore et al, 2009</w:t>
            </w:r>
          </w:p>
        </w:tc>
        <w:tc>
          <w:tcPr>
            <w:tcW w:w="1053" w:type="dxa"/>
          </w:tcPr>
          <w:p w14:paraId="7B56E060" w14:textId="77777777" w:rsidR="00E47AB8" w:rsidRPr="008B2F8A" w:rsidRDefault="00E47AB8" w:rsidP="00422306">
            <w:pPr>
              <w:spacing w:before="40" w:after="80"/>
              <w:rPr>
                <w:rFonts w:ascii="Arial Narrow" w:hAnsi="Arial Narrow"/>
              </w:rPr>
            </w:pPr>
            <w:r w:rsidRPr="008B2F8A">
              <w:rPr>
                <w:rFonts w:ascii="Arial Narrow" w:hAnsi="Arial Narrow"/>
              </w:rPr>
              <w:t>US</w:t>
            </w:r>
          </w:p>
        </w:tc>
        <w:tc>
          <w:tcPr>
            <w:tcW w:w="1262" w:type="dxa"/>
          </w:tcPr>
          <w:p w14:paraId="4EEABA89" w14:textId="77777777" w:rsidR="00E47AB8" w:rsidRPr="008B2F8A" w:rsidRDefault="00E47AB8" w:rsidP="00422306">
            <w:pPr>
              <w:spacing w:before="40" w:after="80"/>
              <w:rPr>
                <w:rFonts w:ascii="Arial Narrow" w:hAnsi="Arial Narrow"/>
              </w:rPr>
            </w:pPr>
            <w:r w:rsidRPr="008B2F8A">
              <w:rPr>
                <w:rFonts w:ascii="Arial Narrow" w:hAnsi="Arial Narrow"/>
              </w:rPr>
              <w:t>≥15% cumulative lifetime risk, based on family history</w:t>
            </w:r>
          </w:p>
        </w:tc>
        <w:tc>
          <w:tcPr>
            <w:tcW w:w="2087" w:type="dxa"/>
          </w:tcPr>
          <w:p w14:paraId="1E02F6C2" w14:textId="77777777" w:rsidR="00E47AB8" w:rsidRPr="008B2F8A" w:rsidRDefault="00E47AB8" w:rsidP="00422306">
            <w:pPr>
              <w:spacing w:before="40" w:after="80"/>
              <w:rPr>
                <w:rFonts w:ascii="Arial Narrow" w:hAnsi="Arial Narrow"/>
              </w:rPr>
            </w:pPr>
            <w:r w:rsidRPr="008B2F8A">
              <w:rPr>
                <w:rFonts w:ascii="Arial Narrow" w:hAnsi="Arial Narrow"/>
              </w:rPr>
              <w:t>Mammography vs</w:t>
            </w:r>
          </w:p>
          <w:p w14:paraId="72C133E9" w14:textId="77777777" w:rsidR="00E47AB8" w:rsidRPr="008B2F8A" w:rsidRDefault="00E47AB8" w:rsidP="00422306">
            <w:pPr>
              <w:spacing w:before="40" w:after="80"/>
              <w:rPr>
                <w:rFonts w:ascii="Arial Narrow" w:hAnsi="Arial Narrow"/>
              </w:rPr>
            </w:pPr>
            <w:r w:rsidRPr="008B2F8A">
              <w:rPr>
                <w:rFonts w:ascii="Arial Narrow" w:hAnsi="Arial Narrow"/>
              </w:rPr>
              <w:t>MRI (alone)</w:t>
            </w:r>
          </w:p>
        </w:tc>
        <w:tc>
          <w:tcPr>
            <w:tcW w:w="1806" w:type="dxa"/>
          </w:tcPr>
          <w:p w14:paraId="78F15DC3" w14:textId="77777777" w:rsidR="00E47AB8" w:rsidRPr="008B2F8A" w:rsidRDefault="00E47AB8" w:rsidP="00422306">
            <w:pPr>
              <w:spacing w:before="40" w:after="80"/>
              <w:rPr>
                <w:rFonts w:ascii="Arial Narrow" w:hAnsi="Arial Narrow"/>
              </w:rPr>
            </w:pPr>
            <w:r w:rsidRPr="008B2F8A">
              <w:rPr>
                <w:rFonts w:ascii="Arial Narrow" w:hAnsi="Arial Narrow"/>
              </w:rPr>
              <w:t>Markov model</w:t>
            </w:r>
          </w:p>
          <w:p w14:paraId="5EA7063D" w14:textId="77777777" w:rsidR="00E47AB8" w:rsidRPr="008B2F8A" w:rsidRDefault="00E47AB8" w:rsidP="00422306">
            <w:pPr>
              <w:spacing w:before="40" w:after="80"/>
              <w:rPr>
                <w:rFonts w:ascii="Arial Narrow" w:hAnsi="Arial Narrow"/>
              </w:rPr>
            </w:pPr>
            <w:r w:rsidRPr="008B2F8A">
              <w:rPr>
                <w:rFonts w:ascii="Arial Narrow" w:hAnsi="Arial Narrow"/>
              </w:rPr>
              <w:t>Screening age: &gt;25 years</w:t>
            </w:r>
          </w:p>
        </w:tc>
        <w:tc>
          <w:tcPr>
            <w:tcW w:w="1125" w:type="dxa"/>
          </w:tcPr>
          <w:p w14:paraId="48A72A80"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1398" w:type="dxa"/>
          </w:tcPr>
          <w:p w14:paraId="50165042"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diagnostics and treatment</w:t>
            </w:r>
          </w:p>
        </w:tc>
        <w:tc>
          <w:tcPr>
            <w:tcW w:w="1403" w:type="dxa"/>
          </w:tcPr>
          <w:p w14:paraId="0311D311" w14:textId="798AA5E2" w:rsidR="00E47AB8" w:rsidRPr="008B2F8A" w:rsidRDefault="00E47AB8" w:rsidP="00422306">
            <w:pPr>
              <w:spacing w:before="40" w:after="80"/>
              <w:rPr>
                <w:rFonts w:ascii="Arial Narrow" w:hAnsi="Arial Narrow"/>
              </w:rPr>
            </w:pPr>
            <w:r w:rsidRPr="008B2F8A">
              <w:rPr>
                <w:rFonts w:ascii="Arial Narrow" w:hAnsi="Arial Narrow"/>
              </w:rPr>
              <w:t>Limited on the basis of comparator and location</w:t>
            </w:r>
          </w:p>
        </w:tc>
        <w:tc>
          <w:tcPr>
            <w:tcW w:w="2677" w:type="dxa"/>
          </w:tcPr>
          <w:p w14:paraId="5DDAD38B" w14:textId="77777777" w:rsidR="00E47AB8" w:rsidRPr="008B2F8A" w:rsidRDefault="00E47AB8" w:rsidP="00422306">
            <w:pPr>
              <w:spacing w:before="40" w:after="80"/>
              <w:rPr>
                <w:rFonts w:ascii="Arial Narrow" w:hAnsi="Arial Narrow"/>
                <w:u w:val="single"/>
              </w:rPr>
            </w:pPr>
            <w:r w:rsidRPr="008B2F8A">
              <w:rPr>
                <w:rFonts w:ascii="Arial Narrow" w:hAnsi="Arial Narrow"/>
                <w:u w:val="single"/>
              </w:rPr>
              <w:t>Discounted:</w:t>
            </w:r>
          </w:p>
          <w:p w14:paraId="2EF26752" w14:textId="77777777" w:rsidR="00E47AB8" w:rsidRPr="008B2F8A" w:rsidRDefault="00E47AB8" w:rsidP="00422306">
            <w:pPr>
              <w:spacing w:before="40" w:after="80"/>
              <w:rPr>
                <w:rFonts w:ascii="Arial Narrow" w:hAnsi="Arial Narrow"/>
              </w:rPr>
            </w:pPr>
            <w:r w:rsidRPr="008B2F8A">
              <w:rPr>
                <w:rFonts w:ascii="Arial Narrow" w:hAnsi="Arial Narrow"/>
              </w:rPr>
              <w:t>$179,599/QALY</w:t>
            </w:r>
          </w:p>
          <w:p w14:paraId="24728DE1" w14:textId="77777777" w:rsidR="00E47AB8" w:rsidRPr="008B2F8A" w:rsidRDefault="00E47AB8" w:rsidP="00422306">
            <w:pPr>
              <w:spacing w:before="40" w:after="80"/>
              <w:rPr>
                <w:rFonts w:ascii="Arial Narrow" w:hAnsi="Arial Narrow"/>
                <w:u w:val="single"/>
              </w:rPr>
            </w:pPr>
            <w:r w:rsidRPr="008B2F8A">
              <w:rPr>
                <w:rFonts w:ascii="Arial Narrow" w:hAnsi="Arial Narrow"/>
                <w:u w:val="single"/>
              </w:rPr>
              <w:t>Undiscounted</w:t>
            </w:r>
          </w:p>
          <w:p w14:paraId="59B9C974" w14:textId="77777777" w:rsidR="00E47AB8" w:rsidRPr="008B2F8A" w:rsidRDefault="00E47AB8" w:rsidP="00422306">
            <w:pPr>
              <w:spacing w:before="40" w:after="80"/>
              <w:rPr>
                <w:rFonts w:ascii="Arial Narrow" w:hAnsi="Arial Narrow"/>
              </w:rPr>
            </w:pPr>
            <w:r w:rsidRPr="008B2F8A">
              <w:rPr>
                <w:rFonts w:ascii="Arial Narrow" w:hAnsi="Arial Narrow"/>
              </w:rPr>
              <w:t>$124,291/QALY</w:t>
            </w:r>
          </w:p>
        </w:tc>
      </w:tr>
      <w:tr w:rsidR="00E47AB8" w:rsidRPr="008B2F8A" w14:paraId="72BE78D7" w14:textId="77777777" w:rsidTr="00422306">
        <w:trPr>
          <w:cantSplit/>
        </w:trPr>
        <w:tc>
          <w:tcPr>
            <w:tcW w:w="1363" w:type="dxa"/>
          </w:tcPr>
          <w:p w14:paraId="058FAAB9" w14:textId="77777777" w:rsidR="00E47AB8" w:rsidRPr="008B2F8A" w:rsidRDefault="00E47AB8" w:rsidP="00422306">
            <w:pPr>
              <w:spacing w:before="40" w:after="80"/>
              <w:rPr>
                <w:rFonts w:ascii="Arial Narrow" w:hAnsi="Arial Narrow"/>
              </w:rPr>
            </w:pPr>
            <w:r w:rsidRPr="008B2F8A">
              <w:rPr>
                <w:rFonts w:ascii="Arial Narrow" w:hAnsi="Arial Narrow"/>
              </w:rPr>
              <w:t>Norman et al, 2007 (also included in NICE 2006)</w:t>
            </w:r>
          </w:p>
        </w:tc>
        <w:tc>
          <w:tcPr>
            <w:tcW w:w="1053" w:type="dxa"/>
          </w:tcPr>
          <w:p w14:paraId="73951D72" w14:textId="77777777" w:rsidR="00E47AB8" w:rsidRPr="008B2F8A" w:rsidRDefault="00E47AB8" w:rsidP="00422306">
            <w:pPr>
              <w:spacing w:before="40" w:after="80"/>
              <w:rPr>
                <w:rFonts w:ascii="Arial Narrow" w:hAnsi="Arial Narrow"/>
              </w:rPr>
            </w:pPr>
            <w:r w:rsidRPr="008B2F8A">
              <w:rPr>
                <w:rFonts w:ascii="Arial Narrow" w:hAnsi="Arial Narrow"/>
              </w:rPr>
              <w:t>UK</w:t>
            </w:r>
          </w:p>
        </w:tc>
        <w:tc>
          <w:tcPr>
            <w:tcW w:w="1262" w:type="dxa"/>
          </w:tcPr>
          <w:p w14:paraId="3A979EFE" w14:textId="570AB620" w:rsidR="00E47AB8" w:rsidRPr="008B2F8A" w:rsidRDefault="00E47AB8" w:rsidP="00422306">
            <w:pPr>
              <w:spacing w:before="40" w:after="80"/>
              <w:rPr>
                <w:rFonts w:ascii="Arial Narrow" w:hAnsi="Arial Narrow"/>
              </w:rPr>
            </w:pPr>
            <w:r w:rsidRPr="0071000B">
              <w:rPr>
                <w:rFonts w:ascii="Arial Narrow" w:hAnsi="Arial Narrow"/>
                <w:i/>
              </w:rPr>
              <w:t>BRCA1</w:t>
            </w:r>
            <w:r w:rsidRPr="008B2F8A">
              <w:rPr>
                <w:rFonts w:ascii="Arial Narrow" w:hAnsi="Arial Narrow"/>
              </w:rPr>
              <w:t xml:space="preserve"> carriers 30–39 and 40–49</w:t>
            </w:r>
            <w:r>
              <w:rPr>
                <w:rFonts w:ascii="Arial Narrow" w:hAnsi="Arial Narrow"/>
              </w:rPr>
              <w:t xml:space="preserve"> years</w:t>
            </w:r>
          </w:p>
        </w:tc>
        <w:tc>
          <w:tcPr>
            <w:tcW w:w="2087" w:type="dxa"/>
          </w:tcPr>
          <w:p w14:paraId="65BB446C" w14:textId="77777777" w:rsidR="00E47AB8" w:rsidRPr="008B2F8A" w:rsidRDefault="00E47AB8" w:rsidP="00422306">
            <w:pPr>
              <w:spacing w:before="40" w:after="80"/>
              <w:rPr>
                <w:rFonts w:ascii="Arial Narrow" w:hAnsi="Arial Narrow"/>
              </w:rPr>
            </w:pPr>
            <w:r w:rsidRPr="008B2F8A">
              <w:rPr>
                <w:rFonts w:ascii="Arial Narrow" w:hAnsi="Arial Narrow"/>
              </w:rPr>
              <w:t>Clinical surveillance vs</w:t>
            </w:r>
          </w:p>
          <w:p w14:paraId="5C3CCE61" w14:textId="77777777" w:rsidR="00E47AB8" w:rsidRPr="008B2F8A" w:rsidRDefault="00E47AB8" w:rsidP="00422306">
            <w:pPr>
              <w:spacing w:before="40" w:after="80"/>
              <w:rPr>
                <w:rFonts w:ascii="Arial Narrow" w:hAnsi="Arial Narrow"/>
              </w:rPr>
            </w:pPr>
            <w:r w:rsidRPr="008B2F8A">
              <w:rPr>
                <w:rFonts w:ascii="Arial Narrow" w:hAnsi="Arial Narrow"/>
              </w:rPr>
              <w:t>Mammography (alone)</w:t>
            </w:r>
          </w:p>
          <w:p w14:paraId="23C655B4" w14:textId="77777777" w:rsidR="00E47AB8" w:rsidRPr="008B2F8A" w:rsidRDefault="00E47AB8" w:rsidP="00422306">
            <w:pPr>
              <w:spacing w:before="40" w:after="80"/>
              <w:rPr>
                <w:rFonts w:ascii="Arial Narrow" w:hAnsi="Arial Narrow"/>
              </w:rPr>
            </w:pPr>
            <w:r w:rsidRPr="008B2F8A">
              <w:rPr>
                <w:rFonts w:ascii="Arial Narrow" w:hAnsi="Arial Narrow"/>
              </w:rPr>
              <w:t>MRI (alone)</w:t>
            </w:r>
          </w:p>
          <w:p w14:paraId="0AD2948A" w14:textId="77777777" w:rsidR="00E47AB8" w:rsidRPr="008B2F8A" w:rsidRDefault="00E47AB8" w:rsidP="00422306">
            <w:pPr>
              <w:spacing w:before="40" w:after="80"/>
              <w:rPr>
                <w:rFonts w:ascii="Arial Narrow" w:hAnsi="Arial Narrow"/>
              </w:rPr>
            </w:pPr>
            <w:r w:rsidRPr="008B2F8A">
              <w:rPr>
                <w:rFonts w:ascii="Arial Narrow" w:hAnsi="Arial Narrow"/>
              </w:rPr>
              <w:t>Mammography ​+​ MRI</w:t>
            </w:r>
          </w:p>
        </w:tc>
        <w:tc>
          <w:tcPr>
            <w:tcW w:w="1806" w:type="dxa"/>
          </w:tcPr>
          <w:p w14:paraId="4B9923CF" w14:textId="77777777" w:rsidR="00E47AB8" w:rsidRPr="008B2F8A" w:rsidRDefault="00E47AB8" w:rsidP="00422306">
            <w:pPr>
              <w:spacing w:before="40" w:after="80"/>
              <w:rPr>
                <w:rFonts w:ascii="Arial Narrow" w:hAnsi="Arial Narrow"/>
              </w:rPr>
            </w:pPr>
            <w:r w:rsidRPr="008B2F8A">
              <w:rPr>
                <w:rFonts w:ascii="Arial Narrow" w:hAnsi="Arial Narrow"/>
              </w:rPr>
              <w:t>Markov model</w:t>
            </w:r>
          </w:p>
          <w:p w14:paraId="4CFFA672" w14:textId="77777777" w:rsidR="00E47AB8" w:rsidRPr="008B2F8A" w:rsidRDefault="00E47AB8" w:rsidP="00422306">
            <w:pPr>
              <w:spacing w:before="40" w:after="80"/>
              <w:rPr>
                <w:rFonts w:ascii="Arial Narrow" w:hAnsi="Arial Narrow"/>
              </w:rPr>
            </w:pPr>
            <w:r w:rsidRPr="008B2F8A">
              <w:rPr>
                <w:rFonts w:ascii="Arial Narrow" w:hAnsi="Arial Narrow"/>
              </w:rPr>
              <w:t>Screening age: 30–39; 40–49 years</w:t>
            </w:r>
          </w:p>
        </w:tc>
        <w:tc>
          <w:tcPr>
            <w:tcW w:w="1125" w:type="dxa"/>
          </w:tcPr>
          <w:p w14:paraId="06A152FC"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1398" w:type="dxa"/>
          </w:tcPr>
          <w:p w14:paraId="75F952C7"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diagnostics and treatment</w:t>
            </w:r>
          </w:p>
        </w:tc>
        <w:tc>
          <w:tcPr>
            <w:tcW w:w="1403" w:type="dxa"/>
          </w:tcPr>
          <w:p w14:paraId="78E99633" w14:textId="50F9E089" w:rsidR="00E47AB8" w:rsidRPr="008B2F8A" w:rsidRDefault="00E47AB8" w:rsidP="00422306">
            <w:pPr>
              <w:spacing w:before="40" w:after="80"/>
              <w:rPr>
                <w:rFonts w:ascii="Arial Narrow" w:hAnsi="Arial Narrow"/>
              </w:rPr>
            </w:pPr>
            <w:r w:rsidRPr="008B2F8A">
              <w:rPr>
                <w:rFonts w:ascii="Arial Narrow" w:hAnsi="Arial Narrow"/>
              </w:rPr>
              <w:t xml:space="preserve">Limited on the basis of population (only </w:t>
            </w:r>
            <w:r w:rsidRPr="0071000B">
              <w:rPr>
                <w:rFonts w:ascii="Arial Narrow" w:hAnsi="Arial Narrow"/>
                <w:i/>
              </w:rPr>
              <w:t>BRCA1</w:t>
            </w:r>
            <w:r w:rsidRPr="008B2F8A">
              <w:rPr>
                <w:rFonts w:ascii="Arial Narrow" w:hAnsi="Arial Narrow"/>
              </w:rPr>
              <w:t xml:space="preserve">) </w:t>
            </w:r>
          </w:p>
        </w:tc>
        <w:tc>
          <w:tcPr>
            <w:tcW w:w="2677" w:type="dxa"/>
          </w:tcPr>
          <w:p w14:paraId="343410BF" w14:textId="77777777" w:rsidR="00E47AB8" w:rsidRPr="008B2F8A" w:rsidRDefault="00E47AB8" w:rsidP="00422306">
            <w:pPr>
              <w:spacing w:before="40" w:after="80"/>
              <w:rPr>
                <w:rFonts w:ascii="Arial Narrow" w:hAnsi="Arial Narrow"/>
              </w:rPr>
            </w:pPr>
            <w:r w:rsidRPr="008B2F8A">
              <w:rPr>
                <w:rFonts w:ascii="Arial Narrow" w:hAnsi="Arial Narrow"/>
                <w:u w:val="single"/>
              </w:rPr>
              <w:t>40–49</w:t>
            </w:r>
            <w:r>
              <w:rPr>
                <w:rFonts w:ascii="Arial Narrow" w:hAnsi="Arial Narrow"/>
                <w:u w:val="single"/>
              </w:rPr>
              <w:t xml:space="preserve"> years</w:t>
            </w:r>
          </w:p>
          <w:p w14:paraId="4C7350B8" w14:textId="1D27CBBA" w:rsidR="00E47AB8" w:rsidRPr="008B2F8A" w:rsidRDefault="00E47AB8" w:rsidP="00422306">
            <w:pPr>
              <w:spacing w:before="40" w:after="80"/>
              <w:rPr>
                <w:rFonts w:ascii="Arial Narrow" w:hAnsi="Arial Narrow"/>
              </w:rPr>
            </w:pPr>
            <w:r w:rsidRPr="008B2F8A">
              <w:rPr>
                <w:rFonts w:ascii="Arial Narrow" w:hAnsi="Arial Narrow"/>
              </w:rPr>
              <w:t>Mammography: €5,600/QALY</w:t>
            </w:r>
          </w:p>
          <w:p w14:paraId="7EEC7ACE" w14:textId="77777777" w:rsidR="00E47AB8" w:rsidRPr="008B2F8A" w:rsidRDefault="00E47AB8" w:rsidP="00422306">
            <w:pPr>
              <w:spacing w:before="40" w:after="80"/>
              <w:rPr>
                <w:rFonts w:ascii="Arial Narrow" w:hAnsi="Arial Narrow"/>
              </w:rPr>
            </w:pPr>
            <w:r w:rsidRPr="008B2F8A">
              <w:rPr>
                <w:rFonts w:ascii="Arial Narrow" w:hAnsi="Arial Narrow"/>
              </w:rPr>
              <w:t>MRI: dominated</w:t>
            </w:r>
          </w:p>
          <w:p w14:paraId="51303A7A" w14:textId="77777777" w:rsidR="00E47AB8" w:rsidRPr="008B2F8A" w:rsidRDefault="00E47AB8" w:rsidP="00422306">
            <w:pPr>
              <w:spacing w:before="40" w:after="80"/>
              <w:rPr>
                <w:rFonts w:ascii="Arial Narrow" w:hAnsi="Arial Narrow"/>
              </w:rPr>
            </w:pPr>
            <w:r w:rsidRPr="008B2F8A">
              <w:rPr>
                <w:rFonts w:ascii="Arial Narrow" w:hAnsi="Arial Narrow"/>
              </w:rPr>
              <w:t>MRI​+​mammography: €15,100/QALY</w:t>
            </w:r>
          </w:p>
          <w:p w14:paraId="42404E16" w14:textId="77777777" w:rsidR="00E47AB8" w:rsidRPr="008B2F8A" w:rsidRDefault="00E47AB8" w:rsidP="00422306">
            <w:pPr>
              <w:spacing w:before="40" w:after="80"/>
              <w:rPr>
                <w:rFonts w:ascii="Arial Narrow" w:hAnsi="Arial Narrow"/>
              </w:rPr>
            </w:pPr>
            <w:r w:rsidRPr="008B2F8A">
              <w:rPr>
                <w:rFonts w:ascii="Arial Narrow" w:hAnsi="Arial Narrow"/>
                <w:u w:val="single"/>
              </w:rPr>
              <w:t>30–39</w:t>
            </w:r>
            <w:r>
              <w:rPr>
                <w:rFonts w:ascii="Arial Narrow" w:hAnsi="Arial Narrow"/>
                <w:u w:val="single"/>
              </w:rPr>
              <w:t xml:space="preserve"> years</w:t>
            </w:r>
          </w:p>
          <w:p w14:paraId="38006DD2" w14:textId="77777777" w:rsidR="00E47AB8" w:rsidRDefault="00E47AB8" w:rsidP="00422306">
            <w:pPr>
              <w:spacing w:before="40" w:after="80"/>
              <w:rPr>
                <w:rFonts w:ascii="Arial Narrow" w:hAnsi="Arial Narrow"/>
              </w:rPr>
            </w:pPr>
            <w:r w:rsidRPr="008B2F8A">
              <w:rPr>
                <w:rFonts w:ascii="Arial Narrow" w:hAnsi="Arial Narrow"/>
              </w:rPr>
              <w:t>Mammography: €10,100/QALY</w:t>
            </w:r>
          </w:p>
          <w:p w14:paraId="0381E43D" w14:textId="1ABF5DE3" w:rsidR="00E47AB8" w:rsidRPr="008B2F8A" w:rsidRDefault="00E47AB8" w:rsidP="00422306">
            <w:pPr>
              <w:spacing w:before="40" w:after="80"/>
              <w:rPr>
                <w:rFonts w:ascii="Arial Narrow" w:hAnsi="Arial Narrow"/>
              </w:rPr>
            </w:pPr>
            <w:r w:rsidRPr="008B2F8A">
              <w:rPr>
                <w:rFonts w:ascii="Arial Narrow" w:hAnsi="Arial Narrow"/>
              </w:rPr>
              <w:t>MRI: dominated</w:t>
            </w:r>
          </w:p>
          <w:p w14:paraId="291DAE8F" w14:textId="77777777" w:rsidR="00E47AB8" w:rsidRPr="008B2F8A" w:rsidRDefault="00E47AB8" w:rsidP="00422306">
            <w:pPr>
              <w:spacing w:before="40" w:after="80"/>
              <w:rPr>
                <w:rFonts w:ascii="Arial Narrow" w:hAnsi="Arial Narrow"/>
              </w:rPr>
            </w:pPr>
            <w:r w:rsidRPr="008B2F8A">
              <w:rPr>
                <w:rFonts w:ascii="Arial Narrow" w:hAnsi="Arial Narrow"/>
              </w:rPr>
              <w:t>MRI​+​mammography: €26,200/QALY</w:t>
            </w:r>
          </w:p>
        </w:tc>
      </w:tr>
      <w:tr w:rsidR="00E47AB8" w:rsidRPr="008B2F8A" w14:paraId="0A7E7FE4" w14:textId="77777777" w:rsidTr="00422306">
        <w:trPr>
          <w:cantSplit/>
        </w:trPr>
        <w:tc>
          <w:tcPr>
            <w:tcW w:w="1363" w:type="dxa"/>
          </w:tcPr>
          <w:p w14:paraId="102EC898" w14:textId="77777777" w:rsidR="00E47AB8" w:rsidRPr="008B2F8A" w:rsidRDefault="00E47AB8" w:rsidP="00422306">
            <w:pPr>
              <w:spacing w:before="40" w:after="80"/>
              <w:rPr>
                <w:rFonts w:ascii="Arial Narrow" w:hAnsi="Arial Narrow"/>
              </w:rPr>
            </w:pPr>
            <w:bookmarkStart w:id="997" w:name="OLE_LINK133"/>
            <w:bookmarkStart w:id="998" w:name="OLE_LINK134"/>
            <w:r w:rsidRPr="008B2F8A">
              <w:rPr>
                <w:rFonts w:ascii="Arial Narrow" w:hAnsi="Arial Narrow"/>
              </w:rPr>
              <w:lastRenderedPageBreak/>
              <w:t xml:space="preserve">Pataky </w:t>
            </w:r>
            <w:bookmarkEnd w:id="997"/>
            <w:bookmarkEnd w:id="998"/>
            <w:r w:rsidRPr="008B2F8A">
              <w:rPr>
                <w:rFonts w:ascii="Arial Narrow" w:hAnsi="Arial Narrow"/>
              </w:rPr>
              <w:t>et al, 2013</w:t>
            </w:r>
          </w:p>
        </w:tc>
        <w:tc>
          <w:tcPr>
            <w:tcW w:w="1053" w:type="dxa"/>
          </w:tcPr>
          <w:p w14:paraId="6DD225B0" w14:textId="77777777" w:rsidR="00E47AB8" w:rsidRPr="008B2F8A" w:rsidRDefault="00E47AB8" w:rsidP="00422306">
            <w:pPr>
              <w:spacing w:before="40" w:after="80"/>
              <w:rPr>
                <w:rFonts w:ascii="Arial Narrow" w:hAnsi="Arial Narrow"/>
              </w:rPr>
            </w:pPr>
            <w:r w:rsidRPr="008B2F8A">
              <w:rPr>
                <w:rFonts w:ascii="Arial Narrow" w:hAnsi="Arial Narrow"/>
              </w:rPr>
              <w:t>Canada</w:t>
            </w:r>
          </w:p>
        </w:tc>
        <w:tc>
          <w:tcPr>
            <w:tcW w:w="1262" w:type="dxa"/>
          </w:tcPr>
          <w:p w14:paraId="31FCD32A" w14:textId="77777777" w:rsidR="00E47AB8" w:rsidRPr="008B2F8A" w:rsidRDefault="00E47AB8" w:rsidP="00422306">
            <w:pPr>
              <w:spacing w:before="40" w:after="80"/>
              <w:rPr>
                <w:rFonts w:ascii="Arial Narrow" w:hAnsi="Arial Narrow"/>
              </w:rPr>
            </w:pPr>
            <w:r w:rsidRPr="0071000B">
              <w:rPr>
                <w:rFonts w:ascii="Arial Narrow" w:hAnsi="Arial Narrow"/>
                <w:i/>
              </w:rPr>
              <w:t>BRCA1</w:t>
            </w:r>
            <w:r w:rsidRPr="008B2F8A">
              <w:rPr>
                <w:rFonts w:ascii="Arial Narrow" w:hAnsi="Arial Narrow"/>
              </w:rPr>
              <w:t>/2</w:t>
            </w:r>
          </w:p>
        </w:tc>
        <w:tc>
          <w:tcPr>
            <w:tcW w:w="2087" w:type="dxa"/>
          </w:tcPr>
          <w:p w14:paraId="4B3DC068" w14:textId="77777777" w:rsidR="00E47AB8" w:rsidRPr="008B2F8A" w:rsidRDefault="00E47AB8" w:rsidP="00422306">
            <w:pPr>
              <w:spacing w:before="40" w:after="80"/>
              <w:rPr>
                <w:rFonts w:ascii="Arial Narrow" w:hAnsi="Arial Narrow"/>
              </w:rPr>
            </w:pPr>
            <w:r w:rsidRPr="008B2F8A">
              <w:rPr>
                <w:rFonts w:ascii="Arial Narrow" w:hAnsi="Arial Narrow"/>
              </w:rPr>
              <w:t>Mammography vs</w:t>
            </w:r>
          </w:p>
          <w:p w14:paraId="1B0B40EE" w14:textId="77777777" w:rsidR="00E47AB8" w:rsidRPr="008B2F8A" w:rsidRDefault="00E47AB8" w:rsidP="00422306">
            <w:pPr>
              <w:spacing w:before="40" w:after="80"/>
              <w:rPr>
                <w:rFonts w:ascii="Arial Narrow" w:hAnsi="Arial Narrow"/>
              </w:rPr>
            </w:pPr>
            <w:r w:rsidRPr="008B2F8A">
              <w:rPr>
                <w:rFonts w:ascii="Arial Narrow" w:hAnsi="Arial Narrow"/>
              </w:rPr>
              <w:t>Mammography ​+​ MRI</w:t>
            </w:r>
          </w:p>
        </w:tc>
        <w:tc>
          <w:tcPr>
            <w:tcW w:w="1806" w:type="dxa"/>
          </w:tcPr>
          <w:p w14:paraId="19C6BA90" w14:textId="77777777" w:rsidR="00E47AB8" w:rsidRPr="008B2F8A" w:rsidRDefault="00E47AB8" w:rsidP="00422306">
            <w:pPr>
              <w:spacing w:before="40" w:after="80"/>
              <w:rPr>
                <w:rFonts w:ascii="Arial Narrow" w:hAnsi="Arial Narrow"/>
              </w:rPr>
            </w:pPr>
            <w:r w:rsidRPr="008B2F8A">
              <w:rPr>
                <w:rFonts w:ascii="Arial Narrow" w:hAnsi="Arial Narrow"/>
              </w:rPr>
              <w:t>Markov model</w:t>
            </w:r>
          </w:p>
          <w:p w14:paraId="77EFE074" w14:textId="77777777" w:rsidR="00E47AB8" w:rsidRPr="008B2F8A" w:rsidRDefault="00E47AB8" w:rsidP="00422306">
            <w:pPr>
              <w:spacing w:before="40" w:after="80"/>
              <w:rPr>
                <w:rFonts w:ascii="Arial Narrow" w:hAnsi="Arial Narrow"/>
              </w:rPr>
            </w:pPr>
            <w:r w:rsidRPr="008B2F8A">
              <w:rPr>
                <w:rFonts w:ascii="Arial Narrow" w:hAnsi="Arial Narrow"/>
              </w:rPr>
              <w:t>Screening age: ≥25 years</w:t>
            </w:r>
          </w:p>
        </w:tc>
        <w:tc>
          <w:tcPr>
            <w:tcW w:w="1125" w:type="dxa"/>
          </w:tcPr>
          <w:p w14:paraId="4882C08B"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1398" w:type="dxa"/>
          </w:tcPr>
          <w:p w14:paraId="5B217ED1"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diagnostics and treatment</w:t>
            </w:r>
          </w:p>
        </w:tc>
        <w:tc>
          <w:tcPr>
            <w:tcW w:w="1403" w:type="dxa"/>
          </w:tcPr>
          <w:p w14:paraId="2F0B0E77" w14:textId="3A819399" w:rsidR="00E47AB8" w:rsidRPr="008B2F8A" w:rsidRDefault="00E47AB8" w:rsidP="00422306">
            <w:pPr>
              <w:spacing w:before="40" w:after="80"/>
              <w:rPr>
                <w:rFonts w:ascii="Arial Narrow" w:hAnsi="Arial Narrow"/>
              </w:rPr>
            </w:pPr>
            <w:r w:rsidRPr="008B2F8A">
              <w:rPr>
                <w:rFonts w:ascii="Arial Narrow" w:hAnsi="Arial Narrow"/>
              </w:rPr>
              <w:t>Limited on the basis of population</w:t>
            </w:r>
          </w:p>
        </w:tc>
        <w:tc>
          <w:tcPr>
            <w:tcW w:w="2677" w:type="dxa"/>
          </w:tcPr>
          <w:p w14:paraId="5636AC58" w14:textId="77777777" w:rsidR="00E47AB8" w:rsidRPr="008B2F8A" w:rsidRDefault="00E47AB8" w:rsidP="00422306">
            <w:pPr>
              <w:spacing w:before="40" w:after="80"/>
              <w:rPr>
                <w:rFonts w:ascii="Arial Narrow" w:hAnsi="Arial Narrow"/>
              </w:rPr>
            </w:pPr>
            <w:r w:rsidRPr="008B2F8A">
              <w:rPr>
                <w:rFonts w:ascii="Arial Narrow" w:hAnsi="Arial Narrow"/>
              </w:rPr>
              <w:t>$50,911/QALY</w:t>
            </w:r>
          </w:p>
        </w:tc>
      </w:tr>
      <w:tr w:rsidR="00E47AB8" w:rsidRPr="008B2F8A" w14:paraId="717A8CF2" w14:textId="77777777" w:rsidTr="00422306">
        <w:trPr>
          <w:cantSplit/>
        </w:trPr>
        <w:tc>
          <w:tcPr>
            <w:tcW w:w="1363" w:type="dxa"/>
          </w:tcPr>
          <w:p w14:paraId="31FD1217" w14:textId="77777777" w:rsidR="00E47AB8" w:rsidRPr="008B2F8A" w:rsidRDefault="00E47AB8" w:rsidP="00422306">
            <w:pPr>
              <w:spacing w:before="40" w:after="80"/>
              <w:rPr>
                <w:rFonts w:ascii="Arial Narrow" w:hAnsi="Arial Narrow"/>
              </w:rPr>
            </w:pPr>
            <w:r w:rsidRPr="008B2F8A">
              <w:rPr>
                <w:rFonts w:ascii="Arial Narrow" w:hAnsi="Arial Narrow"/>
              </w:rPr>
              <w:t>Plevritis et al, 2006</w:t>
            </w:r>
          </w:p>
        </w:tc>
        <w:tc>
          <w:tcPr>
            <w:tcW w:w="1053" w:type="dxa"/>
          </w:tcPr>
          <w:p w14:paraId="54ABC20A" w14:textId="77777777" w:rsidR="00E47AB8" w:rsidRPr="008B2F8A" w:rsidRDefault="00E47AB8" w:rsidP="00422306">
            <w:pPr>
              <w:spacing w:before="40" w:after="80"/>
              <w:rPr>
                <w:rFonts w:ascii="Arial Narrow" w:hAnsi="Arial Narrow"/>
              </w:rPr>
            </w:pPr>
            <w:r w:rsidRPr="008B2F8A">
              <w:rPr>
                <w:rFonts w:ascii="Arial Narrow" w:hAnsi="Arial Narrow"/>
              </w:rPr>
              <w:t>US</w:t>
            </w:r>
          </w:p>
        </w:tc>
        <w:tc>
          <w:tcPr>
            <w:tcW w:w="1262" w:type="dxa"/>
          </w:tcPr>
          <w:p w14:paraId="5C3FD0A0" w14:textId="77777777" w:rsidR="00E47AB8" w:rsidRPr="008B2F8A" w:rsidRDefault="00E47AB8" w:rsidP="00422306">
            <w:pPr>
              <w:spacing w:before="40" w:after="80"/>
              <w:rPr>
                <w:rFonts w:ascii="Arial Narrow" w:hAnsi="Arial Narrow"/>
              </w:rPr>
            </w:pPr>
            <w:r w:rsidRPr="0071000B">
              <w:rPr>
                <w:rFonts w:ascii="Arial Narrow" w:hAnsi="Arial Narrow"/>
                <w:i/>
              </w:rPr>
              <w:t>BRCA1</w:t>
            </w:r>
            <w:r w:rsidRPr="008B2F8A">
              <w:rPr>
                <w:rFonts w:ascii="Arial Narrow" w:hAnsi="Arial Narrow"/>
              </w:rPr>
              <w:t>/2</w:t>
            </w:r>
          </w:p>
        </w:tc>
        <w:tc>
          <w:tcPr>
            <w:tcW w:w="2087" w:type="dxa"/>
          </w:tcPr>
          <w:p w14:paraId="17335F8C" w14:textId="0D00B5E0" w:rsidR="00E47AB8" w:rsidRPr="008B2F8A" w:rsidRDefault="00E47AB8" w:rsidP="00422306">
            <w:pPr>
              <w:spacing w:before="40" w:after="80"/>
              <w:rPr>
                <w:rFonts w:ascii="Arial Narrow" w:hAnsi="Arial Narrow"/>
              </w:rPr>
            </w:pPr>
            <w:r w:rsidRPr="008B2F8A">
              <w:rPr>
                <w:rFonts w:ascii="Arial Narrow" w:hAnsi="Arial Narrow"/>
              </w:rPr>
              <w:t>No screening vs mammography and</w:t>
            </w:r>
          </w:p>
          <w:p w14:paraId="28E53409" w14:textId="77777777" w:rsidR="00E47AB8" w:rsidRPr="008B2F8A" w:rsidRDefault="00E47AB8" w:rsidP="00422306">
            <w:pPr>
              <w:spacing w:before="40" w:after="80"/>
              <w:rPr>
                <w:rFonts w:ascii="Arial Narrow" w:hAnsi="Arial Narrow"/>
              </w:rPr>
            </w:pPr>
            <w:r w:rsidRPr="008B2F8A">
              <w:rPr>
                <w:rFonts w:ascii="Arial Narrow" w:hAnsi="Arial Narrow"/>
              </w:rPr>
              <w:t>Mammography ​+​ MRI</w:t>
            </w:r>
          </w:p>
        </w:tc>
        <w:tc>
          <w:tcPr>
            <w:tcW w:w="1806" w:type="dxa"/>
          </w:tcPr>
          <w:p w14:paraId="7C09FD41" w14:textId="77777777" w:rsidR="00E47AB8" w:rsidRPr="008B2F8A" w:rsidRDefault="00E47AB8" w:rsidP="00422306">
            <w:pPr>
              <w:spacing w:before="40" w:after="80"/>
              <w:rPr>
                <w:rFonts w:ascii="Arial Narrow" w:hAnsi="Arial Narrow"/>
              </w:rPr>
            </w:pPr>
            <w:r w:rsidRPr="008B2F8A">
              <w:rPr>
                <w:rFonts w:ascii="Arial Narrow" w:hAnsi="Arial Narrow"/>
              </w:rPr>
              <w:t>Continuous-time Monte Carlo simulation</w:t>
            </w:r>
          </w:p>
          <w:p w14:paraId="2645AB77" w14:textId="77777777" w:rsidR="00E47AB8" w:rsidRPr="008B2F8A" w:rsidRDefault="00E47AB8" w:rsidP="00422306">
            <w:pPr>
              <w:spacing w:before="40" w:after="80"/>
              <w:rPr>
                <w:rFonts w:ascii="Arial Narrow" w:hAnsi="Arial Narrow"/>
              </w:rPr>
            </w:pPr>
            <w:r w:rsidRPr="008B2F8A">
              <w:rPr>
                <w:rFonts w:ascii="Arial Narrow" w:hAnsi="Arial Narrow"/>
              </w:rPr>
              <w:t>Model</w:t>
            </w:r>
          </w:p>
          <w:p w14:paraId="59CFA9A7" w14:textId="77777777" w:rsidR="00E47AB8" w:rsidRPr="008B2F8A" w:rsidRDefault="00E47AB8" w:rsidP="00422306">
            <w:pPr>
              <w:spacing w:before="40" w:after="80"/>
              <w:rPr>
                <w:rFonts w:ascii="Arial Narrow" w:hAnsi="Arial Narrow"/>
              </w:rPr>
            </w:pPr>
            <w:r w:rsidRPr="008B2F8A">
              <w:rPr>
                <w:rFonts w:ascii="Arial Narrow" w:hAnsi="Arial Narrow"/>
              </w:rPr>
              <w:t>Screening age: 25–69 years</w:t>
            </w:r>
          </w:p>
        </w:tc>
        <w:tc>
          <w:tcPr>
            <w:tcW w:w="1125" w:type="dxa"/>
          </w:tcPr>
          <w:p w14:paraId="0EAC5911"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1398" w:type="dxa"/>
          </w:tcPr>
          <w:p w14:paraId="04E19C26"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diagnostics and treatment</w:t>
            </w:r>
          </w:p>
        </w:tc>
        <w:tc>
          <w:tcPr>
            <w:tcW w:w="1403" w:type="dxa"/>
          </w:tcPr>
          <w:p w14:paraId="5E300F68" w14:textId="6F4E0ACB" w:rsidR="00E47AB8" w:rsidRPr="008B2F8A" w:rsidRDefault="00E47AB8" w:rsidP="00422306">
            <w:pPr>
              <w:spacing w:before="40" w:after="80"/>
              <w:rPr>
                <w:rFonts w:ascii="Arial Narrow" w:hAnsi="Arial Narrow"/>
              </w:rPr>
            </w:pPr>
            <w:r w:rsidRPr="008B2F8A">
              <w:rPr>
                <w:rFonts w:ascii="Arial Narrow" w:hAnsi="Arial Narrow"/>
              </w:rPr>
              <w:t>Limited on the basis of population</w:t>
            </w:r>
          </w:p>
        </w:tc>
        <w:tc>
          <w:tcPr>
            <w:tcW w:w="2677" w:type="dxa"/>
          </w:tcPr>
          <w:p w14:paraId="74CBEC0F" w14:textId="77777777" w:rsidR="00E47AB8" w:rsidRPr="008B2F8A" w:rsidRDefault="00E47AB8" w:rsidP="00422306">
            <w:pPr>
              <w:spacing w:before="40" w:after="80"/>
              <w:rPr>
                <w:rFonts w:ascii="Arial Narrow" w:hAnsi="Arial Narrow"/>
                <w:u w:val="single"/>
              </w:rPr>
            </w:pPr>
            <w:r w:rsidRPr="0071000B">
              <w:rPr>
                <w:rFonts w:ascii="Arial Narrow" w:hAnsi="Arial Narrow"/>
                <w:i/>
                <w:u w:val="single"/>
              </w:rPr>
              <w:t>BRCA1</w:t>
            </w:r>
          </w:p>
          <w:p w14:paraId="4E2BEF23" w14:textId="20010555" w:rsidR="00E47AB8" w:rsidRPr="008B2F8A" w:rsidRDefault="00E47AB8" w:rsidP="00422306">
            <w:pPr>
              <w:spacing w:before="40" w:after="80"/>
              <w:rPr>
                <w:rFonts w:ascii="Arial Narrow" w:hAnsi="Arial Narrow"/>
              </w:rPr>
            </w:pPr>
            <w:r w:rsidRPr="008B2F8A">
              <w:rPr>
                <w:rFonts w:ascii="Arial Narrow" w:hAnsi="Arial Narrow"/>
              </w:rPr>
              <w:t>Mammography</w:t>
            </w:r>
            <w:r>
              <w:rPr>
                <w:rFonts w:ascii="Arial Narrow" w:hAnsi="Arial Narrow"/>
              </w:rPr>
              <w:t xml:space="preserve"> </w:t>
            </w:r>
            <w:r w:rsidRPr="008B2F8A">
              <w:rPr>
                <w:rFonts w:ascii="Arial Narrow" w:hAnsi="Arial Narrow"/>
              </w:rPr>
              <w:t>$18,952/QALY</w:t>
            </w:r>
          </w:p>
          <w:p w14:paraId="0681FCF1" w14:textId="77777777" w:rsidR="00E47AB8" w:rsidRPr="008B2F8A" w:rsidRDefault="00E47AB8" w:rsidP="00422306">
            <w:pPr>
              <w:spacing w:before="40" w:after="80"/>
              <w:rPr>
                <w:rFonts w:ascii="Arial Narrow" w:hAnsi="Arial Narrow"/>
              </w:rPr>
            </w:pPr>
            <w:r w:rsidRPr="008B2F8A">
              <w:rPr>
                <w:rFonts w:ascii="Arial Narrow" w:hAnsi="Arial Narrow"/>
              </w:rPr>
              <w:t>MRI​+​mammography 35–49: $71</w:t>
            </w:r>
            <w:r>
              <w:rPr>
                <w:rFonts w:ascii="Arial Narrow" w:hAnsi="Arial Narrow"/>
              </w:rPr>
              <w:t>,</w:t>
            </w:r>
            <w:r w:rsidRPr="008B2F8A">
              <w:rPr>
                <w:rFonts w:ascii="Arial Narrow" w:hAnsi="Arial Narrow"/>
              </w:rPr>
              <w:t>401/QALY</w:t>
            </w:r>
          </w:p>
          <w:p w14:paraId="43D15A41" w14:textId="77777777" w:rsidR="00E47AB8" w:rsidRPr="008B2F8A" w:rsidRDefault="00E47AB8" w:rsidP="00422306">
            <w:pPr>
              <w:spacing w:before="40" w:after="80"/>
              <w:rPr>
                <w:rFonts w:ascii="Arial Narrow" w:hAnsi="Arial Narrow"/>
              </w:rPr>
            </w:pPr>
            <w:r w:rsidRPr="008B2F8A">
              <w:rPr>
                <w:rFonts w:ascii="Arial Narrow" w:hAnsi="Arial Narrow"/>
              </w:rPr>
              <w:t>MRI​+​mammography 25–69: $475,932/QALY</w:t>
            </w:r>
          </w:p>
          <w:p w14:paraId="51804C00" w14:textId="77777777" w:rsidR="00E47AB8" w:rsidRPr="008B2F8A" w:rsidRDefault="00E47AB8" w:rsidP="00422306">
            <w:pPr>
              <w:spacing w:before="40" w:after="80"/>
              <w:rPr>
                <w:rFonts w:ascii="Arial Narrow" w:hAnsi="Arial Narrow"/>
                <w:u w:val="single"/>
              </w:rPr>
            </w:pPr>
            <w:r w:rsidRPr="0071000B">
              <w:rPr>
                <w:rFonts w:ascii="Arial Narrow" w:hAnsi="Arial Narrow"/>
                <w:i/>
                <w:u w:val="single"/>
              </w:rPr>
              <w:t>BRCA2</w:t>
            </w:r>
          </w:p>
          <w:p w14:paraId="41F0746A" w14:textId="623663D2" w:rsidR="00E47AB8" w:rsidRPr="008B2F8A" w:rsidRDefault="00E47AB8" w:rsidP="00422306">
            <w:pPr>
              <w:spacing w:before="40" w:after="80"/>
              <w:rPr>
                <w:rFonts w:ascii="Arial Narrow" w:hAnsi="Arial Narrow"/>
              </w:rPr>
            </w:pPr>
            <w:r w:rsidRPr="008B2F8A">
              <w:rPr>
                <w:rFonts w:ascii="Arial Narrow" w:hAnsi="Arial Narrow"/>
              </w:rPr>
              <w:t>Mammography</w:t>
            </w:r>
            <w:r>
              <w:rPr>
                <w:rFonts w:ascii="Arial Narrow" w:hAnsi="Arial Narrow"/>
              </w:rPr>
              <w:t xml:space="preserve"> </w:t>
            </w:r>
            <w:r w:rsidRPr="008B2F8A">
              <w:rPr>
                <w:rFonts w:ascii="Arial Narrow" w:hAnsi="Arial Narrow"/>
              </w:rPr>
              <w:t>$28421/QALY</w:t>
            </w:r>
          </w:p>
          <w:p w14:paraId="40AEED3C" w14:textId="77777777" w:rsidR="00E47AB8" w:rsidRPr="008B2F8A" w:rsidRDefault="00E47AB8" w:rsidP="00422306">
            <w:pPr>
              <w:spacing w:before="40" w:after="80"/>
              <w:rPr>
                <w:rFonts w:ascii="Arial Narrow" w:hAnsi="Arial Narrow"/>
              </w:rPr>
            </w:pPr>
            <w:r w:rsidRPr="008B2F8A">
              <w:rPr>
                <w:rFonts w:ascii="Arial Narrow" w:hAnsi="Arial Narrow"/>
              </w:rPr>
              <w:t>MRI​+​mammography 35–54: $158,839/QALY</w:t>
            </w:r>
          </w:p>
          <w:p w14:paraId="11CFF1C3" w14:textId="77777777" w:rsidR="00E47AB8" w:rsidRPr="008B2F8A" w:rsidRDefault="00E47AB8" w:rsidP="00422306">
            <w:pPr>
              <w:spacing w:before="40" w:after="80"/>
              <w:rPr>
                <w:rFonts w:ascii="Arial Narrow" w:hAnsi="Arial Narrow"/>
                <w:u w:val="single"/>
              </w:rPr>
            </w:pPr>
            <w:r w:rsidRPr="008B2F8A">
              <w:rPr>
                <w:rFonts w:ascii="Arial Narrow" w:hAnsi="Arial Narrow"/>
              </w:rPr>
              <w:t>MRI​+​mammography 25–69: $731,553/QALY</w:t>
            </w:r>
          </w:p>
        </w:tc>
      </w:tr>
      <w:tr w:rsidR="00E47AB8" w:rsidRPr="008B2F8A" w14:paraId="6BBCEB5D" w14:textId="77777777" w:rsidTr="00422306">
        <w:trPr>
          <w:cantSplit/>
        </w:trPr>
        <w:tc>
          <w:tcPr>
            <w:tcW w:w="1363" w:type="dxa"/>
          </w:tcPr>
          <w:p w14:paraId="057E0838"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Saadatmand et al, 2013</w:t>
            </w:r>
          </w:p>
        </w:tc>
        <w:tc>
          <w:tcPr>
            <w:tcW w:w="1053" w:type="dxa"/>
          </w:tcPr>
          <w:p w14:paraId="4F0DF9D3" w14:textId="77777777" w:rsidR="00E47AB8" w:rsidRPr="008B2F8A" w:rsidRDefault="00E47AB8" w:rsidP="00422306">
            <w:pPr>
              <w:spacing w:before="40" w:after="80"/>
              <w:rPr>
                <w:rFonts w:ascii="Arial Narrow" w:hAnsi="Arial Narrow"/>
              </w:rPr>
            </w:pPr>
            <w:r w:rsidRPr="008B2F8A">
              <w:rPr>
                <w:rFonts w:ascii="Arial Narrow" w:hAnsi="Arial Narrow"/>
              </w:rPr>
              <w:t>Netherlands</w:t>
            </w:r>
          </w:p>
        </w:tc>
        <w:tc>
          <w:tcPr>
            <w:tcW w:w="1262" w:type="dxa"/>
          </w:tcPr>
          <w:p w14:paraId="6635F74E" w14:textId="77777777" w:rsidR="00E47AB8" w:rsidRPr="008B2F8A" w:rsidRDefault="00E47AB8" w:rsidP="00422306">
            <w:pPr>
              <w:spacing w:before="40" w:after="80"/>
              <w:rPr>
                <w:rFonts w:ascii="Arial Narrow" w:hAnsi="Arial Narrow"/>
              </w:rPr>
            </w:pPr>
            <w:r w:rsidRPr="008B2F8A">
              <w:rPr>
                <w:rFonts w:ascii="Arial Narrow" w:hAnsi="Arial Narrow"/>
              </w:rPr>
              <w:t>≥15% cumulative lifetime risk, based on genetic or familial risk</w:t>
            </w:r>
          </w:p>
          <w:p w14:paraId="3F5D5B81" w14:textId="77777777" w:rsidR="00E47AB8" w:rsidRPr="008B2F8A" w:rsidRDefault="00E47AB8" w:rsidP="00422306">
            <w:pPr>
              <w:spacing w:before="40" w:after="80"/>
              <w:rPr>
                <w:rFonts w:ascii="Arial Narrow" w:hAnsi="Arial Narrow"/>
              </w:rPr>
            </w:pPr>
            <w:r w:rsidRPr="008B2F8A">
              <w:rPr>
                <w:rFonts w:ascii="Arial Narrow" w:hAnsi="Arial Narrow"/>
              </w:rPr>
              <w:t>Based on MRISC study</w:t>
            </w:r>
          </w:p>
        </w:tc>
        <w:tc>
          <w:tcPr>
            <w:tcW w:w="2087" w:type="dxa"/>
          </w:tcPr>
          <w:p w14:paraId="4DAC599F" w14:textId="5BA0563D" w:rsidR="00E47AB8" w:rsidRPr="008B2F8A" w:rsidRDefault="00E47AB8" w:rsidP="00422306">
            <w:pPr>
              <w:spacing w:before="40" w:after="80"/>
              <w:rPr>
                <w:rFonts w:ascii="Arial Narrow" w:hAnsi="Arial Narrow"/>
              </w:rPr>
            </w:pPr>
            <w:r w:rsidRPr="008B2F8A">
              <w:rPr>
                <w:rFonts w:ascii="Arial Narrow" w:hAnsi="Arial Narrow"/>
              </w:rPr>
              <w:t>1) Yearly mammography</w:t>
            </w:r>
            <w:r>
              <w:rPr>
                <w:rFonts w:ascii="Arial Narrow" w:hAnsi="Arial Narrow"/>
              </w:rPr>
              <w:t xml:space="preserve"> </w:t>
            </w:r>
            <w:r w:rsidRPr="008B2F8A">
              <w:rPr>
                <w:rFonts w:ascii="Arial Narrow" w:hAnsi="Arial Narrow"/>
              </w:rPr>
              <w:t>combined with clinical examination</w:t>
            </w:r>
          </w:p>
          <w:p w14:paraId="0DAC7745" w14:textId="6CCE44BA" w:rsidR="00E47AB8" w:rsidRPr="008B2F8A" w:rsidRDefault="00E47AB8" w:rsidP="00422306">
            <w:pPr>
              <w:spacing w:before="40" w:after="80"/>
              <w:rPr>
                <w:rFonts w:ascii="Arial Narrow" w:hAnsi="Arial Narrow"/>
              </w:rPr>
            </w:pPr>
            <w:r w:rsidRPr="008B2F8A">
              <w:rPr>
                <w:rFonts w:ascii="Arial Narrow" w:hAnsi="Arial Narrow"/>
              </w:rPr>
              <w:t>2) Clinical examination every 6 months and</w:t>
            </w:r>
            <w:r>
              <w:rPr>
                <w:rFonts w:ascii="Arial Narrow" w:hAnsi="Arial Narrow"/>
              </w:rPr>
              <w:t xml:space="preserve"> </w:t>
            </w:r>
            <w:r w:rsidRPr="008B2F8A">
              <w:rPr>
                <w:rFonts w:ascii="Arial Narrow" w:hAnsi="Arial Narrow"/>
              </w:rPr>
              <w:t xml:space="preserve">yearly mammography </w:t>
            </w:r>
            <w:r>
              <w:rPr>
                <w:rFonts w:ascii="Arial Narrow" w:hAnsi="Arial Narrow"/>
              </w:rPr>
              <w:t>+</w:t>
            </w:r>
            <w:r w:rsidRPr="008B2F8A">
              <w:rPr>
                <w:rFonts w:ascii="Arial Narrow" w:hAnsi="Arial Narrow"/>
              </w:rPr>
              <w:t xml:space="preserve"> MRI (MRISC)</w:t>
            </w:r>
          </w:p>
          <w:p w14:paraId="2C6857AD" w14:textId="402F8337" w:rsidR="00E47AB8" w:rsidRPr="008B2F8A" w:rsidRDefault="00E47AB8" w:rsidP="00422306">
            <w:pPr>
              <w:spacing w:before="40" w:after="80"/>
              <w:rPr>
                <w:rFonts w:ascii="Arial Narrow" w:hAnsi="Arial Narrow"/>
              </w:rPr>
            </w:pPr>
            <w:r w:rsidRPr="008B2F8A">
              <w:rPr>
                <w:rFonts w:ascii="Arial Narrow" w:hAnsi="Arial Narrow"/>
              </w:rPr>
              <w:t xml:space="preserve">3) Yearly MRI, 6 months later mammography </w:t>
            </w:r>
            <w:r>
              <w:rPr>
                <w:rFonts w:ascii="Arial Narrow" w:hAnsi="Arial Narrow"/>
              </w:rPr>
              <w:t>+</w:t>
            </w:r>
            <w:r w:rsidRPr="008B2F8A">
              <w:rPr>
                <w:rFonts w:ascii="Arial Narrow" w:hAnsi="Arial Narrow"/>
              </w:rPr>
              <w:t xml:space="preserve"> clinical examination</w:t>
            </w:r>
          </w:p>
          <w:p w14:paraId="074FDF8E" w14:textId="47395780" w:rsidR="00E47AB8" w:rsidRPr="008B2F8A" w:rsidRDefault="00E47AB8" w:rsidP="00422306">
            <w:pPr>
              <w:spacing w:before="40" w:after="80"/>
              <w:rPr>
                <w:rFonts w:ascii="Arial Narrow" w:hAnsi="Arial Narrow"/>
              </w:rPr>
            </w:pPr>
            <w:r w:rsidRPr="008B2F8A">
              <w:rPr>
                <w:rFonts w:ascii="Arial Narrow" w:hAnsi="Arial Narrow"/>
              </w:rPr>
              <w:t xml:space="preserve">4) Yearly clinical examination </w:t>
            </w:r>
            <w:r>
              <w:rPr>
                <w:rFonts w:ascii="Arial Narrow" w:hAnsi="Arial Narrow"/>
              </w:rPr>
              <w:t>+</w:t>
            </w:r>
            <w:r w:rsidRPr="008B2F8A">
              <w:rPr>
                <w:rFonts w:ascii="Arial Narrow" w:hAnsi="Arial Narrow"/>
              </w:rPr>
              <w:t xml:space="preserve"> alternating mammography</w:t>
            </w:r>
            <w:r>
              <w:rPr>
                <w:rFonts w:ascii="Arial Narrow" w:hAnsi="Arial Narrow"/>
              </w:rPr>
              <w:t xml:space="preserve"> </w:t>
            </w:r>
            <w:r w:rsidRPr="008B2F8A">
              <w:rPr>
                <w:rFonts w:ascii="Arial Narrow" w:hAnsi="Arial Narrow"/>
              </w:rPr>
              <w:t>or MRI</w:t>
            </w:r>
          </w:p>
        </w:tc>
        <w:tc>
          <w:tcPr>
            <w:tcW w:w="1806" w:type="dxa"/>
          </w:tcPr>
          <w:p w14:paraId="1E400063" w14:textId="77777777" w:rsidR="00E47AB8" w:rsidRPr="008B2F8A" w:rsidRDefault="00E47AB8" w:rsidP="00422306">
            <w:pPr>
              <w:spacing w:before="40" w:after="80"/>
              <w:rPr>
                <w:rFonts w:ascii="Arial Narrow" w:hAnsi="Arial Narrow"/>
              </w:rPr>
            </w:pPr>
            <w:bookmarkStart w:id="999" w:name="OLE_LINK191"/>
            <w:bookmarkStart w:id="1000" w:name="OLE_LINK192"/>
            <w:bookmarkStart w:id="1001" w:name="OLE_LINK193"/>
            <w:r w:rsidRPr="008B2F8A">
              <w:rPr>
                <w:rFonts w:ascii="Arial Narrow" w:hAnsi="Arial Narrow"/>
              </w:rPr>
              <w:t>Microsimulation</w:t>
            </w:r>
            <w:bookmarkEnd w:id="999"/>
            <w:bookmarkEnd w:id="1000"/>
            <w:bookmarkEnd w:id="1001"/>
          </w:p>
          <w:p w14:paraId="185B997A" w14:textId="77777777" w:rsidR="00E47AB8" w:rsidRPr="008B2F8A" w:rsidRDefault="00E47AB8" w:rsidP="00422306">
            <w:pPr>
              <w:spacing w:before="40" w:after="80"/>
              <w:rPr>
                <w:rFonts w:ascii="Arial Narrow" w:hAnsi="Arial Narrow"/>
              </w:rPr>
            </w:pPr>
            <w:r w:rsidRPr="008B2F8A">
              <w:rPr>
                <w:rFonts w:ascii="Arial Narrow" w:hAnsi="Arial Narrow"/>
              </w:rPr>
              <w:t>Screening age: 35–50 and 35–60 years; plus biennial mammography to 75 years</w:t>
            </w:r>
          </w:p>
        </w:tc>
        <w:tc>
          <w:tcPr>
            <w:tcW w:w="1125" w:type="dxa"/>
          </w:tcPr>
          <w:p w14:paraId="0D1BAA0D" w14:textId="7DDE91A7" w:rsidR="00E47AB8" w:rsidRPr="008B2F8A" w:rsidRDefault="00E47AB8" w:rsidP="00422306">
            <w:pPr>
              <w:spacing w:before="40" w:after="80"/>
              <w:rPr>
                <w:rFonts w:ascii="Arial Narrow" w:hAnsi="Arial Narrow"/>
              </w:rPr>
            </w:pPr>
            <w:r w:rsidRPr="008B2F8A">
              <w:rPr>
                <w:rFonts w:ascii="Arial Narrow" w:hAnsi="Arial Narrow"/>
              </w:rPr>
              <w:t>Life years gained</w:t>
            </w:r>
          </w:p>
        </w:tc>
        <w:tc>
          <w:tcPr>
            <w:tcW w:w="1398" w:type="dxa"/>
          </w:tcPr>
          <w:p w14:paraId="79576832"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diagnostics and treatment</w:t>
            </w:r>
          </w:p>
        </w:tc>
        <w:tc>
          <w:tcPr>
            <w:tcW w:w="1403" w:type="dxa"/>
          </w:tcPr>
          <w:p w14:paraId="29453E33" w14:textId="5E86B0CC" w:rsidR="00E47AB8" w:rsidRPr="008B2F8A" w:rsidRDefault="00E47AB8" w:rsidP="00422306">
            <w:pPr>
              <w:spacing w:before="40" w:after="80"/>
              <w:rPr>
                <w:rFonts w:ascii="Arial Narrow" w:hAnsi="Arial Narrow"/>
              </w:rPr>
            </w:pPr>
            <w:r w:rsidRPr="008B2F8A">
              <w:rPr>
                <w:rFonts w:ascii="Arial Narrow" w:hAnsi="Arial Narrow"/>
              </w:rPr>
              <w:t>Limited on the basis of population and intervention</w:t>
            </w:r>
          </w:p>
        </w:tc>
        <w:tc>
          <w:tcPr>
            <w:tcW w:w="2677" w:type="dxa"/>
          </w:tcPr>
          <w:p w14:paraId="60700411" w14:textId="77777777" w:rsidR="00E47AB8" w:rsidRPr="008B2F8A" w:rsidRDefault="00E47AB8" w:rsidP="00422306">
            <w:pPr>
              <w:spacing w:before="40" w:after="80"/>
              <w:rPr>
                <w:rFonts w:ascii="Arial Narrow" w:hAnsi="Arial Narrow"/>
                <w:u w:val="single"/>
              </w:rPr>
            </w:pPr>
            <w:r w:rsidRPr="008B2F8A">
              <w:rPr>
                <w:rFonts w:ascii="Arial Narrow" w:hAnsi="Arial Narrow"/>
                <w:u w:val="single"/>
              </w:rPr>
              <w:t>Screening 33–50 years:</w:t>
            </w:r>
          </w:p>
          <w:p w14:paraId="4458DC56" w14:textId="77777777" w:rsidR="00E47AB8" w:rsidRPr="008B2F8A" w:rsidRDefault="00E47AB8" w:rsidP="00422306">
            <w:pPr>
              <w:spacing w:before="40" w:after="80"/>
              <w:rPr>
                <w:rFonts w:ascii="Arial Narrow" w:hAnsi="Arial Narrow"/>
              </w:rPr>
            </w:pPr>
            <w:r w:rsidRPr="008B2F8A">
              <w:rPr>
                <w:rFonts w:ascii="Arial Narrow" w:hAnsi="Arial Narrow"/>
              </w:rPr>
              <w:t>1) $54,665/LYG</w:t>
            </w:r>
          </w:p>
          <w:p w14:paraId="2009B91E" w14:textId="77777777" w:rsidR="00E47AB8" w:rsidRPr="008B2F8A" w:rsidRDefault="00E47AB8" w:rsidP="00422306">
            <w:pPr>
              <w:spacing w:before="40" w:after="80"/>
              <w:rPr>
                <w:rFonts w:ascii="Arial Narrow" w:hAnsi="Arial Narrow"/>
              </w:rPr>
            </w:pPr>
            <w:r w:rsidRPr="008B2F8A">
              <w:rPr>
                <w:rFonts w:ascii="Arial Narrow" w:hAnsi="Arial Narrow"/>
              </w:rPr>
              <w:t>2) $212,183/LYG</w:t>
            </w:r>
          </w:p>
          <w:p w14:paraId="300F80A0" w14:textId="77777777" w:rsidR="00E47AB8" w:rsidRPr="008B2F8A" w:rsidRDefault="00E47AB8" w:rsidP="00422306">
            <w:pPr>
              <w:spacing w:before="40" w:after="80"/>
              <w:rPr>
                <w:rFonts w:ascii="Arial Narrow" w:hAnsi="Arial Narrow"/>
              </w:rPr>
            </w:pPr>
            <w:r w:rsidRPr="008B2F8A">
              <w:rPr>
                <w:rFonts w:ascii="Arial Narrow" w:hAnsi="Arial Narrow"/>
              </w:rPr>
              <w:t>3) $338,743/LYG</w:t>
            </w:r>
          </w:p>
          <w:p w14:paraId="5DC653F6" w14:textId="77777777" w:rsidR="00E47AB8" w:rsidRPr="008B2F8A" w:rsidRDefault="00E47AB8" w:rsidP="00422306">
            <w:pPr>
              <w:spacing w:before="40" w:after="80"/>
              <w:rPr>
                <w:rFonts w:ascii="Arial Narrow" w:hAnsi="Arial Narrow"/>
              </w:rPr>
            </w:pPr>
            <w:r w:rsidRPr="008B2F8A">
              <w:rPr>
                <w:rFonts w:ascii="Arial Narrow" w:hAnsi="Arial Narrow"/>
              </w:rPr>
              <w:t>4) Dominated</w:t>
            </w:r>
          </w:p>
          <w:p w14:paraId="1C8FFC68" w14:textId="2A4D15BC" w:rsidR="00E47AB8" w:rsidRPr="008B2F8A" w:rsidRDefault="00E47AB8" w:rsidP="00422306">
            <w:pPr>
              <w:spacing w:before="40" w:after="80"/>
              <w:rPr>
                <w:rFonts w:ascii="Arial Narrow" w:hAnsi="Arial Narrow"/>
                <w:u w:val="single"/>
              </w:rPr>
            </w:pPr>
            <w:r w:rsidRPr="008B2F8A">
              <w:rPr>
                <w:rFonts w:ascii="Arial Narrow" w:hAnsi="Arial Narrow"/>
                <w:u w:val="single"/>
              </w:rPr>
              <w:t xml:space="preserve">Screening </w:t>
            </w:r>
            <w:r w:rsidRPr="00EA377B">
              <w:rPr>
                <w:rFonts w:ascii="Arial Narrow" w:hAnsi="Arial Narrow"/>
                <w:u w:val="single"/>
              </w:rPr>
              <w:t>33–</w:t>
            </w:r>
            <w:r w:rsidR="00EA377B" w:rsidRPr="00EA377B">
              <w:rPr>
                <w:rFonts w:ascii="Arial Narrow" w:hAnsi="Arial Narrow"/>
                <w:u w:val="single"/>
              </w:rPr>
              <w:t>6</w:t>
            </w:r>
            <w:r w:rsidRPr="00EA377B">
              <w:rPr>
                <w:rFonts w:ascii="Arial Narrow" w:hAnsi="Arial Narrow"/>
                <w:u w:val="single"/>
              </w:rPr>
              <w:t>0 years</w:t>
            </w:r>
            <w:r w:rsidRPr="008B2F8A">
              <w:rPr>
                <w:rFonts w:ascii="Arial Narrow" w:hAnsi="Arial Narrow"/>
                <w:u w:val="single"/>
              </w:rPr>
              <w:t>:</w:t>
            </w:r>
          </w:p>
          <w:p w14:paraId="5AD2D4CE" w14:textId="77777777" w:rsidR="00E47AB8" w:rsidRPr="008B2F8A" w:rsidRDefault="00E47AB8" w:rsidP="00422306">
            <w:pPr>
              <w:spacing w:before="40" w:after="80"/>
              <w:rPr>
                <w:rFonts w:ascii="Arial Narrow" w:hAnsi="Arial Narrow"/>
              </w:rPr>
            </w:pPr>
            <w:r w:rsidRPr="008B2F8A">
              <w:rPr>
                <w:rFonts w:ascii="Arial Narrow" w:hAnsi="Arial Narrow"/>
              </w:rPr>
              <w:t>1) $63,316/LYG</w:t>
            </w:r>
          </w:p>
          <w:p w14:paraId="653AD76C" w14:textId="77777777" w:rsidR="00E47AB8" w:rsidRPr="008B2F8A" w:rsidRDefault="00E47AB8" w:rsidP="00422306">
            <w:pPr>
              <w:spacing w:before="40" w:after="80"/>
              <w:rPr>
                <w:rFonts w:ascii="Arial Narrow" w:hAnsi="Arial Narrow"/>
              </w:rPr>
            </w:pPr>
            <w:r w:rsidRPr="008B2F8A">
              <w:rPr>
                <w:rFonts w:ascii="Arial Narrow" w:hAnsi="Arial Narrow"/>
              </w:rPr>
              <w:t>2) $268,399/LYG</w:t>
            </w:r>
          </w:p>
          <w:p w14:paraId="1D673C5A" w14:textId="77777777" w:rsidR="00E47AB8" w:rsidRPr="008B2F8A" w:rsidRDefault="00E47AB8" w:rsidP="00422306">
            <w:pPr>
              <w:spacing w:before="40" w:after="80"/>
              <w:rPr>
                <w:rFonts w:ascii="Arial Narrow" w:hAnsi="Arial Narrow"/>
              </w:rPr>
            </w:pPr>
            <w:r w:rsidRPr="008B2F8A">
              <w:rPr>
                <w:rFonts w:ascii="Arial Narrow" w:hAnsi="Arial Narrow"/>
              </w:rPr>
              <w:t>3) $363,357/LYG</w:t>
            </w:r>
          </w:p>
          <w:p w14:paraId="1C8314AD" w14:textId="77777777" w:rsidR="00E47AB8" w:rsidRPr="008B2F8A" w:rsidRDefault="00E47AB8" w:rsidP="00422306">
            <w:pPr>
              <w:spacing w:before="40" w:after="80"/>
              <w:rPr>
                <w:rFonts w:ascii="Arial Narrow" w:hAnsi="Arial Narrow"/>
                <w:u w:val="single"/>
              </w:rPr>
            </w:pPr>
            <w:r w:rsidRPr="008B2F8A">
              <w:rPr>
                <w:rFonts w:ascii="Arial Narrow" w:hAnsi="Arial Narrow"/>
              </w:rPr>
              <w:t>4) Dominated</w:t>
            </w:r>
          </w:p>
        </w:tc>
      </w:tr>
      <w:tr w:rsidR="00E47AB8" w:rsidRPr="008B2F8A" w14:paraId="60A23A42" w14:textId="77777777" w:rsidTr="00422306">
        <w:trPr>
          <w:cantSplit/>
        </w:trPr>
        <w:tc>
          <w:tcPr>
            <w:tcW w:w="1363" w:type="dxa"/>
          </w:tcPr>
          <w:p w14:paraId="499E49AB" w14:textId="77777777" w:rsidR="00E47AB8" w:rsidRPr="008B2F8A" w:rsidRDefault="00E47AB8" w:rsidP="00422306">
            <w:pPr>
              <w:spacing w:before="40" w:after="80"/>
              <w:rPr>
                <w:rFonts w:ascii="Arial Narrow" w:hAnsi="Arial Narrow"/>
              </w:rPr>
            </w:pPr>
            <w:r w:rsidRPr="008B2F8A">
              <w:rPr>
                <w:rFonts w:ascii="Arial Narrow" w:hAnsi="Arial Narrow"/>
              </w:rPr>
              <w:t>Taneja et al, 2009</w:t>
            </w:r>
          </w:p>
        </w:tc>
        <w:tc>
          <w:tcPr>
            <w:tcW w:w="1053" w:type="dxa"/>
          </w:tcPr>
          <w:p w14:paraId="587CFAC3" w14:textId="77777777" w:rsidR="00E47AB8" w:rsidRPr="008B2F8A" w:rsidRDefault="00E47AB8" w:rsidP="00422306">
            <w:pPr>
              <w:spacing w:before="40" w:after="80"/>
              <w:rPr>
                <w:rFonts w:ascii="Arial Narrow" w:hAnsi="Arial Narrow"/>
              </w:rPr>
            </w:pPr>
            <w:r w:rsidRPr="008B2F8A">
              <w:rPr>
                <w:rFonts w:ascii="Arial Narrow" w:hAnsi="Arial Narrow"/>
              </w:rPr>
              <w:t>US</w:t>
            </w:r>
          </w:p>
        </w:tc>
        <w:tc>
          <w:tcPr>
            <w:tcW w:w="1262" w:type="dxa"/>
          </w:tcPr>
          <w:p w14:paraId="4DACFC48" w14:textId="703968FC" w:rsidR="00E47AB8" w:rsidRPr="008B2F8A" w:rsidRDefault="00E47AB8" w:rsidP="00422306">
            <w:pPr>
              <w:spacing w:before="40" w:after="80"/>
              <w:rPr>
                <w:rFonts w:ascii="Arial Narrow" w:hAnsi="Arial Narrow"/>
              </w:rPr>
            </w:pPr>
            <w:r w:rsidRPr="0071000B">
              <w:rPr>
                <w:rFonts w:ascii="Arial Narrow" w:hAnsi="Arial Narrow"/>
                <w:i/>
              </w:rPr>
              <w:t>BRCA1/2</w:t>
            </w:r>
            <w:r w:rsidRPr="008B2F8A">
              <w:rPr>
                <w:rFonts w:ascii="Arial Narrow" w:hAnsi="Arial Narrow"/>
              </w:rPr>
              <w:t xml:space="preserve"> and ≥20% cumulative lifetime risk</w:t>
            </w:r>
          </w:p>
        </w:tc>
        <w:tc>
          <w:tcPr>
            <w:tcW w:w="2087" w:type="dxa"/>
          </w:tcPr>
          <w:p w14:paraId="00573026" w14:textId="77777777" w:rsidR="00E47AB8" w:rsidRPr="008B2F8A" w:rsidRDefault="00E47AB8" w:rsidP="00422306">
            <w:pPr>
              <w:spacing w:before="40" w:after="80"/>
              <w:rPr>
                <w:rFonts w:ascii="Arial Narrow" w:hAnsi="Arial Narrow"/>
              </w:rPr>
            </w:pPr>
            <w:r w:rsidRPr="008B2F8A">
              <w:rPr>
                <w:rFonts w:ascii="Arial Narrow" w:hAnsi="Arial Narrow"/>
              </w:rPr>
              <w:t>Mammography vs</w:t>
            </w:r>
          </w:p>
          <w:p w14:paraId="2BDEDB0D" w14:textId="77777777" w:rsidR="00E47AB8" w:rsidRPr="008B2F8A" w:rsidRDefault="00E47AB8" w:rsidP="00422306">
            <w:pPr>
              <w:spacing w:before="40" w:after="80"/>
              <w:rPr>
                <w:rFonts w:ascii="Arial Narrow" w:hAnsi="Arial Narrow"/>
              </w:rPr>
            </w:pPr>
            <w:r w:rsidRPr="008B2F8A">
              <w:rPr>
                <w:rFonts w:ascii="Arial Narrow" w:hAnsi="Arial Narrow"/>
              </w:rPr>
              <w:t>MRI (alone)</w:t>
            </w:r>
          </w:p>
          <w:p w14:paraId="1F8652E0" w14:textId="77777777" w:rsidR="00E47AB8" w:rsidRPr="008B2F8A" w:rsidRDefault="00E47AB8" w:rsidP="00422306">
            <w:pPr>
              <w:spacing w:before="40" w:after="80"/>
              <w:rPr>
                <w:rFonts w:ascii="Arial Narrow" w:hAnsi="Arial Narrow"/>
              </w:rPr>
            </w:pPr>
            <w:r w:rsidRPr="008B2F8A">
              <w:rPr>
                <w:rFonts w:ascii="Arial Narrow" w:hAnsi="Arial Narrow"/>
              </w:rPr>
              <w:t>Mammography ​+​ MRI</w:t>
            </w:r>
          </w:p>
        </w:tc>
        <w:tc>
          <w:tcPr>
            <w:tcW w:w="1806" w:type="dxa"/>
          </w:tcPr>
          <w:p w14:paraId="7F26125E" w14:textId="77777777" w:rsidR="00E47AB8" w:rsidRPr="008B2F8A" w:rsidRDefault="00E47AB8" w:rsidP="00422306">
            <w:pPr>
              <w:spacing w:before="40" w:after="80"/>
              <w:rPr>
                <w:rFonts w:ascii="Arial Narrow" w:hAnsi="Arial Narrow"/>
              </w:rPr>
            </w:pPr>
            <w:r w:rsidRPr="008B2F8A">
              <w:rPr>
                <w:rFonts w:ascii="Arial Narrow" w:hAnsi="Arial Narrow"/>
              </w:rPr>
              <w:t>Decision-analytic model</w:t>
            </w:r>
          </w:p>
          <w:p w14:paraId="729BACC9" w14:textId="77777777" w:rsidR="00E47AB8" w:rsidRPr="008B2F8A" w:rsidRDefault="00E47AB8" w:rsidP="00422306">
            <w:pPr>
              <w:spacing w:before="40" w:after="80"/>
              <w:rPr>
                <w:rFonts w:ascii="Arial Narrow" w:hAnsi="Arial Narrow"/>
              </w:rPr>
            </w:pPr>
            <w:r w:rsidRPr="008B2F8A">
              <w:rPr>
                <w:rFonts w:ascii="Arial Narrow" w:hAnsi="Arial Narrow"/>
              </w:rPr>
              <w:t>Screening age: 40 years (1 screening event only)</w:t>
            </w:r>
          </w:p>
        </w:tc>
        <w:tc>
          <w:tcPr>
            <w:tcW w:w="1125" w:type="dxa"/>
          </w:tcPr>
          <w:p w14:paraId="594098F9"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1398" w:type="dxa"/>
          </w:tcPr>
          <w:p w14:paraId="1E396F56"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 evaluation and treatment</w:t>
            </w:r>
          </w:p>
        </w:tc>
        <w:tc>
          <w:tcPr>
            <w:tcW w:w="1403" w:type="dxa"/>
          </w:tcPr>
          <w:p w14:paraId="1C70F8C8" w14:textId="657D7472" w:rsidR="00E47AB8" w:rsidRPr="008B2F8A" w:rsidRDefault="00E47AB8" w:rsidP="00422306">
            <w:pPr>
              <w:spacing w:before="40" w:after="80"/>
              <w:rPr>
                <w:rFonts w:ascii="Arial Narrow" w:hAnsi="Arial Narrow"/>
              </w:rPr>
            </w:pPr>
            <w:r w:rsidRPr="008B2F8A">
              <w:rPr>
                <w:rFonts w:ascii="Arial Narrow" w:hAnsi="Arial Narrow"/>
              </w:rPr>
              <w:t>Limited on the basis of population (age)</w:t>
            </w:r>
          </w:p>
        </w:tc>
        <w:tc>
          <w:tcPr>
            <w:tcW w:w="2677" w:type="dxa"/>
          </w:tcPr>
          <w:p w14:paraId="3504CF86" w14:textId="77777777" w:rsidR="00E47AB8" w:rsidRPr="008B2F8A" w:rsidRDefault="00E47AB8" w:rsidP="00422306">
            <w:pPr>
              <w:spacing w:before="40" w:after="80"/>
              <w:rPr>
                <w:rFonts w:ascii="Arial Narrow" w:hAnsi="Arial Narrow"/>
                <w:u w:val="single"/>
              </w:rPr>
            </w:pPr>
            <w:r w:rsidRPr="0071000B">
              <w:rPr>
                <w:rFonts w:ascii="Arial Narrow" w:hAnsi="Arial Narrow"/>
                <w:i/>
                <w:u w:val="single"/>
              </w:rPr>
              <w:t>BRCA1</w:t>
            </w:r>
            <w:r w:rsidRPr="008B2F8A">
              <w:rPr>
                <w:rFonts w:ascii="Arial Narrow" w:hAnsi="Arial Narrow"/>
                <w:u w:val="single"/>
              </w:rPr>
              <w:t>/2</w:t>
            </w:r>
          </w:p>
          <w:p w14:paraId="149A0A5E" w14:textId="77777777" w:rsidR="00E47AB8" w:rsidRPr="008B2F8A" w:rsidRDefault="00E47AB8" w:rsidP="00422306">
            <w:pPr>
              <w:spacing w:before="40" w:after="80"/>
              <w:rPr>
                <w:rFonts w:ascii="Arial Narrow" w:hAnsi="Arial Narrow"/>
              </w:rPr>
            </w:pPr>
            <w:r w:rsidRPr="008B2F8A">
              <w:rPr>
                <w:rFonts w:ascii="Arial Narrow" w:hAnsi="Arial Narrow"/>
              </w:rPr>
              <w:t>MRI: dominated</w:t>
            </w:r>
          </w:p>
          <w:p w14:paraId="748C84F2" w14:textId="77777777" w:rsidR="00E47AB8" w:rsidRPr="008B2F8A" w:rsidRDefault="00E47AB8" w:rsidP="00422306">
            <w:pPr>
              <w:spacing w:before="40" w:after="80"/>
              <w:rPr>
                <w:rFonts w:ascii="Arial Narrow" w:hAnsi="Arial Narrow"/>
              </w:rPr>
            </w:pPr>
            <w:r w:rsidRPr="008B2F8A">
              <w:rPr>
                <w:rFonts w:ascii="Arial Narrow" w:hAnsi="Arial Narrow"/>
              </w:rPr>
              <w:t>MRI​+​mammography: €33,200/QALY</w:t>
            </w:r>
          </w:p>
          <w:p w14:paraId="4DD53F16" w14:textId="77777777" w:rsidR="00E47AB8" w:rsidRPr="008B2F8A" w:rsidRDefault="00E47AB8" w:rsidP="00422306">
            <w:pPr>
              <w:spacing w:before="40" w:after="80"/>
              <w:rPr>
                <w:rFonts w:ascii="Arial Narrow" w:hAnsi="Arial Narrow"/>
                <w:u w:val="single"/>
              </w:rPr>
            </w:pPr>
            <w:r w:rsidRPr="008B2F8A">
              <w:rPr>
                <w:rFonts w:ascii="Arial Narrow" w:hAnsi="Arial Narrow"/>
                <w:u w:val="single"/>
              </w:rPr>
              <w:t>≥20% risk</w:t>
            </w:r>
          </w:p>
          <w:p w14:paraId="08E1FC8C" w14:textId="77777777" w:rsidR="00E47AB8" w:rsidRPr="008B2F8A" w:rsidRDefault="00E47AB8" w:rsidP="00422306">
            <w:pPr>
              <w:spacing w:before="40" w:after="80"/>
              <w:rPr>
                <w:rFonts w:ascii="Arial Narrow" w:hAnsi="Arial Narrow"/>
              </w:rPr>
            </w:pPr>
            <w:r w:rsidRPr="008B2F8A">
              <w:rPr>
                <w:rFonts w:ascii="Arial Narrow" w:hAnsi="Arial Narrow"/>
              </w:rPr>
              <w:t>€59,900–€409,300/QALY</w:t>
            </w:r>
          </w:p>
        </w:tc>
      </w:tr>
    </w:tbl>
    <w:p w14:paraId="4AA1E70B" w14:textId="49A802B1" w:rsidR="00E47AB8" w:rsidRPr="008B2F8A" w:rsidRDefault="00E47AB8" w:rsidP="0071000B">
      <w:pPr>
        <w:pStyle w:val="TableNotesLast"/>
      </w:pPr>
      <w:r w:rsidRPr="0071000B">
        <w:rPr>
          <w:i/>
        </w:rPr>
        <w:t>BRCA1</w:t>
      </w:r>
      <w:r w:rsidRPr="008B2F8A">
        <w:t>/2 = breast cancer gene</w:t>
      </w:r>
      <w:r w:rsidRPr="008B2F8A" w:rsidDel="001E2760">
        <w:t xml:space="preserve"> </w:t>
      </w:r>
      <w:r w:rsidRPr="008B2F8A">
        <w:t xml:space="preserve">1/2; </w:t>
      </w:r>
      <w:bookmarkStart w:id="1002" w:name="OLE_LINK349"/>
      <w:bookmarkStart w:id="1003" w:name="OLE_LINK350"/>
      <w:r w:rsidRPr="0071000B">
        <w:rPr>
          <w:i/>
        </w:rPr>
        <w:t>TP53</w:t>
      </w:r>
      <w:r w:rsidRPr="008B2F8A">
        <w:t xml:space="preserve"> = tumour protein p53 gene; LYG </w:t>
      </w:r>
      <w:bookmarkEnd w:id="1002"/>
      <w:bookmarkEnd w:id="1003"/>
      <w:r w:rsidRPr="008B2F8A">
        <w:t>= life year gained; MRI = magnetic resonance imaging; QALY, quality adjusted life year.</w:t>
      </w:r>
    </w:p>
    <w:p w14:paraId="40296E82" w14:textId="77777777" w:rsidR="00E47AB8" w:rsidRPr="008B2F8A" w:rsidRDefault="00E47AB8" w:rsidP="00422306">
      <w:pPr>
        <w:keepNext/>
        <w:keepLines/>
        <w:spacing w:after="0"/>
        <w:rPr>
          <w:rFonts w:ascii="Arial Narrow" w:hAnsi="Arial Narrow"/>
          <w:sz w:val="16"/>
          <w:szCs w:val="18"/>
        </w:rPr>
        <w:sectPr w:rsidR="00E47AB8" w:rsidRPr="008B2F8A" w:rsidSect="00422306">
          <w:headerReference w:type="default" r:id="rId40"/>
          <w:footerReference w:type="default" r:id="rId41"/>
          <w:endnotePr>
            <w:numFmt w:val="decimal"/>
          </w:endnotePr>
          <w:pgSz w:w="16838" w:h="11906" w:orient="landscape"/>
          <w:pgMar w:top="1418" w:right="1418" w:bottom="1418" w:left="1418" w:header="708" w:footer="708" w:gutter="0"/>
          <w:cols w:space="708"/>
          <w:docGrid w:linePitch="360"/>
        </w:sectPr>
      </w:pPr>
    </w:p>
    <w:p w14:paraId="10813F15" w14:textId="4D7C0DDA" w:rsidR="00E47AB8" w:rsidRPr="008B2F8A" w:rsidRDefault="00E47AB8" w:rsidP="00E47AB8">
      <w:pPr>
        <w:pStyle w:val="Heading3"/>
        <w:numPr>
          <w:ilvl w:val="2"/>
          <w:numId w:val="42"/>
        </w:numPr>
      </w:pPr>
      <w:bookmarkStart w:id="1004" w:name="_Toc383424492"/>
      <w:r w:rsidRPr="008B2F8A">
        <w:lastRenderedPageBreak/>
        <w:t>Review of HTAs 2006–2013</w:t>
      </w:r>
      <w:bookmarkEnd w:id="1004"/>
    </w:p>
    <w:p w14:paraId="46A9DA7D" w14:textId="2F6B10DD" w:rsidR="00E47AB8" w:rsidRPr="007C6E89" w:rsidRDefault="00E47AB8" w:rsidP="00422306">
      <w:pPr>
        <w:spacing w:after="200"/>
        <w:rPr>
          <w:rFonts w:eastAsiaTheme="minorHAnsi" w:cstheme="minorBidi"/>
        </w:rPr>
      </w:pPr>
      <w:r w:rsidRPr="007C6E89">
        <w:rPr>
          <w:rFonts w:eastAsiaTheme="minorHAnsi" w:cstheme="minorBidi"/>
        </w:rPr>
        <w:t xml:space="preserve">In addition to the primary economic studies identified above, the literature search identified five HTA reports including an economic evaluation of MRI in breast cancer screening. The key features and conclusions of these assessments are presented in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_Ref377561369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3</w:t>
      </w:r>
      <w:r w:rsidRPr="008B2F8A">
        <w:rPr>
          <w:rFonts w:asciiTheme="minorHAnsi" w:eastAsiaTheme="minorHAnsi" w:hAnsiTheme="minorHAnsi" w:cstheme="minorBidi"/>
        </w:rPr>
        <w:fldChar w:fldCharType="end"/>
      </w:r>
      <w:r w:rsidRPr="007C6E89">
        <w:rPr>
          <w:rFonts w:eastAsiaTheme="minorHAnsi" w:cstheme="minorBidi"/>
        </w:rPr>
        <w:t xml:space="preserve">. The economic evaluations presented in both the Canadian and Spanish reports are relatively basic and of limited applicability to this assessment report. However, the models presented in the Irish and UK HTAs </w:t>
      </w:r>
      <w:r w:rsidRPr="007C6E89">
        <w:rPr>
          <w:rFonts w:eastAsiaTheme="minorHAnsi" w:cstheme="minorBidi"/>
          <w:noProof/>
        </w:rPr>
        <w:t>(</w:t>
      </w:r>
      <w:bookmarkStart w:id="1005" w:name="OLE_LINK848"/>
      <w:bookmarkStart w:id="1006" w:name="OLE_LINK849"/>
      <w:r w:rsidRPr="007C6E89">
        <w:rPr>
          <w:rFonts w:eastAsiaTheme="minorHAnsi" w:cstheme="minorBidi"/>
          <w:noProof/>
        </w:rPr>
        <w:t>HIQA, 2013</w:t>
      </w:r>
      <w:r w:rsidRPr="007C6E89">
        <w:rPr>
          <w:rFonts w:eastAsiaTheme="minorHAnsi" w:cstheme="minorBidi"/>
        </w:rPr>
        <w:t xml:space="preserve">; </w:t>
      </w:r>
      <w:r w:rsidRPr="007C6E89">
        <w:rPr>
          <w:rFonts w:eastAsiaTheme="minorHAnsi" w:cstheme="minorBidi"/>
          <w:noProof/>
        </w:rPr>
        <w:t>NICE, 2013</w:t>
      </w:r>
      <w:r w:rsidRPr="007C6E89">
        <w:rPr>
          <w:rFonts w:eastAsiaTheme="minorHAnsi" w:cstheme="minorBidi"/>
        </w:rPr>
        <w:t xml:space="preserve">; </w:t>
      </w:r>
      <w:r w:rsidRPr="007C6E89">
        <w:rPr>
          <w:rFonts w:eastAsiaTheme="minorHAnsi" w:cstheme="minorBidi"/>
          <w:noProof/>
        </w:rPr>
        <w:t>Robertson et al, 2011a</w:t>
      </w:r>
      <w:bookmarkEnd w:id="1005"/>
      <w:bookmarkEnd w:id="1006"/>
      <w:r w:rsidRPr="007C6E89">
        <w:rPr>
          <w:rFonts w:eastAsiaTheme="minorHAnsi" w:cstheme="minorBidi"/>
          <w:noProof/>
        </w:rPr>
        <w:t>)</w:t>
      </w:r>
      <w:r w:rsidRPr="007C6E89">
        <w:rPr>
          <w:rFonts w:eastAsiaTheme="minorHAnsi" w:cstheme="minorBidi"/>
        </w:rPr>
        <w:t xml:space="preserve"> warrant further discussion.</w:t>
      </w:r>
    </w:p>
    <w:p w14:paraId="7D2FD389" w14:textId="77777777" w:rsidR="00E47AB8" w:rsidRPr="007C6E89" w:rsidRDefault="00E47AB8" w:rsidP="00422306">
      <w:pPr>
        <w:keepNext/>
        <w:keepLines/>
        <w:tabs>
          <w:tab w:val="left" w:pos="993"/>
        </w:tabs>
        <w:ind w:left="992" w:hanging="992"/>
        <w:rPr>
          <w:rFonts w:eastAsiaTheme="minorHAnsi" w:cstheme="minorBidi"/>
          <w:b/>
          <w:bCs/>
          <w:szCs w:val="18"/>
        </w:rPr>
        <w:sectPr w:rsidR="00E47AB8" w:rsidRPr="007C6E89" w:rsidSect="00422306">
          <w:headerReference w:type="default" r:id="rId42"/>
          <w:footerReference w:type="default" r:id="rId43"/>
          <w:endnotePr>
            <w:numFmt w:val="decimal"/>
          </w:endnotePr>
          <w:pgSz w:w="11906" w:h="16838"/>
          <w:pgMar w:top="1418" w:right="1418" w:bottom="1418" w:left="1418" w:header="708" w:footer="708" w:gutter="0"/>
          <w:cols w:space="708"/>
          <w:docGrid w:linePitch="360"/>
        </w:sectPr>
      </w:pPr>
      <w:bookmarkStart w:id="1007" w:name="_Ref375211625"/>
    </w:p>
    <w:p w14:paraId="2ED31EB7" w14:textId="3972AE80" w:rsidR="00E47AB8" w:rsidRPr="008B2F8A" w:rsidRDefault="00E47AB8" w:rsidP="00422306">
      <w:pPr>
        <w:pStyle w:val="Caption"/>
      </w:pPr>
      <w:bookmarkStart w:id="1008" w:name="_Ref377561369"/>
      <w:bookmarkStart w:id="1009" w:name="_Toc383424612"/>
      <w:r w:rsidRPr="008B2F8A">
        <w:lastRenderedPageBreak/>
        <w:t xml:space="preserve">Table </w:t>
      </w:r>
      <w:fldSimple w:instr=" STYLEREF 1 \s ">
        <w:r w:rsidR="00B81273">
          <w:rPr>
            <w:noProof/>
          </w:rPr>
          <w:t>D</w:t>
        </w:r>
      </w:fldSimple>
      <w:r w:rsidRPr="008B2F8A">
        <w:t>.</w:t>
      </w:r>
      <w:fldSimple w:instr=" SEQ Table \* ARABIC \s 1 ">
        <w:r w:rsidR="00B81273">
          <w:rPr>
            <w:noProof/>
          </w:rPr>
          <w:t>3</w:t>
        </w:r>
      </w:fldSimple>
      <w:bookmarkEnd w:id="1007"/>
      <w:bookmarkEnd w:id="1008"/>
      <w:r w:rsidRPr="008B2F8A">
        <w:tab/>
      </w:r>
      <w:bookmarkStart w:id="1010" w:name="OLE_LINK1073"/>
      <w:bookmarkStart w:id="1011" w:name="OLE_LINK1074"/>
      <w:r w:rsidRPr="008B2F8A">
        <w:t>Health technology assessment</w:t>
      </w:r>
      <w:r w:rsidRPr="008B2F8A" w:rsidDel="00455348">
        <w:t xml:space="preserve"> </w:t>
      </w:r>
      <w:r w:rsidRPr="008B2F8A">
        <w:t>reports including economic evaluations of surveillance using MRI in women at high risk of breast cancer</w:t>
      </w:r>
      <w:bookmarkEnd w:id="1010"/>
      <w:bookmarkEnd w:id="1011"/>
      <w:r w:rsidRPr="008B2F8A">
        <w:t>.</w:t>
      </w:r>
      <w:bookmarkEnd w:id="1009"/>
    </w:p>
    <w:tbl>
      <w:tblPr>
        <w:tblStyle w:val="TableGrid"/>
        <w:tblW w:w="14174" w:type="dxa"/>
        <w:tblLayout w:type="fixed"/>
        <w:tblCellMar>
          <w:left w:w="28" w:type="dxa"/>
          <w:right w:w="28" w:type="dxa"/>
        </w:tblCellMar>
        <w:tblLook w:val="04A0" w:firstRow="1" w:lastRow="0" w:firstColumn="1" w:lastColumn="0" w:noHBand="0" w:noVBand="1"/>
        <w:tblCaption w:val="Health technology assessment reports including economic evaluations of surveillance using MRI in women at high risk of breast cancer"/>
      </w:tblPr>
      <w:tblGrid>
        <w:gridCol w:w="1022"/>
        <w:gridCol w:w="710"/>
        <w:gridCol w:w="1846"/>
        <w:gridCol w:w="1704"/>
        <w:gridCol w:w="994"/>
        <w:gridCol w:w="1704"/>
        <w:gridCol w:w="1136"/>
        <w:gridCol w:w="994"/>
        <w:gridCol w:w="4064"/>
      </w:tblGrid>
      <w:tr w:rsidR="00E47AB8" w:rsidRPr="008B2F8A" w14:paraId="18A3299A" w14:textId="77777777" w:rsidTr="0071000B">
        <w:trPr>
          <w:tblHeader/>
        </w:trPr>
        <w:tc>
          <w:tcPr>
            <w:tcW w:w="1022" w:type="dxa"/>
            <w:vAlign w:val="bottom"/>
          </w:tcPr>
          <w:p w14:paraId="744E1457" w14:textId="77777777" w:rsidR="00E47AB8" w:rsidRPr="008B2F8A" w:rsidRDefault="00E47AB8" w:rsidP="00422306">
            <w:pPr>
              <w:spacing w:before="40" w:after="80"/>
              <w:rPr>
                <w:rFonts w:ascii="Arial Narrow" w:hAnsi="Arial Narrow"/>
                <w:b/>
              </w:rPr>
            </w:pPr>
            <w:r w:rsidRPr="008B2F8A">
              <w:rPr>
                <w:rFonts w:ascii="Arial Narrow" w:hAnsi="Arial Narrow"/>
                <w:b/>
              </w:rPr>
              <w:t>Study</w:t>
            </w:r>
          </w:p>
        </w:tc>
        <w:tc>
          <w:tcPr>
            <w:tcW w:w="710" w:type="dxa"/>
            <w:vAlign w:val="bottom"/>
          </w:tcPr>
          <w:p w14:paraId="726F40D8" w14:textId="7E593897" w:rsidR="00E47AB8" w:rsidRPr="008B2F8A" w:rsidRDefault="00E47AB8" w:rsidP="007B6507">
            <w:pPr>
              <w:spacing w:before="40" w:after="80"/>
              <w:rPr>
                <w:rFonts w:ascii="Arial Narrow" w:hAnsi="Arial Narrow"/>
                <w:b/>
              </w:rPr>
            </w:pPr>
            <w:r w:rsidRPr="008B2F8A">
              <w:rPr>
                <w:rFonts w:ascii="Arial Narrow" w:hAnsi="Arial Narrow"/>
                <w:b/>
              </w:rPr>
              <w:t>Locn</w:t>
            </w:r>
          </w:p>
        </w:tc>
        <w:tc>
          <w:tcPr>
            <w:tcW w:w="1846" w:type="dxa"/>
            <w:vAlign w:val="bottom"/>
          </w:tcPr>
          <w:p w14:paraId="31178665" w14:textId="77777777" w:rsidR="00E47AB8" w:rsidRPr="008B2F8A" w:rsidRDefault="00E47AB8" w:rsidP="00422306">
            <w:pPr>
              <w:spacing w:before="40" w:after="80"/>
              <w:rPr>
                <w:rFonts w:ascii="Arial Narrow" w:hAnsi="Arial Narrow"/>
                <w:b/>
              </w:rPr>
            </w:pPr>
            <w:r w:rsidRPr="008B2F8A">
              <w:rPr>
                <w:rFonts w:ascii="Arial Narrow" w:hAnsi="Arial Narrow"/>
                <w:b/>
              </w:rPr>
              <w:t>Population</w:t>
            </w:r>
          </w:p>
        </w:tc>
        <w:tc>
          <w:tcPr>
            <w:tcW w:w="1704" w:type="dxa"/>
            <w:vAlign w:val="bottom"/>
          </w:tcPr>
          <w:p w14:paraId="6E8BA821" w14:textId="77777777" w:rsidR="00E47AB8" w:rsidRPr="008B2F8A" w:rsidRDefault="00E47AB8" w:rsidP="00422306">
            <w:pPr>
              <w:spacing w:before="40" w:after="80"/>
              <w:rPr>
                <w:rFonts w:ascii="Arial Narrow" w:hAnsi="Arial Narrow"/>
                <w:b/>
              </w:rPr>
            </w:pPr>
            <w:r w:rsidRPr="008B2F8A">
              <w:rPr>
                <w:rFonts w:ascii="Arial Narrow" w:hAnsi="Arial Narrow"/>
                <w:b/>
              </w:rPr>
              <w:t>Intervention and comparator</w:t>
            </w:r>
          </w:p>
        </w:tc>
        <w:tc>
          <w:tcPr>
            <w:tcW w:w="994" w:type="dxa"/>
            <w:vAlign w:val="bottom"/>
          </w:tcPr>
          <w:p w14:paraId="7EBDF937" w14:textId="77777777" w:rsidR="00E47AB8" w:rsidRPr="008B2F8A" w:rsidRDefault="00E47AB8" w:rsidP="00422306">
            <w:pPr>
              <w:spacing w:before="40" w:after="80"/>
              <w:rPr>
                <w:rFonts w:ascii="Arial Narrow" w:hAnsi="Arial Narrow"/>
                <w:b/>
              </w:rPr>
            </w:pPr>
            <w:r w:rsidRPr="008B2F8A">
              <w:rPr>
                <w:rFonts w:ascii="Arial Narrow" w:hAnsi="Arial Narrow"/>
                <w:b/>
              </w:rPr>
              <w:t>Model approach</w:t>
            </w:r>
          </w:p>
        </w:tc>
        <w:tc>
          <w:tcPr>
            <w:tcW w:w="1704" w:type="dxa"/>
            <w:vAlign w:val="bottom"/>
          </w:tcPr>
          <w:p w14:paraId="590E9D4D" w14:textId="77777777" w:rsidR="00E47AB8" w:rsidRPr="008B2F8A" w:rsidRDefault="00E47AB8" w:rsidP="00422306">
            <w:pPr>
              <w:spacing w:before="40" w:after="80"/>
              <w:rPr>
                <w:rFonts w:ascii="Arial Narrow" w:hAnsi="Arial Narrow"/>
                <w:b/>
              </w:rPr>
            </w:pPr>
            <w:r w:rsidRPr="008B2F8A">
              <w:rPr>
                <w:rFonts w:ascii="Arial Narrow" w:hAnsi="Arial Narrow"/>
                <w:b/>
              </w:rPr>
              <w:t>Studies included</w:t>
            </w:r>
          </w:p>
        </w:tc>
        <w:tc>
          <w:tcPr>
            <w:tcW w:w="1136" w:type="dxa"/>
            <w:vAlign w:val="bottom"/>
          </w:tcPr>
          <w:p w14:paraId="20B58996" w14:textId="77777777" w:rsidR="00E47AB8" w:rsidRPr="008B2F8A" w:rsidRDefault="00E47AB8" w:rsidP="00422306">
            <w:pPr>
              <w:spacing w:before="40" w:after="80"/>
              <w:rPr>
                <w:rFonts w:ascii="Arial Narrow" w:hAnsi="Arial Narrow"/>
                <w:b/>
              </w:rPr>
            </w:pPr>
            <w:r w:rsidRPr="008B2F8A">
              <w:rPr>
                <w:rFonts w:ascii="Arial Narrow" w:hAnsi="Arial Narrow"/>
                <w:b/>
              </w:rPr>
              <w:t>Outcomes assessed</w:t>
            </w:r>
          </w:p>
        </w:tc>
        <w:tc>
          <w:tcPr>
            <w:tcW w:w="994" w:type="dxa"/>
            <w:vAlign w:val="bottom"/>
          </w:tcPr>
          <w:p w14:paraId="6F6C0792" w14:textId="77777777" w:rsidR="00E47AB8" w:rsidRPr="008B2F8A" w:rsidRDefault="00E47AB8" w:rsidP="00422306">
            <w:pPr>
              <w:spacing w:before="40" w:after="80"/>
              <w:rPr>
                <w:rFonts w:ascii="Arial Narrow" w:hAnsi="Arial Narrow"/>
                <w:b/>
              </w:rPr>
            </w:pPr>
            <w:r w:rsidRPr="008B2F8A">
              <w:rPr>
                <w:rFonts w:ascii="Arial Narrow" w:hAnsi="Arial Narrow"/>
                <w:b/>
              </w:rPr>
              <w:t>Costs included</w:t>
            </w:r>
          </w:p>
        </w:tc>
        <w:tc>
          <w:tcPr>
            <w:tcW w:w="4064" w:type="dxa"/>
            <w:vAlign w:val="bottom"/>
          </w:tcPr>
          <w:p w14:paraId="1E6B6234" w14:textId="77777777" w:rsidR="00E47AB8" w:rsidRPr="008B2F8A" w:rsidRDefault="00E47AB8" w:rsidP="00422306">
            <w:pPr>
              <w:spacing w:before="40" w:after="80"/>
              <w:rPr>
                <w:rFonts w:ascii="Arial Narrow" w:hAnsi="Arial Narrow"/>
                <w:b/>
              </w:rPr>
            </w:pPr>
            <w:r w:rsidRPr="008B2F8A">
              <w:rPr>
                <w:rFonts w:ascii="Arial Narrow" w:hAnsi="Arial Narrow"/>
                <w:b/>
              </w:rPr>
              <w:t>Economic conclusions</w:t>
            </w:r>
          </w:p>
        </w:tc>
      </w:tr>
      <w:tr w:rsidR="00E47AB8" w:rsidRPr="008B2F8A" w14:paraId="72242A12" w14:textId="77777777" w:rsidTr="0071000B">
        <w:tc>
          <w:tcPr>
            <w:tcW w:w="1022" w:type="dxa"/>
          </w:tcPr>
          <w:p w14:paraId="467FC213" w14:textId="0803ED5C" w:rsidR="00E47AB8" w:rsidRPr="008B2F8A" w:rsidRDefault="00E47AB8" w:rsidP="00422306">
            <w:pPr>
              <w:spacing w:before="40" w:after="80"/>
              <w:rPr>
                <w:rFonts w:ascii="Arial Narrow" w:hAnsi="Arial Narrow"/>
              </w:rPr>
            </w:pPr>
            <w:bookmarkStart w:id="1012" w:name="OLE_LINK465"/>
            <w:bookmarkStart w:id="1013" w:name="OLE_LINK466"/>
            <w:r w:rsidRPr="008B2F8A">
              <w:rPr>
                <w:rFonts w:ascii="Arial Narrow" w:hAnsi="Arial Narrow"/>
              </w:rPr>
              <w:t>Robertson et al, 2011</w:t>
            </w:r>
            <w:bookmarkEnd w:id="1012"/>
            <w:bookmarkEnd w:id="1013"/>
            <w:r w:rsidR="00E114B3">
              <w:rPr>
                <w:rFonts w:ascii="Arial Narrow" w:hAnsi="Arial Narrow"/>
              </w:rPr>
              <w:t>a</w:t>
            </w:r>
          </w:p>
        </w:tc>
        <w:tc>
          <w:tcPr>
            <w:tcW w:w="710" w:type="dxa"/>
          </w:tcPr>
          <w:p w14:paraId="2E453788" w14:textId="77777777" w:rsidR="00E47AB8" w:rsidRPr="008B2F8A" w:rsidRDefault="00E47AB8" w:rsidP="00422306">
            <w:pPr>
              <w:spacing w:before="40" w:after="80"/>
              <w:rPr>
                <w:rFonts w:ascii="Arial Narrow" w:hAnsi="Arial Narrow"/>
              </w:rPr>
            </w:pPr>
            <w:r w:rsidRPr="008B2F8A">
              <w:rPr>
                <w:rFonts w:ascii="Arial Narrow" w:hAnsi="Arial Narrow"/>
              </w:rPr>
              <w:t>UK</w:t>
            </w:r>
          </w:p>
        </w:tc>
        <w:tc>
          <w:tcPr>
            <w:tcW w:w="1846" w:type="dxa"/>
          </w:tcPr>
          <w:p w14:paraId="30703413" w14:textId="77777777" w:rsidR="00E47AB8" w:rsidRPr="008B2F8A" w:rsidRDefault="00E47AB8" w:rsidP="00422306">
            <w:pPr>
              <w:spacing w:before="40" w:after="80"/>
              <w:rPr>
                <w:rFonts w:ascii="Arial Narrow" w:hAnsi="Arial Narrow"/>
              </w:rPr>
            </w:pPr>
            <w:r w:rsidRPr="008B2F8A">
              <w:rPr>
                <w:rFonts w:ascii="Arial Narrow" w:hAnsi="Arial Narrow"/>
              </w:rPr>
              <w:t>Women treated for primary breast cancer</w:t>
            </w:r>
          </w:p>
        </w:tc>
        <w:tc>
          <w:tcPr>
            <w:tcW w:w="1704" w:type="dxa"/>
          </w:tcPr>
          <w:p w14:paraId="5B8A844F" w14:textId="77777777" w:rsidR="00E47AB8" w:rsidRDefault="00E47AB8" w:rsidP="00422306">
            <w:pPr>
              <w:spacing w:before="40" w:after="80"/>
              <w:rPr>
                <w:rFonts w:ascii="Arial Narrow" w:hAnsi="Arial Narrow"/>
              </w:rPr>
            </w:pPr>
            <w:r w:rsidRPr="008B2F8A">
              <w:rPr>
                <w:rFonts w:ascii="Arial Narrow" w:hAnsi="Arial Narrow"/>
              </w:rPr>
              <w:t>No surveillance mammography alone</w:t>
            </w:r>
          </w:p>
          <w:p w14:paraId="6C02A882" w14:textId="6EB1B87F" w:rsidR="00E47AB8" w:rsidRDefault="00E47AB8" w:rsidP="00422306">
            <w:pPr>
              <w:spacing w:before="40" w:after="80"/>
              <w:rPr>
                <w:rFonts w:ascii="Arial Narrow" w:hAnsi="Arial Narrow"/>
              </w:rPr>
            </w:pPr>
            <w:r w:rsidRPr="008B2F8A">
              <w:rPr>
                <w:rFonts w:ascii="Arial Narrow" w:hAnsi="Arial Narrow"/>
              </w:rPr>
              <w:t xml:space="preserve">Mammography </w:t>
            </w:r>
            <w:r>
              <w:rPr>
                <w:rFonts w:ascii="Arial Narrow" w:hAnsi="Arial Narrow"/>
              </w:rPr>
              <w:t>+</w:t>
            </w:r>
            <w:r w:rsidRPr="008B2F8A">
              <w:rPr>
                <w:rFonts w:ascii="Arial Narrow" w:hAnsi="Arial Narrow"/>
              </w:rPr>
              <w:t xml:space="preserve"> clinical examination</w:t>
            </w:r>
          </w:p>
          <w:p w14:paraId="3D076CF3" w14:textId="6BCF2B91" w:rsidR="00E47AB8" w:rsidRPr="008B2F8A" w:rsidRDefault="00E47AB8" w:rsidP="00422306">
            <w:pPr>
              <w:spacing w:before="40" w:after="80"/>
              <w:rPr>
                <w:rFonts w:ascii="Arial Narrow" w:hAnsi="Arial Narrow"/>
              </w:rPr>
            </w:pPr>
            <w:r w:rsidRPr="008B2F8A">
              <w:rPr>
                <w:rFonts w:ascii="Arial Narrow" w:hAnsi="Arial Narrow"/>
              </w:rPr>
              <w:t xml:space="preserve">MRI </w:t>
            </w:r>
            <w:r>
              <w:rPr>
                <w:rFonts w:ascii="Arial Narrow" w:hAnsi="Arial Narrow"/>
              </w:rPr>
              <w:t>+</w:t>
            </w:r>
            <w:r w:rsidRPr="008B2F8A">
              <w:rPr>
                <w:rFonts w:ascii="Arial Narrow" w:hAnsi="Arial Narrow"/>
              </w:rPr>
              <w:t xml:space="preserve"> clinical exam</w:t>
            </w:r>
          </w:p>
        </w:tc>
        <w:tc>
          <w:tcPr>
            <w:tcW w:w="994" w:type="dxa"/>
          </w:tcPr>
          <w:p w14:paraId="60EB8B81" w14:textId="4A1AF224" w:rsidR="00E47AB8" w:rsidRPr="008B2F8A" w:rsidRDefault="00E47AB8" w:rsidP="00422306">
            <w:pPr>
              <w:spacing w:before="40" w:after="80"/>
              <w:rPr>
                <w:rFonts w:ascii="Arial Narrow" w:hAnsi="Arial Narrow"/>
              </w:rPr>
            </w:pPr>
            <w:bookmarkStart w:id="1014" w:name="OLE_LINK351"/>
            <w:bookmarkStart w:id="1015" w:name="OLE_LINK352"/>
            <w:r w:rsidRPr="008B2F8A">
              <w:rPr>
                <w:rFonts w:ascii="Arial Narrow" w:hAnsi="Arial Narrow"/>
              </w:rPr>
              <w:t>CUA</w:t>
            </w:r>
            <w:bookmarkEnd w:id="1014"/>
            <w:bookmarkEnd w:id="1015"/>
          </w:p>
        </w:tc>
        <w:tc>
          <w:tcPr>
            <w:tcW w:w="1704" w:type="dxa"/>
          </w:tcPr>
          <w:p w14:paraId="4753BCEA" w14:textId="06C83C07" w:rsidR="00E47AB8" w:rsidRPr="008B2F8A" w:rsidRDefault="00E47AB8" w:rsidP="00422306">
            <w:pPr>
              <w:spacing w:before="40" w:after="80"/>
              <w:rPr>
                <w:rFonts w:ascii="Arial Narrow" w:hAnsi="Arial Narrow"/>
              </w:rPr>
            </w:pPr>
            <w:r>
              <w:rPr>
                <w:rFonts w:ascii="Arial Narrow" w:hAnsi="Arial Narrow"/>
              </w:rPr>
              <w:t>Viehweg et al, 2004</w:t>
            </w:r>
          </w:p>
          <w:p w14:paraId="728329CE" w14:textId="77777777" w:rsidR="00E47AB8" w:rsidRPr="008B2F8A" w:rsidRDefault="00E47AB8" w:rsidP="00422306">
            <w:pPr>
              <w:spacing w:before="40" w:after="80"/>
              <w:rPr>
                <w:rFonts w:ascii="Arial Narrow" w:hAnsi="Arial Narrow"/>
              </w:rPr>
            </w:pPr>
            <w:r w:rsidRPr="008B2F8A">
              <w:rPr>
                <w:rFonts w:ascii="Arial Narrow" w:hAnsi="Arial Narrow"/>
              </w:rPr>
              <w:t xml:space="preserve">Rieber </w:t>
            </w:r>
            <w:r>
              <w:rPr>
                <w:rFonts w:ascii="Arial Narrow" w:hAnsi="Arial Narrow"/>
              </w:rPr>
              <w:t xml:space="preserve">et al, </w:t>
            </w:r>
            <w:r w:rsidRPr="008B2F8A">
              <w:rPr>
                <w:rFonts w:ascii="Arial Narrow" w:hAnsi="Arial Narrow"/>
              </w:rPr>
              <w:t>1997</w:t>
            </w:r>
          </w:p>
          <w:p w14:paraId="2CE7CB02" w14:textId="77777777" w:rsidR="00E47AB8" w:rsidRPr="008B2F8A" w:rsidRDefault="00E47AB8" w:rsidP="00422306">
            <w:pPr>
              <w:spacing w:before="40" w:after="80"/>
              <w:rPr>
                <w:rFonts w:ascii="Arial Narrow" w:hAnsi="Arial Narrow"/>
              </w:rPr>
            </w:pPr>
            <w:r w:rsidRPr="008B2F8A">
              <w:rPr>
                <w:rFonts w:ascii="Arial Narrow" w:hAnsi="Arial Narrow"/>
              </w:rPr>
              <w:t xml:space="preserve">Drew </w:t>
            </w:r>
            <w:r>
              <w:rPr>
                <w:rFonts w:ascii="Arial Narrow" w:hAnsi="Arial Narrow"/>
              </w:rPr>
              <w:t xml:space="preserve">et al, </w:t>
            </w:r>
            <w:r w:rsidRPr="008B2F8A">
              <w:rPr>
                <w:rFonts w:ascii="Arial Narrow" w:hAnsi="Arial Narrow"/>
              </w:rPr>
              <w:t>1998</w:t>
            </w:r>
          </w:p>
          <w:p w14:paraId="5363D947" w14:textId="77777777" w:rsidR="00E47AB8" w:rsidRPr="008B2F8A" w:rsidRDefault="00E47AB8" w:rsidP="00422306">
            <w:pPr>
              <w:spacing w:before="40" w:after="80"/>
              <w:rPr>
                <w:rFonts w:ascii="Arial Narrow" w:hAnsi="Arial Narrow"/>
              </w:rPr>
            </w:pPr>
            <w:r w:rsidRPr="008B2F8A">
              <w:rPr>
                <w:rFonts w:ascii="Arial Narrow" w:hAnsi="Arial Narrow"/>
              </w:rPr>
              <w:t xml:space="preserve">Belli </w:t>
            </w:r>
            <w:bookmarkStart w:id="1016" w:name="OLE_LINK945"/>
            <w:bookmarkStart w:id="1017" w:name="OLE_LINK946"/>
            <w:r>
              <w:rPr>
                <w:rFonts w:ascii="Arial Narrow" w:hAnsi="Arial Narrow"/>
              </w:rPr>
              <w:t xml:space="preserve">et al, </w:t>
            </w:r>
            <w:bookmarkEnd w:id="1016"/>
            <w:bookmarkEnd w:id="1017"/>
            <w:r w:rsidRPr="008B2F8A">
              <w:rPr>
                <w:rFonts w:ascii="Arial Narrow" w:hAnsi="Arial Narrow"/>
              </w:rPr>
              <w:t>2002</w:t>
            </w:r>
          </w:p>
          <w:p w14:paraId="3893528F" w14:textId="77777777" w:rsidR="00E47AB8" w:rsidRPr="008B2F8A" w:rsidRDefault="00E47AB8" w:rsidP="00422306">
            <w:pPr>
              <w:spacing w:before="40" w:after="80"/>
              <w:rPr>
                <w:rFonts w:ascii="Arial Narrow" w:hAnsi="Arial Narrow"/>
                <w:i/>
              </w:rPr>
            </w:pPr>
            <w:r w:rsidRPr="008B2F8A">
              <w:rPr>
                <w:rFonts w:ascii="Arial Narrow" w:hAnsi="Arial Narrow"/>
                <w:i/>
              </w:rPr>
              <w:t>MRI studies only</w:t>
            </w:r>
          </w:p>
        </w:tc>
        <w:tc>
          <w:tcPr>
            <w:tcW w:w="1136" w:type="dxa"/>
          </w:tcPr>
          <w:p w14:paraId="06D302A8" w14:textId="77777777" w:rsidR="00E47AB8" w:rsidRPr="008B2F8A" w:rsidRDefault="00E47AB8" w:rsidP="00422306">
            <w:pPr>
              <w:spacing w:before="40" w:after="80"/>
              <w:rPr>
                <w:rFonts w:ascii="Arial Narrow" w:hAnsi="Arial Narrow"/>
              </w:rPr>
            </w:pPr>
            <w:r w:rsidRPr="008B2F8A">
              <w:rPr>
                <w:rFonts w:ascii="Arial Narrow" w:hAnsi="Arial Narrow"/>
              </w:rPr>
              <w:t>QALYs</w:t>
            </w:r>
          </w:p>
        </w:tc>
        <w:tc>
          <w:tcPr>
            <w:tcW w:w="994" w:type="dxa"/>
          </w:tcPr>
          <w:p w14:paraId="68199E2D"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 evaluation and treatment</w:t>
            </w:r>
          </w:p>
        </w:tc>
        <w:tc>
          <w:tcPr>
            <w:tcW w:w="4064" w:type="dxa"/>
          </w:tcPr>
          <w:p w14:paraId="65791B96" w14:textId="65AAA681" w:rsidR="00E47AB8" w:rsidRPr="008B2F8A" w:rsidRDefault="00E47AB8" w:rsidP="00422306">
            <w:pPr>
              <w:spacing w:before="40" w:after="80"/>
              <w:rPr>
                <w:rFonts w:ascii="Arial Narrow" w:hAnsi="Arial Narrow"/>
              </w:rPr>
            </w:pPr>
            <w:r w:rsidRPr="008B2F8A">
              <w:rPr>
                <w:rFonts w:ascii="Arial Narrow" w:hAnsi="Arial Narrow"/>
              </w:rPr>
              <w:t>In the base-case analysis the regimen with the highest net benefit and, therefore, most likely to be considered cost-effective was mammographic surveillance alone provided yearly</w:t>
            </w:r>
          </w:p>
        </w:tc>
      </w:tr>
      <w:tr w:rsidR="00E47AB8" w:rsidRPr="008B2F8A" w14:paraId="5D69B472" w14:textId="77777777" w:rsidTr="0071000B">
        <w:tc>
          <w:tcPr>
            <w:tcW w:w="1022" w:type="dxa"/>
          </w:tcPr>
          <w:p w14:paraId="706EF9E9" w14:textId="5EC283E5" w:rsidR="00E47AB8" w:rsidRPr="008B2F8A" w:rsidRDefault="00E47AB8" w:rsidP="00422306">
            <w:pPr>
              <w:spacing w:before="40" w:after="80"/>
              <w:rPr>
                <w:rFonts w:ascii="Arial Narrow" w:hAnsi="Arial Narrow"/>
              </w:rPr>
            </w:pPr>
            <w:r>
              <w:rPr>
                <w:rFonts w:ascii="Arial Narrow" w:hAnsi="Arial Narrow"/>
              </w:rPr>
              <w:t>HIQA, 2013</w:t>
            </w:r>
          </w:p>
        </w:tc>
        <w:tc>
          <w:tcPr>
            <w:tcW w:w="710" w:type="dxa"/>
          </w:tcPr>
          <w:p w14:paraId="6C7645C5" w14:textId="77777777" w:rsidR="00E47AB8" w:rsidRPr="008B2F8A" w:rsidRDefault="00E47AB8" w:rsidP="00422306">
            <w:pPr>
              <w:spacing w:before="40" w:after="80"/>
              <w:rPr>
                <w:rFonts w:ascii="Arial Narrow" w:hAnsi="Arial Narrow"/>
              </w:rPr>
            </w:pPr>
            <w:r w:rsidRPr="008B2F8A">
              <w:rPr>
                <w:rFonts w:ascii="Arial Narrow" w:hAnsi="Arial Narrow"/>
              </w:rPr>
              <w:t>Ireland</w:t>
            </w:r>
          </w:p>
        </w:tc>
        <w:tc>
          <w:tcPr>
            <w:tcW w:w="1846" w:type="dxa"/>
          </w:tcPr>
          <w:p w14:paraId="105F8696" w14:textId="674ACAA5" w:rsidR="00E47AB8" w:rsidRPr="008B2F8A" w:rsidRDefault="00E47AB8" w:rsidP="00422306">
            <w:pPr>
              <w:spacing w:before="40" w:after="80"/>
              <w:rPr>
                <w:rFonts w:ascii="Arial Narrow" w:hAnsi="Arial Narrow"/>
              </w:rPr>
            </w:pPr>
            <w:r w:rsidRPr="008B2F8A">
              <w:rPr>
                <w:rFonts w:ascii="Arial Narrow" w:hAnsi="Arial Narrow"/>
              </w:rPr>
              <w:t>Women aged &lt;50 years at elevated risk of breast cancer</w:t>
            </w:r>
          </w:p>
        </w:tc>
        <w:tc>
          <w:tcPr>
            <w:tcW w:w="1704" w:type="dxa"/>
          </w:tcPr>
          <w:p w14:paraId="3BBAF140" w14:textId="77777777" w:rsidR="00E47AB8" w:rsidRPr="008B2F8A" w:rsidRDefault="00E47AB8" w:rsidP="00422306">
            <w:pPr>
              <w:spacing w:before="40" w:after="80"/>
              <w:rPr>
                <w:rFonts w:ascii="Arial Narrow" w:hAnsi="Arial Narrow"/>
              </w:rPr>
            </w:pPr>
            <w:r w:rsidRPr="008B2F8A">
              <w:rPr>
                <w:rFonts w:ascii="Arial Narrow" w:hAnsi="Arial Narrow"/>
              </w:rPr>
              <w:t>MRI</w:t>
            </w:r>
          </w:p>
          <w:p w14:paraId="0DC5E60A" w14:textId="77777777" w:rsidR="00E47AB8" w:rsidRPr="008B2F8A" w:rsidRDefault="00E47AB8" w:rsidP="00422306">
            <w:pPr>
              <w:spacing w:before="40" w:after="80"/>
              <w:rPr>
                <w:rFonts w:ascii="Arial Narrow" w:hAnsi="Arial Narrow"/>
              </w:rPr>
            </w:pPr>
            <w:r w:rsidRPr="008B2F8A">
              <w:rPr>
                <w:rFonts w:ascii="Arial Narrow" w:hAnsi="Arial Narrow"/>
              </w:rPr>
              <w:t>Mammography</w:t>
            </w:r>
          </w:p>
          <w:p w14:paraId="7C16D38A" w14:textId="77777777" w:rsidR="00E47AB8" w:rsidRPr="008B2F8A" w:rsidRDefault="00E47AB8" w:rsidP="00422306">
            <w:pPr>
              <w:spacing w:before="40" w:after="80"/>
              <w:rPr>
                <w:rFonts w:ascii="Arial Narrow" w:hAnsi="Arial Narrow"/>
              </w:rPr>
            </w:pPr>
            <w:r w:rsidRPr="008B2F8A">
              <w:rPr>
                <w:rFonts w:ascii="Arial Narrow" w:hAnsi="Arial Narrow"/>
              </w:rPr>
              <w:t>MRI ​+​ mammography</w:t>
            </w:r>
          </w:p>
          <w:p w14:paraId="12BE4108" w14:textId="77777777" w:rsidR="00E47AB8" w:rsidRPr="008B2F8A" w:rsidRDefault="00E47AB8" w:rsidP="00422306">
            <w:pPr>
              <w:spacing w:before="40" w:after="80"/>
              <w:rPr>
                <w:rFonts w:ascii="Arial Narrow" w:hAnsi="Arial Narrow"/>
              </w:rPr>
            </w:pPr>
            <w:r w:rsidRPr="008B2F8A">
              <w:rPr>
                <w:rFonts w:ascii="Arial Narrow" w:hAnsi="Arial Narrow"/>
              </w:rPr>
              <w:t>No surveillance and ‘no organised surveillance’</w:t>
            </w:r>
          </w:p>
        </w:tc>
        <w:tc>
          <w:tcPr>
            <w:tcW w:w="994" w:type="dxa"/>
          </w:tcPr>
          <w:p w14:paraId="27D198F7" w14:textId="16605E96" w:rsidR="00E47AB8" w:rsidRPr="008B2F8A" w:rsidRDefault="00E47AB8" w:rsidP="00422306">
            <w:pPr>
              <w:spacing w:before="40" w:after="80"/>
              <w:rPr>
                <w:rFonts w:ascii="Arial Narrow" w:hAnsi="Arial Narrow"/>
              </w:rPr>
            </w:pPr>
            <w:r w:rsidRPr="008B2F8A">
              <w:rPr>
                <w:rFonts w:ascii="Arial Narrow" w:hAnsi="Arial Narrow"/>
              </w:rPr>
              <w:t>CUA</w:t>
            </w:r>
          </w:p>
        </w:tc>
        <w:tc>
          <w:tcPr>
            <w:tcW w:w="1704" w:type="dxa"/>
          </w:tcPr>
          <w:p w14:paraId="2EE5F307" w14:textId="19B58C16" w:rsidR="00E47AB8" w:rsidRPr="008B2F8A" w:rsidRDefault="00E47AB8" w:rsidP="00422306">
            <w:pPr>
              <w:spacing w:before="40" w:after="80"/>
              <w:rPr>
                <w:rFonts w:ascii="Arial Narrow" w:hAnsi="Arial Narrow"/>
              </w:rPr>
            </w:pPr>
            <w:r>
              <w:rPr>
                <w:rFonts w:ascii="Arial Narrow" w:hAnsi="Arial Narrow"/>
              </w:rPr>
              <w:t>Kriege et al, 2006</w:t>
            </w:r>
            <w:r w:rsidR="00E114B3">
              <w:rPr>
                <w:rFonts w:ascii="Arial Narrow" w:hAnsi="Arial Narrow"/>
              </w:rPr>
              <w:t>b</w:t>
            </w:r>
          </w:p>
          <w:p w14:paraId="46A92F54" w14:textId="536F84A7" w:rsidR="00E47AB8" w:rsidRPr="008B2F8A" w:rsidRDefault="00E47AB8" w:rsidP="00422306">
            <w:pPr>
              <w:spacing w:before="40" w:after="80"/>
              <w:rPr>
                <w:rFonts w:ascii="Arial Narrow" w:hAnsi="Arial Narrow"/>
              </w:rPr>
            </w:pPr>
            <w:r>
              <w:rPr>
                <w:rFonts w:ascii="Arial Narrow" w:hAnsi="Arial Narrow"/>
              </w:rPr>
              <w:t>Kuhl et al, 2005</w:t>
            </w:r>
          </w:p>
          <w:p w14:paraId="638996E9" w14:textId="7840CCC9" w:rsidR="00E47AB8" w:rsidRPr="008B2F8A" w:rsidRDefault="00E47AB8" w:rsidP="00422306">
            <w:pPr>
              <w:spacing w:before="40" w:after="80"/>
              <w:rPr>
                <w:rFonts w:ascii="Arial Narrow" w:hAnsi="Arial Narrow"/>
              </w:rPr>
            </w:pPr>
            <w:r>
              <w:rPr>
                <w:rFonts w:ascii="Arial Narrow" w:hAnsi="Arial Narrow"/>
              </w:rPr>
              <w:t>Leach, 2005</w:t>
            </w:r>
          </w:p>
          <w:p w14:paraId="306F49FA" w14:textId="68FD3E38" w:rsidR="00E47AB8" w:rsidRPr="008B2F8A" w:rsidRDefault="00E47AB8" w:rsidP="00422306">
            <w:pPr>
              <w:spacing w:before="40" w:after="80"/>
              <w:rPr>
                <w:rFonts w:ascii="Arial Narrow" w:hAnsi="Arial Narrow"/>
              </w:rPr>
            </w:pPr>
            <w:r>
              <w:rPr>
                <w:rFonts w:ascii="Arial Narrow" w:hAnsi="Arial Narrow"/>
              </w:rPr>
              <w:t>Warner et al, 2004</w:t>
            </w:r>
          </w:p>
        </w:tc>
        <w:tc>
          <w:tcPr>
            <w:tcW w:w="1136" w:type="dxa"/>
          </w:tcPr>
          <w:p w14:paraId="3875D3C9" w14:textId="77777777" w:rsidR="00E47AB8" w:rsidRPr="008B2F8A" w:rsidRDefault="00E47AB8" w:rsidP="00422306">
            <w:pPr>
              <w:spacing w:before="40" w:after="80"/>
              <w:rPr>
                <w:rFonts w:ascii="Arial Narrow" w:hAnsi="Arial Narrow"/>
              </w:rPr>
            </w:pPr>
            <w:r w:rsidRPr="008B2F8A">
              <w:rPr>
                <w:rFonts w:ascii="Arial Narrow" w:hAnsi="Arial Narrow"/>
              </w:rPr>
              <w:t>QALYs</w:t>
            </w:r>
          </w:p>
          <w:p w14:paraId="1B4AA94D" w14:textId="5648C648" w:rsidR="00E47AB8" w:rsidRPr="008B2F8A" w:rsidRDefault="00E47AB8" w:rsidP="00422306">
            <w:pPr>
              <w:spacing w:before="40" w:after="80"/>
              <w:rPr>
                <w:rFonts w:ascii="Arial Narrow" w:hAnsi="Arial Narrow"/>
              </w:rPr>
            </w:pPr>
            <w:r w:rsidRPr="008B2F8A">
              <w:rPr>
                <w:rFonts w:ascii="Arial Narrow" w:hAnsi="Arial Narrow"/>
              </w:rPr>
              <w:t>Breast cancer mortality at age 50 years also presented</w:t>
            </w:r>
          </w:p>
        </w:tc>
        <w:tc>
          <w:tcPr>
            <w:tcW w:w="994" w:type="dxa"/>
          </w:tcPr>
          <w:p w14:paraId="1A4DBC4D" w14:textId="77777777" w:rsidR="00E47AB8" w:rsidRPr="008B2F8A" w:rsidRDefault="00E47AB8" w:rsidP="00422306">
            <w:pPr>
              <w:spacing w:before="40" w:after="80"/>
              <w:rPr>
                <w:rFonts w:ascii="Arial Narrow" w:hAnsi="Arial Narrow"/>
              </w:rPr>
            </w:pPr>
            <w:r w:rsidRPr="008B2F8A">
              <w:rPr>
                <w:rFonts w:ascii="Arial Narrow" w:hAnsi="Arial Narrow"/>
              </w:rPr>
              <w:t>Direct medical costs</w:t>
            </w:r>
          </w:p>
        </w:tc>
        <w:tc>
          <w:tcPr>
            <w:tcW w:w="4064" w:type="dxa"/>
          </w:tcPr>
          <w:p w14:paraId="333D9AD5" w14:textId="21F38E33" w:rsidR="00E47AB8" w:rsidRPr="008B2F8A" w:rsidRDefault="00E47AB8" w:rsidP="0071000B">
            <w:pPr>
              <w:spacing w:before="40" w:after="80"/>
              <w:rPr>
                <w:rFonts w:ascii="Arial Narrow" w:hAnsi="Arial Narrow"/>
                <w:color w:val="000000"/>
                <w:lang w:eastAsia="en-US"/>
              </w:rPr>
            </w:pPr>
            <w:r w:rsidRPr="008B2F8A">
              <w:rPr>
                <w:rFonts w:ascii="Arial Narrow" w:hAnsi="Arial Narrow"/>
              </w:rPr>
              <w:t xml:space="preserve">Annual MRI from the ages of 30–49 </w:t>
            </w:r>
            <w:r>
              <w:rPr>
                <w:rFonts w:ascii="Arial Narrow" w:hAnsi="Arial Narrow"/>
              </w:rPr>
              <w:t xml:space="preserve">years </w:t>
            </w:r>
            <w:r w:rsidRPr="008B2F8A">
              <w:rPr>
                <w:rFonts w:ascii="Arial Narrow" w:hAnsi="Arial Narrow"/>
              </w:rPr>
              <w:t xml:space="preserve">is the most cost-effective for women with </w:t>
            </w:r>
            <w:r w:rsidRPr="0071000B">
              <w:rPr>
                <w:rFonts w:ascii="Arial Narrow" w:hAnsi="Arial Narrow"/>
                <w:i/>
              </w:rPr>
              <w:t>BRCA1</w:t>
            </w:r>
            <w:r w:rsidRPr="008B2F8A">
              <w:rPr>
                <w:rFonts w:ascii="Arial Narrow" w:hAnsi="Arial Narrow"/>
              </w:rPr>
              <w:t xml:space="preserve"> and BRCA2 mutations. The addition of mammography does not result in a substantial clinical benefit. Surveillance is not recommended for women with high familial risk before age 40</w:t>
            </w:r>
            <w:r>
              <w:rPr>
                <w:rFonts w:ascii="Arial Narrow" w:hAnsi="Arial Narrow"/>
              </w:rPr>
              <w:t xml:space="preserve"> years</w:t>
            </w:r>
            <w:r w:rsidRPr="008B2F8A">
              <w:rPr>
                <w:rFonts w:ascii="Arial Narrow" w:hAnsi="Arial Narrow"/>
              </w:rPr>
              <w:t xml:space="preserve">. Mammography alone could be offered to women at high familial risk </w:t>
            </w:r>
            <w:r>
              <w:rPr>
                <w:rFonts w:ascii="Arial Narrow" w:hAnsi="Arial Narrow"/>
              </w:rPr>
              <w:t xml:space="preserve">age </w:t>
            </w:r>
            <w:r w:rsidRPr="008B2F8A">
              <w:rPr>
                <w:rFonts w:ascii="Arial Narrow" w:hAnsi="Arial Narrow"/>
              </w:rPr>
              <w:t>40–49 years</w:t>
            </w:r>
          </w:p>
        </w:tc>
      </w:tr>
      <w:tr w:rsidR="00E47AB8" w:rsidRPr="008B2F8A" w14:paraId="7A677681" w14:textId="77777777" w:rsidTr="0071000B">
        <w:tc>
          <w:tcPr>
            <w:tcW w:w="1022" w:type="dxa"/>
          </w:tcPr>
          <w:p w14:paraId="3B3C55CD" w14:textId="17A2F067" w:rsidR="00E47AB8" w:rsidRPr="008B2F8A" w:rsidRDefault="00E47AB8" w:rsidP="00422306">
            <w:pPr>
              <w:spacing w:before="40" w:after="80"/>
              <w:rPr>
                <w:rFonts w:ascii="Arial Narrow" w:hAnsi="Arial Narrow"/>
              </w:rPr>
            </w:pPr>
            <w:r>
              <w:rPr>
                <w:rFonts w:ascii="Arial Narrow" w:hAnsi="Arial Narrow"/>
              </w:rPr>
              <w:t>NICE, 2013</w:t>
            </w:r>
          </w:p>
        </w:tc>
        <w:tc>
          <w:tcPr>
            <w:tcW w:w="710" w:type="dxa"/>
          </w:tcPr>
          <w:p w14:paraId="14B471E4" w14:textId="77777777" w:rsidR="00E47AB8" w:rsidRPr="008B2F8A" w:rsidRDefault="00E47AB8" w:rsidP="00422306">
            <w:pPr>
              <w:spacing w:before="40" w:after="80"/>
              <w:rPr>
                <w:rFonts w:ascii="Arial Narrow" w:hAnsi="Arial Narrow"/>
              </w:rPr>
            </w:pPr>
            <w:r w:rsidRPr="008B2F8A">
              <w:rPr>
                <w:rFonts w:ascii="Arial Narrow" w:hAnsi="Arial Narrow"/>
              </w:rPr>
              <w:t>UK</w:t>
            </w:r>
          </w:p>
        </w:tc>
        <w:tc>
          <w:tcPr>
            <w:tcW w:w="1846" w:type="dxa"/>
          </w:tcPr>
          <w:p w14:paraId="6981F830" w14:textId="60ED69E5" w:rsidR="00E47AB8" w:rsidRPr="008B2F8A" w:rsidRDefault="00E47AB8" w:rsidP="00422306">
            <w:pPr>
              <w:spacing w:before="40" w:after="80"/>
              <w:rPr>
                <w:rFonts w:ascii="Arial Narrow" w:hAnsi="Arial Narrow"/>
              </w:rPr>
            </w:pPr>
            <w:r w:rsidRPr="008B2F8A">
              <w:rPr>
                <w:rFonts w:ascii="Arial Narrow" w:hAnsi="Arial Narrow"/>
              </w:rPr>
              <w:t xml:space="preserve">Women at risk of </w:t>
            </w:r>
            <w:r>
              <w:rPr>
                <w:rFonts w:ascii="Arial Narrow" w:hAnsi="Arial Narrow"/>
              </w:rPr>
              <w:t>familial</w:t>
            </w:r>
            <w:r w:rsidRPr="008B2F8A">
              <w:rPr>
                <w:rFonts w:ascii="Arial Narrow" w:hAnsi="Arial Narrow"/>
              </w:rPr>
              <w:t xml:space="preserve"> breast cancer and people with a family history of breast cancer</w:t>
            </w:r>
          </w:p>
        </w:tc>
        <w:tc>
          <w:tcPr>
            <w:tcW w:w="1704" w:type="dxa"/>
          </w:tcPr>
          <w:p w14:paraId="3A1B4AC4" w14:textId="77777777" w:rsidR="00E47AB8" w:rsidRPr="008B2F8A" w:rsidRDefault="00E47AB8" w:rsidP="00422306">
            <w:pPr>
              <w:spacing w:before="40" w:after="80"/>
              <w:rPr>
                <w:rFonts w:ascii="Arial Narrow" w:hAnsi="Arial Narrow"/>
              </w:rPr>
            </w:pPr>
            <w:r w:rsidRPr="008B2F8A">
              <w:rPr>
                <w:rFonts w:ascii="Arial Narrow" w:hAnsi="Arial Narrow"/>
              </w:rPr>
              <w:t>MRI</w:t>
            </w:r>
          </w:p>
          <w:p w14:paraId="4410084F" w14:textId="77777777" w:rsidR="00E47AB8" w:rsidRPr="008B2F8A" w:rsidRDefault="00E47AB8" w:rsidP="00422306">
            <w:pPr>
              <w:spacing w:before="40" w:after="80"/>
              <w:rPr>
                <w:rFonts w:ascii="Arial Narrow" w:hAnsi="Arial Narrow"/>
              </w:rPr>
            </w:pPr>
            <w:r w:rsidRPr="008B2F8A">
              <w:rPr>
                <w:rFonts w:ascii="Arial Narrow" w:hAnsi="Arial Narrow"/>
              </w:rPr>
              <w:t>Digital mammography</w:t>
            </w:r>
          </w:p>
          <w:p w14:paraId="361BA700" w14:textId="77777777" w:rsidR="00E47AB8" w:rsidRPr="008B2F8A" w:rsidRDefault="00E47AB8" w:rsidP="00422306">
            <w:pPr>
              <w:spacing w:before="40" w:after="80"/>
              <w:rPr>
                <w:rFonts w:ascii="Arial Narrow" w:hAnsi="Arial Narrow"/>
              </w:rPr>
            </w:pPr>
            <w:r w:rsidRPr="008B2F8A">
              <w:rPr>
                <w:rFonts w:ascii="Arial Narrow" w:hAnsi="Arial Narrow"/>
              </w:rPr>
              <w:t>MRI ​+​ mammography</w:t>
            </w:r>
          </w:p>
          <w:p w14:paraId="5DE27ED8" w14:textId="77777777" w:rsidR="00E47AB8" w:rsidRPr="008B2F8A" w:rsidRDefault="00E47AB8" w:rsidP="00422306">
            <w:pPr>
              <w:spacing w:before="40" w:after="80"/>
              <w:rPr>
                <w:rFonts w:ascii="Arial Narrow" w:hAnsi="Arial Narrow"/>
              </w:rPr>
            </w:pPr>
            <w:r w:rsidRPr="008B2F8A">
              <w:rPr>
                <w:rFonts w:ascii="Arial Narrow" w:hAnsi="Arial Narrow"/>
              </w:rPr>
              <w:t>No screening (comparator)</w:t>
            </w:r>
          </w:p>
        </w:tc>
        <w:tc>
          <w:tcPr>
            <w:tcW w:w="994" w:type="dxa"/>
          </w:tcPr>
          <w:p w14:paraId="5529081F" w14:textId="36A9B01C" w:rsidR="00E47AB8" w:rsidRPr="008B2F8A" w:rsidRDefault="00E47AB8" w:rsidP="00422306">
            <w:pPr>
              <w:spacing w:before="40" w:after="80"/>
              <w:rPr>
                <w:rFonts w:ascii="Arial Narrow" w:hAnsi="Arial Narrow"/>
              </w:rPr>
            </w:pPr>
            <w:r w:rsidRPr="008B2F8A">
              <w:rPr>
                <w:rFonts w:ascii="Arial Narrow" w:hAnsi="Arial Narrow"/>
              </w:rPr>
              <w:t>CUA/</w:t>
            </w:r>
            <w:r>
              <w:rPr>
                <w:rFonts w:ascii="Arial Narrow" w:hAnsi="Arial Narrow"/>
              </w:rPr>
              <w:t>​</w:t>
            </w:r>
            <w:r w:rsidRPr="008B2F8A">
              <w:rPr>
                <w:rFonts w:ascii="Arial Narrow" w:hAnsi="Arial Narrow"/>
              </w:rPr>
              <w:t>Markov</w:t>
            </w:r>
          </w:p>
        </w:tc>
        <w:tc>
          <w:tcPr>
            <w:tcW w:w="1704" w:type="dxa"/>
          </w:tcPr>
          <w:p w14:paraId="22297D6E" w14:textId="77777777" w:rsidR="00E47AB8" w:rsidRPr="008B2F8A" w:rsidRDefault="00E47AB8" w:rsidP="00422306">
            <w:pPr>
              <w:spacing w:before="40" w:after="80"/>
              <w:rPr>
                <w:rFonts w:ascii="Arial Narrow" w:hAnsi="Arial Narrow"/>
              </w:rPr>
            </w:pPr>
            <w:r w:rsidRPr="008B2F8A">
              <w:rPr>
                <w:rFonts w:ascii="Arial Narrow" w:hAnsi="Arial Narrow"/>
              </w:rPr>
              <w:t>MRI ​+​ mammography evidence (comparator not stated)</w:t>
            </w:r>
          </w:p>
          <w:p w14:paraId="2CBDBB94" w14:textId="26D5F053" w:rsidR="00E47AB8" w:rsidRPr="008B2F8A" w:rsidRDefault="00E47AB8" w:rsidP="00422306">
            <w:pPr>
              <w:spacing w:before="40" w:after="80"/>
              <w:rPr>
                <w:rFonts w:ascii="Arial Narrow" w:hAnsi="Arial Narrow"/>
              </w:rPr>
            </w:pPr>
            <w:r>
              <w:rPr>
                <w:rFonts w:ascii="Arial Narrow" w:hAnsi="Arial Narrow"/>
              </w:rPr>
              <w:t>Lehman et al, 2007</w:t>
            </w:r>
          </w:p>
          <w:p w14:paraId="05D1F5B6" w14:textId="77777777" w:rsidR="00E47AB8" w:rsidRPr="008B2F8A" w:rsidRDefault="00E47AB8" w:rsidP="00422306">
            <w:pPr>
              <w:spacing w:before="40" w:after="80"/>
              <w:rPr>
                <w:rFonts w:ascii="Arial Narrow" w:hAnsi="Arial Narrow"/>
              </w:rPr>
            </w:pPr>
            <w:r w:rsidRPr="008B2F8A">
              <w:rPr>
                <w:rFonts w:ascii="Arial Narrow" w:hAnsi="Arial Narrow"/>
              </w:rPr>
              <w:t>Warner 2001</w:t>
            </w:r>
          </w:p>
          <w:p w14:paraId="62CBEB88" w14:textId="787164EF" w:rsidR="00E47AB8" w:rsidRPr="008B2F8A" w:rsidRDefault="00E47AB8" w:rsidP="00422306">
            <w:pPr>
              <w:spacing w:before="40" w:after="80"/>
              <w:rPr>
                <w:rFonts w:ascii="Arial Narrow" w:hAnsi="Arial Narrow"/>
              </w:rPr>
            </w:pPr>
            <w:r>
              <w:rPr>
                <w:rFonts w:ascii="Arial Narrow" w:hAnsi="Arial Narrow"/>
              </w:rPr>
              <w:t>Warner et al, 2004</w:t>
            </w:r>
          </w:p>
          <w:p w14:paraId="4417A4E3" w14:textId="313A1B49" w:rsidR="00E47AB8" w:rsidRPr="008B2F8A" w:rsidRDefault="00E47AB8" w:rsidP="00422306">
            <w:pPr>
              <w:spacing w:before="40" w:after="80"/>
              <w:rPr>
                <w:rFonts w:ascii="Arial Narrow" w:hAnsi="Arial Narrow"/>
              </w:rPr>
            </w:pPr>
            <w:r>
              <w:rPr>
                <w:rFonts w:ascii="Arial Narrow" w:hAnsi="Arial Narrow"/>
              </w:rPr>
              <w:t>Kuhl et al, 2005</w:t>
            </w:r>
          </w:p>
          <w:p w14:paraId="5A1D6231" w14:textId="1D35A01B" w:rsidR="00E47AB8" w:rsidRPr="008B2F8A" w:rsidRDefault="00E47AB8" w:rsidP="00422306">
            <w:pPr>
              <w:spacing w:before="40" w:after="80"/>
              <w:rPr>
                <w:rFonts w:ascii="Arial Narrow" w:hAnsi="Arial Narrow"/>
              </w:rPr>
            </w:pPr>
            <w:r>
              <w:rPr>
                <w:rFonts w:ascii="Arial Narrow" w:hAnsi="Arial Narrow"/>
              </w:rPr>
              <w:t>Leach, 2005</w:t>
            </w:r>
          </w:p>
          <w:p w14:paraId="344CE7D0" w14:textId="2D4BE475" w:rsidR="00E47AB8" w:rsidRPr="008B2F8A" w:rsidRDefault="00E47AB8" w:rsidP="00422306">
            <w:pPr>
              <w:spacing w:before="40" w:after="80"/>
              <w:rPr>
                <w:rFonts w:ascii="Arial Narrow" w:hAnsi="Arial Narrow"/>
              </w:rPr>
            </w:pPr>
            <w:r>
              <w:rPr>
                <w:rFonts w:ascii="Arial Narrow" w:hAnsi="Arial Narrow"/>
              </w:rPr>
              <w:lastRenderedPageBreak/>
              <w:t>Trecate et al, 2006</w:t>
            </w:r>
          </w:p>
        </w:tc>
        <w:tc>
          <w:tcPr>
            <w:tcW w:w="1136" w:type="dxa"/>
          </w:tcPr>
          <w:p w14:paraId="0565F3A1" w14:textId="77777777" w:rsidR="00E47AB8" w:rsidRPr="008B2F8A" w:rsidRDefault="00E47AB8" w:rsidP="00422306">
            <w:pPr>
              <w:spacing w:before="40" w:after="80"/>
              <w:rPr>
                <w:rFonts w:ascii="Arial Narrow" w:hAnsi="Arial Narrow"/>
              </w:rPr>
            </w:pPr>
            <w:r w:rsidRPr="008B2F8A">
              <w:rPr>
                <w:rFonts w:ascii="Arial Narrow" w:hAnsi="Arial Narrow"/>
              </w:rPr>
              <w:lastRenderedPageBreak/>
              <w:t>QALYs</w:t>
            </w:r>
          </w:p>
        </w:tc>
        <w:tc>
          <w:tcPr>
            <w:tcW w:w="994" w:type="dxa"/>
          </w:tcPr>
          <w:p w14:paraId="33400B88" w14:textId="77777777" w:rsidR="00E47AB8" w:rsidRPr="008B2F8A" w:rsidRDefault="00E47AB8" w:rsidP="00422306">
            <w:pPr>
              <w:spacing w:before="40" w:after="80"/>
              <w:rPr>
                <w:rFonts w:ascii="Arial Narrow" w:hAnsi="Arial Narrow"/>
              </w:rPr>
            </w:pPr>
            <w:r w:rsidRPr="008B2F8A">
              <w:rPr>
                <w:rFonts w:ascii="Arial Narrow" w:hAnsi="Arial Narrow"/>
              </w:rPr>
              <w:t>Screening, diagnostic evaluation and treatment</w:t>
            </w:r>
          </w:p>
        </w:tc>
        <w:tc>
          <w:tcPr>
            <w:tcW w:w="4064" w:type="dxa"/>
          </w:tcPr>
          <w:p w14:paraId="3B07220B" w14:textId="77777777" w:rsidR="00E47AB8" w:rsidRPr="008B2F8A" w:rsidRDefault="00E47AB8" w:rsidP="00422306">
            <w:pPr>
              <w:spacing w:before="40" w:after="80"/>
              <w:rPr>
                <w:rFonts w:ascii="Arial Narrow" w:hAnsi="Arial Narrow"/>
              </w:rPr>
            </w:pPr>
            <w:r w:rsidRPr="008B2F8A">
              <w:rPr>
                <w:rFonts w:ascii="Arial Narrow" w:hAnsi="Arial Narrow"/>
              </w:rPr>
              <w:t>Offer annual MRI surveillance to women:</w:t>
            </w:r>
          </w:p>
          <w:p w14:paraId="1BB1DE55" w14:textId="53881C44" w:rsidR="00E47AB8" w:rsidRPr="008B2F8A" w:rsidRDefault="00E47AB8" w:rsidP="00E47AB8">
            <w:pPr>
              <w:pStyle w:val="ListParagraph"/>
              <w:numPr>
                <w:ilvl w:val="0"/>
                <w:numId w:val="66"/>
              </w:numPr>
              <w:spacing w:before="40" w:after="80"/>
              <w:ind w:left="267" w:hanging="267"/>
              <w:contextualSpacing w:val="0"/>
              <w:rPr>
                <w:rFonts w:ascii="Arial Narrow" w:hAnsi="Arial Narrow"/>
              </w:rPr>
            </w:pPr>
            <w:r w:rsidRPr="008B2F8A">
              <w:rPr>
                <w:rFonts w:ascii="Arial Narrow" w:hAnsi="Arial Narrow"/>
              </w:rPr>
              <w:t xml:space="preserve">aged 30–49 years who have not had genetic testing but have a &gt;30% probability of being a </w:t>
            </w:r>
            <w:r w:rsidRPr="0071000B">
              <w:rPr>
                <w:rFonts w:ascii="Arial Narrow" w:hAnsi="Arial Narrow"/>
                <w:i/>
              </w:rPr>
              <w:t>BRCA</w:t>
            </w:r>
            <w:r w:rsidRPr="008B2F8A">
              <w:rPr>
                <w:rFonts w:ascii="Arial Narrow" w:hAnsi="Arial Narrow"/>
              </w:rPr>
              <w:t xml:space="preserve"> carrier</w:t>
            </w:r>
          </w:p>
          <w:p w14:paraId="11AB30A8" w14:textId="77777777" w:rsidR="00E47AB8" w:rsidRPr="008B2F8A" w:rsidRDefault="00E47AB8" w:rsidP="00E47AB8">
            <w:pPr>
              <w:pStyle w:val="ListParagraph"/>
              <w:numPr>
                <w:ilvl w:val="0"/>
                <w:numId w:val="66"/>
              </w:numPr>
              <w:spacing w:before="40" w:after="80"/>
              <w:ind w:left="267" w:hanging="267"/>
              <w:contextualSpacing w:val="0"/>
              <w:rPr>
                <w:rFonts w:ascii="Arial Narrow" w:hAnsi="Arial Narrow"/>
              </w:rPr>
            </w:pPr>
            <w:r w:rsidRPr="008B2F8A">
              <w:rPr>
                <w:rFonts w:ascii="Arial Narrow" w:hAnsi="Arial Narrow"/>
              </w:rPr>
              <w:t xml:space="preserve">aged 30–49 years with a known </w:t>
            </w:r>
            <w:r w:rsidRPr="0071000B">
              <w:rPr>
                <w:rFonts w:ascii="Arial Narrow" w:hAnsi="Arial Narrow"/>
                <w:i/>
              </w:rPr>
              <w:t>BRCA1</w:t>
            </w:r>
            <w:r w:rsidRPr="008B2F8A">
              <w:rPr>
                <w:rFonts w:ascii="Arial Narrow" w:hAnsi="Arial Narrow"/>
              </w:rPr>
              <w:t xml:space="preserve"> or </w:t>
            </w:r>
            <w:r w:rsidRPr="0071000B">
              <w:rPr>
                <w:rFonts w:ascii="Arial Narrow" w:hAnsi="Arial Narrow"/>
                <w:i/>
              </w:rPr>
              <w:t>BRCA2</w:t>
            </w:r>
            <w:r w:rsidRPr="008B2F8A">
              <w:rPr>
                <w:rFonts w:ascii="Arial Narrow" w:hAnsi="Arial Narrow"/>
              </w:rPr>
              <w:t xml:space="preserve"> mutation</w:t>
            </w:r>
          </w:p>
          <w:p w14:paraId="6F766556" w14:textId="57D63E04" w:rsidR="00E47AB8" w:rsidRPr="008B2F8A" w:rsidRDefault="00E47AB8" w:rsidP="00E47AB8">
            <w:pPr>
              <w:pStyle w:val="ListParagraph"/>
              <w:numPr>
                <w:ilvl w:val="0"/>
                <w:numId w:val="66"/>
              </w:numPr>
              <w:spacing w:before="40" w:after="80"/>
              <w:ind w:left="267" w:hanging="267"/>
              <w:contextualSpacing w:val="0"/>
              <w:rPr>
                <w:rFonts w:ascii="Arial Narrow" w:hAnsi="Arial Narrow"/>
              </w:rPr>
            </w:pPr>
            <w:r w:rsidRPr="008B2F8A">
              <w:rPr>
                <w:rFonts w:ascii="Arial Narrow" w:hAnsi="Arial Narrow"/>
              </w:rPr>
              <w:t xml:space="preserve">aged 20–49 years who have not had genetic testing but have a &gt;30% probability of being a </w:t>
            </w:r>
            <w:r w:rsidRPr="0071000B">
              <w:rPr>
                <w:rFonts w:ascii="Arial Narrow" w:hAnsi="Arial Narrow"/>
                <w:i/>
              </w:rPr>
              <w:t>TP53</w:t>
            </w:r>
            <w:r w:rsidRPr="008B2F8A">
              <w:rPr>
                <w:rFonts w:ascii="Arial Narrow" w:hAnsi="Arial Narrow"/>
              </w:rPr>
              <w:t xml:space="preserve"> carrier</w:t>
            </w:r>
          </w:p>
          <w:p w14:paraId="2C1A78F3" w14:textId="511604C1" w:rsidR="00E47AB8" w:rsidRPr="008B2F8A" w:rsidRDefault="00E47AB8" w:rsidP="00E47AB8">
            <w:pPr>
              <w:pStyle w:val="ListParagraph"/>
              <w:numPr>
                <w:ilvl w:val="0"/>
                <w:numId w:val="66"/>
              </w:numPr>
              <w:spacing w:before="40" w:after="80"/>
              <w:ind w:left="267" w:hanging="267"/>
              <w:contextualSpacing w:val="0"/>
              <w:rPr>
                <w:rFonts w:ascii="Arial Narrow" w:hAnsi="Arial Narrow"/>
              </w:rPr>
            </w:pPr>
            <w:r w:rsidRPr="008B2F8A">
              <w:rPr>
                <w:rFonts w:ascii="Arial Narrow" w:hAnsi="Arial Narrow"/>
              </w:rPr>
              <w:t xml:space="preserve">aged 20–49 y with a known </w:t>
            </w:r>
            <w:r w:rsidRPr="0071000B">
              <w:rPr>
                <w:rFonts w:ascii="Arial Narrow" w:hAnsi="Arial Narrow"/>
                <w:i/>
              </w:rPr>
              <w:t>TP53</w:t>
            </w:r>
            <w:r w:rsidRPr="008B2F8A">
              <w:rPr>
                <w:rFonts w:ascii="Arial Narrow" w:hAnsi="Arial Narrow"/>
              </w:rPr>
              <w:t xml:space="preserve"> mutation</w:t>
            </w:r>
          </w:p>
          <w:p w14:paraId="0E9EBA8D" w14:textId="54C15021" w:rsidR="00E47AB8" w:rsidRPr="008B2F8A" w:rsidRDefault="00E47AB8" w:rsidP="00E47AB8">
            <w:pPr>
              <w:pStyle w:val="ListParagraph"/>
              <w:numPr>
                <w:ilvl w:val="0"/>
                <w:numId w:val="66"/>
              </w:numPr>
              <w:spacing w:before="40" w:after="80"/>
              <w:ind w:left="267" w:hanging="267"/>
              <w:contextualSpacing w:val="0"/>
              <w:rPr>
                <w:rFonts w:ascii="Arial Narrow" w:hAnsi="Arial Narrow"/>
              </w:rPr>
            </w:pPr>
            <w:r w:rsidRPr="008B2F8A">
              <w:rPr>
                <w:rFonts w:ascii="Arial Narrow" w:hAnsi="Arial Narrow"/>
              </w:rPr>
              <w:lastRenderedPageBreak/>
              <w:t xml:space="preserve">aged 30–49 years with a personal history of breast cancer who remain at high risk of breast cancer, including those who have a </w:t>
            </w:r>
            <w:r w:rsidRPr="0071000B">
              <w:rPr>
                <w:rFonts w:ascii="Arial Narrow" w:hAnsi="Arial Narrow"/>
                <w:i/>
              </w:rPr>
              <w:t>BRCA1</w:t>
            </w:r>
            <w:r w:rsidRPr="008B2F8A">
              <w:rPr>
                <w:rFonts w:ascii="Arial Narrow" w:hAnsi="Arial Narrow"/>
              </w:rPr>
              <w:t xml:space="preserve"> or </w:t>
            </w:r>
            <w:r w:rsidRPr="0071000B">
              <w:rPr>
                <w:rFonts w:ascii="Arial Narrow" w:hAnsi="Arial Narrow"/>
                <w:i/>
              </w:rPr>
              <w:t>BRCA2</w:t>
            </w:r>
            <w:r w:rsidRPr="008B2F8A">
              <w:rPr>
                <w:rFonts w:ascii="Arial Narrow" w:hAnsi="Arial Narrow"/>
              </w:rPr>
              <w:t xml:space="preserve"> mutation</w:t>
            </w:r>
          </w:p>
        </w:tc>
      </w:tr>
      <w:tr w:rsidR="00E47AB8" w:rsidRPr="008B2F8A" w14:paraId="20617E7F" w14:textId="77777777" w:rsidTr="0071000B">
        <w:tc>
          <w:tcPr>
            <w:tcW w:w="1022" w:type="dxa"/>
          </w:tcPr>
          <w:p w14:paraId="6E3A3769" w14:textId="7792B962" w:rsidR="00E47AB8" w:rsidRPr="008B2F8A" w:rsidRDefault="00E47AB8" w:rsidP="00422306">
            <w:pPr>
              <w:spacing w:before="40" w:after="80"/>
              <w:rPr>
                <w:rFonts w:ascii="Arial Narrow" w:hAnsi="Arial Narrow"/>
              </w:rPr>
            </w:pPr>
            <w:r w:rsidRPr="00A74DA8">
              <w:rPr>
                <w:rFonts w:ascii="Arial Narrow" w:hAnsi="Arial Narrow"/>
              </w:rPr>
              <w:lastRenderedPageBreak/>
              <w:t>Medical Advisory Secretariat</w:t>
            </w:r>
            <w:r>
              <w:rPr>
                <w:rFonts w:ascii="Arial Narrow" w:hAnsi="Arial Narrow"/>
              </w:rPr>
              <w:t>,</w:t>
            </w:r>
            <w:r w:rsidRPr="008B2F8A">
              <w:rPr>
                <w:rFonts w:ascii="Arial Narrow" w:hAnsi="Arial Narrow"/>
              </w:rPr>
              <w:t xml:space="preserve"> 2010</w:t>
            </w:r>
          </w:p>
        </w:tc>
        <w:tc>
          <w:tcPr>
            <w:tcW w:w="710" w:type="dxa"/>
          </w:tcPr>
          <w:p w14:paraId="4A6C9D6C" w14:textId="77777777" w:rsidR="00E47AB8" w:rsidRPr="008B2F8A" w:rsidRDefault="00E47AB8" w:rsidP="00422306">
            <w:pPr>
              <w:spacing w:before="40" w:after="80"/>
              <w:rPr>
                <w:rFonts w:ascii="Arial Narrow" w:hAnsi="Arial Narrow"/>
              </w:rPr>
            </w:pPr>
            <w:r w:rsidRPr="008B2F8A">
              <w:rPr>
                <w:rFonts w:ascii="Arial Narrow" w:hAnsi="Arial Narrow"/>
              </w:rPr>
              <w:t>Canada</w:t>
            </w:r>
          </w:p>
        </w:tc>
        <w:tc>
          <w:tcPr>
            <w:tcW w:w="1846" w:type="dxa"/>
          </w:tcPr>
          <w:p w14:paraId="43E00FD3" w14:textId="77777777" w:rsidR="00E47AB8" w:rsidRPr="008B2F8A" w:rsidRDefault="00E47AB8" w:rsidP="00422306">
            <w:pPr>
              <w:spacing w:before="40" w:after="80"/>
              <w:rPr>
                <w:rFonts w:ascii="Arial Narrow" w:hAnsi="Arial Narrow"/>
              </w:rPr>
            </w:pPr>
            <w:r w:rsidRPr="008B2F8A">
              <w:rPr>
                <w:rFonts w:ascii="Arial Narrow" w:hAnsi="Arial Narrow"/>
              </w:rPr>
              <w:t xml:space="preserve">Women at average and increased risk of breast cancer </w:t>
            </w:r>
          </w:p>
        </w:tc>
        <w:tc>
          <w:tcPr>
            <w:tcW w:w="1704" w:type="dxa"/>
          </w:tcPr>
          <w:p w14:paraId="05CBF875" w14:textId="77777777" w:rsidR="00E47AB8" w:rsidRPr="008B2F8A" w:rsidRDefault="00E47AB8" w:rsidP="00422306">
            <w:pPr>
              <w:spacing w:before="40" w:after="80"/>
              <w:rPr>
                <w:rFonts w:ascii="Arial Narrow" w:hAnsi="Arial Narrow"/>
              </w:rPr>
            </w:pPr>
            <w:r w:rsidRPr="008B2F8A">
              <w:rPr>
                <w:rFonts w:ascii="Arial Narrow" w:hAnsi="Arial Narrow"/>
              </w:rPr>
              <w:t>MRI and digital mammography versus mammography</w:t>
            </w:r>
          </w:p>
        </w:tc>
        <w:tc>
          <w:tcPr>
            <w:tcW w:w="994" w:type="dxa"/>
          </w:tcPr>
          <w:p w14:paraId="7D075C12" w14:textId="77777777" w:rsidR="00E47AB8" w:rsidRPr="008B2F8A" w:rsidRDefault="00E47AB8" w:rsidP="00422306">
            <w:pPr>
              <w:spacing w:before="40" w:after="80"/>
              <w:rPr>
                <w:rFonts w:ascii="Arial Narrow" w:hAnsi="Arial Narrow"/>
              </w:rPr>
            </w:pPr>
            <w:r w:rsidRPr="008B2F8A">
              <w:rPr>
                <w:rFonts w:ascii="Arial Narrow" w:hAnsi="Arial Narrow"/>
              </w:rPr>
              <w:t>Basic decision analysis</w:t>
            </w:r>
          </w:p>
        </w:tc>
        <w:tc>
          <w:tcPr>
            <w:tcW w:w="1704" w:type="dxa"/>
          </w:tcPr>
          <w:p w14:paraId="1E6407E4" w14:textId="64CBF229" w:rsidR="00E47AB8" w:rsidRPr="008B2F8A" w:rsidRDefault="00E47AB8" w:rsidP="00422306">
            <w:pPr>
              <w:spacing w:before="40" w:after="80"/>
              <w:rPr>
                <w:rFonts w:ascii="Arial Narrow" w:hAnsi="Arial Narrow"/>
              </w:rPr>
            </w:pPr>
            <w:r>
              <w:rPr>
                <w:rFonts w:ascii="Arial Narrow" w:hAnsi="Arial Narrow"/>
              </w:rPr>
              <w:t>Kriege et al, 2006</w:t>
            </w:r>
            <w:r w:rsidR="00E114B3">
              <w:rPr>
                <w:rFonts w:ascii="Arial Narrow" w:hAnsi="Arial Narrow"/>
              </w:rPr>
              <w:t>b</w:t>
            </w:r>
          </w:p>
          <w:p w14:paraId="7E8F7849" w14:textId="48E32847" w:rsidR="00E47AB8" w:rsidRPr="008B2F8A" w:rsidRDefault="00E47AB8" w:rsidP="00422306">
            <w:pPr>
              <w:spacing w:before="40" w:after="80"/>
              <w:rPr>
                <w:rFonts w:ascii="Arial Narrow" w:hAnsi="Arial Narrow"/>
              </w:rPr>
            </w:pPr>
            <w:r>
              <w:rPr>
                <w:rFonts w:ascii="Arial Narrow" w:hAnsi="Arial Narrow"/>
              </w:rPr>
              <w:t>Kuhl et al, 2005</w:t>
            </w:r>
          </w:p>
          <w:p w14:paraId="61068D24" w14:textId="3512958D" w:rsidR="00E47AB8" w:rsidRPr="008B2F8A" w:rsidRDefault="00E47AB8" w:rsidP="00422306">
            <w:pPr>
              <w:spacing w:before="40" w:after="80"/>
              <w:rPr>
                <w:rFonts w:ascii="Arial Narrow" w:hAnsi="Arial Narrow"/>
              </w:rPr>
            </w:pPr>
            <w:r>
              <w:rPr>
                <w:rFonts w:ascii="Arial Narrow" w:hAnsi="Arial Narrow"/>
              </w:rPr>
              <w:t>Leach, 2005</w:t>
            </w:r>
          </w:p>
          <w:p w14:paraId="53618B66" w14:textId="25001B3D" w:rsidR="00E47AB8" w:rsidRPr="008B2F8A" w:rsidRDefault="00E47AB8" w:rsidP="00422306">
            <w:pPr>
              <w:spacing w:before="40" w:after="80"/>
              <w:rPr>
                <w:rFonts w:ascii="Arial Narrow" w:hAnsi="Arial Narrow"/>
              </w:rPr>
            </w:pPr>
            <w:r>
              <w:rPr>
                <w:rFonts w:ascii="Arial Narrow" w:hAnsi="Arial Narrow"/>
              </w:rPr>
              <w:t>Warner et al, 2004</w:t>
            </w:r>
          </w:p>
        </w:tc>
        <w:tc>
          <w:tcPr>
            <w:tcW w:w="1136" w:type="dxa"/>
          </w:tcPr>
          <w:p w14:paraId="602DA26B" w14:textId="77777777" w:rsidR="00E47AB8" w:rsidRPr="008B2F8A" w:rsidRDefault="00E47AB8" w:rsidP="00422306">
            <w:pPr>
              <w:spacing w:before="40" w:after="80"/>
              <w:rPr>
                <w:rFonts w:ascii="Arial Narrow" w:hAnsi="Arial Narrow"/>
              </w:rPr>
            </w:pPr>
            <w:r w:rsidRPr="008B2F8A">
              <w:rPr>
                <w:rFonts w:ascii="Arial Narrow" w:hAnsi="Arial Narrow"/>
              </w:rPr>
              <w:t>Costs to health system</w:t>
            </w:r>
          </w:p>
        </w:tc>
        <w:tc>
          <w:tcPr>
            <w:tcW w:w="994" w:type="dxa"/>
          </w:tcPr>
          <w:p w14:paraId="51BCBEF5" w14:textId="1021C4E9" w:rsidR="00E47AB8" w:rsidRPr="008B2F8A" w:rsidRDefault="00E47AB8" w:rsidP="0071000B">
            <w:pPr>
              <w:spacing w:before="40" w:after="80"/>
              <w:rPr>
                <w:rFonts w:ascii="Arial Narrow" w:hAnsi="Arial Narrow"/>
                <w:color w:val="000000"/>
                <w:lang w:eastAsia="en-US"/>
              </w:rPr>
            </w:pPr>
            <w:r w:rsidRPr="008B2F8A">
              <w:rPr>
                <w:rFonts w:ascii="Arial Narrow" w:hAnsi="Arial Narrow"/>
              </w:rPr>
              <w:t>Screening costs and cost of GPs to undertake MRI/mammography</w:t>
            </w:r>
          </w:p>
        </w:tc>
        <w:tc>
          <w:tcPr>
            <w:tcW w:w="4064" w:type="dxa"/>
          </w:tcPr>
          <w:p w14:paraId="50F69FE9" w14:textId="21CC66C7" w:rsidR="00E47AB8" w:rsidRPr="008B2F8A" w:rsidRDefault="00E47AB8" w:rsidP="0071000B">
            <w:pPr>
              <w:spacing w:before="40" w:after="80"/>
              <w:rPr>
                <w:rFonts w:ascii="Arial Narrow" w:hAnsi="Arial Narrow"/>
                <w:color w:val="000000"/>
                <w:lang w:eastAsia="en-US"/>
              </w:rPr>
            </w:pPr>
            <w:r w:rsidRPr="008B2F8A">
              <w:rPr>
                <w:rFonts w:ascii="Arial Narrow" w:hAnsi="Arial Narrow"/>
              </w:rPr>
              <w:t xml:space="preserve">Breast MRI </w:t>
            </w:r>
            <w:r>
              <w:rPr>
                <w:rFonts w:ascii="Arial Narrow" w:hAnsi="Arial Narrow"/>
              </w:rPr>
              <w:t>+</w:t>
            </w:r>
            <w:r w:rsidRPr="008B2F8A">
              <w:rPr>
                <w:rFonts w:ascii="Arial Narrow" w:hAnsi="Arial Narrow"/>
              </w:rPr>
              <w:t xml:space="preserve"> mammography is a cost-effective strategy for high-risk women and the budget impact is estimated at $7m–$27m annually</w:t>
            </w:r>
          </w:p>
        </w:tc>
      </w:tr>
      <w:tr w:rsidR="00E47AB8" w:rsidRPr="008B2F8A" w14:paraId="12576258" w14:textId="77777777" w:rsidTr="0071000B">
        <w:tc>
          <w:tcPr>
            <w:tcW w:w="1022" w:type="dxa"/>
          </w:tcPr>
          <w:p w14:paraId="573E813D" w14:textId="75486D5D" w:rsidR="00E47AB8" w:rsidRPr="008B2F8A" w:rsidRDefault="00E114B3" w:rsidP="00E114B3">
            <w:pPr>
              <w:spacing w:before="40" w:after="80"/>
              <w:rPr>
                <w:rFonts w:ascii="Arial Narrow" w:hAnsi="Arial Narrow"/>
              </w:rPr>
            </w:pPr>
            <w:bookmarkStart w:id="1018" w:name="OLE_LINK135"/>
            <w:bookmarkStart w:id="1019" w:name="OLE_LINK136"/>
            <w:r w:rsidRPr="00E114B3">
              <w:rPr>
                <w:rFonts w:ascii="Arial Narrow" w:hAnsi="Arial Narrow"/>
              </w:rPr>
              <w:t>Cerezo Espinosa de los Monteros</w:t>
            </w:r>
            <w:r w:rsidR="00E47AB8">
              <w:rPr>
                <w:rFonts w:ascii="Arial Narrow" w:hAnsi="Arial Narrow"/>
              </w:rPr>
              <w:t>,</w:t>
            </w:r>
            <w:r w:rsidR="00E47AB8" w:rsidRPr="008B2F8A">
              <w:rPr>
                <w:rFonts w:ascii="Arial Narrow" w:hAnsi="Arial Narrow"/>
              </w:rPr>
              <w:t xml:space="preserve"> </w:t>
            </w:r>
            <w:bookmarkEnd w:id="1018"/>
            <w:bookmarkEnd w:id="1019"/>
            <w:r w:rsidR="00E47AB8" w:rsidRPr="008B2F8A">
              <w:rPr>
                <w:rFonts w:ascii="Arial Narrow" w:hAnsi="Arial Narrow"/>
              </w:rPr>
              <w:t>200</w:t>
            </w:r>
            <w:r>
              <w:rPr>
                <w:rFonts w:ascii="Arial Narrow" w:hAnsi="Arial Narrow"/>
              </w:rPr>
              <w:t>8</w:t>
            </w:r>
          </w:p>
        </w:tc>
        <w:tc>
          <w:tcPr>
            <w:tcW w:w="710" w:type="dxa"/>
          </w:tcPr>
          <w:p w14:paraId="13F0D65B" w14:textId="77777777" w:rsidR="00E47AB8" w:rsidRPr="008B2F8A" w:rsidRDefault="00E47AB8" w:rsidP="00422306">
            <w:pPr>
              <w:spacing w:before="40" w:after="80"/>
              <w:rPr>
                <w:rFonts w:ascii="Arial Narrow" w:hAnsi="Arial Narrow"/>
              </w:rPr>
            </w:pPr>
            <w:r w:rsidRPr="008B2F8A">
              <w:rPr>
                <w:rFonts w:ascii="Arial Narrow" w:hAnsi="Arial Narrow"/>
              </w:rPr>
              <w:t>Spain</w:t>
            </w:r>
          </w:p>
        </w:tc>
        <w:tc>
          <w:tcPr>
            <w:tcW w:w="1846" w:type="dxa"/>
          </w:tcPr>
          <w:p w14:paraId="195C28B1" w14:textId="77777777" w:rsidR="00E47AB8" w:rsidRPr="008B2F8A" w:rsidRDefault="00E47AB8" w:rsidP="00422306">
            <w:pPr>
              <w:spacing w:before="40" w:after="80"/>
              <w:rPr>
                <w:rFonts w:ascii="Arial Narrow" w:hAnsi="Arial Narrow"/>
              </w:rPr>
            </w:pPr>
            <w:r w:rsidRPr="008B2F8A">
              <w:rPr>
                <w:rFonts w:ascii="Arial Narrow" w:hAnsi="Arial Narrow"/>
              </w:rPr>
              <w:t>Women with a genetic predisposition to breast cancer</w:t>
            </w:r>
          </w:p>
          <w:p w14:paraId="7F91DAA6" w14:textId="77777777" w:rsidR="00E47AB8" w:rsidRPr="008B2F8A" w:rsidRDefault="00E47AB8" w:rsidP="00422306">
            <w:pPr>
              <w:spacing w:before="40" w:after="80"/>
              <w:rPr>
                <w:rFonts w:ascii="Arial Narrow" w:hAnsi="Arial Narrow"/>
              </w:rPr>
            </w:pPr>
            <w:r w:rsidRPr="008B2F8A">
              <w:rPr>
                <w:rFonts w:ascii="Arial Narrow" w:hAnsi="Arial Narrow"/>
              </w:rPr>
              <w:t>Women with suspected breast cancer</w:t>
            </w:r>
          </w:p>
        </w:tc>
        <w:tc>
          <w:tcPr>
            <w:tcW w:w="1704" w:type="dxa"/>
          </w:tcPr>
          <w:p w14:paraId="197E1608" w14:textId="77777777" w:rsidR="00E47AB8" w:rsidRPr="008B2F8A" w:rsidRDefault="00E47AB8" w:rsidP="00422306">
            <w:pPr>
              <w:spacing w:before="40" w:after="80"/>
              <w:rPr>
                <w:rFonts w:ascii="Arial Narrow" w:hAnsi="Arial Narrow"/>
              </w:rPr>
            </w:pPr>
            <w:r w:rsidRPr="008B2F8A">
              <w:rPr>
                <w:rFonts w:ascii="Arial Narrow" w:hAnsi="Arial Narrow"/>
              </w:rPr>
              <w:t>MRI</w:t>
            </w:r>
          </w:p>
          <w:p w14:paraId="151FF0F9" w14:textId="77777777" w:rsidR="00E47AB8" w:rsidRPr="008B2F8A" w:rsidRDefault="00E47AB8" w:rsidP="00422306">
            <w:pPr>
              <w:spacing w:before="40" w:after="80"/>
              <w:rPr>
                <w:rFonts w:ascii="Arial Narrow" w:hAnsi="Arial Narrow"/>
              </w:rPr>
            </w:pPr>
            <w:r w:rsidRPr="008B2F8A">
              <w:rPr>
                <w:rFonts w:ascii="Arial Narrow" w:hAnsi="Arial Narrow"/>
              </w:rPr>
              <w:t>Mammography</w:t>
            </w:r>
          </w:p>
          <w:p w14:paraId="056C3F8D" w14:textId="77777777" w:rsidR="00E47AB8" w:rsidRPr="008B2F8A" w:rsidRDefault="00E47AB8" w:rsidP="00422306">
            <w:pPr>
              <w:spacing w:before="40" w:after="80"/>
              <w:rPr>
                <w:rFonts w:ascii="Arial Narrow" w:hAnsi="Arial Narrow"/>
              </w:rPr>
            </w:pPr>
            <w:r w:rsidRPr="008B2F8A">
              <w:rPr>
                <w:rFonts w:ascii="Arial Narrow" w:hAnsi="Arial Narrow"/>
              </w:rPr>
              <w:t>MRI ​+​ mammography</w:t>
            </w:r>
          </w:p>
        </w:tc>
        <w:tc>
          <w:tcPr>
            <w:tcW w:w="994" w:type="dxa"/>
          </w:tcPr>
          <w:p w14:paraId="24CEB574" w14:textId="77777777" w:rsidR="00E47AB8" w:rsidRPr="008B2F8A" w:rsidRDefault="00E47AB8" w:rsidP="00422306">
            <w:pPr>
              <w:spacing w:before="40" w:after="80"/>
              <w:rPr>
                <w:rFonts w:ascii="Arial Narrow" w:hAnsi="Arial Narrow"/>
              </w:rPr>
            </w:pPr>
            <w:r w:rsidRPr="008B2F8A">
              <w:rPr>
                <w:rFonts w:ascii="Arial Narrow" w:hAnsi="Arial Narrow"/>
              </w:rPr>
              <w:t>Unclear</w:t>
            </w:r>
          </w:p>
        </w:tc>
        <w:tc>
          <w:tcPr>
            <w:tcW w:w="1704" w:type="dxa"/>
          </w:tcPr>
          <w:p w14:paraId="2913E395" w14:textId="77777777" w:rsidR="00E47AB8" w:rsidRPr="008B2F8A" w:rsidRDefault="00E47AB8" w:rsidP="00422306">
            <w:pPr>
              <w:spacing w:before="40" w:after="80"/>
              <w:rPr>
                <w:rFonts w:ascii="Arial Narrow" w:hAnsi="Arial Narrow"/>
              </w:rPr>
            </w:pPr>
            <w:r w:rsidRPr="008B2F8A">
              <w:rPr>
                <w:rFonts w:ascii="Arial Narrow" w:hAnsi="Arial Narrow"/>
              </w:rPr>
              <w:t>Unclear</w:t>
            </w:r>
          </w:p>
        </w:tc>
        <w:tc>
          <w:tcPr>
            <w:tcW w:w="1136" w:type="dxa"/>
          </w:tcPr>
          <w:p w14:paraId="7B0E86B2" w14:textId="77777777" w:rsidR="00E47AB8" w:rsidRPr="008B2F8A" w:rsidRDefault="00E47AB8" w:rsidP="00422306">
            <w:pPr>
              <w:spacing w:before="40" w:after="80"/>
              <w:rPr>
                <w:rFonts w:ascii="Arial Narrow" w:hAnsi="Arial Narrow"/>
              </w:rPr>
            </w:pPr>
            <w:r w:rsidRPr="008B2F8A">
              <w:rPr>
                <w:rFonts w:ascii="Arial Narrow" w:hAnsi="Arial Narrow"/>
              </w:rPr>
              <w:t>Unclear</w:t>
            </w:r>
          </w:p>
        </w:tc>
        <w:tc>
          <w:tcPr>
            <w:tcW w:w="994" w:type="dxa"/>
          </w:tcPr>
          <w:p w14:paraId="77524403" w14:textId="77777777" w:rsidR="00E47AB8" w:rsidRPr="008B2F8A" w:rsidRDefault="00E47AB8" w:rsidP="00422306">
            <w:pPr>
              <w:spacing w:before="40" w:after="80"/>
              <w:rPr>
                <w:rFonts w:ascii="Arial Narrow" w:hAnsi="Arial Narrow"/>
              </w:rPr>
            </w:pPr>
            <w:r w:rsidRPr="008B2F8A">
              <w:rPr>
                <w:rFonts w:ascii="Arial Narrow" w:hAnsi="Arial Narrow"/>
              </w:rPr>
              <w:t>Unclear</w:t>
            </w:r>
          </w:p>
        </w:tc>
        <w:tc>
          <w:tcPr>
            <w:tcW w:w="4064" w:type="dxa"/>
          </w:tcPr>
          <w:p w14:paraId="2A080FEB" w14:textId="398FAFB8" w:rsidR="00E47AB8" w:rsidRPr="008B2F8A" w:rsidRDefault="00E47AB8" w:rsidP="00422306">
            <w:pPr>
              <w:spacing w:before="40" w:after="80"/>
              <w:rPr>
                <w:rFonts w:ascii="Arial Narrow" w:hAnsi="Arial Narrow"/>
              </w:rPr>
            </w:pPr>
            <w:r w:rsidRPr="008B2F8A">
              <w:rPr>
                <w:rFonts w:ascii="Arial Narrow" w:hAnsi="Arial Narrow"/>
              </w:rPr>
              <w:t xml:space="preserve">MRI is effective as a screening method in women with a genetic predisposition to breast cancer. The studies retrieved do not form the basis for valid conclusions on whether MRI </w:t>
            </w:r>
            <w:r>
              <w:rPr>
                <w:rFonts w:ascii="Arial Narrow" w:hAnsi="Arial Narrow"/>
              </w:rPr>
              <w:t xml:space="preserve">should </w:t>
            </w:r>
            <w:r w:rsidRPr="008B2F8A">
              <w:rPr>
                <w:rFonts w:ascii="Arial Narrow" w:hAnsi="Arial Narrow"/>
              </w:rPr>
              <w:t>be used in addition to mammography</w:t>
            </w:r>
          </w:p>
        </w:tc>
      </w:tr>
    </w:tbl>
    <w:p w14:paraId="3D6497BF" w14:textId="77777777" w:rsidR="00E47AB8" w:rsidRPr="008B2F8A" w:rsidRDefault="00E47AB8" w:rsidP="00E114B3">
      <w:pPr>
        <w:pStyle w:val="TableNotesLast"/>
        <w:rPr>
          <w:rFonts w:eastAsiaTheme="minorHAnsi"/>
        </w:rPr>
      </w:pPr>
      <w:r w:rsidRPr="008B2F8A">
        <w:rPr>
          <w:rFonts w:eastAsiaTheme="minorHAnsi"/>
        </w:rPr>
        <w:t xml:space="preserve">CUA = cost-utility analysis; MRI = magnetic resonance imaging; QALY = quality-adjusted life year; </w:t>
      </w:r>
      <w:r w:rsidRPr="0071000B">
        <w:rPr>
          <w:rFonts w:eastAsiaTheme="minorHAnsi"/>
          <w:i/>
        </w:rPr>
        <w:t>BRCA1/2</w:t>
      </w:r>
      <w:r w:rsidRPr="008B2F8A">
        <w:rPr>
          <w:rFonts w:eastAsiaTheme="minorHAnsi"/>
        </w:rPr>
        <w:t xml:space="preserve"> = breast cancer 1/2 gene; </w:t>
      </w:r>
      <w:r w:rsidRPr="0071000B">
        <w:rPr>
          <w:rFonts w:eastAsiaTheme="minorHAnsi"/>
          <w:i/>
        </w:rPr>
        <w:t>TP53</w:t>
      </w:r>
      <w:r w:rsidRPr="008B2F8A">
        <w:rPr>
          <w:rFonts w:eastAsiaTheme="minorHAnsi"/>
        </w:rPr>
        <w:t xml:space="preserve"> = tumour protein p53 gene.</w:t>
      </w:r>
    </w:p>
    <w:p w14:paraId="571E42B1" w14:textId="77777777" w:rsidR="00E47AB8" w:rsidRPr="007C6E89" w:rsidRDefault="00E47AB8" w:rsidP="00422306">
      <w:pPr>
        <w:spacing w:after="200"/>
        <w:rPr>
          <w:rFonts w:eastAsiaTheme="minorHAnsi" w:cstheme="minorBidi"/>
        </w:rPr>
        <w:sectPr w:rsidR="00E47AB8" w:rsidRPr="007C6E89" w:rsidSect="00422306">
          <w:headerReference w:type="default" r:id="rId44"/>
          <w:footerReference w:type="default" r:id="rId45"/>
          <w:endnotePr>
            <w:numFmt w:val="decimal"/>
          </w:endnotePr>
          <w:pgSz w:w="16838" w:h="11906" w:orient="landscape"/>
          <w:pgMar w:top="1418" w:right="1418" w:bottom="1418" w:left="1418" w:header="709" w:footer="709" w:gutter="0"/>
          <w:cols w:space="708"/>
          <w:docGrid w:linePitch="360"/>
        </w:sectPr>
      </w:pPr>
    </w:p>
    <w:p w14:paraId="3EF16501" w14:textId="76987B1F" w:rsidR="00E47AB8" w:rsidRPr="008B2F8A" w:rsidRDefault="00E47AB8" w:rsidP="00422306">
      <w:pPr>
        <w:pStyle w:val="Heading4"/>
      </w:pPr>
      <w:r w:rsidRPr="008B2F8A">
        <w:lastRenderedPageBreak/>
        <w:t xml:space="preserve">UK National Institute for Health Research HTA Programme </w:t>
      </w:r>
      <w:r w:rsidRPr="008B2F8A">
        <w:rPr>
          <w:noProof/>
        </w:rPr>
        <w:t>(Robertson et al, 2011</w:t>
      </w:r>
      <w:r w:rsidR="00E114B3">
        <w:rPr>
          <w:noProof/>
        </w:rPr>
        <w:t>a</w:t>
      </w:r>
      <w:r w:rsidRPr="008B2F8A">
        <w:rPr>
          <w:noProof/>
        </w:rPr>
        <w:t>)</w:t>
      </w:r>
    </w:p>
    <w:p w14:paraId="4DBCB5FF" w14:textId="52B85B82" w:rsidR="00E47AB8" w:rsidRPr="007C6E89" w:rsidRDefault="00E47AB8" w:rsidP="00422306">
      <w:pPr>
        <w:spacing w:after="200"/>
        <w:rPr>
          <w:rFonts w:eastAsiaTheme="minorHAnsi" w:cstheme="minorBidi"/>
        </w:rPr>
      </w:pPr>
      <w:r w:rsidRPr="007C6E89">
        <w:rPr>
          <w:rFonts w:eastAsiaTheme="minorHAnsi" w:cstheme="minorBidi"/>
        </w:rPr>
        <w:t xml:space="preserve">The economic model in the </w:t>
      </w:r>
      <w:bookmarkStart w:id="1020" w:name="OLE_LINK194"/>
      <w:bookmarkStart w:id="1021" w:name="OLE_LINK195"/>
      <w:r w:rsidRPr="007C6E89">
        <w:rPr>
          <w:rFonts w:eastAsiaTheme="minorHAnsi" w:cstheme="minorBidi"/>
        </w:rPr>
        <w:t>Robertson et al (</w:t>
      </w:r>
      <w:r w:rsidRPr="00E114B3">
        <w:rPr>
          <w:rFonts w:eastAsiaTheme="minorHAnsi" w:cstheme="minorBidi"/>
        </w:rPr>
        <w:t>2011</w:t>
      </w:r>
      <w:r w:rsidR="00E114B3" w:rsidRPr="00E114B3">
        <w:rPr>
          <w:rFonts w:eastAsiaTheme="minorHAnsi" w:cstheme="minorBidi"/>
        </w:rPr>
        <w:t>a</w:t>
      </w:r>
      <w:r w:rsidRPr="00E114B3">
        <w:rPr>
          <w:rFonts w:eastAsiaTheme="minorHAnsi" w:cstheme="minorBidi"/>
        </w:rPr>
        <w:t>)</w:t>
      </w:r>
      <w:r w:rsidRPr="007C6E89">
        <w:rPr>
          <w:rFonts w:eastAsiaTheme="minorHAnsi" w:cstheme="minorBidi"/>
        </w:rPr>
        <w:t xml:space="preserve"> </w:t>
      </w:r>
      <w:bookmarkEnd w:id="1020"/>
      <w:bookmarkEnd w:id="1021"/>
      <w:r w:rsidRPr="007C6E89">
        <w:rPr>
          <w:rFonts w:eastAsiaTheme="minorHAnsi" w:cstheme="minorBidi"/>
        </w:rPr>
        <w:t>report was a CUA designed to identify feasible management strategies for surveillance and follow-up of women after treatment for breast cancer in a UK setting, and to determine the cost-effectiveness of different regimens. The evaluation was concerned with the early detection of IBTR or ipsilateral secondary cancer in the treated breast and the detection of new primary cancers in the contralateral breast.</w:t>
      </w:r>
    </w:p>
    <w:p w14:paraId="5B9EE149" w14:textId="66335B3F" w:rsidR="00E47AB8" w:rsidRPr="007C6E89" w:rsidRDefault="00E47AB8" w:rsidP="00422306">
      <w:pPr>
        <w:spacing w:after="200"/>
        <w:rPr>
          <w:rFonts w:eastAsiaTheme="minorHAnsi" w:cstheme="minorBidi"/>
        </w:rPr>
      </w:pPr>
      <w:r w:rsidRPr="007C6E89">
        <w:rPr>
          <w:rFonts w:eastAsiaTheme="minorHAnsi" w:cstheme="minorBidi"/>
        </w:rPr>
        <w:t>The model uses a Markov structure to represent the alternative surveillance regimens modelled at varying surveillance intervals. Patients can be in health states of no cancer, treated cancer (low, medium or high risk) and untreated cancer (low, medium or high risk). The absorbing state in the model is death. The cycle length for transitions between health states was 6 months. The primary intervention was routine surveillance mammography. The comparator consisted of any of:</w:t>
      </w:r>
    </w:p>
    <w:p w14:paraId="79358BB4" w14:textId="5B405F7E" w:rsidR="00E47AB8" w:rsidRPr="008B2F8A" w:rsidRDefault="00E47AB8" w:rsidP="00E47AB8">
      <w:pPr>
        <w:numPr>
          <w:ilvl w:val="0"/>
          <w:numId w:val="71"/>
        </w:numPr>
        <w:spacing w:after="200"/>
        <w:contextualSpacing/>
      </w:pPr>
      <w:r w:rsidRPr="008B2F8A">
        <w:t>no surveillance mammography</w:t>
      </w:r>
    </w:p>
    <w:p w14:paraId="163D5E98" w14:textId="4F9C5C49" w:rsidR="00E47AB8" w:rsidRPr="008B2F8A" w:rsidRDefault="00E47AB8" w:rsidP="00E47AB8">
      <w:pPr>
        <w:numPr>
          <w:ilvl w:val="0"/>
          <w:numId w:val="71"/>
        </w:numPr>
        <w:spacing w:after="200"/>
        <w:contextualSpacing/>
      </w:pPr>
      <w:r w:rsidRPr="008B2F8A">
        <w:t>differences in frequency of surveillance mammography regimens</w:t>
      </w:r>
    </w:p>
    <w:p w14:paraId="4B62BDC4" w14:textId="0ECA6BD9" w:rsidR="00E47AB8" w:rsidRPr="008B2F8A" w:rsidRDefault="00E47AB8" w:rsidP="0071000B">
      <w:pPr>
        <w:numPr>
          <w:ilvl w:val="0"/>
          <w:numId w:val="71"/>
        </w:numPr>
        <w:spacing w:after="200"/>
        <w:ind w:left="714" w:hanging="357"/>
      </w:pPr>
      <w:r w:rsidRPr="008B2F8A">
        <w:t>alternative follow-up regimens</w:t>
      </w:r>
      <w:r>
        <w:t>;</w:t>
      </w:r>
      <w:r w:rsidRPr="008B2F8A">
        <w:t xml:space="preserve"> for example including, but not limited to, breast-care physician-led clinical examination.</w:t>
      </w:r>
    </w:p>
    <w:p w14:paraId="2616EC29" w14:textId="06982CF7" w:rsidR="00E47AB8" w:rsidRPr="007C6E89" w:rsidRDefault="00E47AB8" w:rsidP="00422306">
      <w:pPr>
        <w:spacing w:after="200"/>
        <w:rPr>
          <w:rFonts w:eastAsiaTheme="minorHAnsi" w:cstheme="minorBidi"/>
        </w:rPr>
      </w:pPr>
      <w:r w:rsidRPr="007C6E89">
        <w:rPr>
          <w:rFonts w:eastAsiaTheme="minorHAnsi" w:cstheme="minorBidi"/>
        </w:rPr>
        <w:t>Parameter estimates for the Markov model were determined from a survey of existing data sets, a series of systematic reviews, and focused searches for specific data. In addition, the evaluation included a review of individual patient data from two UK registries: the West Midlands Cancer Intelligence Unit breast cancer database and the Edinburgh breast cancer data set.</w:t>
      </w:r>
    </w:p>
    <w:p w14:paraId="586EA035" w14:textId="66156B99" w:rsidR="00E47AB8" w:rsidRPr="007C6E89" w:rsidRDefault="00E47AB8" w:rsidP="00422306">
      <w:pPr>
        <w:spacing w:after="200"/>
        <w:rPr>
          <w:rFonts w:eastAsiaTheme="minorHAnsi" w:cstheme="minorBidi"/>
        </w:rPr>
      </w:pPr>
      <w:r w:rsidRPr="007C6E89">
        <w:rPr>
          <w:rFonts w:eastAsiaTheme="minorHAnsi" w:cstheme="minorBidi"/>
        </w:rPr>
        <w:t>The results reported the cost-effectiveness of no surveillance, mammography alone, mammography + clinical examination and MRI + clinical examination. The interval between screenings could be 12, 18, 24 or 36 months. The starting age for screening in the base case was 57 years. A discount rate of 3.5% for costs and benefits was used following guidelines for NICE. In the base-case analysis the regimen with the highest net benefit and, therefore, most likely to be considered cost-effective was mammographic surveillance alone provided yearly. Sensitivity analyses showed that the results of the model were very sensitive to changes in the incidence of recurrent cancer.</w:t>
      </w:r>
    </w:p>
    <w:p w14:paraId="2704FDC0" w14:textId="5ECDAEA9" w:rsidR="00E47AB8" w:rsidRPr="008B2F8A" w:rsidRDefault="00E47AB8" w:rsidP="00422306">
      <w:pPr>
        <w:pStyle w:val="Heading4"/>
      </w:pPr>
      <w:r w:rsidRPr="008B2F8A">
        <w:t xml:space="preserve">Health Information and Quality Authority </w:t>
      </w:r>
      <w:r w:rsidRPr="008B2F8A">
        <w:rPr>
          <w:noProof/>
        </w:rPr>
        <w:t>(2013)</w:t>
      </w:r>
      <w:r>
        <w:rPr>
          <w:noProof/>
        </w:rPr>
        <w:t xml:space="preserve">, </w:t>
      </w:r>
      <w:r w:rsidRPr="008B2F8A">
        <w:t>Ireland</w:t>
      </w:r>
    </w:p>
    <w:p w14:paraId="05878931" w14:textId="6E26A7A4" w:rsidR="00E47AB8" w:rsidRPr="007C6E89" w:rsidRDefault="00E47AB8" w:rsidP="00422306">
      <w:pPr>
        <w:spacing w:after="200"/>
        <w:rPr>
          <w:rFonts w:eastAsiaTheme="minorHAnsi" w:cstheme="minorBidi"/>
        </w:rPr>
      </w:pPr>
      <w:r w:rsidRPr="007C6E89">
        <w:rPr>
          <w:rFonts w:eastAsiaTheme="minorHAnsi" w:cstheme="minorBidi"/>
        </w:rPr>
        <w:t xml:space="preserve">The economic model in the HIQA (2013) report was a CUA that sought to assess the cost-effectiveness of digital mammography, MRI or both at different frequencies and starting ages for women younger than 50 years at an elevated risk of developing breast cancer. Elevated risk included moderate- and high-risk categories as defined by NICE </w:t>
      </w:r>
      <w:r w:rsidRPr="007C6E89">
        <w:rPr>
          <w:rFonts w:eastAsiaTheme="minorHAnsi" w:cstheme="minorBidi"/>
          <w:noProof/>
        </w:rPr>
        <w:t>(2013)</w:t>
      </w:r>
      <w:r w:rsidRPr="007C6E89">
        <w:rPr>
          <w:rFonts w:eastAsiaTheme="minorHAnsi" w:cstheme="minorBidi"/>
        </w:rPr>
        <w:t>.</w:t>
      </w:r>
    </w:p>
    <w:p w14:paraId="3BA6D97E" w14:textId="5BFA3DE1" w:rsidR="00E47AB8" w:rsidRPr="007C6E89" w:rsidRDefault="00E47AB8" w:rsidP="00422306">
      <w:pPr>
        <w:spacing w:after="200"/>
        <w:rPr>
          <w:rFonts w:eastAsiaTheme="minorHAnsi" w:cstheme="minorBidi"/>
        </w:rPr>
      </w:pPr>
      <w:r w:rsidRPr="007C6E89">
        <w:rPr>
          <w:rFonts w:eastAsiaTheme="minorHAnsi" w:cstheme="minorBidi"/>
        </w:rPr>
        <w:t>The comparators were no surveillance and the existing system of ‘no organised surveillance’. The model made the following key assumptions:</w:t>
      </w:r>
    </w:p>
    <w:p w14:paraId="0AF29590" w14:textId="2A24D1F5" w:rsidR="00E47AB8" w:rsidRPr="008B2F8A" w:rsidRDefault="00E47AB8" w:rsidP="00E47AB8">
      <w:pPr>
        <w:numPr>
          <w:ilvl w:val="0"/>
          <w:numId w:val="65"/>
        </w:numPr>
        <w:spacing w:after="200"/>
        <w:contextualSpacing/>
      </w:pPr>
      <w:r w:rsidRPr="008B2F8A">
        <w:t xml:space="preserve">Women with </w:t>
      </w:r>
      <w:r w:rsidRPr="0071000B">
        <w:rPr>
          <w:i/>
        </w:rPr>
        <w:t>BRCA1</w:t>
      </w:r>
      <w:r w:rsidRPr="008B2F8A">
        <w:t xml:space="preserve">/2 </w:t>
      </w:r>
      <w:r>
        <w:t>or</w:t>
      </w:r>
      <w:r w:rsidRPr="008B2F8A">
        <w:t xml:space="preserve"> other identified mutations received MRI from age 30 </w:t>
      </w:r>
      <w:r>
        <w:t xml:space="preserve">years </w:t>
      </w:r>
      <w:r w:rsidRPr="008B2F8A">
        <w:t>and digital mammography from 40</w:t>
      </w:r>
      <w:r>
        <w:t xml:space="preserve"> years</w:t>
      </w:r>
      <w:r w:rsidRPr="008B2F8A">
        <w:t>.</w:t>
      </w:r>
    </w:p>
    <w:p w14:paraId="1760602D" w14:textId="61976916" w:rsidR="00E47AB8" w:rsidRPr="008B2F8A" w:rsidRDefault="00E47AB8" w:rsidP="0071000B">
      <w:pPr>
        <w:numPr>
          <w:ilvl w:val="0"/>
          <w:numId w:val="65"/>
        </w:numPr>
        <w:spacing w:after="0"/>
        <w:ind w:left="714" w:hanging="357"/>
        <w:contextualSpacing/>
      </w:pPr>
      <w:r w:rsidRPr="008B2F8A">
        <w:t xml:space="preserve">Women with </w:t>
      </w:r>
      <w:r w:rsidRPr="0071000B">
        <w:rPr>
          <w:i/>
        </w:rPr>
        <w:t>TP53</w:t>
      </w:r>
      <w:r w:rsidRPr="008B2F8A">
        <w:t xml:space="preserve"> mutations received annual MRI from </w:t>
      </w:r>
      <w:r>
        <w:t xml:space="preserve">age </w:t>
      </w:r>
      <w:r w:rsidRPr="008B2F8A">
        <w:t xml:space="preserve">20 </w:t>
      </w:r>
      <w:r>
        <w:t xml:space="preserve">years </w:t>
      </w:r>
      <w:r w:rsidRPr="008B2F8A">
        <w:t>and digital mammography from 30 to 35</w:t>
      </w:r>
      <w:r>
        <w:t xml:space="preserve"> years</w:t>
      </w:r>
      <w:r w:rsidRPr="008B2F8A">
        <w:t>.</w:t>
      </w:r>
    </w:p>
    <w:p w14:paraId="67564DED" w14:textId="17A63FC2" w:rsidR="00E47AB8" w:rsidRPr="008B2F8A" w:rsidRDefault="00E47AB8" w:rsidP="00E47AB8">
      <w:pPr>
        <w:pStyle w:val="ListParagraph"/>
        <w:numPr>
          <w:ilvl w:val="0"/>
          <w:numId w:val="65"/>
        </w:numPr>
      </w:pPr>
      <w:r w:rsidRPr="008B2F8A">
        <w:t>Women with moderate or high familial risk under</w:t>
      </w:r>
      <w:r>
        <w:t>went</w:t>
      </w:r>
      <w:r w:rsidRPr="008B2F8A">
        <w:t xml:space="preserve"> digital mammography with an annual surveillance rate of 70% and 85% respectively, and a biennial rate of 24% and 11%.</w:t>
      </w:r>
    </w:p>
    <w:p w14:paraId="74F8640C" w14:textId="673FEC4B" w:rsidR="00E47AB8" w:rsidRPr="007C6E89" w:rsidRDefault="00E47AB8" w:rsidP="00422306">
      <w:pPr>
        <w:spacing w:after="200"/>
        <w:rPr>
          <w:rFonts w:eastAsiaTheme="minorHAnsi" w:cstheme="minorBidi"/>
        </w:rPr>
      </w:pPr>
      <w:r w:rsidRPr="007C6E89">
        <w:rPr>
          <w:rFonts w:eastAsiaTheme="minorHAnsi" w:cstheme="minorBidi"/>
        </w:rPr>
        <w:lastRenderedPageBreak/>
        <w:t>The model has a Markov structure and follows a hypothetical cohort of 1,000 women from age 20 years to life expectancy for women at age 50 years (assumed to be 83 years). Each individual was modelled from age 20 years using consecutive 6-month cycles. Ten states were included: healthy; undetected DCIS; undetected invasive cancer at 6, 12, 18 and 25 months; detected cancer; in treatment; terminal breast cancer; and deceased.</w:t>
      </w:r>
    </w:p>
    <w:p w14:paraId="78231039" w14:textId="0BC56741" w:rsidR="00E47AB8" w:rsidRPr="007C6E89" w:rsidRDefault="00E47AB8" w:rsidP="00422306">
      <w:pPr>
        <w:spacing w:after="200"/>
        <w:rPr>
          <w:rFonts w:eastAsiaTheme="minorHAnsi" w:cstheme="minorBidi"/>
        </w:rPr>
      </w:pPr>
      <w:r w:rsidRPr="007C6E89">
        <w:rPr>
          <w:rFonts w:eastAsiaTheme="minorHAnsi" w:cstheme="minorBidi"/>
        </w:rPr>
        <w:t>Strategies for surveillance were defined by the imaging method, starting age and frequency. Imaging methods were digital mammography, MRI and both. A discount rate of 4% was applied.</w:t>
      </w:r>
    </w:p>
    <w:p w14:paraId="74326240" w14:textId="633405A2" w:rsidR="00E47AB8" w:rsidRPr="007C6E89" w:rsidRDefault="00E47AB8" w:rsidP="00422306">
      <w:pPr>
        <w:spacing w:after="200"/>
        <w:rPr>
          <w:rFonts w:eastAsiaTheme="minorHAnsi" w:cstheme="minorBidi"/>
        </w:rPr>
      </w:pPr>
      <w:r w:rsidRPr="007C6E89">
        <w:rPr>
          <w:rFonts w:eastAsiaTheme="minorHAnsi" w:cstheme="minorBidi"/>
        </w:rPr>
        <w:t xml:space="preserve">The economic model required a range of input parameters that describe the diagnostic test accuracy of the imaging modalities, the probability of developing breast cancer, the types of treatment given to identified cases of breast cancer, and the associated costs of surveillance, further testing and treatment. Overall, the economic evaluation concluded that annual MRI in women aged 30–49 years is the most cost-effective for women with </w:t>
      </w:r>
      <w:r w:rsidRPr="0071000B">
        <w:rPr>
          <w:rFonts w:eastAsiaTheme="minorHAnsi" w:cstheme="minorBidi"/>
          <w:i/>
        </w:rPr>
        <w:t>BRCA1</w:t>
      </w:r>
      <w:r w:rsidRPr="007C6E89">
        <w:rPr>
          <w:rFonts w:eastAsiaTheme="minorHAnsi" w:cstheme="minorBidi"/>
        </w:rPr>
        <w:t xml:space="preserve"> and </w:t>
      </w:r>
      <w:r w:rsidRPr="0071000B">
        <w:rPr>
          <w:rFonts w:eastAsiaTheme="minorHAnsi" w:cstheme="minorBidi"/>
          <w:i/>
        </w:rPr>
        <w:t>BRCA2</w:t>
      </w:r>
      <w:r w:rsidRPr="007C6E89">
        <w:rPr>
          <w:rFonts w:eastAsiaTheme="minorHAnsi" w:cstheme="minorBidi"/>
        </w:rPr>
        <w:t xml:space="preserve"> mutations. The addition of mammography did not result in a substantial clinical benefit. The report recommended that surveillance should not be used in women with high familial risk before age 40 years, and that mammography alone could be offered to women at high familial risk at age 40–49 years.</w:t>
      </w:r>
    </w:p>
    <w:p w14:paraId="4BF021B8" w14:textId="061CE93A" w:rsidR="00E47AB8" w:rsidRPr="008B2F8A" w:rsidRDefault="00E47AB8" w:rsidP="00422306">
      <w:pPr>
        <w:pStyle w:val="Heading4"/>
      </w:pPr>
      <w:r w:rsidRPr="008B2F8A">
        <w:t xml:space="preserve">National Institute of Clinical and Health Excellence </w:t>
      </w:r>
      <w:r w:rsidRPr="008B2F8A">
        <w:rPr>
          <w:noProof/>
        </w:rPr>
        <w:t>(2013)</w:t>
      </w:r>
      <w:r>
        <w:rPr>
          <w:noProof/>
        </w:rPr>
        <w:t xml:space="preserve">, </w:t>
      </w:r>
      <w:r w:rsidRPr="008B2F8A">
        <w:t>United Kingdom</w:t>
      </w:r>
    </w:p>
    <w:p w14:paraId="564A5C0B" w14:textId="21BC70A5" w:rsidR="00E47AB8" w:rsidRPr="007C6E89" w:rsidRDefault="00E47AB8" w:rsidP="00422306">
      <w:pPr>
        <w:spacing w:after="200"/>
        <w:rPr>
          <w:rFonts w:eastAsiaTheme="minorHAnsi" w:cstheme="minorBidi"/>
        </w:rPr>
      </w:pPr>
      <w:r w:rsidRPr="007C6E89">
        <w:rPr>
          <w:rFonts w:eastAsiaTheme="minorHAnsi" w:cstheme="minorBidi"/>
        </w:rPr>
        <w:t xml:space="preserve">The NICE (2013) guidance (CG164) on familial breast cancer presents a CUA of various surveillance strategies, including annual mammography, annual MRI and annual combined screening. The guideline, issued in June 2013, is an update of the NICE (2006) CG41 on the management of people at risk of familial breast cancer, developed by the National Collaborating Centre for Primary Care and published by </w:t>
      </w:r>
      <w:bookmarkStart w:id="1022" w:name="OLE_LINK854"/>
      <w:bookmarkStart w:id="1023" w:name="OLE_LINK855"/>
      <w:r w:rsidRPr="007C6E89">
        <w:rPr>
          <w:rFonts w:eastAsiaTheme="minorHAnsi" w:cstheme="minorBidi"/>
        </w:rPr>
        <w:t xml:space="preserve">Norman et al </w:t>
      </w:r>
      <w:r w:rsidRPr="007C6E89">
        <w:rPr>
          <w:rFonts w:eastAsiaTheme="minorHAnsi" w:cstheme="minorBidi"/>
          <w:noProof/>
        </w:rPr>
        <w:t>(2007</w:t>
      </w:r>
      <w:bookmarkEnd w:id="1022"/>
      <w:bookmarkEnd w:id="1023"/>
      <w:r w:rsidRPr="007C6E89">
        <w:rPr>
          <w:rFonts w:eastAsiaTheme="minorHAnsi" w:cstheme="minorBidi"/>
          <w:noProof/>
        </w:rPr>
        <w:t>)</w:t>
      </w:r>
      <w:r w:rsidRPr="007C6E89">
        <w:rPr>
          <w:rFonts w:eastAsiaTheme="minorHAnsi" w:cstheme="minorBidi"/>
        </w:rPr>
        <w:t>.</w:t>
      </w:r>
    </w:p>
    <w:p w14:paraId="7DBA07C8" w14:textId="7D1662D1" w:rsidR="00E47AB8" w:rsidRPr="007C6E89" w:rsidRDefault="00E47AB8" w:rsidP="00422306">
      <w:pPr>
        <w:spacing w:after="200"/>
        <w:rPr>
          <w:rFonts w:eastAsiaTheme="minorHAnsi" w:cstheme="minorBidi"/>
        </w:rPr>
      </w:pPr>
      <w:r w:rsidRPr="007C6E89">
        <w:rPr>
          <w:rFonts w:eastAsiaTheme="minorHAnsi" w:cstheme="minorBidi"/>
        </w:rPr>
        <w:t xml:space="preserve">In the original NICE (2006) model, 1000 hypothetical individuals (aged 30–39 or 40–49 years) were introduced into the model and received a screening option for 10 years. The model takes the perspective of the UK NHS and applies discounting at a rate of 3.5% per annum. The primary population of interest was women with a family history of breast cancer or a gene mutation for breast cancer. Four possible surveillance strategies were evaluated: no screening, annual mammography, annual MRI scans, and both annual mammography and MRI scans in parallel. The transition of patients between health states, presented </w:t>
      </w:r>
      <w:r w:rsidRPr="00B47797">
        <w:rPr>
          <w:rFonts w:eastAsiaTheme="minorHAnsi" w:cstheme="minorBidi"/>
        </w:rPr>
        <w:t xml:space="preserve">in </w:t>
      </w:r>
      <w:r w:rsidRPr="00B47797">
        <w:rPr>
          <w:rFonts w:asciiTheme="minorHAnsi" w:eastAsiaTheme="minorHAnsi" w:hAnsiTheme="minorHAnsi" w:cstheme="minorBidi"/>
        </w:rPr>
        <w:fldChar w:fldCharType="begin"/>
      </w:r>
      <w:r w:rsidRPr="00B47797">
        <w:rPr>
          <w:rFonts w:asciiTheme="minorHAnsi" w:eastAsiaTheme="minorHAnsi" w:hAnsiTheme="minorHAnsi" w:cstheme="minorBidi"/>
        </w:rPr>
        <w:instrText xml:space="preserve"> REF _Ref256164372 \h </w:instrText>
      </w:r>
      <w:r w:rsidR="00B47797">
        <w:rPr>
          <w:rFonts w:asciiTheme="minorHAnsi" w:eastAsiaTheme="minorHAnsi" w:hAnsiTheme="minorHAnsi" w:cstheme="minorBidi"/>
        </w:rPr>
        <w:instrText xml:space="preserve"> \* MERGEFORMAT </w:instrText>
      </w:r>
      <w:r w:rsidRPr="00B47797">
        <w:rPr>
          <w:rFonts w:asciiTheme="minorHAnsi" w:eastAsiaTheme="minorHAnsi" w:hAnsiTheme="minorHAnsi" w:cstheme="minorBidi"/>
        </w:rPr>
      </w:r>
      <w:r w:rsidRPr="00B47797">
        <w:rPr>
          <w:rFonts w:asciiTheme="minorHAnsi" w:eastAsiaTheme="minorHAnsi" w:hAnsiTheme="minorHAnsi" w:cstheme="minorBidi"/>
        </w:rPr>
        <w:fldChar w:fldCharType="separate"/>
      </w:r>
      <w:r w:rsidR="00B81273" w:rsidRPr="008B2F8A">
        <w:t xml:space="preserve">Figure </w:t>
      </w:r>
      <w:r w:rsidR="00B81273">
        <w:rPr>
          <w:noProof/>
        </w:rPr>
        <w:t>D</w:t>
      </w:r>
      <w:r w:rsidR="00B81273" w:rsidRPr="008B2F8A">
        <w:t>.</w:t>
      </w:r>
      <w:r w:rsidR="00B81273">
        <w:rPr>
          <w:noProof/>
        </w:rPr>
        <w:t>1</w:t>
      </w:r>
      <w:r w:rsidRPr="00B47797">
        <w:rPr>
          <w:rFonts w:asciiTheme="minorHAnsi" w:eastAsiaTheme="minorHAnsi" w:hAnsiTheme="minorHAnsi" w:cstheme="minorBidi"/>
        </w:rPr>
        <w:fldChar w:fldCharType="end"/>
      </w:r>
      <w:r w:rsidRPr="007C6E89">
        <w:rPr>
          <w:rFonts w:eastAsiaTheme="minorHAnsi" w:cstheme="minorBidi"/>
        </w:rPr>
        <w:t>, was followed over consecutive 1-year cycles, assigning costs and benefits until death (ie, a lifetime time horizon). Death was assumed to occur when the woman reaches the life expectancy specific to her age when she exits the 10-year screening. The model assumed that false-positives are assessed and identified immediately through further MRI and ultrasound investigation, and the individuals are returned to the healthy population for the subsequent cycle. The model also assumes that individuals who have received two false-negative results will have their cancer diagnosed in primary care in the third screening cycle.</w:t>
      </w:r>
    </w:p>
    <w:p w14:paraId="64C9722C" w14:textId="77777777" w:rsidR="00E47AB8" w:rsidRPr="008B2F8A" w:rsidRDefault="00E47AB8" w:rsidP="00422306">
      <w:pPr>
        <w:pStyle w:val="Caption"/>
      </w:pPr>
      <w:bookmarkStart w:id="1024" w:name="_Ref256164372"/>
      <w:bookmarkStart w:id="1025" w:name="_Toc383424677"/>
      <w:r w:rsidRPr="008B2F8A">
        <w:lastRenderedPageBreak/>
        <w:t xml:space="preserve">Figure </w:t>
      </w:r>
      <w:fldSimple w:instr=" STYLEREF 1 \s ">
        <w:r w:rsidR="00B81273">
          <w:rPr>
            <w:noProof/>
          </w:rPr>
          <w:t>D</w:t>
        </w:r>
      </w:fldSimple>
      <w:r w:rsidRPr="008B2F8A">
        <w:t>.</w:t>
      </w:r>
      <w:fldSimple w:instr=" SEQ Figure \* ARABIC \s 1 ">
        <w:r w:rsidR="00B81273">
          <w:rPr>
            <w:noProof/>
          </w:rPr>
          <w:t>1</w:t>
        </w:r>
      </w:fldSimple>
      <w:bookmarkEnd w:id="1024"/>
      <w:r w:rsidRPr="008B2F8A">
        <w:t xml:space="preserve"> </w:t>
      </w:r>
      <w:bookmarkStart w:id="1026" w:name="OLE_LINK1075"/>
      <w:bookmarkStart w:id="1027" w:name="OLE_LINK1076"/>
      <w:r w:rsidRPr="008B2F8A">
        <w:t>Structure of economic model by NICE Clinical Guideline 41</w:t>
      </w:r>
      <w:bookmarkEnd w:id="1026"/>
      <w:bookmarkEnd w:id="1027"/>
      <w:r w:rsidRPr="008B2F8A">
        <w:t>.</w:t>
      </w:r>
      <w:bookmarkEnd w:id="1025"/>
    </w:p>
    <w:p w14:paraId="1F2DFF31" w14:textId="77777777" w:rsidR="00E47AB8" w:rsidRPr="008B2F8A" w:rsidRDefault="00E47AB8" w:rsidP="00422306">
      <w:pPr>
        <w:keepNext/>
        <w:keepLines/>
        <w:autoSpaceDE w:val="0"/>
        <w:autoSpaceDN w:val="0"/>
        <w:adjustRightInd w:val="0"/>
        <w:spacing w:after="240"/>
        <w:rPr>
          <w:rFonts w:eastAsiaTheme="minorHAnsi" w:cs="Tahoma"/>
          <w:color w:val="000000"/>
          <w:sz w:val="24"/>
          <w:szCs w:val="24"/>
        </w:rPr>
      </w:pPr>
      <w:r w:rsidRPr="008B2F8A">
        <w:rPr>
          <w:rFonts w:ascii="Tahoma" w:eastAsiaTheme="minorHAnsi" w:hAnsi="Tahoma" w:cs="Tahoma"/>
          <w:noProof/>
          <w:color w:val="000000"/>
          <w:sz w:val="24"/>
          <w:szCs w:val="24"/>
          <w:bdr w:val="single" w:sz="4" w:space="0" w:color="auto"/>
          <w:lang w:eastAsia="en-AU"/>
        </w:rPr>
        <w:drawing>
          <wp:inline distT="0" distB="0" distL="0" distR="0" wp14:anchorId="263060C0" wp14:editId="28FC5A47">
            <wp:extent cx="5498996" cy="3260035"/>
            <wp:effectExtent l="0" t="0" r="0" b="0"/>
            <wp:docPr id="19" name="Picture 19" descr="Flow diagram with 5 interlinked balloons" title="Structure of economic model by NICE Clinical Guidel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498996" cy="3260035"/>
                    </a:xfrm>
                    <a:prstGeom prst="rect">
                      <a:avLst/>
                    </a:prstGeom>
                    <a:ln>
                      <a:noFill/>
                    </a:ln>
                  </pic:spPr>
                </pic:pic>
              </a:graphicData>
            </a:graphic>
          </wp:inline>
        </w:drawing>
      </w:r>
    </w:p>
    <w:p w14:paraId="42A3C248" w14:textId="3C2AF0CF" w:rsidR="00E47AB8" w:rsidRPr="007C6E89" w:rsidRDefault="00E47AB8" w:rsidP="00422306">
      <w:pPr>
        <w:spacing w:after="200"/>
        <w:rPr>
          <w:rFonts w:eastAsiaTheme="minorHAnsi" w:cstheme="minorBidi"/>
        </w:rPr>
      </w:pPr>
      <w:r w:rsidRPr="007C6E89">
        <w:rPr>
          <w:rFonts w:eastAsiaTheme="minorHAnsi" w:cstheme="minorBidi"/>
        </w:rPr>
        <w:t>The model depends on three main assumptions. First, a false-negative result harms prognosis by giving these patients a poorer prognosis for each year that diagnosis is delayed. The model accounts for this by assigning different 5-year survival rates to individuals on the basis of whether their cancer is detected at the first, second or third possible opportunity.</w:t>
      </w:r>
    </w:p>
    <w:p w14:paraId="1F6128F0" w14:textId="1525850B" w:rsidR="00E47AB8" w:rsidRPr="007C6E89" w:rsidRDefault="00E47AB8" w:rsidP="00422306">
      <w:pPr>
        <w:spacing w:after="200"/>
        <w:rPr>
          <w:rFonts w:eastAsiaTheme="minorHAnsi" w:cstheme="minorBidi"/>
        </w:rPr>
      </w:pPr>
      <w:r w:rsidRPr="007C6E89">
        <w:rPr>
          <w:rFonts w:eastAsiaTheme="minorHAnsi" w:cstheme="minorBidi"/>
        </w:rPr>
        <w:t>Second, there is no way for patients to transition directly from ‘true-positive’ to ‘dead’, because people must pass through the ‘in treatment’ health state before they progress to death.</w:t>
      </w:r>
    </w:p>
    <w:p w14:paraId="6D6C3E6D" w14:textId="7557E69E" w:rsidR="00E47AB8" w:rsidRPr="007C6E89" w:rsidRDefault="00E47AB8" w:rsidP="00422306">
      <w:pPr>
        <w:spacing w:after="200"/>
        <w:rPr>
          <w:rFonts w:eastAsiaTheme="minorHAnsi" w:cstheme="minorBidi"/>
        </w:rPr>
      </w:pPr>
      <w:r w:rsidRPr="007C6E89">
        <w:rPr>
          <w:rFonts w:eastAsiaTheme="minorHAnsi" w:cstheme="minorBidi"/>
        </w:rPr>
        <w:t>Third, the model does not incorporate a non-disease-specific death rate, as it assumes that the death rate would be low in the age groups considered.</w:t>
      </w:r>
    </w:p>
    <w:p w14:paraId="6CA3C120" w14:textId="77777777" w:rsidR="00E47AB8" w:rsidRPr="007C6E89" w:rsidRDefault="00E47AB8" w:rsidP="00422306">
      <w:pPr>
        <w:spacing w:after="200"/>
        <w:rPr>
          <w:rFonts w:eastAsiaTheme="minorHAnsi" w:cstheme="minorBidi"/>
        </w:rPr>
      </w:pPr>
      <w:r w:rsidRPr="007C6E89">
        <w:rPr>
          <w:rFonts w:eastAsiaTheme="minorHAnsi" w:cstheme="minorBidi"/>
        </w:rPr>
        <w:t>The key parameters of the model were:</w:t>
      </w:r>
    </w:p>
    <w:p w14:paraId="6134C742" w14:textId="77777777" w:rsidR="00E47AB8" w:rsidRPr="008B2F8A" w:rsidRDefault="00E47AB8" w:rsidP="00E47AB8">
      <w:pPr>
        <w:numPr>
          <w:ilvl w:val="0"/>
          <w:numId w:val="62"/>
        </w:numPr>
        <w:spacing w:after="200"/>
        <w:contextualSpacing/>
      </w:pPr>
      <w:r w:rsidRPr="008B2F8A">
        <w:t>the sensitivities and specificities of the different screening methods</w:t>
      </w:r>
    </w:p>
    <w:p w14:paraId="40CD18B3" w14:textId="77777777" w:rsidR="00E47AB8" w:rsidRPr="008B2F8A" w:rsidRDefault="00E47AB8" w:rsidP="00E47AB8">
      <w:pPr>
        <w:numPr>
          <w:ilvl w:val="0"/>
          <w:numId w:val="62"/>
        </w:numPr>
        <w:spacing w:after="200"/>
        <w:contextualSpacing/>
      </w:pPr>
      <w:r w:rsidRPr="008B2F8A">
        <w:t>the risk of developing breast cancer in women of different risk groups (including age)</w:t>
      </w:r>
    </w:p>
    <w:p w14:paraId="1739702F" w14:textId="77777777" w:rsidR="00E47AB8" w:rsidRPr="008B2F8A" w:rsidRDefault="00E47AB8" w:rsidP="00E47AB8">
      <w:pPr>
        <w:numPr>
          <w:ilvl w:val="0"/>
          <w:numId w:val="62"/>
        </w:numPr>
        <w:spacing w:after="200"/>
        <w:contextualSpacing/>
      </w:pPr>
      <w:r w:rsidRPr="008B2F8A">
        <w:t>survival rate in women diagnosed with breast cancer (accounting for women with false diagnoses)</w:t>
      </w:r>
    </w:p>
    <w:p w14:paraId="119176CC" w14:textId="77777777" w:rsidR="00E47AB8" w:rsidRPr="008B2F8A" w:rsidRDefault="00E47AB8" w:rsidP="00E47AB8">
      <w:pPr>
        <w:numPr>
          <w:ilvl w:val="0"/>
          <w:numId w:val="62"/>
        </w:numPr>
        <w:spacing w:after="200"/>
        <w:contextualSpacing/>
      </w:pPr>
      <w:r w:rsidRPr="008B2F8A">
        <w:t>the risk of developing breast cancer as a result of radiation exposure through mammography</w:t>
      </w:r>
    </w:p>
    <w:p w14:paraId="14871AAC" w14:textId="77777777" w:rsidR="00E47AB8" w:rsidRPr="008B2F8A" w:rsidRDefault="00E47AB8" w:rsidP="00E47AB8">
      <w:pPr>
        <w:numPr>
          <w:ilvl w:val="0"/>
          <w:numId w:val="62"/>
        </w:numPr>
        <w:spacing w:after="200"/>
        <w:contextualSpacing/>
      </w:pPr>
      <w:r w:rsidRPr="008B2F8A">
        <w:t>utility values for women in different health states</w:t>
      </w:r>
    </w:p>
    <w:p w14:paraId="1E16F28E" w14:textId="77777777" w:rsidR="00E47AB8" w:rsidRPr="008B2F8A" w:rsidRDefault="00E47AB8" w:rsidP="0071000B">
      <w:pPr>
        <w:numPr>
          <w:ilvl w:val="0"/>
          <w:numId w:val="62"/>
        </w:numPr>
        <w:spacing w:after="200"/>
        <w:ind w:left="714" w:hanging="357"/>
      </w:pPr>
      <w:r w:rsidRPr="008B2F8A">
        <w:t>costs.</w:t>
      </w:r>
    </w:p>
    <w:p w14:paraId="716402A8" w14:textId="5E049674" w:rsidR="00E47AB8" w:rsidRPr="007C6E89" w:rsidRDefault="00E47AB8" w:rsidP="00422306">
      <w:pPr>
        <w:spacing w:after="200"/>
        <w:rPr>
          <w:rFonts w:eastAsiaTheme="minorHAnsi" w:cstheme="minorBidi"/>
        </w:rPr>
      </w:pPr>
      <w:r w:rsidRPr="007C6E89">
        <w:rPr>
          <w:rFonts w:eastAsiaTheme="minorHAnsi" w:cstheme="minorBidi"/>
        </w:rPr>
        <w:t xml:space="preserve">The 2013 update of NICE CG41 (CG164) is identical to the previous model (CG41; </w:t>
      </w:r>
      <w:r w:rsidRPr="007C6E89">
        <w:rPr>
          <w:rFonts w:eastAsiaTheme="minorHAnsi" w:cstheme="minorBidi"/>
          <w:noProof/>
        </w:rPr>
        <w:t>NICE, 2006</w:t>
      </w:r>
      <w:r w:rsidRPr="007C6E89">
        <w:rPr>
          <w:rFonts w:eastAsiaTheme="minorHAnsi" w:cstheme="minorBidi"/>
        </w:rPr>
        <w:t xml:space="preserve">) and does not include any new clinical data for the familial high-risk and </w:t>
      </w:r>
      <w:r w:rsidRPr="0071000B">
        <w:rPr>
          <w:rFonts w:eastAsiaTheme="minorHAnsi" w:cstheme="minorBidi"/>
          <w:i/>
        </w:rPr>
        <w:t>BRCA1</w:t>
      </w:r>
      <w:r w:rsidRPr="007C6E89">
        <w:rPr>
          <w:rFonts w:eastAsiaTheme="minorHAnsi" w:cstheme="minorBidi"/>
        </w:rPr>
        <w:t xml:space="preserve"> populations. It does, however, include an additional analysis of the cost-effectiveness of surveillance in people with a personal history of breast cancer and a familial risk. It includes new clinical parameters for the additional population, but also broadens the included age range to 30–69 years. Furthermore, it includes digital mammography instead of film-screen mammography (in the 2006 analysis).</w:t>
      </w:r>
    </w:p>
    <w:p w14:paraId="24C6D567" w14:textId="11EE30D9" w:rsidR="00E47AB8" w:rsidRPr="007C6E89" w:rsidRDefault="00E47AB8" w:rsidP="00422306">
      <w:pPr>
        <w:spacing w:after="200"/>
        <w:rPr>
          <w:rFonts w:eastAsiaTheme="minorHAnsi" w:cstheme="minorBidi"/>
        </w:rPr>
      </w:pPr>
      <w:r w:rsidRPr="007C6E89">
        <w:rPr>
          <w:rFonts w:eastAsiaTheme="minorHAnsi" w:cstheme="minorBidi"/>
        </w:rPr>
        <w:lastRenderedPageBreak/>
        <w:t xml:space="preserve">For women with no previous history of breast cancer, the results reported in NICE CG41 suggested that individuals with </w:t>
      </w:r>
      <w:r w:rsidRPr="0071000B">
        <w:rPr>
          <w:rFonts w:eastAsiaTheme="minorHAnsi" w:cstheme="minorBidi"/>
          <w:i/>
        </w:rPr>
        <w:t>BRCA1</w:t>
      </w:r>
      <w:r w:rsidRPr="008B2F8A">
        <w:rPr>
          <w:rFonts w:eastAsiaTheme="minorHAnsi" w:cs="Calibri"/>
        </w:rPr>
        <w:t xml:space="preserve"> </w:t>
      </w:r>
      <w:r w:rsidRPr="007C6E89">
        <w:rPr>
          <w:rFonts w:eastAsiaTheme="minorHAnsi" w:cstheme="minorBidi"/>
        </w:rPr>
        <w:t>mutations should receive both annual mammography and MRI scans, since the ICER for combined testing was close to the £20,000 per QALY threshold used by NICE. Individuals at high risk for breast cancer on the basis of family history were recommended annual mammography, but the cost-effectiveness of MRI screening or a combined approach was uncertain, with ICERs between £20,000</w:t>
      </w:r>
      <w:r w:rsidRPr="008B2F8A">
        <w:rPr>
          <w:rFonts w:eastAsiaTheme="minorHAnsi" w:cs="Calibri"/>
        </w:rPr>
        <w:t xml:space="preserve"> </w:t>
      </w:r>
      <w:r w:rsidRPr="007C6E89">
        <w:rPr>
          <w:rFonts w:eastAsiaTheme="minorHAnsi" w:cstheme="minorBidi"/>
        </w:rPr>
        <w:t>and £30,000 per QALY. This evaluation was not updated in the NICE (2013) guideline on familial breast cancer.</w:t>
      </w:r>
    </w:p>
    <w:p w14:paraId="7AF59952" w14:textId="35B21A6A" w:rsidR="00E47AB8" w:rsidRPr="007C6E89" w:rsidRDefault="00E47AB8" w:rsidP="00422306">
      <w:pPr>
        <w:spacing w:after="200"/>
        <w:rPr>
          <w:rFonts w:eastAsiaTheme="minorHAnsi" w:cstheme="minorBidi"/>
        </w:rPr>
      </w:pPr>
      <w:r w:rsidRPr="007C6E89">
        <w:rPr>
          <w:rFonts w:eastAsiaTheme="minorHAnsi" w:cstheme="minorBidi"/>
        </w:rPr>
        <w:t xml:space="preserve">For women with a previous history of breast cancer and a high familial risk, the results of the NICE (2013) CG164 indicate that in younger women (30–39 years), all screening strategies were cost-effective compared with no screening at a cost-effectiveness threshold of £20,000 per QALY gained. MRI alone was expected to be cost-effective compared with mammography, providing the highest net monetary benefit at a cost-effectiveness threshold of £20,000. MRI + mammography </w:t>
      </w:r>
      <w:r w:rsidRPr="008B2F8A">
        <w:rPr>
          <w:rFonts w:eastAsiaTheme="minorHAnsi" w:cs="Calibri"/>
        </w:rPr>
        <w:t>wa</w:t>
      </w:r>
      <w:r w:rsidRPr="007C6E89">
        <w:rPr>
          <w:rFonts w:eastAsiaTheme="minorHAnsi" w:cstheme="minorBidi"/>
        </w:rPr>
        <w:t>s not expected to be cost-effective compared with either test alone. The same conclusions were drawn for women aged 40–49 years with a high familial risk for breast cancer.</w:t>
      </w:r>
    </w:p>
    <w:p w14:paraId="3B07D4E0" w14:textId="0CAC1865" w:rsidR="00E47AB8" w:rsidRPr="008B2F8A" w:rsidRDefault="00E47AB8" w:rsidP="00E47AB8">
      <w:pPr>
        <w:pStyle w:val="Heading3"/>
        <w:numPr>
          <w:ilvl w:val="2"/>
          <w:numId w:val="42"/>
        </w:numPr>
      </w:pPr>
      <w:bookmarkStart w:id="1028" w:name="_Ref377540080"/>
      <w:bookmarkStart w:id="1029" w:name="_Toc383424493"/>
      <w:bookmarkStart w:id="1030" w:name="_Toc355274813"/>
      <w:r w:rsidRPr="008B2F8A">
        <w:t>Economic evaluation undertaken</w:t>
      </w:r>
      <w:bookmarkEnd w:id="1028"/>
      <w:r w:rsidRPr="008B2F8A">
        <w:t xml:space="preserve"> for this assessment</w:t>
      </w:r>
      <w:bookmarkEnd w:id="1029"/>
    </w:p>
    <w:p w14:paraId="367E7968" w14:textId="7915753E" w:rsidR="00E47AB8" w:rsidRPr="007C6E89" w:rsidRDefault="00E47AB8" w:rsidP="00422306">
      <w:pPr>
        <w:spacing w:after="200"/>
        <w:rPr>
          <w:rFonts w:eastAsiaTheme="minorHAnsi" w:cstheme="minorBidi"/>
        </w:rPr>
      </w:pPr>
      <w:r w:rsidRPr="007C6E89">
        <w:rPr>
          <w:rFonts w:eastAsiaTheme="minorHAnsi" w:cstheme="minorBidi"/>
        </w:rPr>
        <w:t xml:space="preserve">On the basis of the review of published economic evaluations above, the structure of the economic model used in this assessment report is based on the Markov model structure used in the NICE (2006, 2013) clinical guidelines for familial breast cancer (CG41 and CG164). A working version of the model used in the development of the NICE (2006) CG41 </w:t>
      </w:r>
      <w:r w:rsidRPr="007C6E89">
        <w:rPr>
          <w:rFonts w:eastAsiaTheme="minorHAnsi" w:cstheme="minorBidi"/>
          <w:noProof/>
        </w:rPr>
        <w:t>(</w:t>
      </w:r>
      <w:bookmarkStart w:id="1031" w:name="OLE_LINK856"/>
      <w:bookmarkStart w:id="1032" w:name="OLE_LINK857"/>
      <w:r w:rsidRPr="007C6E89">
        <w:rPr>
          <w:rFonts w:eastAsiaTheme="minorHAnsi" w:cstheme="minorBidi"/>
          <w:noProof/>
        </w:rPr>
        <w:t>National Collaborating Centre for Primary Care, 2006</w:t>
      </w:r>
      <w:bookmarkEnd w:id="1031"/>
      <w:bookmarkEnd w:id="1032"/>
      <w:r w:rsidRPr="007C6E89">
        <w:rPr>
          <w:rFonts w:eastAsiaTheme="minorHAnsi" w:cstheme="minorBidi"/>
          <w:noProof/>
        </w:rPr>
        <w:t>)</w:t>
      </w:r>
      <w:r w:rsidRPr="007C6E89">
        <w:rPr>
          <w:rFonts w:eastAsiaTheme="minorHAnsi" w:cstheme="minorBidi"/>
        </w:rPr>
        <w:t xml:space="preserve">, also reported by Norman et al </w:t>
      </w:r>
      <w:r w:rsidRPr="007C6E89">
        <w:rPr>
          <w:rFonts w:eastAsiaTheme="minorHAnsi" w:cstheme="minorBidi"/>
          <w:noProof/>
        </w:rPr>
        <w:t>(2007),</w:t>
      </w:r>
      <w:r w:rsidRPr="007C6E89">
        <w:rPr>
          <w:rFonts w:eastAsiaTheme="minorHAnsi" w:cstheme="minorBidi"/>
        </w:rPr>
        <w:t xml:space="preserve"> was provided to the assessment group with the permission of its developers, the National Collaborating Centre for Primary Care.</w:t>
      </w:r>
    </w:p>
    <w:p w14:paraId="2D045111" w14:textId="733B69FA" w:rsidR="00E47AB8" w:rsidRPr="007C6E89" w:rsidRDefault="00E47AB8" w:rsidP="00422306">
      <w:pPr>
        <w:spacing w:after="200"/>
        <w:rPr>
          <w:rFonts w:eastAsiaTheme="minorHAnsi" w:cstheme="minorBidi"/>
        </w:rPr>
      </w:pPr>
      <w:r w:rsidRPr="007C6E89">
        <w:rPr>
          <w:rFonts w:eastAsiaTheme="minorHAnsi" w:cstheme="minorBidi"/>
        </w:rPr>
        <w:t>While the overall structure of the NICE model was considered suitable for adaptation, some modifications were required to ensure that the results were most applicable to the Australian healthcare setting. The following key changes were made to the design of the model:</w:t>
      </w:r>
    </w:p>
    <w:p w14:paraId="19A6BB31" w14:textId="139A0D1F" w:rsidR="00E47AB8" w:rsidRPr="008B2F8A" w:rsidRDefault="00E47AB8" w:rsidP="00E47AB8">
      <w:pPr>
        <w:numPr>
          <w:ilvl w:val="0"/>
          <w:numId w:val="63"/>
        </w:numPr>
        <w:spacing w:after="200"/>
        <w:contextualSpacing/>
      </w:pPr>
      <w:r w:rsidRPr="008B2F8A">
        <w:t xml:space="preserve">As per the final protocol for the assessment of breast MRI, only two surveillance methodologies were compared </w:t>
      </w:r>
      <w:r>
        <w:t>here</w:t>
      </w:r>
      <w:r w:rsidRPr="008B2F8A">
        <w:t xml:space="preserve">: MRI </w:t>
      </w:r>
      <w:r>
        <w:t>+</w:t>
      </w:r>
      <w:r w:rsidRPr="008B2F8A">
        <w:t xml:space="preserve"> mammography and mammography alone.</w:t>
      </w:r>
    </w:p>
    <w:p w14:paraId="2C67FB41" w14:textId="77777777" w:rsidR="00E47AB8" w:rsidRPr="008B2F8A" w:rsidRDefault="00E47AB8" w:rsidP="00E47AB8">
      <w:pPr>
        <w:numPr>
          <w:ilvl w:val="0"/>
          <w:numId w:val="63"/>
        </w:numPr>
        <w:spacing w:after="200"/>
        <w:contextualSpacing/>
      </w:pPr>
      <w:r w:rsidRPr="008B2F8A">
        <w:t>The revised model does not account for the risk of developing breast cancer as a result of radiation exposure through mammography, as the adapted model includes mammography in each arm and assumes that the risks would be approximately equal. This may be considered a conservative approach, as it underestimates the true risk of breast cancer and the full benefit of additional sensitivity.</w:t>
      </w:r>
    </w:p>
    <w:p w14:paraId="2C1EA5C9" w14:textId="17F625D2" w:rsidR="00E47AB8" w:rsidRPr="008B2F8A" w:rsidRDefault="00E47AB8" w:rsidP="00E47AB8">
      <w:pPr>
        <w:numPr>
          <w:ilvl w:val="0"/>
          <w:numId w:val="63"/>
        </w:numPr>
        <w:spacing w:after="200"/>
        <w:contextualSpacing/>
      </w:pPr>
      <w:r w:rsidRPr="008B2F8A">
        <w:t>The revised model includes a background risk of death due to other causes on the basis of Australian life tables.</w:t>
      </w:r>
    </w:p>
    <w:p w14:paraId="2ECADA33" w14:textId="77777777" w:rsidR="00E47AB8" w:rsidRPr="008B2F8A" w:rsidRDefault="00E47AB8" w:rsidP="0071000B">
      <w:pPr>
        <w:numPr>
          <w:ilvl w:val="0"/>
          <w:numId w:val="63"/>
        </w:numPr>
        <w:spacing w:after="200"/>
        <w:ind w:left="714" w:hanging="357"/>
      </w:pPr>
      <w:r w:rsidRPr="008B2F8A">
        <w:t>The model allows patients to return to routine screening with mammography alone after the age of 50.</w:t>
      </w:r>
    </w:p>
    <w:p w14:paraId="3721A9A0" w14:textId="2FDADDF8" w:rsidR="00E47AB8" w:rsidRPr="007C6E89" w:rsidRDefault="00E47AB8" w:rsidP="00422306">
      <w:pPr>
        <w:spacing w:after="200"/>
        <w:rPr>
          <w:rFonts w:eastAsiaTheme="minorHAnsi" w:cstheme="minorBidi"/>
        </w:rPr>
      </w:pPr>
      <w:r w:rsidRPr="007C6E89">
        <w:rPr>
          <w:rFonts w:eastAsiaTheme="minorHAnsi" w:cstheme="minorBidi"/>
        </w:rPr>
        <w:t xml:space="preserve">Apart from these minor structural changes, updated clinical and cost data were incorporated into the new model for each of the populations of interest. The Final DAP to guide the assessment of breast MRI for the screening of high-risk women outlined a number of parameters that should be considered when the cost-effectiveness of this intervention is evaluated in an Australian healthcare setting (Final DAP 2013; p. 22).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_Ref377648892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4</w:t>
      </w:r>
      <w:r w:rsidRPr="008B2F8A">
        <w:rPr>
          <w:rFonts w:asciiTheme="minorHAnsi" w:eastAsiaTheme="minorHAnsi" w:hAnsiTheme="minorHAnsi" w:cstheme="minorBidi"/>
        </w:rPr>
        <w:fldChar w:fldCharType="end"/>
      </w:r>
      <w:r w:rsidRPr="007C6E89">
        <w:rPr>
          <w:rFonts w:eastAsiaTheme="minorHAnsi" w:cstheme="minorBidi"/>
        </w:rPr>
        <w:t xml:space="preserve"> outlines the approach used to address each issue in the current application.</w:t>
      </w:r>
    </w:p>
    <w:p w14:paraId="21752376" w14:textId="7A8232A1" w:rsidR="00E47AB8" w:rsidRPr="008B2F8A" w:rsidRDefault="00E47AB8" w:rsidP="00422306">
      <w:pPr>
        <w:pStyle w:val="Caption"/>
      </w:pPr>
      <w:bookmarkStart w:id="1033" w:name="_Ref377648892"/>
      <w:bookmarkStart w:id="1034" w:name="_Toc383424613"/>
      <w:r w:rsidRPr="008B2F8A">
        <w:lastRenderedPageBreak/>
        <w:t xml:space="preserve">Table </w:t>
      </w:r>
      <w:fldSimple w:instr=" STYLEREF 1 \s ">
        <w:r w:rsidR="00B81273">
          <w:rPr>
            <w:noProof/>
          </w:rPr>
          <w:t>D</w:t>
        </w:r>
      </w:fldSimple>
      <w:r w:rsidRPr="008B2F8A">
        <w:t>.</w:t>
      </w:r>
      <w:fldSimple w:instr=" SEQ Table \* ARABIC \s 1 ">
        <w:r w:rsidR="00B81273">
          <w:rPr>
            <w:noProof/>
          </w:rPr>
          <w:t>4</w:t>
        </w:r>
      </w:fldSimple>
      <w:bookmarkEnd w:id="1033"/>
      <w:r w:rsidRPr="008B2F8A">
        <w:tab/>
      </w:r>
      <w:bookmarkStart w:id="1035" w:name="OLE_LINK1077"/>
      <w:bookmarkStart w:id="1036" w:name="OLE_LINK1078"/>
      <w:r w:rsidRPr="008B2F8A">
        <w:t>Issues raised in the Final Decision-Analytic Protocol</w:t>
      </w:r>
      <w:bookmarkEnd w:id="1035"/>
      <w:bookmarkEnd w:id="1036"/>
      <w:r w:rsidRPr="008B2F8A">
        <w:t>.</w:t>
      </w:r>
      <w:bookmarkEnd w:id="1034"/>
    </w:p>
    <w:tbl>
      <w:tblPr>
        <w:tblStyle w:val="TableGrid"/>
        <w:tblW w:w="9070" w:type="dxa"/>
        <w:tblCellMar>
          <w:left w:w="28" w:type="dxa"/>
          <w:right w:w="28" w:type="dxa"/>
        </w:tblCellMar>
        <w:tblLook w:val="04A0" w:firstRow="1" w:lastRow="0" w:firstColumn="1" w:lastColumn="0" w:noHBand="0" w:noVBand="1"/>
        <w:tblCaption w:val="Issues raised in the Final Decision-Analytic Protocol"/>
      </w:tblPr>
      <w:tblGrid>
        <w:gridCol w:w="2906"/>
        <w:gridCol w:w="6164"/>
      </w:tblGrid>
      <w:tr w:rsidR="00E47AB8" w:rsidRPr="008B2F8A" w14:paraId="66FF663A" w14:textId="77777777" w:rsidTr="00422306">
        <w:trPr>
          <w:cantSplit/>
          <w:tblHeader/>
        </w:trPr>
        <w:tc>
          <w:tcPr>
            <w:tcW w:w="2919" w:type="dxa"/>
            <w:vAlign w:val="bottom"/>
          </w:tcPr>
          <w:p w14:paraId="25DE3285" w14:textId="1E315D0C" w:rsidR="00E47AB8" w:rsidRPr="008B2F8A" w:rsidRDefault="00E47AB8" w:rsidP="00422306">
            <w:pPr>
              <w:spacing w:before="40" w:after="80"/>
              <w:rPr>
                <w:rFonts w:ascii="Arial Narrow" w:hAnsi="Arial Narrow" w:cs="Arial"/>
                <w:b/>
              </w:rPr>
            </w:pPr>
            <w:r w:rsidRPr="008B2F8A">
              <w:rPr>
                <w:rFonts w:ascii="Arial Narrow" w:hAnsi="Arial Narrow" w:cs="Arial"/>
                <w:b/>
              </w:rPr>
              <w:t>Issue raised in Final Decision-Analytic Protocol</w:t>
            </w:r>
            <w:r w:rsidRPr="008B2F8A" w:rsidDel="00D3092E">
              <w:rPr>
                <w:rFonts w:ascii="Arial Narrow" w:hAnsi="Arial Narrow" w:cs="Arial"/>
                <w:b/>
              </w:rPr>
              <w:t xml:space="preserve"> </w:t>
            </w:r>
            <w:r w:rsidRPr="008B2F8A">
              <w:rPr>
                <w:rFonts w:ascii="Arial Narrow" w:hAnsi="Arial Narrow" w:cs="Arial"/>
                <w:b/>
              </w:rPr>
              <w:t>(p. 22–23)</w:t>
            </w:r>
          </w:p>
        </w:tc>
        <w:tc>
          <w:tcPr>
            <w:tcW w:w="6207" w:type="dxa"/>
            <w:vAlign w:val="bottom"/>
          </w:tcPr>
          <w:p w14:paraId="5844EB30" w14:textId="77777777" w:rsidR="00E47AB8" w:rsidRPr="008B2F8A" w:rsidRDefault="00E47AB8" w:rsidP="00422306">
            <w:pPr>
              <w:spacing w:before="40" w:after="80"/>
              <w:rPr>
                <w:rFonts w:ascii="Arial Narrow" w:hAnsi="Arial Narrow" w:cs="Arial"/>
                <w:b/>
              </w:rPr>
            </w:pPr>
            <w:r w:rsidRPr="008B2F8A">
              <w:rPr>
                <w:rFonts w:ascii="Arial Narrow" w:hAnsi="Arial Narrow" w:cs="Arial"/>
                <w:b/>
              </w:rPr>
              <w:t>Approach used in economic model</w:t>
            </w:r>
          </w:p>
        </w:tc>
      </w:tr>
      <w:tr w:rsidR="00E47AB8" w:rsidRPr="0071000B" w14:paraId="35D3C9AE" w14:textId="77777777" w:rsidTr="00422306">
        <w:trPr>
          <w:cantSplit/>
        </w:trPr>
        <w:tc>
          <w:tcPr>
            <w:tcW w:w="2919" w:type="dxa"/>
          </w:tcPr>
          <w:p w14:paraId="6F01BE72" w14:textId="66CB4610" w:rsidR="00E47AB8" w:rsidRPr="0071000B" w:rsidRDefault="00E47AB8" w:rsidP="00422306">
            <w:pPr>
              <w:spacing w:before="40" w:after="80"/>
              <w:rPr>
                <w:rFonts w:ascii="Arial Narrow" w:hAnsi="Arial Narrow" w:cs="Arial"/>
              </w:rPr>
            </w:pPr>
            <w:r w:rsidRPr="0071000B">
              <w:rPr>
                <w:rFonts w:ascii="Arial Narrow" w:hAnsi="Arial Narrow" w:cs="Arial"/>
              </w:rPr>
              <w:t>Women considered at high risk of breast cancer begin screening at 25–30 years of age</w:t>
            </w:r>
          </w:p>
        </w:tc>
        <w:tc>
          <w:tcPr>
            <w:tcW w:w="6207" w:type="dxa"/>
          </w:tcPr>
          <w:p w14:paraId="30F41386" w14:textId="77777777"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The model assumes that women at high familial risk or with a gene mutation for breast cancer begin screening at the age of 30 years.</w:t>
            </w:r>
          </w:p>
          <w:p w14:paraId="1E9DDC1D" w14:textId="77777777"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Populations with prior breast cancer (invasive or DCIS/LCIS) are assumed to commence screening at the age of 44 years to account for the time required to diagnose and treat their initial or primary cancer and the fact that a relatively small proportion of women are diagnosed with breast cancer before the age of 40 years.</w:t>
            </w:r>
          </w:p>
          <w:p w14:paraId="2912159C" w14:textId="77777777" w:rsidR="00E47AB8" w:rsidRPr="0071000B" w:rsidRDefault="00E47AB8" w:rsidP="00422306">
            <w:pPr>
              <w:spacing w:before="40" w:after="80"/>
              <w:rPr>
                <w:rFonts w:ascii="Arial Narrow" w:hAnsi="Arial Narrow" w:cs="Arial"/>
              </w:rPr>
            </w:pPr>
            <w:r w:rsidRPr="0071000B">
              <w:rPr>
                <w:rFonts w:ascii="Arial Narrow" w:hAnsi="Arial Narrow" w:cs="Arial"/>
              </w:rPr>
              <w:t xml:space="preserve">Patients that have undergone radiotherapy to the chest area are likely to commence screening at 30 years as their increased risk for breast cancer is likely to have been identified at a relatively early age. </w:t>
            </w:r>
          </w:p>
        </w:tc>
      </w:tr>
      <w:tr w:rsidR="00E47AB8" w:rsidRPr="0071000B" w14:paraId="66D54CE6" w14:textId="77777777" w:rsidTr="00422306">
        <w:trPr>
          <w:cantSplit/>
        </w:trPr>
        <w:tc>
          <w:tcPr>
            <w:tcW w:w="2919" w:type="dxa"/>
          </w:tcPr>
          <w:p w14:paraId="18ECE10B" w14:textId="1F4BB034" w:rsidR="00E47AB8" w:rsidRPr="0071000B" w:rsidRDefault="00E47AB8" w:rsidP="00422306">
            <w:pPr>
              <w:spacing w:before="40" w:after="80"/>
              <w:rPr>
                <w:rFonts w:ascii="Arial Narrow" w:hAnsi="Arial Narrow" w:cs="Arial"/>
              </w:rPr>
            </w:pPr>
            <w:r w:rsidRPr="0071000B">
              <w:rPr>
                <w:rFonts w:ascii="Arial Narrow" w:hAnsi="Arial Narrow" w:cs="Arial"/>
              </w:rPr>
              <w:t>All women are compliant with screening</w:t>
            </w:r>
          </w:p>
        </w:tc>
        <w:tc>
          <w:tcPr>
            <w:tcW w:w="6207" w:type="dxa"/>
          </w:tcPr>
          <w:p w14:paraId="52822BC0" w14:textId="77777777"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The model assumes full compliance in both screening arms.</w:t>
            </w:r>
          </w:p>
        </w:tc>
      </w:tr>
      <w:tr w:rsidR="00E47AB8" w:rsidRPr="0071000B" w14:paraId="11A24348" w14:textId="77777777" w:rsidTr="00422306">
        <w:trPr>
          <w:cantSplit/>
        </w:trPr>
        <w:tc>
          <w:tcPr>
            <w:tcW w:w="2919" w:type="dxa"/>
          </w:tcPr>
          <w:p w14:paraId="1FF3FFD4" w14:textId="31B7DF96" w:rsidR="00E47AB8" w:rsidRPr="0071000B" w:rsidRDefault="00E47AB8">
            <w:pPr>
              <w:spacing w:before="40" w:after="80"/>
              <w:rPr>
                <w:rFonts w:ascii="Arial Narrow" w:hAnsi="Arial Narrow" w:cs="Arial"/>
                <w:lang w:eastAsia="en-US"/>
              </w:rPr>
            </w:pPr>
            <w:r w:rsidRPr="0071000B">
              <w:rPr>
                <w:rFonts w:ascii="Arial Narrow" w:hAnsi="Arial Narrow" w:cs="Arial"/>
              </w:rPr>
              <w:t xml:space="preserve">Screening consists of mammography </w:t>
            </w:r>
            <w:r w:rsidRPr="0071000B">
              <w:rPr>
                <w:rFonts w:ascii="Arial Narrow" w:hAnsi="Arial Narrow"/>
              </w:rPr>
              <w:t>​+​</w:t>
            </w:r>
            <w:r w:rsidRPr="0071000B">
              <w:rPr>
                <w:rFonts w:ascii="Arial Narrow" w:hAnsi="Arial Narrow" w:cs="Arial"/>
              </w:rPr>
              <w:t xml:space="preserve"> MRI </w:t>
            </w:r>
            <w:r w:rsidRPr="0071000B">
              <w:rPr>
                <w:rFonts w:ascii="Arial Narrow" w:hAnsi="Arial Narrow"/>
              </w:rPr>
              <w:t>±</w:t>
            </w:r>
            <w:r w:rsidRPr="0071000B">
              <w:rPr>
                <w:rFonts w:ascii="Arial Narrow" w:hAnsi="Arial Narrow" w:cs="Arial"/>
              </w:rPr>
              <w:t xml:space="preserve"> ultrasound</w:t>
            </w:r>
          </w:p>
        </w:tc>
        <w:tc>
          <w:tcPr>
            <w:tcW w:w="6207" w:type="dxa"/>
          </w:tcPr>
          <w:p w14:paraId="6EAA2D8C" w14:textId="76093F80"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The proposed screening intervention includes MRI in addition to mammography; however, the diagnostic impact of ultrasound screening is not explicitly included as a clinical input. The cost of ultrasound is included in the model for those patients identified as being positive in surveillance screening.</w:t>
            </w:r>
          </w:p>
        </w:tc>
      </w:tr>
      <w:tr w:rsidR="00E47AB8" w:rsidRPr="0071000B" w14:paraId="14B59C63" w14:textId="77777777" w:rsidTr="00422306">
        <w:trPr>
          <w:cantSplit/>
        </w:trPr>
        <w:tc>
          <w:tcPr>
            <w:tcW w:w="2919" w:type="dxa"/>
          </w:tcPr>
          <w:p w14:paraId="18FBD888" w14:textId="5BD612AD" w:rsidR="00E47AB8" w:rsidRPr="0071000B" w:rsidRDefault="00E47AB8" w:rsidP="00422306">
            <w:pPr>
              <w:spacing w:before="40" w:after="80"/>
              <w:rPr>
                <w:rFonts w:ascii="Arial Narrow" w:hAnsi="Arial Narrow" w:cs="Arial"/>
              </w:rPr>
            </w:pPr>
            <w:r w:rsidRPr="0071000B">
              <w:rPr>
                <w:rFonts w:ascii="Arial Narrow" w:hAnsi="Arial Narrow" w:cs="Arial"/>
              </w:rPr>
              <w:t>Not all women will undergo ultrasound as part of screening</w:t>
            </w:r>
          </w:p>
        </w:tc>
        <w:tc>
          <w:tcPr>
            <w:tcW w:w="6207" w:type="dxa"/>
          </w:tcPr>
          <w:p w14:paraId="10AE95CD" w14:textId="77777777"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The model assumes zero use of ultrasound in routine screening. However, patients with a positive test undergo biopsy and ultrasound of one breast to confirm their diagnosis.</w:t>
            </w:r>
          </w:p>
        </w:tc>
      </w:tr>
      <w:tr w:rsidR="00E47AB8" w:rsidRPr="0071000B" w14:paraId="498F7419" w14:textId="77777777" w:rsidTr="00422306">
        <w:trPr>
          <w:cantSplit/>
        </w:trPr>
        <w:tc>
          <w:tcPr>
            <w:tcW w:w="2919" w:type="dxa"/>
          </w:tcPr>
          <w:p w14:paraId="163D3D50" w14:textId="01E31E74" w:rsidR="00E47AB8" w:rsidRPr="0071000B" w:rsidRDefault="00E47AB8" w:rsidP="0071000B">
            <w:pPr>
              <w:spacing w:before="40" w:after="80"/>
              <w:rPr>
                <w:rFonts w:ascii="Arial Narrow" w:hAnsi="Arial Narrow" w:cs="Arial"/>
                <w:color w:val="000000"/>
                <w:lang w:eastAsia="en-US"/>
              </w:rPr>
            </w:pPr>
            <w:r w:rsidRPr="0071000B">
              <w:rPr>
                <w:rFonts w:ascii="Arial Narrow" w:hAnsi="Arial Narrow" w:cs="Arial"/>
              </w:rPr>
              <w:t>A proportion of women may get only one test ~10%–20%; ie, mammography or MRI</w:t>
            </w:r>
          </w:p>
        </w:tc>
        <w:tc>
          <w:tcPr>
            <w:tcW w:w="6207" w:type="dxa"/>
          </w:tcPr>
          <w:p w14:paraId="4B885E1E" w14:textId="45DE9B94"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The use of MRI alone as a screening strategy was beyond the scope of the assessment. The inclusion of a proportion of patients receiving mammography alone in the screening arm with MRI + mammography was not considered necessary as this would essentially entail a comparison between mammography and itself. Therefore, the interventions compared were MRI + mammography and mammography alone.</w:t>
            </w:r>
          </w:p>
        </w:tc>
      </w:tr>
      <w:tr w:rsidR="00E47AB8" w:rsidRPr="0071000B" w14:paraId="5E70E07F" w14:textId="77777777" w:rsidTr="00422306">
        <w:trPr>
          <w:cantSplit/>
        </w:trPr>
        <w:tc>
          <w:tcPr>
            <w:tcW w:w="2919" w:type="dxa"/>
          </w:tcPr>
          <w:p w14:paraId="1F65BCB3" w14:textId="080350D7" w:rsidR="00E47AB8" w:rsidRPr="0071000B" w:rsidRDefault="00E47AB8" w:rsidP="00422306">
            <w:pPr>
              <w:spacing w:before="40" w:after="80"/>
              <w:rPr>
                <w:rFonts w:ascii="Arial Narrow" w:hAnsi="Arial Narrow" w:cs="Arial"/>
              </w:rPr>
            </w:pPr>
            <w:r w:rsidRPr="0071000B">
              <w:rPr>
                <w:rFonts w:ascii="Arial Narrow" w:hAnsi="Arial Narrow" w:cs="Arial"/>
              </w:rPr>
              <w:t>Women with cancer who had positive findings on screening are designated true-positives and undergo further diagnostic evaluation (including ultrasound) followed by breast cancer treatment</w:t>
            </w:r>
          </w:p>
        </w:tc>
        <w:tc>
          <w:tcPr>
            <w:tcW w:w="6207" w:type="dxa"/>
          </w:tcPr>
          <w:p w14:paraId="1D04DBCC" w14:textId="01A6F628" w:rsidR="00E47AB8" w:rsidRPr="0071000B" w:rsidRDefault="00E47AB8" w:rsidP="0071000B">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Positive tests are directed to treatment according to Australian algorithms (</w:t>
            </w:r>
            <w:bookmarkStart w:id="1037" w:name="OLE_LINK139"/>
            <w:bookmarkStart w:id="1038" w:name="OLE_LINK140"/>
            <w:bookmarkStart w:id="1039" w:name="OLE_LINK858"/>
            <w:bookmarkStart w:id="1040" w:name="OLE_LINK859"/>
            <w:r w:rsidRPr="0071000B">
              <w:rPr>
                <w:rFonts w:ascii="Arial Narrow" w:hAnsi="Arial Narrow" w:cs="Arial"/>
                <w:color w:val="auto"/>
                <w:sz w:val="22"/>
                <w:szCs w:val="22"/>
              </w:rPr>
              <w:t xml:space="preserve">Verry </w:t>
            </w:r>
            <w:bookmarkEnd w:id="1037"/>
            <w:bookmarkEnd w:id="1038"/>
            <w:r w:rsidRPr="0071000B">
              <w:rPr>
                <w:rFonts w:ascii="Arial Narrow" w:hAnsi="Arial Narrow" w:cs="Arial"/>
                <w:color w:val="auto"/>
                <w:sz w:val="22"/>
                <w:szCs w:val="22"/>
              </w:rPr>
              <w:t>et al, 2012</w:t>
            </w:r>
            <w:bookmarkEnd w:id="1039"/>
            <w:bookmarkEnd w:id="1040"/>
            <w:r w:rsidRPr="0071000B">
              <w:rPr>
                <w:rFonts w:ascii="Arial Narrow" w:hAnsi="Arial Narrow" w:cs="Arial"/>
                <w:color w:val="auto"/>
                <w:sz w:val="22"/>
                <w:szCs w:val="22"/>
              </w:rPr>
              <w:t>). Outcomes of treatment (ie, prognosis) are dependent on timing of detection, with a 1-year delay in cancer detection leading to a decrement in overall survival.</w:t>
            </w:r>
          </w:p>
        </w:tc>
      </w:tr>
      <w:tr w:rsidR="00E47AB8" w:rsidRPr="0071000B" w14:paraId="207E62C6" w14:textId="77777777" w:rsidTr="00422306">
        <w:trPr>
          <w:cantSplit/>
        </w:trPr>
        <w:tc>
          <w:tcPr>
            <w:tcW w:w="2919" w:type="dxa"/>
          </w:tcPr>
          <w:p w14:paraId="2B615B9A" w14:textId="7D3E1CE4" w:rsidR="00E47AB8" w:rsidRPr="0071000B" w:rsidRDefault="00E47AB8" w:rsidP="00422306">
            <w:pPr>
              <w:spacing w:before="40" w:after="80"/>
              <w:rPr>
                <w:rFonts w:ascii="Arial Narrow" w:hAnsi="Arial Narrow" w:cs="Arial"/>
              </w:rPr>
            </w:pPr>
            <w:r w:rsidRPr="0071000B">
              <w:rPr>
                <w:rFonts w:ascii="Arial Narrow" w:hAnsi="Arial Narrow" w:cs="Arial"/>
              </w:rPr>
              <w:t>Those who do not have cancer and have negative examination results were classified as true-negatives and underwent no further diagnostic evaluation</w:t>
            </w:r>
          </w:p>
        </w:tc>
        <w:tc>
          <w:tcPr>
            <w:tcW w:w="6207" w:type="dxa"/>
          </w:tcPr>
          <w:p w14:paraId="5103F943" w14:textId="77777777"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True-negative patients do not receive additional tests, and are assumed to return for their next round of screening after 12 months.</w:t>
            </w:r>
          </w:p>
        </w:tc>
      </w:tr>
      <w:tr w:rsidR="00E47AB8" w:rsidRPr="0071000B" w14:paraId="7D630373" w14:textId="77777777" w:rsidTr="00422306">
        <w:trPr>
          <w:cantSplit/>
        </w:trPr>
        <w:tc>
          <w:tcPr>
            <w:tcW w:w="2919" w:type="dxa"/>
          </w:tcPr>
          <w:p w14:paraId="2B9FFAD5" w14:textId="102DC92E" w:rsidR="00E47AB8" w:rsidRPr="0071000B" w:rsidRDefault="00E47AB8" w:rsidP="00422306">
            <w:pPr>
              <w:spacing w:before="40" w:after="80"/>
              <w:rPr>
                <w:rFonts w:ascii="Arial Narrow" w:hAnsi="Arial Narrow" w:cs="Arial"/>
              </w:rPr>
            </w:pPr>
            <w:r w:rsidRPr="0071000B">
              <w:rPr>
                <w:rFonts w:ascii="Arial Narrow" w:hAnsi="Arial Narrow" w:cs="Arial"/>
              </w:rPr>
              <w:lastRenderedPageBreak/>
              <w:t>Women who did not have cancer but had positive results (false-positive) underwent additional evaluation to rule out diagnosis</w:t>
            </w:r>
          </w:p>
        </w:tc>
        <w:tc>
          <w:tcPr>
            <w:tcW w:w="6207" w:type="dxa"/>
          </w:tcPr>
          <w:p w14:paraId="336679FF" w14:textId="478BAA99" w:rsidR="00E47AB8" w:rsidRPr="0071000B" w:rsidRDefault="00E47AB8" w:rsidP="00422306">
            <w:pPr>
              <w:spacing w:before="40" w:after="80"/>
              <w:rPr>
                <w:rFonts w:ascii="Arial Narrow" w:hAnsi="Arial Narrow" w:cs="Arial"/>
              </w:rPr>
            </w:pPr>
            <w:r w:rsidRPr="0071000B">
              <w:rPr>
                <w:rFonts w:ascii="Arial Narrow" w:hAnsi="Arial Narrow" w:cs="Arial"/>
              </w:rPr>
              <w:t xml:space="preserve">As per advice from the </w:t>
            </w:r>
            <w:bookmarkStart w:id="1041" w:name="OLE_LINK141"/>
            <w:bookmarkStart w:id="1042" w:name="OLE_LINK142"/>
            <w:bookmarkStart w:id="1043" w:name="OLE_LINK354"/>
            <w:r w:rsidRPr="0071000B">
              <w:rPr>
                <w:rFonts w:ascii="Arial Narrow" w:hAnsi="Arial Narrow" w:cs="Arial"/>
              </w:rPr>
              <w:t>Health Expert Standing Panel</w:t>
            </w:r>
            <w:bookmarkEnd w:id="1041"/>
            <w:bookmarkEnd w:id="1042"/>
            <w:bookmarkEnd w:id="1043"/>
            <w:r w:rsidRPr="0071000B">
              <w:rPr>
                <w:rFonts w:ascii="Arial Narrow" w:hAnsi="Arial Narrow" w:cs="Arial"/>
              </w:rPr>
              <w:t>, false-positives received an additional specialist consultation, ultrasound, and biopsy.</w:t>
            </w:r>
          </w:p>
        </w:tc>
      </w:tr>
      <w:tr w:rsidR="00E47AB8" w:rsidRPr="008B2F8A" w14:paraId="07E81162" w14:textId="77777777" w:rsidTr="00422306">
        <w:trPr>
          <w:cantSplit/>
        </w:trPr>
        <w:tc>
          <w:tcPr>
            <w:tcW w:w="2919" w:type="dxa"/>
          </w:tcPr>
          <w:p w14:paraId="5A884E7C" w14:textId="541C94F6" w:rsidR="00E47AB8" w:rsidRPr="0071000B" w:rsidRDefault="00E47AB8" w:rsidP="00422306">
            <w:pPr>
              <w:spacing w:before="40" w:after="80"/>
              <w:rPr>
                <w:rFonts w:ascii="Arial Narrow" w:hAnsi="Arial Narrow" w:cs="Arial"/>
              </w:rPr>
            </w:pPr>
            <w:r w:rsidRPr="0071000B">
              <w:rPr>
                <w:rFonts w:ascii="Arial Narrow" w:hAnsi="Arial Narrow" w:cs="Arial"/>
              </w:rPr>
              <w:t>Women with false-negatives were diagnosed on average 10 months after initial screening and subsequently underwent breast cancer treatment</w:t>
            </w:r>
          </w:p>
        </w:tc>
        <w:tc>
          <w:tcPr>
            <w:tcW w:w="6207" w:type="dxa"/>
          </w:tcPr>
          <w:p w14:paraId="3A37C0B1" w14:textId="160489F0" w:rsidR="00E47AB8" w:rsidRPr="0071000B" w:rsidRDefault="00E47AB8" w:rsidP="00422306">
            <w:pPr>
              <w:spacing w:before="40" w:after="80"/>
              <w:rPr>
                <w:rFonts w:ascii="Arial Narrow" w:hAnsi="Arial Narrow" w:cs="Arial"/>
              </w:rPr>
            </w:pPr>
            <w:r w:rsidRPr="0071000B">
              <w:rPr>
                <w:rFonts w:ascii="Arial Narrow" w:hAnsi="Arial Narrow" w:cs="Arial"/>
              </w:rPr>
              <w:t xml:space="preserve">The model structure allows for only 12-month cycles and consequently assumes a delay in diagnosis of 1 year (in false-negative patients). </w:t>
            </w:r>
          </w:p>
        </w:tc>
      </w:tr>
      <w:tr w:rsidR="00E47AB8" w:rsidRPr="008B2F8A" w14:paraId="567F4C65" w14:textId="77777777" w:rsidTr="00422306">
        <w:trPr>
          <w:cantSplit/>
        </w:trPr>
        <w:tc>
          <w:tcPr>
            <w:tcW w:w="2919" w:type="dxa"/>
          </w:tcPr>
          <w:p w14:paraId="6CEF903A" w14:textId="119EBD96" w:rsidR="00E47AB8" w:rsidRPr="0071000B" w:rsidRDefault="00E47AB8" w:rsidP="00422306">
            <w:pPr>
              <w:spacing w:before="40" w:after="80"/>
              <w:rPr>
                <w:rFonts w:ascii="Arial Narrow" w:hAnsi="Arial Narrow" w:cs="Arial"/>
              </w:rPr>
            </w:pPr>
            <w:r w:rsidRPr="0071000B">
              <w:rPr>
                <w:rFonts w:ascii="Arial Narrow" w:hAnsi="Arial Narrow" w:cs="Arial"/>
              </w:rPr>
              <w:t>Women who have an indeterminate result will be divided between different pathways for short-term follow-up or further investigations (biopsy) dependent on the type of lesion</w:t>
            </w:r>
          </w:p>
        </w:tc>
        <w:tc>
          <w:tcPr>
            <w:tcW w:w="6207" w:type="dxa"/>
          </w:tcPr>
          <w:p w14:paraId="3D7CE0AE" w14:textId="77777777"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For simplification, indeterminate results are considered false-positives and are assigned the appropriate follow-up investigations.</w:t>
            </w:r>
          </w:p>
          <w:p w14:paraId="7AC4445B" w14:textId="381DCD6D" w:rsidR="00E47AB8" w:rsidRPr="0071000B" w:rsidRDefault="00E47AB8" w:rsidP="00422306">
            <w:pPr>
              <w:pStyle w:val="Default"/>
              <w:spacing w:before="40" w:after="80" w:line="276" w:lineRule="auto"/>
              <w:rPr>
                <w:rFonts w:ascii="Arial Narrow" w:hAnsi="Arial Narrow" w:cs="Arial"/>
                <w:color w:val="auto"/>
                <w:sz w:val="22"/>
                <w:szCs w:val="22"/>
              </w:rPr>
            </w:pPr>
            <w:r w:rsidRPr="0071000B">
              <w:rPr>
                <w:rFonts w:ascii="Arial Narrow" w:hAnsi="Arial Narrow" w:cs="Arial"/>
                <w:color w:val="auto"/>
                <w:sz w:val="22"/>
                <w:szCs w:val="22"/>
              </w:rPr>
              <w:t>Given the lower specificity of MRI this assumption may be biased against the proposed screening algorithm, leading to more costs than would be seen in practice.</w:t>
            </w:r>
          </w:p>
        </w:tc>
      </w:tr>
      <w:tr w:rsidR="00E47AB8" w:rsidRPr="008B2F8A" w14:paraId="2FC18F1E" w14:textId="77777777" w:rsidTr="00422306">
        <w:trPr>
          <w:cantSplit/>
        </w:trPr>
        <w:tc>
          <w:tcPr>
            <w:tcW w:w="2919" w:type="dxa"/>
          </w:tcPr>
          <w:p w14:paraId="6CA2A9E9" w14:textId="6A5E8E36" w:rsidR="00E47AB8" w:rsidRPr="0071000B" w:rsidRDefault="00E47AB8" w:rsidP="00422306">
            <w:pPr>
              <w:spacing w:before="40" w:after="80"/>
              <w:rPr>
                <w:rFonts w:ascii="Arial Narrow" w:hAnsi="Arial Narrow" w:cs="Arial"/>
              </w:rPr>
            </w:pPr>
            <w:r w:rsidRPr="0071000B">
              <w:rPr>
                <w:rFonts w:ascii="Arial Narrow" w:hAnsi="Arial Narrow" w:cs="Arial"/>
              </w:rPr>
              <w:t>Specifically when looking at breast MRI as an addition to an organised surveillance program:</w:t>
            </w:r>
          </w:p>
          <w:p w14:paraId="375D4D13" w14:textId="48828FA0" w:rsidR="00E47AB8" w:rsidRPr="0071000B" w:rsidRDefault="00E47AB8" w:rsidP="00E47AB8">
            <w:pPr>
              <w:pStyle w:val="ListParagraph"/>
              <w:numPr>
                <w:ilvl w:val="0"/>
                <w:numId w:val="64"/>
              </w:numPr>
              <w:spacing w:before="40" w:after="80"/>
              <w:ind w:left="426"/>
              <w:contextualSpacing w:val="0"/>
              <w:rPr>
                <w:rFonts w:ascii="Arial Narrow" w:hAnsi="Arial Narrow" w:cs="Arial"/>
              </w:rPr>
            </w:pPr>
            <w:r w:rsidRPr="0071000B">
              <w:rPr>
                <w:rFonts w:ascii="Arial Narrow" w:hAnsi="Arial Narrow" w:cs="Arial"/>
              </w:rPr>
              <w:t>all women are screened with mammography</w:t>
            </w:r>
          </w:p>
          <w:p w14:paraId="1162AE71" w14:textId="437A6EFD" w:rsidR="00E47AB8" w:rsidRPr="0071000B" w:rsidRDefault="00E47AB8" w:rsidP="00E47AB8">
            <w:pPr>
              <w:pStyle w:val="ListParagraph"/>
              <w:numPr>
                <w:ilvl w:val="0"/>
                <w:numId w:val="64"/>
              </w:numPr>
              <w:spacing w:before="40" w:after="80"/>
              <w:ind w:left="426"/>
              <w:contextualSpacing w:val="0"/>
              <w:rPr>
                <w:rFonts w:ascii="Arial Narrow" w:hAnsi="Arial Narrow" w:cs="Arial"/>
              </w:rPr>
            </w:pPr>
            <w:r w:rsidRPr="0071000B">
              <w:rPr>
                <w:rFonts w:ascii="Arial Narrow" w:hAnsi="Arial Narrow" w:cs="Arial"/>
              </w:rPr>
              <w:t>discordant results are of interest</w:t>
            </w:r>
          </w:p>
        </w:tc>
        <w:tc>
          <w:tcPr>
            <w:tcW w:w="6207" w:type="dxa"/>
          </w:tcPr>
          <w:p w14:paraId="11CAE50B" w14:textId="77777777" w:rsidR="00E47AB8" w:rsidRPr="0071000B" w:rsidRDefault="00E47AB8" w:rsidP="00422306">
            <w:pPr>
              <w:spacing w:before="40" w:after="80"/>
              <w:rPr>
                <w:rFonts w:ascii="Arial Narrow" w:hAnsi="Arial Narrow" w:cs="Arial"/>
              </w:rPr>
            </w:pPr>
            <w:r w:rsidRPr="0071000B">
              <w:rPr>
                <w:rFonts w:ascii="Arial Narrow" w:hAnsi="Arial Narrow" w:cs="Arial"/>
              </w:rPr>
              <w:t>Discordant results are not specifically modelled. Rather, the model uses incremental analysis to isolate the effect of discordant results. That is to say, the impact of discordant results will be captured by the comparison between MRI in addition to mammography and mammography alone in terms of diagnostic accuracy.</w:t>
            </w:r>
          </w:p>
        </w:tc>
      </w:tr>
      <w:tr w:rsidR="00E47AB8" w:rsidRPr="008B2F8A" w14:paraId="7AA1335C" w14:textId="77777777" w:rsidTr="00422306">
        <w:trPr>
          <w:cantSplit/>
        </w:trPr>
        <w:tc>
          <w:tcPr>
            <w:tcW w:w="2919" w:type="dxa"/>
          </w:tcPr>
          <w:p w14:paraId="2F9C4D9D" w14:textId="40868D66" w:rsidR="00E47AB8" w:rsidRPr="0071000B" w:rsidRDefault="00E47AB8" w:rsidP="0071000B">
            <w:pPr>
              <w:spacing w:before="40" w:after="80"/>
              <w:rPr>
                <w:rFonts w:ascii="Arial Narrow" w:hAnsi="Arial Narrow" w:cs="Arial"/>
                <w:color w:val="000000"/>
                <w:lang w:eastAsia="en-US"/>
              </w:rPr>
            </w:pPr>
            <w:r w:rsidRPr="0071000B">
              <w:rPr>
                <w:rFonts w:ascii="Arial Narrow" w:hAnsi="Arial Narrow" w:cs="Arial"/>
              </w:rPr>
              <w:t>Issues around the timing of the first scan for the proposed new populations (ie, diagnosis in comparison to after treatment) may also be need to be considered or addressed in the model, as the risk rates for the subsequent development of an invasive cancer relate to techniques used for the original diagnosis</w:t>
            </w:r>
          </w:p>
        </w:tc>
        <w:tc>
          <w:tcPr>
            <w:tcW w:w="6207" w:type="dxa"/>
          </w:tcPr>
          <w:p w14:paraId="1A5A401A" w14:textId="534B3C35" w:rsidR="00E47AB8" w:rsidRPr="0071000B" w:rsidRDefault="00E47AB8" w:rsidP="00422306">
            <w:pPr>
              <w:pStyle w:val="Default"/>
              <w:spacing w:before="40" w:after="80" w:line="276" w:lineRule="auto"/>
              <w:rPr>
                <w:rFonts w:ascii="Arial Narrow" w:hAnsi="Arial Narrow" w:cs="Arial"/>
                <w:sz w:val="22"/>
                <w:szCs w:val="22"/>
              </w:rPr>
            </w:pPr>
            <w:r w:rsidRPr="0071000B">
              <w:rPr>
                <w:rFonts w:ascii="Arial Narrow" w:hAnsi="Arial Narrow" w:cs="Arial"/>
                <w:color w:val="auto"/>
                <w:sz w:val="22"/>
                <w:szCs w:val="22"/>
              </w:rPr>
              <w:t xml:space="preserve">The model assumes that women without prior breast cancer commence screening at the age of 30 years, while women with prior DCIS/LCIS or invasive breast cancer receive their first scan at the age of 44 years on the basis of AIHW data on the average age of diagnosis in patients diagnosed with cancer at &lt;50 years of age. </w:t>
            </w:r>
            <w:r w:rsidRPr="0071000B">
              <w:rPr>
                <w:rFonts w:ascii="Arial Narrow" w:hAnsi="Arial Narrow" w:cs="Arial"/>
                <w:sz w:val="22"/>
                <w:szCs w:val="22"/>
              </w:rPr>
              <w:t>The model also incorporates age-specific cancer risks to ensure that the benefits of screening different age-groups are appropriately captured.</w:t>
            </w:r>
          </w:p>
          <w:p w14:paraId="1359E48A" w14:textId="77777777" w:rsidR="00E47AB8" w:rsidRPr="0071000B" w:rsidRDefault="00E47AB8" w:rsidP="00422306">
            <w:pPr>
              <w:pStyle w:val="Default"/>
              <w:spacing w:before="40" w:after="80" w:line="276" w:lineRule="auto"/>
              <w:rPr>
                <w:rFonts w:ascii="Arial Narrow" w:hAnsi="Arial Narrow" w:cs="Arial"/>
                <w:sz w:val="22"/>
                <w:szCs w:val="22"/>
              </w:rPr>
            </w:pPr>
            <w:r w:rsidRPr="0071000B">
              <w:rPr>
                <w:rFonts w:ascii="Arial Narrow" w:hAnsi="Arial Narrow" w:cs="Arial"/>
                <w:sz w:val="22"/>
                <w:szCs w:val="22"/>
              </w:rPr>
              <w:t>In the case of patients with prior history of cancer, the cancer recurrence risks are specific to the time since original diagnosis (AIHW data).</w:t>
            </w:r>
          </w:p>
        </w:tc>
      </w:tr>
    </w:tbl>
    <w:p w14:paraId="153C373A" w14:textId="77777777" w:rsidR="00E47AB8" w:rsidRPr="008B2F8A" w:rsidRDefault="00E47AB8" w:rsidP="0071000B">
      <w:pPr>
        <w:pStyle w:val="TableNotesLast"/>
      </w:pPr>
      <w:r w:rsidRPr="008B2F8A">
        <w:t>AIHW = Australian Institute of Health and Welfare; DCIS = ductal carcinoma in situ; LCIS = lobular carcinoma in situ; MRI = magnetic resonance imaging.</w:t>
      </w:r>
    </w:p>
    <w:p w14:paraId="421F67A3" w14:textId="388E8762" w:rsidR="00E47AB8" w:rsidRPr="007C6E89" w:rsidRDefault="00E47AB8" w:rsidP="00422306">
      <w:pPr>
        <w:spacing w:after="200"/>
        <w:rPr>
          <w:rFonts w:eastAsiaTheme="minorHAnsi" w:cstheme="minorBidi"/>
        </w:rPr>
      </w:pPr>
      <w:r w:rsidRPr="007C6E89">
        <w:rPr>
          <w:rFonts w:eastAsiaTheme="minorHAnsi" w:cstheme="minorBidi"/>
        </w:rPr>
        <w:t xml:space="preserve">In conclusion, the Markov cost-utility model used in the economic evaluation for NICE CG41 </w:t>
      </w:r>
      <w:r w:rsidRPr="007C6E89">
        <w:rPr>
          <w:rFonts w:eastAsiaTheme="minorHAnsi" w:cstheme="minorBidi"/>
          <w:noProof/>
        </w:rPr>
        <w:t>(Norman et al, 2007)</w:t>
      </w:r>
      <w:r w:rsidRPr="007C6E89">
        <w:rPr>
          <w:rFonts w:eastAsiaTheme="minorHAnsi" w:cstheme="minorBidi"/>
        </w:rPr>
        <w:t xml:space="preserve"> was adapted to suit the proposed MBS listings and the Australian healthcare setting. The key characteristics of the economic evaluation are summarised in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_Ref377648893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5</w:t>
      </w:r>
      <w:r w:rsidRPr="008B2F8A">
        <w:rPr>
          <w:rFonts w:asciiTheme="minorHAnsi" w:eastAsiaTheme="minorHAnsi" w:hAnsiTheme="minorHAnsi" w:cstheme="minorBidi"/>
        </w:rPr>
        <w:fldChar w:fldCharType="end"/>
      </w:r>
      <w:r w:rsidRPr="007C6E89">
        <w:rPr>
          <w:rFonts w:eastAsiaTheme="minorHAnsi" w:cstheme="minorBidi"/>
        </w:rPr>
        <w:t>. A copy of the model built in Microsoft Excel is provided with this assessment report.</w:t>
      </w:r>
    </w:p>
    <w:p w14:paraId="49D7C190" w14:textId="77777777" w:rsidR="00E47AB8" w:rsidRPr="008B2F8A" w:rsidRDefault="00E47AB8" w:rsidP="00422306">
      <w:pPr>
        <w:pStyle w:val="Caption"/>
      </w:pPr>
      <w:bookmarkStart w:id="1044" w:name="_Ref377648893"/>
      <w:bookmarkStart w:id="1045" w:name="_Toc383424614"/>
      <w:r w:rsidRPr="008B2F8A">
        <w:lastRenderedPageBreak/>
        <w:t xml:space="preserve">Table </w:t>
      </w:r>
      <w:fldSimple w:instr=" STYLEREF 1 \s ">
        <w:r w:rsidR="00B81273">
          <w:rPr>
            <w:noProof/>
          </w:rPr>
          <w:t>D</w:t>
        </w:r>
      </w:fldSimple>
      <w:r w:rsidRPr="008B2F8A">
        <w:t>.</w:t>
      </w:r>
      <w:fldSimple w:instr=" SEQ Table \* ARABIC \s 1 ">
        <w:r w:rsidR="00B81273">
          <w:rPr>
            <w:noProof/>
          </w:rPr>
          <w:t>5</w:t>
        </w:r>
      </w:fldSimple>
      <w:bookmarkEnd w:id="1044"/>
      <w:r w:rsidRPr="008B2F8A">
        <w:tab/>
      </w:r>
      <w:bookmarkStart w:id="1046" w:name="OLE_LINK1079"/>
      <w:bookmarkStart w:id="1047" w:name="OLE_LINK1080"/>
      <w:r w:rsidRPr="008B2F8A">
        <w:t>Summary of the economic model</w:t>
      </w:r>
      <w:bookmarkEnd w:id="1046"/>
      <w:bookmarkEnd w:id="1047"/>
      <w:r w:rsidRPr="008B2F8A">
        <w:t>.</w:t>
      </w:r>
      <w:bookmarkEnd w:id="1045"/>
    </w:p>
    <w:tbl>
      <w:tblPr>
        <w:tblStyle w:val="TableGrid"/>
        <w:tblW w:w="9070" w:type="dxa"/>
        <w:tblCellMar>
          <w:left w:w="28" w:type="dxa"/>
          <w:right w:w="28" w:type="dxa"/>
        </w:tblCellMar>
        <w:tblLook w:val="04A0" w:firstRow="1" w:lastRow="0" w:firstColumn="1" w:lastColumn="0" w:noHBand="0" w:noVBand="1"/>
        <w:tblCaption w:val="Summary of the economic model"/>
      </w:tblPr>
      <w:tblGrid>
        <w:gridCol w:w="1874"/>
        <w:gridCol w:w="7196"/>
      </w:tblGrid>
      <w:tr w:rsidR="00E47AB8" w:rsidRPr="008B2F8A" w14:paraId="5EBD7FD8" w14:textId="77777777" w:rsidTr="0071000B">
        <w:trPr>
          <w:tblHeader/>
        </w:trPr>
        <w:tc>
          <w:tcPr>
            <w:tcW w:w="1874" w:type="dxa"/>
          </w:tcPr>
          <w:p w14:paraId="752999FC" w14:textId="77777777" w:rsidR="00E47AB8" w:rsidRPr="008B2F8A" w:rsidRDefault="00E47AB8" w:rsidP="007B6507">
            <w:pPr>
              <w:keepNext/>
              <w:spacing w:before="40" w:after="80"/>
              <w:rPr>
                <w:rFonts w:ascii="Arial Narrow" w:hAnsi="Arial Narrow" w:cs="Arial"/>
                <w:b/>
              </w:rPr>
            </w:pPr>
            <w:r w:rsidRPr="008B2F8A">
              <w:rPr>
                <w:rFonts w:ascii="Arial Narrow" w:hAnsi="Arial Narrow" w:cs="Arial"/>
                <w:b/>
              </w:rPr>
              <w:t>Model feature</w:t>
            </w:r>
          </w:p>
        </w:tc>
        <w:tc>
          <w:tcPr>
            <w:tcW w:w="7196" w:type="dxa"/>
          </w:tcPr>
          <w:p w14:paraId="58054F3B" w14:textId="77777777" w:rsidR="00E47AB8" w:rsidRPr="008B2F8A" w:rsidRDefault="00E47AB8" w:rsidP="007B6507">
            <w:pPr>
              <w:keepNext/>
              <w:spacing w:before="40" w:after="80"/>
              <w:rPr>
                <w:rFonts w:ascii="Arial Narrow" w:hAnsi="Arial Narrow" w:cs="Arial"/>
                <w:b/>
              </w:rPr>
            </w:pPr>
            <w:r w:rsidRPr="008B2F8A">
              <w:rPr>
                <w:rFonts w:ascii="Arial Narrow" w:hAnsi="Arial Narrow" w:cs="Arial"/>
                <w:b/>
              </w:rPr>
              <w:t>Description</w:t>
            </w:r>
          </w:p>
        </w:tc>
      </w:tr>
      <w:tr w:rsidR="00E47AB8" w:rsidRPr="008B2F8A" w14:paraId="519C2B96" w14:textId="77777777" w:rsidTr="0071000B">
        <w:tc>
          <w:tcPr>
            <w:tcW w:w="1874" w:type="dxa"/>
          </w:tcPr>
          <w:p w14:paraId="26DE7383" w14:textId="77777777" w:rsidR="00E47AB8" w:rsidRPr="008B2F8A" w:rsidRDefault="00E47AB8" w:rsidP="007B6507">
            <w:pPr>
              <w:keepNext/>
              <w:spacing w:before="40" w:after="80"/>
              <w:rPr>
                <w:rFonts w:ascii="Arial Narrow" w:hAnsi="Arial Narrow" w:cs="Arial"/>
              </w:rPr>
            </w:pPr>
            <w:r w:rsidRPr="008B2F8A">
              <w:rPr>
                <w:rFonts w:ascii="Arial Narrow" w:hAnsi="Arial Narrow" w:cs="Arial"/>
              </w:rPr>
              <w:t>Study question</w:t>
            </w:r>
          </w:p>
        </w:tc>
        <w:tc>
          <w:tcPr>
            <w:tcW w:w="7196" w:type="dxa"/>
          </w:tcPr>
          <w:p w14:paraId="3F022D99" w14:textId="61122E36" w:rsidR="00E47AB8" w:rsidRPr="008B2F8A" w:rsidRDefault="00E47AB8" w:rsidP="007B6507">
            <w:pPr>
              <w:keepNext/>
              <w:spacing w:before="40" w:after="80"/>
              <w:rPr>
                <w:rFonts w:ascii="Arial Narrow" w:hAnsi="Arial Narrow" w:cs="Arial"/>
              </w:rPr>
            </w:pPr>
            <w:r w:rsidRPr="008B2F8A">
              <w:rPr>
                <w:rFonts w:ascii="Arial Narrow" w:hAnsi="Arial Narrow" w:cs="Arial"/>
              </w:rPr>
              <w:t xml:space="preserve">What </w:t>
            </w:r>
            <w:r>
              <w:rPr>
                <w:rFonts w:ascii="Arial Narrow" w:hAnsi="Arial Narrow" w:cs="Arial"/>
              </w:rPr>
              <w:t>are the</w:t>
            </w:r>
            <w:r w:rsidRPr="008B2F8A">
              <w:rPr>
                <w:rFonts w:ascii="Arial Narrow" w:hAnsi="Arial Narrow" w:cs="Arial"/>
              </w:rPr>
              <w:t xml:space="preserve"> effectiveness and cost-effectiveness of the addition of MRI to an organised surveillance program of mammography in asymptomatic women &lt;50 years of age with a high risk of developing breast cancer?</w:t>
            </w:r>
          </w:p>
        </w:tc>
      </w:tr>
      <w:tr w:rsidR="00E47AB8" w:rsidRPr="008B2F8A" w14:paraId="1BFCEC13" w14:textId="77777777" w:rsidTr="0071000B">
        <w:tc>
          <w:tcPr>
            <w:tcW w:w="1874" w:type="dxa"/>
          </w:tcPr>
          <w:p w14:paraId="6F40EDA2" w14:textId="77777777" w:rsidR="00E47AB8" w:rsidRPr="008B2F8A" w:rsidRDefault="00E47AB8" w:rsidP="007B6507">
            <w:pPr>
              <w:keepNext/>
              <w:spacing w:before="40" w:after="80"/>
              <w:rPr>
                <w:rFonts w:ascii="Arial Narrow" w:hAnsi="Arial Narrow" w:cs="Arial"/>
              </w:rPr>
            </w:pPr>
            <w:r w:rsidRPr="008B2F8A">
              <w:rPr>
                <w:rFonts w:ascii="Arial Narrow" w:hAnsi="Arial Narrow" w:cs="Arial"/>
              </w:rPr>
              <w:t>Type of economic evaluation</w:t>
            </w:r>
          </w:p>
        </w:tc>
        <w:tc>
          <w:tcPr>
            <w:tcW w:w="7196" w:type="dxa"/>
          </w:tcPr>
          <w:p w14:paraId="28E95F62" w14:textId="77777777" w:rsidR="00E47AB8" w:rsidRPr="008B2F8A" w:rsidRDefault="00E47AB8" w:rsidP="007B6507">
            <w:pPr>
              <w:keepNext/>
              <w:spacing w:before="40" w:after="80"/>
              <w:rPr>
                <w:rFonts w:ascii="Arial Narrow" w:hAnsi="Arial Narrow" w:cs="Arial"/>
              </w:rPr>
            </w:pPr>
            <w:r w:rsidRPr="008B2F8A">
              <w:rPr>
                <w:rFonts w:ascii="Arial Narrow" w:hAnsi="Arial Narrow" w:cs="Arial"/>
              </w:rPr>
              <w:t>Cost utility analysis</w:t>
            </w:r>
          </w:p>
        </w:tc>
      </w:tr>
      <w:tr w:rsidR="00E47AB8" w:rsidRPr="008B2F8A" w14:paraId="639B02A2" w14:textId="77777777" w:rsidTr="0071000B">
        <w:tc>
          <w:tcPr>
            <w:tcW w:w="1874" w:type="dxa"/>
          </w:tcPr>
          <w:p w14:paraId="50F95497" w14:textId="77777777" w:rsidR="00E47AB8" w:rsidRPr="008B2F8A" w:rsidRDefault="00E47AB8" w:rsidP="00422306">
            <w:pPr>
              <w:spacing w:before="40" w:after="80"/>
              <w:rPr>
                <w:rFonts w:ascii="Arial Narrow" w:hAnsi="Arial Narrow" w:cs="Arial"/>
              </w:rPr>
            </w:pPr>
            <w:r w:rsidRPr="008B2F8A">
              <w:rPr>
                <w:rFonts w:ascii="Arial Narrow" w:hAnsi="Arial Narrow" w:cs="Arial"/>
              </w:rPr>
              <w:t>Population</w:t>
            </w:r>
          </w:p>
        </w:tc>
        <w:tc>
          <w:tcPr>
            <w:tcW w:w="7196" w:type="dxa"/>
          </w:tcPr>
          <w:p w14:paraId="082F0DD5" w14:textId="061D3E41" w:rsidR="00E47AB8" w:rsidRPr="008B2F8A" w:rsidRDefault="00E47AB8" w:rsidP="00E47AB8">
            <w:pPr>
              <w:pStyle w:val="ListParagraph"/>
              <w:numPr>
                <w:ilvl w:val="0"/>
                <w:numId w:val="68"/>
              </w:numPr>
              <w:spacing w:before="40" w:after="80"/>
              <w:ind w:left="256" w:hanging="283"/>
              <w:contextualSpacing w:val="0"/>
              <w:rPr>
                <w:rFonts w:ascii="Arial Narrow" w:hAnsi="Arial Narrow" w:cs="Arial"/>
              </w:rPr>
            </w:pPr>
            <w:r w:rsidRPr="008B2F8A">
              <w:rPr>
                <w:rFonts w:ascii="Arial Narrow" w:hAnsi="Arial Narrow" w:cs="Arial"/>
              </w:rPr>
              <w:t xml:space="preserve">Women in whom genetic testing has identified the presence of a high-risk breast cancer gene mutation (eg, </w:t>
            </w:r>
            <w:r w:rsidRPr="0071000B">
              <w:rPr>
                <w:rFonts w:ascii="Arial Narrow" w:hAnsi="Arial Narrow" w:cs="Arial"/>
                <w:i/>
              </w:rPr>
              <w:t>BRCA1</w:t>
            </w:r>
            <w:r w:rsidRPr="008B2F8A">
              <w:rPr>
                <w:rFonts w:ascii="Arial Narrow" w:hAnsi="Arial Narrow" w:cs="Arial"/>
              </w:rPr>
              <w:t xml:space="preserve">, </w:t>
            </w:r>
            <w:r w:rsidRPr="0071000B">
              <w:rPr>
                <w:rFonts w:ascii="Arial Narrow" w:hAnsi="Arial Narrow" w:cs="Arial"/>
                <w:i/>
              </w:rPr>
              <w:t>BRCA2</w:t>
            </w:r>
            <w:r w:rsidRPr="008B2F8A">
              <w:rPr>
                <w:rFonts w:ascii="Arial Narrow" w:hAnsi="Arial Narrow" w:cs="Arial"/>
              </w:rPr>
              <w:t xml:space="preserve"> and </w:t>
            </w:r>
            <w:r w:rsidRPr="0071000B">
              <w:rPr>
                <w:rFonts w:ascii="Arial Narrow" w:hAnsi="Arial Narrow" w:cs="Arial"/>
                <w:i/>
              </w:rPr>
              <w:t>TP53</w:t>
            </w:r>
            <w:r w:rsidRPr="008B2F8A">
              <w:rPr>
                <w:rFonts w:ascii="Arial Narrow" w:hAnsi="Arial Narrow" w:cs="Arial"/>
              </w:rPr>
              <w:t>)</w:t>
            </w:r>
          </w:p>
          <w:p w14:paraId="10326A37" w14:textId="516D5249" w:rsidR="00E47AB8" w:rsidRPr="008B2F8A" w:rsidRDefault="00E47AB8" w:rsidP="00E47AB8">
            <w:pPr>
              <w:pStyle w:val="ListParagraph"/>
              <w:numPr>
                <w:ilvl w:val="0"/>
                <w:numId w:val="68"/>
              </w:numPr>
              <w:spacing w:before="40" w:after="80"/>
              <w:ind w:left="256" w:hanging="283"/>
              <w:contextualSpacing w:val="0"/>
              <w:rPr>
                <w:rFonts w:ascii="Arial Narrow" w:hAnsi="Arial Narrow" w:cs="Arial"/>
              </w:rPr>
            </w:pPr>
            <w:r w:rsidRPr="008B2F8A">
              <w:rPr>
                <w:rFonts w:ascii="Arial Narrow" w:hAnsi="Arial Narrow" w:cs="Arial"/>
              </w:rPr>
              <w:t>Asymptomatic women, aged &lt;50 years, at high risk of breast cancer due to familial risk factors</w:t>
            </w:r>
          </w:p>
          <w:p w14:paraId="79217E8B" w14:textId="77777777" w:rsidR="00E47AB8" w:rsidRPr="008B2F8A" w:rsidRDefault="00E47AB8" w:rsidP="00E47AB8">
            <w:pPr>
              <w:pStyle w:val="ListParagraph"/>
              <w:numPr>
                <w:ilvl w:val="0"/>
                <w:numId w:val="68"/>
              </w:numPr>
              <w:spacing w:before="40" w:after="80"/>
              <w:ind w:left="256" w:hanging="283"/>
              <w:contextualSpacing w:val="0"/>
              <w:rPr>
                <w:rFonts w:ascii="Arial Narrow" w:hAnsi="Arial Narrow" w:cs="Arial"/>
              </w:rPr>
            </w:pPr>
            <w:r w:rsidRPr="008B2F8A">
              <w:rPr>
                <w:rFonts w:ascii="Arial Narrow" w:hAnsi="Arial Narrow" w:cs="Arial"/>
              </w:rPr>
              <w:t>Women with a prior history of treatment for invasive breast cancer</w:t>
            </w:r>
          </w:p>
          <w:p w14:paraId="15008E0A" w14:textId="77777777" w:rsidR="00E47AB8" w:rsidRPr="008B2F8A" w:rsidRDefault="00E47AB8" w:rsidP="00E47AB8">
            <w:pPr>
              <w:pStyle w:val="ListParagraph"/>
              <w:numPr>
                <w:ilvl w:val="0"/>
                <w:numId w:val="68"/>
              </w:numPr>
              <w:spacing w:before="40" w:after="80"/>
              <w:ind w:left="256" w:hanging="283"/>
              <w:contextualSpacing w:val="0"/>
              <w:rPr>
                <w:rFonts w:ascii="Arial Narrow" w:hAnsi="Arial Narrow" w:cs="Arial"/>
              </w:rPr>
            </w:pPr>
            <w:r w:rsidRPr="008B2F8A">
              <w:rPr>
                <w:rFonts w:ascii="Arial Narrow" w:hAnsi="Arial Narrow" w:cs="Arial"/>
              </w:rPr>
              <w:t>Women with a prior history of treatment for DCIS or LCIS</w:t>
            </w:r>
          </w:p>
          <w:p w14:paraId="5155CCB4" w14:textId="4CEC612A" w:rsidR="00E47AB8" w:rsidRPr="008B2F8A" w:rsidRDefault="00E47AB8" w:rsidP="0071000B">
            <w:pPr>
              <w:pStyle w:val="ListParagraph"/>
              <w:numPr>
                <w:ilvl w:val="0"/>
                <w:numId w:val="68"/>
              </w:numPr>
              <w:spacing w:before="40" w:after="80"/>
              <w:ind w:left="256" w:hanging="283"/>
              <w:contextualSpacing w:val="0"/>
              <w:rPr>
                <w:rFonts w:ascii="Arial Narrow" w:hAnsi="Arial Narrow" w:cs="Arial"/>
                <w:lang w:eastAsia="en-US"/>
              </w:rPr>
            </w:pPr>
            <w:r w:rsidRPr="008B2F8A">
              <w:rPr>
                <w:rFonts w:ascii="Arial Narrow" w:hAnsi="Arial Narrow" w:cs="Arial"/>
              </w:rPr>
              <w:t>Women with a history of therapeutic radiation treatment to the chest area undertaken between the ages of 10 and 35 years</w:t>
            </w:r>
          </w:p>
        </w:tc>
      </w:tr>
      <w:tr w:rsidR="00E47AB8" w:rsidRPr="008B2F8A" w14:paraId="1AF02446" w14:textId="77777777" w:rsidTr="0071000B">
        <w:tc>
          <w:tcPr>
            <w:tcW w:w="1874" w:type="dxa"/>
          </w:tcPr>
          <w:p w14:paraId="4CC0FA9C" w14:textId="77777777" w:rsidR="00E47AB8" w:rsidRPr="008B2F8A" w:rsidRDefault="00E47AB8" w:rsidP="00422306">
            <w:pPr>
              <w:spacing w:before="40" w:after="80"/>
              <w:rPr>
                <w:rFonts w:ascii="Arial Narrow" w:hAnsi="Arial Narrow" w:cs="Arial"/>
              </w:rPr>
            </w:pPr>
            <w:r w:rsidRPr="008B2F8A">
              <w:rPr>
                <w:rFonts w:ascii="Arial Narrow" w:hAnsi="Arial Narrow" w:cs="Arial"/>
              </w:rPr>
              <w:t>Intervention</w:t>
            </w:r>
          </w:p>
        </w:tc>
        <w:tc>
          <w:tcPr>
            <w:tcW w:w="7196" w:type="dxa"/>
          </w:tcPr>
          <w:p w14:paraId="225B12E2" w14:textId="77777777" w:rsidR="00E47AB8" w:rsidRPr="008B2F8A" w:rsidRDefault="00E47AB8" w:rsidP="00422306">
            <w:pPr>
              <w:spacing w:before="40" w:after="80"/>
              <w:rPr>
                <w:rFonts w:ascii="Arial Narrow" w:hAnsi="Arial Narrow" w:cs="Arial"/>
              </w:rPr>
            </w:pPr>
            <w:r w:rsidRPr="008B2F8A">
              <w:rPr>
                <w:rFonts w:ascii="Arial Narrow" w:hAnsi="Arial Narrow" w:cs="Arial"/>
              </w:rPr>
              <w:t>Annual screening with combined MRI and mammography</w:t>
            </w:r>
          </w:p>
        </w:tc>
      </w:tr>
      <w:tr w:rsidR="00E47AB8" w:rsidRPr="008B2F8A" w14:paraId="1BF9BD04" w14:textId="77777777" w:rsidTr="0071000B">
        <w:tc>
          <w:tcPr>
            <w:tcW w:w="1874" w:type="dxa"/>
          </w:tcPr>
          <w:p w14:paraId="09AC3F70" w14:textId="77777777" w:rsidR="00E47AB8" w:rsidRPr="008B2F8A" w:rsidRDefault="00E47AB8" w:rsidP="00422306">
            <w:pPr>
              <w:spacing w:before="40" w:after="80"/>
              <w:rPr>
                <w:rFonts w:ascii="Arial Narrow" w:hAnsi="Arial Narrow" w:cs="Arial"/>
              </w:rPr>
            </w:pPr>
            <w:r w:rsidRPr="008B2F8A">
              <w:rPr>
                <w:rFonts w:ascii="Arial Narrow" w:hAnsi="Arial Narrow" w:cs="Arial"/>
              </w:rPr>
              <w:t>Comparator</w:t>
            </w:r>
          </w:p>
        </w:tc>
        <w:tc>
          <w:tcPr>
            <w:tcW w:w="7196" w:type="dxa"/>
          </w:tcPr>
          <w:p w14:paraId="300A7365" w14:textId="77777777" w:rsidR="00E47AB8" w:rsidRPr="008B2F8A" w:rsidRDefault="00E47AB8" w:rsidP="00422306">
            <w:pPr>
              <w:spacing w:before="40" w:after="80"/>
              <w:rPr>
                <w:rFonts w:ascii="Arial Narrow" w:hAnsi="Arial Narrow" w:cs="Arial"/>
              </w:rPr>
            </w:pPr>
            <w:r w:rsidRPr="008B2F8A">
              <w:rPr>
                <w:rFonts w:ascii="Arial Narrow" w:hAnsi="Arial Narrow" w:cs="Arial"/>
              </w:rPr>
              <w:t>Annual screening with mammography alone</w:t>
            </w:r>
          </w:p>
        </w:tc>
      </w:tr>
      <w:tr w:rsidR="00E47AB8" w:rsidRPr="008B2F8A" w14:paraId="77B05316" w14:textId="77777777" w:rsidTr="0071000B">
        <w:tc>
          <w:tcPr>
            <w:tcW w:w="1874" w:type="dxa"/>
          </w:tcPr>
          <w:p w14:paraId="56D4F554" w14:textId="77777777" w:rsidR="00E47AB8" w:rsidRPr="008B2F8A" w:rsidRDefault="00E47AB8" w:rsidP="00422306">
            <w:pPr>
              <w:spacing w:before="40" w:after="80"/>
              <w:rPr>
                <w:rFonts w:ascii="Arial Narrow" w:hAnsi="Arial Narrow" w:cs="Arial"/>
              </w:rPr>
            </w:pPr>
            <w:r w:rsidRPr="008B2F8A">
              <w:rPr>
                <w:rFonts w:ascii="Arial Narrow" w:hAnsi="Arial Narrow" w:cs="Arial"/>
              </w:rPr>
              <w:t>Outcomes and clinical parameters</w:t>
            </w:r>
          </w:p>
        </w:tc>
        <w:tc>
          <w:tcPr>
            <w:tcW w:w="7196" w:type="dxa"/>
          </w:tcPr>
          <w:p w14:paraId="42D47E2B" w14:textId="77777777" w:rsidR="00E47AB8" w:rsidRPr="008B2F8A" w:rsidRDefault="00E47AB8" w:rsidP="0071000B">
            <w:pPr>
              <w:pStyle w:val="ListParagraph"/>
              <w:numPr>
                <w:ilvl w:val="0"/>
                <w:numId w:val="67"/>
              </w:numPr>
              <w:spacing w:before="40" w:after="80"/>
              <w:ind w:left="256" w:hanging="284"/>
              <w:contextualSpacing w:val="0"/>
              <w:rPr>
                <w:rFonts w:ascii="Arial Narrow" w:hAnsi="Arial Narrow" w:cs="Arial"/>
                <w:color w:val="000000"/>
                <w:lang w:eastAsia="en-US"/>
              </w:rPr>
            </w:pPr>
            <w:r w:rsidRPr="008B2F8A">
              <w:rPr>
                <w:rFonts w:ascii="Arial Narrow" w:hAnsi="Arial Narrow" w:cs="Arial"/>
              </w:rPr>
              <w:t>Diagnostic accuracy</w:t>
            </w:r>
          </w:p>
          <w:p w14:paraId="6CF90B9D" w14:textId="77777777" w:rsidR="00E47AB8" w:rsidRPr="008B2F8A" w:rsidRDefault="00E47AB8" w:rsidP="0071000B">
            <w:pPr>
              <w:pStyle w:val="ListParagraph"/>
              <w:numPr>
                <w:ilvl w:val="0"/>
                <w:numId w:val="67"/>
              </w:numPr>
              <w:spacing w:before="40" w:after="80"/>
              <w:ind w:left="256" w:hanging="284"/>
              <w:contextualSpacing w:val="0"/>
              <w:rPr>
                <w:rFonts w:ascii="Arial Narrow" w:hAnsi="Arial Narrow" w:cs="Arial"/>
                <w:color w:val="000000"/>
                <w:lang w:eastAsia="en-US"/>
              </w:rPr>
            </w:pPr>
            <w:r w:rsidRPr="008B2F8A">
              <w:rPr>
                <w:rFonts w:ascii="Arial Narrow" w:hAnsi="Arial Narrow" w:cs="Arial"/>
              </w:rPr>
              <w:t>Breast cancer risk</w:t>
            </w:r>
          </w:p>
          <w:p w14:paraId="293F77A1" w14:textId="235856DC" w:rsidR="00E47AB8" w:rsidRPr="008B2F8A" w:rsidRDefault="00E47AB8" w:rsidP="0071000B">
            <w:pPr>
              <w:pStyle w:val="ListParagraph"/>
              <w:numPr>
                <w:ilvl w:val="0"/>
                <w:numId w:val="67"/>
              </w:numPr>
              <w:spacing w:before="40" w:after="80"/>
              <w:ind w:left="256" w:hanging="284"/>
              <w:contextualSpacing w:val="0"/>
              <w:rPr>
                <w:rFonts w:ascii="Arial Narrow" w:hAnsi="Arial Narrow" w:cs="Arial"/>
                <w:color w:val="000000"/>
                <w:lang w:eastAsia="en-US"/>
              </w:rPr>
            </w:pPr>
            <w:r w:rsidRPr="008B2F8A">
              <w:rPr>
                <w:rFonts w:ascii="Arial Narrow" w:hAnsi="Arial Narrow" w:cs="Arial"/>
              </w:rPr>
              <w:t>Health-related quality of life</w:t>
            </w:r>
          </w:p>
          <w:p w14:paraId="02DD1D0E" w14:textId="77777777" w:rsidR="00E47AB8" w:rsidRPr="008B2F8A" w:rsidRDefault="00E47AB8" w:rsidP="0071000B">
            <w:pPr>
              <w:pStyle w:val="ListParagraph"/>
              <w:numPr>
                <w:ilvl w:val="0"/>
                <w:numId w:val="67"/>
              </w:numPr>
              <w:spacing w:before="40" w:after="80"/>
              <w:ind w:left="256" w:hanging="284"/>
              <w:contextualSpacing w:val="0"/>
              <w:rPr>
                <w:rFonts w:ascii="Arial Narrow" w:hAnsi="Arial Narrow" w:cs="Arial"/>
                <w:color w:val="000000"/>
                <w:lang w:eastAsia="en-US"/>
              </w:rPr>
            </w:pPr>
            <w:r w:rsidRPr="008B2F8A">
              <w:rPr>
                <w:rFonts w:ascii="Arial Narrow" w:hAnsi="Arial Narrow" w:cs="Arial"/>
              </w:rPr>
              <w:t>Survival</w:t>
            </w:r>
          </w:p>
        </w:tc>
      </w:tr>
      <w:tr w:rsidR="00E47AB8" w:rsidRPr="008B2F8A" w14:paraId="276C52AB" w14:textId="77777777" w:rsidTr="0071000B">
        <w:tc>
          <w:tcPr>
            <w:tcW w:w="1874" w:type="dxa"/>
          </w:tcPr>
          <w:p w14:paraId="42706B41" w14:textId="77777777" w:rsidR="00E47AB8" w:rsidRPr="008B2F8A" w:rsidRDefault="00E47AB8" w:rsidP="00422306">
            <w:pPr>
              <w:spacing w:before="40" w:after="80"/>
              <w:rPr>
                <w:rFonts w:ascii="Arial Narrow" w:hAnsi="Arial Narrow" w:cs="Arial"/>
              </w:rPr>
            </w:pPr>
            <w:r w:rsidRPr="008B2F8A">
              <w:rPr>
                <w:rFonts w:ascii="Arial Narrow" w:hAnsi="Arial Narrow" w:cs="Arial"/>
              </w:rPr>
              <w:t>Time horizon</w:t>
            </w:r>
          </w:p>
        </w:tc>
        <w:tc>
          <w:tcPr>
            <w:tcW w:w="7196" w:type="dxa"/>
          </w:tcPr>
          <w:p w14:paraId="4BC38905" w14:textId="0F08FE28" w:rsidR="00E47AB8" w:rsidRPr="008B2F8A" w:rsidRDefault="00E47AB8" w:rsidP="0071000B">
            <w:pPr>
              <w:spacing w:before="40" w:after="80"/>
              <w:rPr>
                <w:rFonts w:ascii="Arial Narrow" w:hAnsi="Arial Narrow" w:cs="Arial"/>
                <w:color w:val="000000"/>
                <w:lang w:eastAsia="en-US"/>
              </w:rPr>
            </w:pPr>
            <w:r w:rsidRPr="008B2F8A">
              <w:rPr>
                <w:rFonts w:ascii="Arial Narrow" w:hAnsi="Arial Narrow" w:cs="Arial"/>
              </w:rPr>
              <w:t>Lifetime (to capture the true extent of life years lost as a result of delayed breast cancer detection)</w:t>
            </w:r>
          </w:p>
        </w:tc>
      </w:tr>
      <w:tr w:rsidR="00E47AB8" w:rsidRPr="008B2F8A" w14:paraId="1A043472" w14:textId="77777777" w:rsidTr="0071000B">
        <w:tc>
          <w:tcPr>
            <w:tcW w:w="1874" w:type="dxa"/>
          </w:tcPr>
          <w:p w14:paraId="01AC3966" w14:textId="77777777" w:rsidR="00E47AB8" w:rsidRPr="008B2F8A" w:rsidRDefault="00E47AB8" w:rsidP="00422306">
            <w:pPr>
              <w:spacing w:before="40" w:after="80"/>
              <w:rPr>
                <w:rFonts w:ascii="Arial Narrow" w:hAnsi="Arial Narrow" w:cs="Arial"/>
              </w:rPr>
            </w:pPr>
            <w:r w:rsidRPr="008B2F8A">
              <w:rPr>
                <w:rFonts w:ascii="Arial Narrow" w:hAnsi="Arial Narrow" w:cs="Arial"/>
              </w:rPr>
              <w:t>Discount rate</w:t>
            </w:r>
          </w:p>
        </w:tc>
        <w:tc>
          <w:tcPr>
            <w:tcW w:w="7196" w:type="dxa"/>
          </w:tcPr>
          <w:p w14:paraId="4722B846" w14:textId="670AFBE7" w:rsidR="00E47AB8" w:rsidRPr="008B2F8A" w:rsidRDefault="00E47AB8" w:rsidP="00422306">
            <w:pPr>
              <w:spacing w:before="40" w:after="80"/>
              <w:rPr>
                <w:rFonts w:ascii="Arial Narrow" w:hAnsi="Arial Narrow" w:cs="Arial"/>
              </w:rPr>
            </w:pPr>
            <w:r w:rsidRPr="008B2F8A">
              <w:rPr>
                <w:rFonts w:ascii="Arial Narrow" w:hAnsi="Arial Narrow" w:cs="Arial"/>
              </w:rPr>
              <w:t>A discount rate of 5% was applied to all costs and effects incurred after the first year of initial treatment</w:t>
            </w:r>
          </w:p>
        </w:tc>
      </w:tr>
      <w:tr w:rsidR="00E47AB8" w:rsidRPr="008B2F8A" w14:paraId="7111AA5F" w14:textId="77777777" w:rsidTr="0071000B">
        <w:tc>
          <w:tcPr>
            <w:tcW w:w="1874" w:type="dxa"/>
          </w:tcPr>
          <w:p w14:paraId="2E5CA9D2" w14:textId="77777777" w:rsidR="00E47AB8" w:rsidRPr="008B2F8A" w:rsidRDefault="00E47AB8" w:rsidP="00422306">
            <w:pPr>
              <w:spacing w:before="40" w:after="80"/>
              <w:rPr>
                <w:rFonts w:ascii="Arial Narrow" w:hAnsi="Arial Narrow" w:cs="Arial"/>
              </w:rPr>
            </w:pPr>
            <w:r w:rsidRPr="008B2F8A">
              <w:rPr>
                <w:rFonts w:ascii="Arial Narrow" w:hAnsi="Arial Narrow" w:cs="Arial"/>
              </w:rPr>
              <w:t>Structure</w:t>
            </w:r>
          </w:p>
        </w:tc>
        <w:tc>
          <w:tcPr>
            <w:tcW w:w="7196" w:type="dxa"/>
          </w:tcPr>
          <w:p w14:paraId="33EB9DCE" w14:textId="66C31B2B" w:rsidR="00E47AB8" w:rsidRPr="008B2F8A" w:rsidRDefault="00E47AB8" w:rsidP="00422306">
            <w:pPr>
              <w:spacing w:before="40" w:after="80"/>
              <w:rPr>
                <w:rFonts w:ascii="Arial Narrow" w:hAnsi="Arial Narrow" w:cs="Arial"/>
              </w:rPr>
            </w:pPr>
            <w:r w:rsidRPr="008B2F8A">
              <w:rPr>
                <w:rFonts w:ascii="Arial Narrow" w:hAnsi="Arial Narrow" w:cs="Arial"/>
              </w:rPr>
              <w:t xml:space="preserve">A Markov model was developed, allowing patients transition through health states over the time horizon. Individual cycle lengths were </w:t>
            </w:r>
            <w:r>
              <w:rPr>
                <w:rFonts w:ascii="Arial Narrow" w:hAnsi="Arial Narrow" w:cs="Arial"/>
              </w:rPr>
              <w:t>12</w:t>
            </w:r>
            <w:r w:rsidRPr="008B2F8A">
              <w:rPr>
                <w:rFonts w:ascii="Arial Narrow" w:hAnsi="Arial Narrow" w:cs="Arial"/>
              </w:rPr>
              <w:t xml:space="preserve"> months</w:t>
            </w:r>
            <w:r>
              <w:rPr>
                <w:rFonts w:ascii="Arial Narrow" w:hAnsi="Arial Narrow" w:cs="Arial"/>
              </w:rPr>
              <w:t>,</w:t>
            </w:r>
            <w:r w:rsidRPr="008B2F8A">
              <w:rPr>
                <w:rFonts w:ascii="Arial Narrow" w:hAnsi="Arial Narrow" w:cs="Arial"/>
              </w:rPr>
              <w:t xml:space="preserve"> with a half-cycle correction to account for the continuous nature of transition probabilities. The model includes health states </w:t>
            </w:r>
            <w:r>
              <w:rPr>
                <w:rFonts w:ascii="Arial Narrow" w:hAnsi="Arial Narrow" w:cs="Arial"/>
              </w:rPr>
              <w:t xml:space="preserve">of </w:t>
            </w:r>
            <w:r w:rsidRPr="008B2F8A">
              <w:rPr>
                <w:rFonts w:ascii="Arial Narrow" w:hAnsi="Arial Narrow" w:cs="Arial"/>
              </w:rPr>
              <w:t>true-positive test</w:t>
            </w:r>
            <w:r>
              <w:rPr>
                <w:rFonts w:ascii="Arial Narrow" w:hAnsi="Arial Narrow" w:cs="Arial"/>
              </w:rPr>
              <w:t>,</w:t>
            </w:r>
            <w:r w:rsidRPr="008B2F8A">
              <w:rPr>
                <w:rFonts w:ascii="Arial Narrow" w:hAnsi="Arial Narrow" w:cs="Arial"/>
              </w:rPr>
              <w:t xml:space="preserve"> false-negative test</w:t>
            </w:r>
            <w:r>
              <w:rPr>
                <w:rFonts w:ascii="Arial Narrow" w:hAnsi="Arial Narrow" w:cs="Arial"/>
              </w:rPr>
              <w:t>,</w:t>
            </w:r>
            <w:r w:rsidRPr="008B2F8A">
              <w:rPr>
                <w:rFonts w:ascii="Arial Narrow" w:hAnsi="Arial Narrow" w:cs="Arial"/>
              </w:rPr>
              <w:t xml:space="preserve"> healthy</w:t>
            </w:r>
            <w:r>
              <w:rPr>
                <w:rFonts w:ascii="Arial Narrow" w:hAnsi="Arial Narrow" w:cs="Arial"/>
              </w:rPr>
              <w:t>,</w:t>
            </w:r>
            <w:r w:rsidRPr="008B2F8A">
              <w:rPr>
                <w:rFonts w:ascii="Arial Narrow" w:hAnsi="Arial Narrow" w:cs="Arial"/>
              </w:rPr>
              <w:t xml:space="preserve"> in treatment and dead</w:t>
            </w:r>
          </w:p>
        </w:tc>
      </w:tr>
    </w:tbl>
    <w:p w14:paraId="4DC1E3BD" w14:textId="77777777" w:rsidR="00E47AB8" w:rsidRPr="008B2F8A" w:rsidRDefault="00E47AB8" w:rsidP="0071000B">
      <w:pPr>
        <w:pStyle w:val="TableNotesLast"/>
        <w:rPr>
          <w:rFonts w:eastAsiaTheme="minorHAnsi"/>
        </w:rPr>
      </w:pPr>
      <w:r w:rsidRPr="008B2F8A">
        <w:rPr>
          <w:rFonts w:eastAsiaTheme="minorHAnsi"/>
        </w:rPr>
        <w:t xml:space="preserve">DCIS = ductal carcinoma in situ; LCIS = lobular carcinoma in situ; MRI = magnetic resonance imaging; </w:t>
      </w:r>
      <w:r w:rsidRPr="0071000B">
        <w:rPr>
          <w:rFonts w:eastAsiaTheme="minorHAnsi"/>
          <w:i/>
        </w:rPr>
        <w:t>BRCA1/2</w:t>
      </w:r>
      <w:r w:rsidRPr="008B2F8A">
        <w:rPr>
          <w:rFonts w:eastAsiaTheme="minorHAnsi"/>
        </w:rPr>
        <w:t xml:space="preserve"> = breast cancer 1/2 gene; </w:t>
      </w:r>
      <w:r w:rsidRPr="0071000B">
        <w:rPr>
          <w:rFonts w:eastAsiaTheme="minorHAnsi"/>
          <w:i/>
        </w:rPr>
        <w:t>TP53</w:t>
      </w:r>
      <w:r w:rsidRPr="008B2F8A">
        <w:rPr>
          <w:rFonts w:eastAsiaTheme="minorHAnsi"/>
        </w:rPr>
        <w:t xml:space="preserve"> = tumour protein p53 gene.</w:t>
      </w:r>
    </w:p>
    <w:p w14:paraId="224AB2C9" w14:textId="77777777" w:rsidR="00E47AB8" w:rsidRPr="008B2F8A" w:rsidRDefault="00E47AB8" w:rsidP="007B6507">
      <w:pPr>
        <w:pStyle w:val="Heading2"/>
        <w:rPr>
          <w:rFonts w:eastAsiaTheme="majorEastAsia"/>
        </w:rPr>
      </w:pPr>
      <w:bookmarkStart w:id="1048" w:name="_Toc383424494"/>
      <w:r w:rsidRPr="008B2F8A">
        <w:rPr>
          <w:rFonts w:eastAsiaTheme="majorEastAsia"/>
        </w:rPr>
        <w:lastRenderedPageBreak/>
        <w:t>Variables in the economic evaluation</w:t>
      </w:r>
      <w:bookmarkEnd w:id="1048"/>
    </w:p>
    <w:p w14:paraId="26B99CCB" w14:textId="77777777" w:rsidR="00E47AB8" w:rsidRPr="007C6E89" w:rsidRDefault="00E47AB8" w:rsidP="007B6507">
      <w:pPr>
        <w:keepNext/>
        <w:spacing w:after="200"/>
        <w:rPr>
          <w:rFonts w:eastAsiaTheme="minorHAnsi" w:cstheme="minorBidi"/>
        </w:rPr>
      </w:pPr>
      <w:r w:rsidRPr="007C6E89">
        <w:rPr>
          <w:rFonts w:eastAsiaTheme="minorHAnsi" w:cstheme="minorBidi"/>
        </w:rPr>
        <w:t>The variables in the modelled economic evaluation can be broadly classified into:</w:t>
      </w:r>
    </w:p>
    <w:p w14:paraId="39C0CE12" w14:textId="77777777" w:rsidR="00E47AB8" w:rsidRPr="008B2F8A" w:rsidRDefault="00E47AB8" w:rsidP="007B6507">
      <w:pPr>
        <w:keepNext/>
        <w:numPr>
          <w:ilvl w:val="0"/>
          <w:numId w:val="69"/>
        </w:numPr>
        <w:spacing w:after="200"/>
        <w:contextualSpacing/>
      </w:pPr>
      <w:r w:rsidRPr="008B2F8A">
        <w:t>population variables and demographics</w:t>
      </w:r>
    </w:p>
    <w:p w14:paraId="34AE5677" w14:textId="77777777" w:rsidR="00E47AB8" w:rsidRPr="008B2F8A" w:rsidRDefault="00E47AB8" w:rsidP="007B6507">
      <w:pPr>
        <w:keepNext/>
        <w:numPr>
          <w:ilvl w:val="0"/>
          <w:numId w:val="69"/>
        </w:numPr>
        <w:spacing w:after="200"/>
        <w:contextualSpacing/>
      </w:pPr>
      <w:r w:rsidRPr="008B2F8A">
        <w:t>natural history of breast cancer</w:t>
      </w:r>
    </w:p>
    <w:p w14:paraId="1F37E97A" w14:textId="77777777" w:rsidR="00E47AB8" w:rsidRPr="008B2F8A" w:rsidRDefault="00E47AB8" w:rsidP="007B6507">
      <w:pPr>
        <w:keepNext/>
        <w:numPr>
          <w:ilvl w:val="0"/>
          <w:numId w:val="69"/>
        </w:numPr>
        <w:spacing w:after="200"/>
        <w:contextualSpacing/>
      </w:pPr>
      <w:r w:rsidRPr="008B2F8A">
        <w:t>diagnostic accuracy</w:t>
      </w:r>
    </w:p>
    <w:p w14:paraId="3F04A36B" w14:textId="77777777" w:rsidR="00E47AB8" w:rsidRPr="008B2F8A" w:rsidRDefault="00E47AB8" w:rsidP="007B6507">
      <w:pPr>
        <w:keepNext/>
        <w:numPr>
          <w:ilvl w:val="0"/>
          <w:numId w:val="69"/>
        </w:numPr>
        <w:spacing w:after="200"/>
        <w:contextualSpacing/>
      </w:pPr>
      <w:r w:rsidRPr="008B2F8A">
        <w:t>cost variables</w:t>
      </w:r>
    </w:p>
    <w:p w14:paraId="2FFE1F42" w14:textId="77777777" w:rsidR="00E47AB8" w:rsidRPr="008B2F8A" w:rsidRDefault="00E47AB8" w:rsidP="007B6507">
      <w:pPr>
        <w:keepNext/>
        <w:numPr>
          <w:ilvl w:val="0"/>
          <w:numId w:val="69"/>
        </w:numPr>
        <w:spacing w:after="200"/>
        <w:contextualSpacing/>
      </w:pPr>
      <w:r w:rsidRPr="008B2F8A">
        <w:t>utility values</w:t>
      </w:r>
    </w:p>
    <w:p w14:paraId="4301E338" w14:textId="77777777" w:rsidR="00E47AB8" w:rsidRPr="008B2F8A" w:rsidRDefault="00E47AB8" w:rsidP="007B6507">
      <w:pPr>
        <w:keepNext/>
        <w:numPr>
          <w:ilvl w:val="0"/>
          <w:numId w:val="69"/>
        </w:numPr>
        <w:spacing w:after="200"/>
        <w:contextualSpacing/>
      </w:pPr>
      <w:r w:rsidRPr="008B2F8A">
        <w:t>other model parameters</w:t>
      </w:r>
    </w:p>
    <w:p w14:paraId="3A76B6AF" w14:textId="77777777" w:rsidR="00E47AB8" w:rsidRPr="008B2F8A" w:rsidRDefault="00E47AB8" w:rsidP="00E47AB8">
      <w:pPr>
        <w:numPr>
          <w:ilvl w:val="0"/>
          <w:numId w:val="69"/>
        </w:numPr>
        <w:spacing w:after="200"/>
        <w:contextualSpacing/>
      </w:pPr>
      <w:r w:rsidRPr="008B2F8A">
        <w:t>Australian general population variables</w:t>
      </w:r>
    </w:p>
    <w:p w14:paraId="774B1B28" w14:textId="77777777" w:rsidR="00E47AB8" w:rsidRPr="008B2F8A" w:rsidRDefault="00E47AB8" w:rsidP="00E47AB8">
      <w:pPr>
        <w:numPr>
          <w:ilvl w:val="0"/>
          <w:numId w:val="69"/>
        </w:numPr>
        <w:spacing w:after="200"/>
        <w:contextualSpacing/>
      </w:pPr>
      <w:r w:rsidRPr="008B2F8A">
        <w:t>summary of model inputs and assumptions.</w:t>
      </w:r>
    </w:p>
    <w:p w14:paraId="175DC798" w14:textId="77777777" w:rsidR="00E47AB8" w:rsidRPr="008B2F8A" w:rsidRDefault="00E47AB8" w:rsidP="00E47AB8">
      <w:pPr>
        <w:pStyle w:val="Heading3"/>
        <w:numPr>
          <w:ilvl w:val="2"/>
          <w:numId w:val="42"/>
        </w:numPr>
      </w:pPr>
      <w:bookmarkStart w:id="1049" w:name="_Toc383424495"/>
      <w:r w:rsidRPr="008B2F8A">
        <w:t>Population variables and demographics</w:t>
      </w:r>
      <w:bookmarkEnd w:id="1049"/>
    </w:p>
    <w:p w14:paraId="03BEC1A7" w14:textId="1F5E3624" w:rsidR="00E47AB8" w:rsidRPr="007C6E89" w:rsidRDefault="00E47AB8" w:rsidP="00422306">
      <w:pPr>
        <w:spacing w:after="200"/>
        <w:rPr>
          <w:rFonts w:eastAsiaTheme="minorHAnsi" w:cstheme="minorBidi"/>
        </w:rPr>
      </w:pPr>
      <w:r w:rsidRPr="007C6E89">
        <w:rPr>
          <w:rFonts w:eastAsiaTheme="minorHAnsi" w:cstheme="minorBidi"/>
        </w:rPr>
        <w:t>In Australia, the comparator for MRI screening in addition to mammography is surveillance with annual mammography alone. For each of the populations included in this assessment, it was necessary to estimate the average age at baseline; that is, the age at which screening would commence in each arm of the model. This parameter varies depending on whether patients are classified as at high risk on the basis of familial risk factors or because they have previously been treated for DCIS, LCIS or invasive breast cancer.</w:t>
      </w:r>
    </w:p>
    <w:p w14:paraId="4817D652" w14:textId="039A75DE" w:rsidR="00E47AB8" w:rsidRPr="007C6E89" w:rsidRDefault="00E47AB8" w:rsidP="00422306">
      <w:pPr>
        <w:spacing w:after="200"/>
        <w:rPr>
          <w:rFonts w:eastAsiaTheme="minorHAnsi" w:cstheme="minorBidi"/>
        </w:rPr>
      </w:pPr>
      <w:r w:rsidRPr="007C6E89">
        <w:rPr>
          <w:rFonts w:eastAsiaTheme="minorHAnsi" w:cstheme="minorBidi"/>
        </w:rPr>
        <w:t xml:space="preserve">For patients with a known gene mutation or a family history that suggests a high predisposition to breast cancer, it is assumed that screening with either of the modelled surveillance strategies starts at the age of 30 years. This assumption is based on the fact that most diagnostic accuracy studies for MRI and mammography are in populations of at least this age. Furthermore, the benefits of any form of screening in very young women (ie, &lt;30 years) are uncertain given these women’s relatively low annual risk of breast cancer. Thus, NICE CG164 recommends no screening in women aged 20 to 29 years, with the exception of those with a high probability (&gt;30%) of carrying a </w:t>
      </w:r>
      <w:r w:rsidRPr="0071000B">
        <w:rPr>
          <w:rFonts w:eastAsiaTheme="minorHAnsi" w:cstheme="minorBidi"/>
          <w:i/>
        </w:rPr>
        <w:t>TP53</w:t>
      </w:r>
      <w:r w:rsidRPr="007C6E89">
        <w:rPr>
          <w:rFonts w:eastAsiaTheme="minorHAnsi" w:cstheme="minorBidi"/>
        </w:rPr>
        <w:t xml:space="preserve"> mutation.</w:t>
      </w:r>
    </w:p>
    <w:p w14:paraId="5585D989" w14:textId="57CB1295" w:rsidR="00E47AB8" w:rsidRPr="007C6E89" w:rsidRDefault="00E47AB8" w:rsidP="00422306">
      <w:pPr>
        <w:spacing w:after="200"/>
        <w:rPr>
          <w:rFonts w:eastAsiaTheme="minorHAnsi" w:cstheme="minorBidi"/>
        </w:rPr>
      </w:pPr>
      <w:r w:rsidRPr="007C6E89">
        <w:rPr>
          <w:rFonts w:eastAsiaTheme="minorHAnsi" w:cstheme="minorBidi"/>
        </w:rPr>
        <w:t xml:space="preserve">For women with prior DCIS, LCIS or invasive breast cancer, it is assumed that screening with either surveillance strategy would commence later, at the age of 44 years. This age was calculated using data on rates of breast cancer diagnosis in Australia for different age brackets </w:t>
      </w:r>
      <w:r w:rsidRPr="007C6E89">
        <w:rPr>
          <w:rFonts w:eastAsiaTheme="minorHAnsi" w:cstheme="minorBidi"/>
          <w:noProof/>
        </w:rPr>
        <w:t>(AIHW, 2012a)</w:t>
      </w:r>
      <w:r w:rsidRPr="007C6E89">
        <w:rPr>
          <w:rFonts w:eastAsiaTheme="minorHAnsi" w:cstheme="minorBidi"/>
        </w:rPr>
        <w:t>. These data show that the average age of diagnosis for women under the age of 50 is 43 years, and it assumed that screening will commence 1 year after the primary diagnosis.</w:t>
      </w:r>
    </w:p>
    <w:p w14:paraId="0AF73D22" w14:textId="2AEB2B74" w:rsidR="00E47AB8" w:rsidRPr="007C6E89" w:rsidRDefault="00E47AB8" w:rsidP="00422306">
      <w:pPr>
        <w:spacing w:after="200"/>
        <w:rPr>
          <w:rFonts w:eastAsiaTheme="minorHAnsi" w:cstheme="minorBidi"/>
        </w:rPr>
      </w:pPr>
      <w:r w:rsidRPr="007C6E89">
        <w:rPr>
          <w:rFonts w:eastAsiaTheme="minorHAnsi" w:cstheme="minorBidi"/>
        </w:rPr>
        <w:t xml:space="preserve">Women with a high risk of breast cancer due to prior chest radiotherapy have usually received the radiotherapy during treatment for paediatric or young adult cancer. Breast cancer risk is greatest among women treated with high-dose mantle irradiation for Hodgkin’s lymphoma, but it is also elevated among women who received moderate-dose chest irradiation (for example, mediastinal or lung) for other paediatric and young adult cancers such as non-Hodgkin’s lymphoma, </w:t>
      </w:r>
      <w:bookmarkStart w:id="1050" w:name="OLE_LINK556"/>
      <w:bookmarkStart w:id="1051" w:name="OLE_LINK557"/>
      <w:r w:rsidRPr="007C6E89">
        <w:rPr>
          <w:rFonts w:eastAsiaTheme="minorHAnsi" w:cstheme="minorBidi"/>
        </w:rPr>
        <w:t>Wilms’ tumour</w:t>
      </w:r>
      <w:bookmarkEnd w:id="1050"/>
      <w:bookmarkEnd w:id="1051"/>
      <w:r w:rsidRPr="007C6E89">
        <w:rPr>
          <w:rFonts w:eastAsiaTheme="minorHAnsi" w:cstheme="minorBidi"/>
        </w:rPr>
        <w:t xml:space="preserve">, leukaemia, bone cancer, neuroblastoma and soft-tissue sarcoma. When diagnosed with breast cancer, women with prior Hodgkin’s lymphoma are more likely to be younger than the average breast cancer patient </w:t>
      </w:r>
      <w:r w:rsidRPr="007C6E89">
        <w:rPr>
          <w:rFonts w:eastAsiaTheme="minorHAnsi" w:cstheme="minorBidi"/>
          <w:noProof/>
        </w:rPr>
        <w:t>(</w:t>
      </w:r>
      <w:bookmarkStart w:id="1052" w:name="OLE_LINK860"/>
      <w:bookmarkStart w:id="1053" w:name="OLE_LINK861"/>
      <w:r w:rsidRPr="007C6E89">
        <w:rPr>
          <w:rFonts w:eastAsiaTheme="minorHAnsi" w:cstheme="minorBidi"/>
          <w:noProof/>
        </w:rPr>
        <w:t>Cutuli et al, 2012</w:t>
      </w:r>
      <w:bookmarkEnd w:id="1052"/>
      <w:bookmarkEnd w:id="1053"/>
      <w:r w:rsidRPr="007C6E89">
        <w:rPr>
          <w:rFonts w:eastAsiaTheme="minorHAnsi" w:cstheme="minorBidi"/>
          <w:noProof/>
        </w:rPr>
        <w:t>)</w:t>
      </w:r>
      <w:r w:rsidRPr="007C6E89">
        <w:rPr>
          <w:rFonts w:eastAsiaTheme="minorHAnsi" w:cstheme="minorBidi"/>
        </w:rPr>
        <w:t>. Therefore, it is also assumed that in this patient group, screening would begin also begin relatively early, at an average age of 30 years.</w:t>
      </w:r>
    </w:p>
    <w:p w14:paraId="49F0E518" w14:textId="53B35623" w:rsidR="00E47AB8" w:rsidRPr="007C6E89" w:rsidRDefault="00E47AB8" w:rsidP="00422306">
      <w:pPr>
        <w:spacing w:after="200"/>
        <w:rPr>
          <w:rFonts w:eastAsiaTheme="minorHAnsi" w:cstheme="minorBidi"/>
        </w:rPr>
      </w:pPr>
      <w:r w:rsidRPr="007C6E89">
        <w:rPr>
          <w:rFonts w:eastAsiaTheme="minorHAnsi" w:cstheme="minorBidi"/>
        </w:rPr>
        <w:lastRenderedPageBreak/>
        <w:t>As specified in the Final DAP and MBS item 63464, it is assumed that at the age of 50 years, MRI surveillance would cease and women would thereafter be screened with annual mammography alone.</w:t>
      </w:r>
    </w:p>
    <w:p w14:paraId="399195D9" w14:textId="00818BFE" w:rsidR="00E47AB8" w:rsidRPr="007C6E89" w:rsidRDefault="00E47AB8" w:rsidP="00422306">
      <w:pPr>
        <w:spacing w:after="200"/>
        <w:rPr>
          <w:rFonts w:eastAsiaTheme="minorHAnsi" w:cstheme="minorBidi"/>
          <w:lang w:eastAsia="en-AU"/>
        </w:rPr>
      </w:pPr>
      <w:r w:rsidRPr="007C6E89">
        <w:rPr>
          <w:rFonts w:eastAsiaTheme="minorHAnsi" w:cstheme="minorBidi"/>
          <w:lang w:eastAsia="en-AU"/>
        </w:rPr>
        <w:t xml:space="preserve">Sensitivity analysis considers different age ranges for the beginning and end of additional MRI screening in each of the populations being considered, as shown in </w:t>
      </w:r>
      <w:r w:rsidRPr="008B2F8A">
        <w:rPr>
          <w:rFonts w:asciiTheme="minorHAnsi" w:eastAsiaTheme="minorHAnsi" w:hAnsiTheme="minorHAnsi" w:cstheme="minorBidi"/>
          <w:lang w:eastAsia="en-AU"/>
        </w:rPr>
        <w:fldChar w:fldCharType="begin"/>
      </w:r>
      <w:r w:rsidRPr="008B2F8A">
        <w:rPr>
          <w:rFonts w:asciiTheme="minorHAnsi" w:eastAsiaTheme="minorHAnsi" w:hAnsiTheme="minorHAnsi" w:cstheme="minorBidi"/>
          <w:lang w:eastAsia="en-AU"/>
        </w:rPr>
        <w:instrText xml:space="preserve"> REF _Ref377648894 \h </w:instrText>
      </w:r>
      <w:r w:rsidRPr="008B2F8A">
        <w:rPr>
          <w:rFonts w:asciiTheme="minorHAnsi" w:eastAsiaTheme="minorHAnsi" w:hAnsiTheme="minorHAnsi" w:cstheme="minorBidi"/>
          <w:lang w:eastAsia="en-AU"/>
        </w:rPr>
      </w:r>
      <w:r w:rsidRPr="008B2F8A">
        <w:rPr>
          <w:rFonts w:asciiTheme="minorHAnsi" w:eastAsiaTheme="minorHAnsi" w:hAnsiTheme="minorHAnsi" w:cstheme="minorBidi"/>
          <w:lang w:eastAsia="en-AU"/>
        </w:rPr>
        <w:fldChar w:fldCharType="separate"/>
      </w:r>
      <w:r w:rsidR="00B81273" w:rsidRPr="008B2F8A">
        <w:t xml:space="preserve">Table </w:t>
      </w:r>
      <w:r w:rsidR="00B81273">
        <w:rPr>
          <w:noProof/>
        </w:rPr>
        <w:t>D</w:t>
      </w:r>
      <w:r w:rsidR="00B81273" w:rsidRPr="008B2F8A">
        <w:t>.</w:t>
      </w:r>
      <w:r w:rsidR="00B81273">
        <w:rPr>
          <w:noProof/>
        </w:rPr>
        <w:t>6</w:t>
      </w:r>
      <w:r w:rsidRPr="008B2F8A">
        <w:rPr>
          <w:rFonts w:asciiTheme="minorHAnsi" w:eastAsiaTheme="minorHAnsi" w:hAnsiTheme="minorHAnsi" w:cstheme="minorBidi"/>
          <w:lang w:eastAsia="en-AU"/>
        </w:rPr>
        <w:fldChar w:fldCharType="end"/>
      </w:r>
      <w:r w:rsidRPr="007C6E89">
        <w:rPr>
          <w:rFonts w:eastAsiaTheme="minorHAnsi" w:cstheme="minorBidi"/>
          <w:lang w:eastAsia="en-AU"/>
        </w:rPr>
        <w:t>.</w:t>
      </w:r>
    </w:p>
    <w:p w14:paraId="212E6E4A" w14:textId="04E443CD" w:rsidR="00E47AB8" w:rsidRPr="008B2F8A" w:rsidRDefault="00E47AB8" w:rsidP="00422306">
      <w:pPr>
        <w:pStyle w:val="Caption"/>
      </w:pPr>
      <w:bookmarkStart w:id="1054" w:name="_Ref377648894"/>
      <w:bookmarkStart w:id="1055" w:name="_Toc383424615"/>
      <w:r w:rsidRPr="008B2F8A">
        <w:t xml:space="preserve">Table </w:t>
      </w:r>
      <w:fldSimple w:instr=" STYLEREF 1 \s ">
        <w:r w:rsidR="00B81273">
          <w:rPr>
            <w:noProof/>
          </w:rPr>
          <w:t>D</w:t>
        </w:r>
      </w:fldSimple>
      <w:r w:rsidRPr="008B2F8A">
        <w:t>.</w:t>
      </w:r>
      <w:fldSimple w:instr=" SEQ Table \* ARABIC \s 1 ">
        <w:r w:rsidR="00B81273">
          <w:rPr>
            <w:noProof/>
          </w:rPr>
          <w:t>6</w:t>
        </w:r>
      </w:fldSimple>
      <w:bookmarkEnd w:id="1054"/>
      <w:r w:rsidRPr="008B2F8A">
        <w:tab/>
      </w:r>
      <w:bookmarkStart w:id="1056" w:name="OLE_LINK1081"/>
      <w:bookmarkStart w:id="1057" w:name="OLE_LINK1082"/>
      <w:r w:rsidRPr="008B2F8A">
        <w:t>Age</w:t>
      </w:r>
      <w:r>
        <w:t>s</w:t>
      </w:r>
      <w:r w:rsidRPr="008B2F8A">
        <w:t xml:space="preserve"> at which </w:t>
      </w:r>
      <w:r>
        <w:t xml:space="preserve">additional </w:t>
      </w:r>
      <w:r w:rsidRPr="008B2F8A">
        <w:t xml:space="preserve">MRI screening </w:t>
      </w:r>
      <w:r>
        <w:t>begins</w:t>
      </w:r>
      <w:r w:rsidRPr="008B2F8A">
        <w:t xml:space="preserve"> and ends in the economic model</w:t>
      </w:r>
      <w:bookmarkEnd w:id="1056"/>
      <w:bookmarkEnd w:id="1057"/>
      <w:r w:rsidRPr="008B2F8A">
        <w:t>.</w:t>
      </w:r>
      <w:bookmarkEnd w:id="1055"/>
    </w:p>
    <w:tbl>
      <w:tblPr>
        <w:tblStyle w:val="TableGrid"/>
        <w:tblW w:w="9070" w:type="dxa"/>
        <w:tblCellMar>
          <w:left w:w="28" w:type="dxa"/>
          <w:right w:w="28" w:type="dxa"/>
        </w:tblCellMar>
        <w:tblLook w:val="04A0" w:firstRow="1" w:lastRow="0" w:firstColumn="1" w:lastColumn="0" w:noHBand="0" w:noVBand="1"/>
        <w:tblCaption w:val="Ages at which additional MRI screening begins and ends in the economic model"/>
      </w:tblPr>
      <w:tblGrid>
        <w:gridCol w:w="1772"/>
        <w:gridCol w:w="1458"/>
        <w:gridCol w:w="1058"/>
        <w:gridCol w:w="1420"/>
        <w:gridCol w:w="1562"/>
        <w:gridCol w:w="1800"/>
      </w:tblGrid>
      <w:tr w:rsidR="00E47AB8" w:rsidRPr="008B2F8A" w14:paraId="47F2045B" w14:textId="77777777" w:rsidTr="00422306">
        <w:trPr>
          <w:tblHeader/>
        </w:trPr>
        <w:tc>
          <w:tcPr>
            <w:tcW w:w="1772" w:type="dxa"/>
            <w:shd w:val="clear" w:color="auto" w:fill="EEECE1" w:themeFill="background2"/>
            <w:vAlign w:val="bottom"/>
          </w:tcPr>
          <w:p w14:paraId="0D49D92A" w14:textId="77777777" w:rsidR="00E47AB8" w:rsidRPr="008B2F8A" w:rsidRDefault="00E47AB8" w:rsidP="00422306">
            <w:pPr>
              <w:spacing w:before="40" w:after="80"/>
              <w:rPr>
                <w:rFonts w:ascii="Arial Narrow" w:hAnsi="Arial Narrow"/>
                <w:b/>
              </w:rPr>
            </w:pPr>
            <w:r w:rsidRPr="008B2F8A">
              <w:rPr>
                <w:rFonts w:ascii="Arial Narrow" w:hAnsi="Arial Narrow"/>
                <w:b/>
              </w:rPr>
              <w:t>Parameter</w:t>
            </w:r>
          </w:p>
        </w:tc>
        <w:tc>
          <w:tcPr>
            <w:tcW w:w="1458" w:type="dxa"/>
            <w:shd w:val="clear" w:color="auto" w:fill="EEECE1" w:themeFill="background2"/>
            <w:vAlign w:val="bottom"/>
          </w:tcPr>
          <w:p w14:paraId="651CD049" w14:textId="77777777" w:rsidR="00E47AB8" w:rsidRPr="008B2F8A" w:rsidRDefault="00E47AB8" w:rsidP="00422306">
            <w:pPr>
              <w:spacing w:before="40" w:after="80"/>
              <w:rPr>
                <w:rFonts w:ascii="Arial Narrow" w:hAnsi="Arial Narrow"/>
                <w:b/>
              </w:rPr>
            </w:pPr>
            <w:r w:rsidRPr="008B2F8A">
              <w:rPr>
                <w:rFonts w:ascii="Arial Narrow" w:hAnsi="Arial Narrow"/>
                <w:b/>
              </w:rPr>
              <w:t>High-risk based on breast cancer gene mutation</w:t>
            </w:r>
          </w:p>
        </w:tc>
        <w:tc>
          <w:tcPr>
            <w:tcW w:w="1058" w:type="dxa"/>
            <w:shd w:val="clear" w:color="auto" w:fill="EEECE1" w:themeFill="background2"/>
            <w:vAlign w:val="bottom"/>
          </w:tcPr>
          <w:p w14:paraId="1D6F6AEC" w14:textId="77777777" w:rsidR="00E47AB8" w:rsidRPr="008B2F8A" w:rsidRDefault="00E47AB8" w:rsidP="00422306">
            <w:pPr>
              <w:spacing w:before="40" w:after="80"/>
              <w:rPr>
                <w:rFonts w:ascii="Arial Narrow" w:hAnsi="Arial Narrow"/>
                <w:b/>
              </w:rPr>
            </w:pPr>
            <w:r w:rsidRPr="008B2F8A">
              <w:rPr>
                <w:rFonts w:ascii="Arial Narrow" w:hAnsi="Arial Narrow"/>
                <w:b/>
              </w:rPr>
              <w:t>Familial high-risk</w:t>
            </w:r>
          </w:p>
        </w:tc>
        <w:tc>
          <w:tcPr>
            <w:tcW w:w="1420" w:type="dxa"/>
            <w:shd w:val="clear" w:color="auto" w:fill="EEECE1" w:themeFill="background2"/>
            <w:vAlign w:val="bottom"/>
          </w:tcPr>
          <w:p w14:paraId="56659083" w14:textId="77777777" w:rsidR="00E47AB8" w:rsidRPr="008B2F8A" w:rsidRDefault="00E47AB8" w:rsidP="00422306">
            <w:pPr>
              <w:spacing w:before="40" w:after="80"/>
              <w:rPr>
                <w:rFonts w:ascii="Arial Narrow" w:hAnsi="Arial Narrow"/>
                <w:b/>
              </w:rPr>
            </w:pPr>
            <w:r w:rsidRPr="008B2F8A">
              <w:rPr>
                <w:rFonts w:ascii="Arial Narrow" w:hAnsi="Arial Narrow"/>
                <w:b/>
              </w:rPr>
              <w:t>Prior history of invasive breast cancer</w:t>
            </w:r>
          </w:p>
        </w:tc>
        <w:tc>
          <w:tcPr>
            <w:tcW w:w="1562" w:type="dxa"/>
            <w:shd w:val="clear" w:color="auto" w:fill="EEECE1" w:themeFill="background2"/>
            <w:vAlign w:val="bottom"/>
          </w:tcPr>
          <w:p w14:paraId="1165D4F3" w14:textId="77777777" w:rsidR="00E47AB8" w:rsidRPr="008B2F8A" w:rsidRDefault="00E47AB8" w:rsidP="00422306">
            <w:pPr>
              <w:spacing w:before="40" w:after="80"/>
              <w:rPr>
                <w:rFonts w:ascii="Arial Narrow" w:hAnsi="Arial Narrow"/>
                <w:b/>
              </w:rPr>
            </w:pPr>
            <w:r w:rsidRPr="008B2F8A">
              <w:rPr>
                <w:rFonts w:ascii="Arial Narrow" w:hAnsi="Arial Narrow"/>
                <w:b/>
              </w:rPr>
              <w:t>Prior history of treatment for DCIS or LCIS</w:t>
            </w:r>
          </w:p>
        </w:tc>
        <w:tc>
          <w:tcPr>
            <w:tcW w:w="1800" w:type="dxa"/>
            <w:shd w:val="clear" w:color="auto" w:fill="EEECE1" w:themeFill="background2"/>
            <w:vAlign w:val="bottom"/>
          </w:tcPr>
          <w:p w14:paraId="0AA71C36" w14:textId="77777777" w:rsidR="00E47AB8" w:rsidRPr="008B2F8A" w:rsidRDefault="00E47AB8" w:rsidP="00422306">
            <w:pPr>
              <w:spacing w:before="40" w:after="80"/>
              <w:rPr>
                <w:rFonts w:ascii="Arial Narrow" w:hAnsi="Arial Narrow"/>
                <w:b/>
              </w:rPr>
            </w:pPr>
            <w:r w:rsidRPr="008B2F8A">
              <w:rPr>
                <w:rFonts w:ascii="Arial Narrow" w:hAnsi="Arial Narrow"/>
                <w:b/>
              </w:rPr>
              <w:t>Women with chest radiotherapy between 10 and 35 years</w:t>
            </w:r>
          </w:p>
        </w:tc>
      </w:tr>
      <w:tr w:rsidR="00E47AB8" w:rsidRPr="008B2F8A" w14:paraId="35E349A3" w14:textId="77777777" w:rsidTr="00422306">
        <w:tc>
          <w:tcPr>
            <w:tcW w:w="1772" w:type="dxa"/>
          </w:tcPr>
          <w:p w14:paraId="2A9DEE80" w14:textId="77777777" w:rsidR="00E47AB8" w:rsidRPr="008B2F8A" w:rsidRDefault="00E47AB8" w:rsidP="00422306">
            <w:pPr>
              <w:spacing w:before="40" w:after="80"/>
              <w:rPr>
                <w:rFonts w:ascii="Arial Narrow" w:hAnsi="Arial Narrow"/>
              </w:rPr>
            </w:pPr>
            <w:r w:rsidRPr="008B2F8A">
              <w:rPr>
                <w:rFonts w:ascii="Arial Narrow" w:hAnsi="Arial Narrow"/>
              </w:rPr>
              <w:t>Age at baseline (years)</w:t>
            </w:r>
          </w:p>
        </w:tc>
        <w:tc>
          <w:tcPr>
            <w:tcW w:w="1458" w:type="dxa"/>
          </w:tcPr>
          <w:p w14:paraId="07D37D5E" w14:textId="77777777" w:rsidR="00E47AB8" w:rsidRPr="008B2F8A" w:rsidRDefault="00E47AB8" w:rsidP="00422306">
            <w:pPr>
              <w:spacing w:before="40" w:after="80"/>
              <w:rPr>
                <w:rFonts w:ascii="Arial Narrow" w:hAnsi="Arial Narrow"/>
              </w:rPr>
            </w:pPr>
            <w:r w:rsidRPr="008B2F8A">
              <w:rPr>
                <w:rFonts w:ascii="Arial Narrow" w:hAnsi="Arial Narrow"/>
              </w:rPr>
              <w:t>30</w:t>
            </w:r>
          </w:p>
        </w:tc>
        <w:tc>
          <w:tcPr>
            <w:tcW w:w="1058" w:type="dxa"/>
          </w:tcPr>
          <w:p w14:paraId="577D42F5" w14:textId="77777777" w:rsidR="00E47AB8" w:rsidRPr="008B2F8A" w:rsidRDefault="00E47AB8" w:rsidP="00422306">
            <w:pPr>
              <w:spacing w:before="40" w:after="80"/>
              <w:rPr>
                <w:rFonts w:ascii="Arial Narrow" w:hAnsi="Arial Narrow"/>
              </w:rPr>
            </w:pPr>
            <w:r w:rsidRPr="008B2F8A">
              <w:rPr>
                <w:rFonts w:ascii="Arial Narrow" w:hAnsi="Arial Narrow"/>
              </w:rPr>
              <w:t>30</w:t>
            </w:r>
          </w:p>
        </w:tc>
        <w:tc>
          <w:tcPr>
            <w:tcW w:w="1420" w:type="dxa"/>
          </w:tcPr>
          <w:p w14:paraId="7B7E999A" w14:textId="77777777" w:rsidR="00E47AB8" w:rsidRPr="008B2F8A" w:rsidRDefault="00E47AB8" w:rsidP="00422306">
            <w:pPr>
              <w:spacing w:before="40" w:after="80"/>
              <w:rPr>
                <w:rFonts w:ascii="Arial Narrow" w:hAnsi="Arial Narrow"/>
              </w:rPr>
            </w:pPr>
            <w:r w:rsidRPr="008B2F8A">
              <w:rPr>
                <w:rFonts w:ascii="Arial Narrow" w:hAnsi="Arial Narrow"/>
              </w:rPr>
              <w:t xml:space="preserve">44 </w:t>
            </w:r>
          </w:p>
        </w:tc>
        <w:tc>
          <w:tcPr>
            <w:tcW w:w="1562" w:type="dxa"/>
          </w:tcPr>
          <w:p w14:paraId="42D798AA" w14:textId="77777777" w:rsidR="00E47AB8" w:rsidRPr="008B2F8A" w:rsidRDefault="00E47AB8" w:rsidP="00422306">
            <w:pPr>
              <w:spacing w:before="40" w:after="80"/>
              <w:rPr>
                <w:rFonts w:ascii="Arial Narrow" w:hAnsi="Arial Narrow"/>
              </w:rPr>
            </w:pPr>
            <w:r w:rsidRPr="008B2F8A">
              <w:rPr>
                <w:rFonts w:ascii="Arial Narrow" w:hAnsi="Arial Narrow"/>
              </w:rPr>
              <w:t xml:space="preserve">44 </w:t>
            </w:r>
          </w:p>
        </w:tc>
        <w:tc>
          <w:tcPr>
            <w:tcW w:w="1800" w:type="dxa"/>
          </w:tcPr>
          <w:p w14:paraId="64088500" w14:textId="77777777" w:rsidR="00E47AB8" w:rsidRPr="008B2F8A" w:rsidRDefault="00E47AB8" w:rsidP="00422306">
            <w:pPr>
              <w:spacing w:before="40" w:after="80"/>
              <w:rPr>
                <w:rFonts w:ascii="Arial Narrow" w:hAnsi="Arial Narrow"/>
              </w:rPr>
            </w:pPr>
            <w:r w:rsidRPr="008B2F8A">
              <w:rPr>
                <w:rFonts w:ascii="Arial Narrow" w:hAnsi="Arial Narrow"/>
              </w:rPr>
              <w:t>30</w:t>
            </w:r>
          </w:p>
        </w:tc>
      </w:tr>
      <w:tr w:rsidR="00E47AB8" w:rsidRPr="008B2F8A" w14:paraId="3C75A970" w14:textId="77777777" w:rsidTr="00422306">
        <w:tc>
          <w:tcPr>
            <w:tcW w:w="1772" w:type="dxa"/>
          </w:tcPr>
          <w:p w14:paraId="6B8CB69F" w14:textId="77777777" w:rsidR="00E47AB8" w:rsidRPr="008B2F8A" w:rsidRDefault="00E47AB8" w:rsidP="00422306">
            <w:pPr>
              <w:spacing w:before="40" w:after="80"/>
              <w:rPr>
                <w:rFonts w:ascii="Arial Narrow" w:hAnsi="Arial Narrow"/>
              </w:rPr>
            </w:pPr>
            <w:r w:rsidRPr="008B2F8A">
              <w:rPr>
                <w:rFonts w:ascii="Arial Narrow" w:hAnsi="Arial Narrow"/>
              </w:rPr>
              <w:t>Age at which MRI screening ends (years)</w:t>
            </w:r>
          </w:p>
        </w:tc>
        <w:tc>
          <w:tcPr>
            <w:tcW w:w="1458" w:type="dxa"/>
          </w:tcPr>
          <w:p w14:paraId="1046EBC0" w14:textId="77777777" w:rsidR="00E47AB8" w:rsidRPr="008B2F8A" w:rsidRDefault="00E47AB8" w:rsidP="00422306">
            <w:pPr>
              <w:spacing w:before="40" w:after="80"/>
              <w:rPr>
                <w:rFonts w:ascii="Arial Narrow" w:hAnsi="Arial Narrow"/>
              </w:rPr>
            </w:pPr>
            <w:r w:rsidRPr="008B2F8A">
              <w:rPr>
                <w:rFonts w:ascii="Arial Narrow" w:hAnsi="Arial Narrow"/>
              </w:rPr>
              <w:t xml:space="preserve">50 </w:t>
            </w:r>
          </w:p>
        </w:tc>
        <w:tc>
          <w:tcPr>
            <w:tcW w:w="1058" w:type="dxa"/>
          </w:tcPr>
          <w:p w14:paraId="0BCECD24" w14:textId="77777777" w:rsidR="00E47AB8" w:rsidRPr="008B2F8A" w:rsidRDefault="00E47AB8" w:rsidP="00422306">
            <w:pPr>
              <w:spacing w:before="40" w:after="80"/>
              <w:rPr>
                <w:rFonts w:ascii="Arial Narrow" w:hAnsi="Arial Narrow"/>
              </w:rPr>
            </w:pPr>
            <w:r w:rsidRPr="008B2F8A">
              <w:rPr>
                <w:rFonts w:ascii="Arial Narrow" w:hAnsi="Arial Narrow"/>
              </w:rPr>
              <w:t xml:space="preserve">50 </w:t>
            </w:r>
          </w:p>
        </w:tc>
        <w:tc>
          <w:tcPr>
            <w:tcW w:w="1420" w:type="dxa"/>
          </w:tcPr>
          <w:p w14:paraId="17A08DE3" w14:textId="77777777" w:rsidR="00E47AB8" w:rsidRPr="008B2F8A" w:rsidRDefault="00E47AB8" w:rsidP="00422306">
            <w:pPr>
              <w:spacing w:before="40" w:after="80"/>
              <w:rPr>
                <w:rFonts w:ascii="Arial Narrow" w:hAnsi="Arial Narrow"/>
              </w:rPr>
            </w:pPr>
            <w:r w:rsidRPr="008B2F8A">
              <w:rPr>
                <w:rFonts w:ascii="Arial Narrow" w:hAnsi="Arial Narrow"/>
              </w:rPr>
              <w:t xml:space="preserve">50 </w:t>
            </w:r>
          </w:p>
        </w:tc>
        <w:tc>
          <w:tcPr>
            <w:tcW w:w="1562" w:type="dxa"/>
          </w:tcPr>
          <w:p w14:paraId="056FEC99" w14:textId="77777777" w:rsidR="00E47AB8" w:rsidRPr="008B2F8A" w:rsidRDefault="00E47AB8" w:rsidP="00422306">
            <w:pPr>
              <w:spacing w:before="40" w:after="80"/>
              <w:rPr>
                <w:rFonts w:ascii="Arial Narrow" w:hAnsi="Arial Narrow"/>
              </w:rPr>
            </w:pPr>
            <w:r w:rsidRPr="008B2F8A">
              <w:rPr>
                <w:rFonts w:ascii="Arial Narrow" w:hAnsi="Arial Narrow"/>
              </w:rPr>
              <w:t xml:space="preserve">50 </w:t>
            </w:r>
          </w:p>
        </w:tc>
        <w:tc>
          <w:tcPr>
            <w:tcW w:w="1800" w:type="dxa"/>
          </w:tcPr>
          <w:p w14:paraId="31D466BA" w14:textId="77777777" w:rsidR="00E47AB8" w:rsidRPr="008B2F8A" w:rsidRDefault="00E47AB8" w:rsidP="00422306">
            <w:pPr>
              <w:spacing w:before="40" w:after="80"/>
              <w:rPr>
                <w:rFonts w:ascii="Arial Narrow" w:hAnsi="Arial Narrow"/>
              </w:rPr>
            </w:pPr>
            <w:r w:rsidRPr="008B2F8A">
              <w:rPr>
                <w:rFonts w:ascii="Arial Narrow" w:hAnsi="Arial Narrow"/>
              </w:rPr>
              <w:t xml:space="preserve">50 </w:t>
            </w:r>
          </w:p>
        </w:tc>
      </w:tr>
      <w:tr w:rsidR="00E47AB8" w:rsidRPr="008B2F8A" w14:paraId="652A7E84" w14:textId="77777777" w:rsidTr="00422306">
        <w:tc>
          <w:tcPr>
            <w:tcW w:w="1772" w:type="dxa"/>
          </w:tcPr>
          <w:p w14:paraId="08F20C8D" w14:textId="77777777" w:rsidR="00E47AB8" w:rsidRPr="008B2F8A" w:rsidRDefault="00E47AB8" w:rsidP="00422306">
            <w:pPr>
              <w:spacing w:before="40" w:after="80"/>
              <w:rPr>
                <w:rFonts w:ascii="Arial Narrow" w:hAnsi="Arial Narrow"/>
              </w:rPr>
            </w:pPr>
            <w:r w:rsidRPr="008B2F8A">
              <w:rPr>
                <w:rFonts w:ascii="Arial Narrow" w:hAnsi="Arial Narrow"/>
              </w:rPr>
              <w:t>Duration of screening (years)</w:t>
            </w:r>
          </w:p>
        </w:tc>
        <w:tc>
          <w:tcPr>
            <w:tcW w:w="1458" w:type="dxa"/>
          </w:tcPr>
          <w:p w14:paraId="48D82F0D" w14:textId="77777777" w:rsidR="00E47AB8" w:rsidRPr="008B2F8A" w:rsidRDefault="00E47AB8" w:rsidP="00422306">
            <w:pPr>
              <w:spacing w:before="40" w:after="80"/>
              <w:rPr>
                <w:rFonts w:ascii="Arial Narrow" w:hAnsi="Arial Narrow"/>
              </w:rPr>
            </w:pPr>
            <w:r w:rsidRPr="008B2F8A">
              <w:rPr>
                <w:rFonts w:ascii="Arial Narrow" w:hAnsi="Arial Narrow"/>
              </w:rPr>
              <w:t>20</w:t>
            </w:r>
          </w:p>
        </w:tc>
        <w:tc>
          <w:tcPr>
            <w:tcW w:w="1058" w:type="dxa"/>
          </w:tcPr>
          <w:p w14:paraId="2891D78C" w14:textId="77777777" w:rsidR="00E47AB8" w:rsidRPr="008B2F8A" w:rsidRDefault="00E47AB8" w:rsidP="00422306">
            <w:pPr>
              <w:spacing w:before="40" w:after="80"/>
              <w:rPr>
                <w:rFonts w:ascii="Arial Narrow" w:hAnsi="Arial Narrow"/>
              </w:rPr>
            </w:pPr>
            <w:r w:rsidRPr="008B2F8A">
              <w:rPr>
                <w:rFonts w:ascii="Arial Narrow" w:hAnsi="Arial Narrow"/>
              </w:rPr>
              <w:t>20</w:t>
            </w:r>
          </w:p>
        </w:tc>
        <w:tc>
          <w:tcPr>
            <w:tcW w:w="1420" w:type="dxa"/>
          </w:tcPr>
          <w:p w14:paraId="7E06D6D2" w14:textId="77777777" w:rsidR="00E47AB8" w:rsidRPr="008B2F8A" w:rsidRDefault="00E47AB8" w:rsidP="00422306">
            <w:pPr>
              <w:spacing w:before="40" w:after="80"/>
              <w:rPr>
                <w:rFonts w:ascii="Arial Narrow" w:hAnsi="Arial Narrow"/>
              </w:rPr>
            </w:pPr>
            <w:r w:rsidRPr="008B2F8A">
              <w:rPr>
                <w:rFonts w:ascii="Arial Narrow" w:hAnsi="Arial Narrow"/>
              </w:rPr>
              <w:t>6</w:t>
            </w:r>
          </w:p>
        </w:tc>
        <w:tc>
          <w:tcPr>
            <w:tcW w:w="1562" w:type="dxa"/>
          </w:tcPr>
          <w:p w14:paraId="676C22A2" w14:textId="77777777" w:rsidR="00E47AB8" w:rsidRPr="008B2F8A" w:rsidRDefault="00E47AB8" w:rsidP="00422306">
            <w:pPr>
              <w:spacing w:before="40" w:after="80"/>
              <w:rPr>
                <w:rFonts w:ascii="Arial Narrow" w:hAnsi="Arial Narrow"/>
              </w:rPr>
            </w:pPr>
            <w:r w:rsidRPr="008B2F8A">
              <w:rPr>
                <w:rFonts w:ascii="Arial Narrow" w:hAnsi="Arial Narrow"/>
              </w:rPr>
              <w:t>6</w:t>
            </w:r>
          </w:p>
        </w:tc>
        <w:tc>
          <w:tcPr>
            <w:tcW w:w="1800" w:type="dxa"/>
          </w:tcPr>
          <w:p w14:paraId="3A7993DE" w14:textId="77777777" w:rsidR="00E47AB8" w:rsidRPr="008B2F8A" w:rsidRDefault="00E47AB8" w:rsidP="00422306">
            <w:pPr>
              <w:spacing w:before="40" w:after="80"/>
              <w:rPr>
                <w:rFonts w:ascii="Arial Narrow" w:hAnsi="Arial Narrow"/>
              </w:rPr>
            </w:pPr>
            <w:r w:rsidRPr="008B2F8A">
              <w:rPr>
                <w:rFonts w:ascii="Arial Narrow" w:hAnsi="Arial Narrow"/>
              </w:rPr>
              <w:t>20</w:t>
            </w:r>
          </w:p>
        </w:tc>
      </w:tr>
    </w:tbl>
    <w:p w14:paraId="2A448A1C" w14:textId="77777777" w:rsidR="00E47AB8" w:rsidRPr="008B2F8A" w:rsidRDefault="00E47AB8" w:rsidP="00422306">
      <w:pPr>
        <w:pStyle w:val="TableNotesLast"/>
      </w:pPr>
      <w:bookmarkStart w:id="1058" w:name="_Ref377647719"/>
      <w:bookmarkStart w:id="1059" w:name="_Ref377647737"/>
      <w:bookmarkStart w:id="1060" w:name="_Ref377648181"/>
      <w:bookmarkStart w:id="1061" w:name="_Ref377648217"/>
      <w:r w:rsidRPr="008B2F8A">
        <w:t xml:space="preserve">DCIS </w:t>
      </w:r>
      <w:r>
        <w:t>=</w:t>
      </w:r>
      <w:r w:rsidRPr="008B2F8A">
        <w:t xml:space="preserve"> ductal carcinoma in situ; LCIS = lobular carcinoma in situ; MRI = magnetic resonance imaging.</w:t>
      </w:r>
    </w:p>
    <w:p w14:paraId="22732D30" w14:textId="77777777" w:rsidR="00E47AB8" w:rsidRPr="008B2F8A" w:rsidRDefault="00E47AB8" w:rsidP="00E47AB8">
      <w:pPr>
        <w:pStyle w:val="Heading3"/>
        <w:numPr>
          <w:ilvl w:val="2"/>
          <w:numId w:val="42"/>
        </w:numPr>
      </w:pPr>
      <w:bookmarkStart w:id="1062" w:name="_Ref255812455"/>
      <w:bookmarkStart w:id="1063" w:name="_Toc383424496"/>
      <w:r w:rsidRPr="008B2F8A">
        <w:t>Natural history of breast cancer</w:t>
      </w:r>
      <w:bookmarkEnd w:id="1058"/>
      <w:bookmarkEnd w:id="1059"/>
      <w:bookmarkEnd w:id="1060"/>
      <w:bookmarkEnd w:id="1061"/>
      <w:bookmarkEnd w:id="1062"/>
      <w:bookmarkEnd w:id="1063"/>
    </w:p>
    <w:p w14:paraId="37995C2F" w14:textId="77777777" w:rsidR="00E47AB8" w:rsidRPr="007C6E89" w:rsidRDefault="00E47AB8" w:rsidP="00422306">
      <w:pPr>
        <w:spacing w:after="200"/>
        <w:rPr>
          <w:rFonts w:eastAsiaTheme="minorHAnsi" w:cstheme="minorBidi"/>
        </w:rPr>
      </w:pPr>
      <w:r w:rsidRPr="007C6E89">
        <w:rPr>
          <w:rFonts w:eastAsiaTheme="minorHAnsi" w:cstheme="minorBidi"/>
        </w:rPr>
        <w:t>The natural history of breast cancer is described in the economic model in terms of:</w:t>
      </w:r>
    </w:p>
    <w:p w14:paraId="1172576F" w14:textId="77777777" w:rsidR="00E47AB8" w:rsidRPr="008B2F8A" w:rsidRDefault="00E47AB8" w:rsidP="00E47AB8">
      <w:pPr>
        <w:numPr>
          <w:ilvl w:val="0"/>
          <w:numId w:val="73"/>
        </w:numPr>
        <w:spacing w:after="200"/>
        <w:contextualSpacing/>
      </w:pPr>
      <w:r w:rsidRPr="008B2F8A">
        <w:t>the risk of disease over time</w:t>
      </w:r>
    </w:p>
    <w:p w14:paraId="6A91076D" w14:textId="77777777" w:rsidR="00E47AB8" w:rsidRPr="008B2F8A" w:rsidRDefault="00E47AB8" w:rsidP="00E47AB8">
      <w:pPr>
        <w:numPr>
          <w:ilvl w:val="0"/>
          <w:numId w:val="73"/>
        </w:numPr>
        <w:spacing w:after="200"/>
        <w:contextualSpacing/>
      </w:pPr>
      <w:r w:rsidRPr="008B2F8A">
        <w:t>prognosis following detection of the disease based on the stage at which it is detected.</w:t>
      </w:r>
    </w:p>
    <w:p w14:paraId="58D6D316" w14:textId="77777777" w:rsidR="00E47AB8" w:rsidRPr="008B2F8A" w:rsidRDefault="00E47AB8" w:rsidP="00422306">
      <w:pPr>
        <w:pStyle w:val="Heading4"/>
      </w:pPr>
      <w:r w:rsidRPr="008B2F8A">
        <w:t>The annual risk of disease used in the economic model</w:t>
      </w:r>
    </w:p>
    <w:p w14:paraId="446CE1D0" w14:textId="42F1F713" w:rsidR="00E47AB8" w:rsidRPr="007C6E89" w:rsidRDefault="00E47AB8" w:rsidP="00422306">
      <w:pPr>
        <w:rPr>
          <w:rFonts w:eastAsiaTheme="minorHAnsi" w:cstheme="minorBidi"/>
        </w:rPr>
      </w:pPr>
      <w:r w:rsidRPr="008B2F8A">
        <w:t xml:space="preserve">The breast cancer risks used in this economic model are based largely on the population-specific risks described in CG164 </w:t>
      </w:r>
      <w:r w:rsidRPr="008B2F8A">
        <w:rPr>
          <w:noProof/>
        </w:rPr>
        <w:t>(NICE, 2013)</w:t>
      </w:r>
      <w:r w:rsidRPr="008B2F8A">
        <w:t>. In each population, the risk of cancer accounts for the woman’s genetic background (ie, with or without a known gene mutation) and age at screening</w:t>
      </w:r>
      <w:r>
        <w:t xml:space="preserve">, </w:t>
      </w:r>
      <w:r w:rsidRPr="008B2F8A">
        <w:t xml:space="preserve">both of which are known risk factors. </w:t>
      </w:r>
      <w:r w:rsidRPr="008B2F8A">
        <w:rPr>
          <w:highlight w:val="yellow"/>
        </w:rPr>
        <w:fldChar w:fldCharType="begin"/>
      </w:r>
      <w:r w:rsidRPr="008B2F8A">
        <w:instrText xml:space="preserve"> REF _Ref375315900 \h </w:instrText>
      </w:r>
      <w:r w:rsidRPr="008B2F8A">
        <w:rPr>
          <w:highlight w:val="yellow"/>
        </w:rPr>
      </w:r>
      <w:r w:rsidRPr="008B2F8A">
        <w:rPr>
          <w:highlight w:val="yellow"/>
        </w:rPr>
        <w:fldChar w:fldCharType="separate"/>
      </w:r>
      <w:r w:rsidR="00B81273" w:rsidRPr="008B2F8A">
        <w:t xml:space="preserve">Table </w:t>
      </w:r>
      <w:r w:rsidR="00B81273">
        <w:rPr>
          <w:noProof/>
        </w:rPr>
        <w:t>D</w:t>
      </w:r>
      <w:r w:rsidR="00B81273" w:rsidRPr="008B2F8A">
        <w:t>.</w:t>
      </w:r>
      <w:r w:rsidR="00B81273">
        <w:rPr>
          <w:noProof/>
        </w:rPr>
        <w:t>7</w:t>
      </w:r>
      <w:r w:rsidRPr="008B2F8A">
        <w:rPr>
          <w:highlight w:val="yellow"/>
        </w:rPr>
        <w:fldChar w:fldCharType="end"/>
      </w:r>
      <w:r w:rsidRPr="008B2F8A">
        <w:t xml:space="preserve"> presents the annual risks of breast cancer for each of the included populations at different ages. For women without prior breast cancer (ie, those with a confirmed gene mutation, a high familial risk or prior chest </w:t>
      </w:r>
      <w:r>
        <w:t>ir</w:t>
      </w:r>
      <w:r w:rsidRPr="008B2F8A">
        <w:t xml:space="preserve">radiation), the 5-year risks for an average 40-year-old woman </w:t>
      </w:r>
      <w:r>
        <w:t>are</w:t>
      </w:r>
      <w:r w:rsidRPr="00A41E79">
        <w:t xml:space="preserve"> </w:t>
      </w:r>
      <w:r w:rsidRPr="008B2F8A">
        <w:t>compar</w:t>
      </w:r>
      <w:r>
        <w:t>ed</w:t>
      </w:r>
      <w:r w:rsidRPr="008B2F8A">
        <w:t>. For those with prior DCIS</w:t>
      </w:r>
      <w:r>
        <w:t xml:space="preserve">, </w:t>
      </w:r>
      <w:r w:rsidRPr="008B2F8A">
        <w:t>LCIS or invasive breast cancer, the risk</w:t>
      </w:r>
      <w:r>
        <w:t>s</w:t>
      </w:r>
      <w:r w:rsidRPr="008B2F8A">
        <w:t xml:space="preserve"> </w:t>
      </w:r>
      <w:r>
        <w:t>for a</w:t>
      </w:r>
      <w:r w:rsidRPr="008B2F8A">
        <w:t xml:space="preserve"> woman of average screening age (44 years) </w:t>
      </w:r>
      <w:r>
        <w:t>are</w:t>
      </w:r>
      <w:r w:rsidRPr="00A41E79">
        <w:t xml:space="preserve"> </w:t>
      </w:r>
      <w:r w:rsidRPr="008B2F8A">
        <w:t>compar</w:t>
      </w:r>
      <w:r>
        <w:t>ed</w:t>
      </w:r>
      <w:r w:rsidRPr="008B2F8A">
        <w:t>. The age-specific cumulative incidence of breast cancer in each of the assessed populations is presented in</w:t>
      </w:r>
      <w:r>
        <w:t xml:space="preserve"> </w:t>
      </w:r>
      <w:r>
        <w:fldChar w:fldCharType="begin"/>
      </w:r>
      <w:r>
        <w:instrText xml:space="preserve"> REF _Ref256249444 \h </w:instrText>
      </w:r>
      <w:r>
        <w:fldChar w:fldCharType="separate"/>
      </w:r>
      <w:r w:rsidR="00B81273" w:rsidRPr="008B2F8A">
        <w:t xml:space="preserve">Figure </w:t>
      </w:r>
      <w:r w:rsidR="00B81273">
        <w:rPr>
          <w:noProof/>
        </w:rPr>
        <w:t>D</w:t>
      </w:r>
      <w:r w:rsidR="00B81273" w:rsidRPr="008B2F8A">
        <w:t>.</w:t>
      </w:r>
      <w:r w:rsidR="00B81273">
        <w:rPr>
          <w:noProof/>
        </w:rPr>
        <w:t>2</w:t>
      </w:r>
      <w:r>
        <w:fldChar w:fldCharType="end"/>
      </w:r>
      <w:r w:rsidRPr="007C6E89">
        <w:rPr>
          <w:rFonts w:eastAsiaTheme="minorHAnsi" w:cstheme="minorBidi"/>
        </w:rPr>
        <w:t>.</w:t>
      </w:r>
      <w:r w:rsidR="00881806" w:rsidRPr="00881806">
        <w:t xml:space="preserve"> </w:t>
      </w:r>
      <w:r w:rsidR="00881806">
        <w:t>The figure</w:t>
      </w:r>
      <w:r w:rsidR="00881806" w:rsidRPr="008B2F8A">
        <w:t xml:space="preserve"> </w:t>
      </w:r>
      <w:r w:rsidR="00881806">
        <w:t>provides an estimate of the</w:t>
      </w:r>
      <w:r w:rsidR="00881806" w:rsidRPr="008B2F8A">
        <w:t xml:space="preserve"> lifetime risk of breast cancer in each population calculated from the annual risks used in the model. </w:t>
      </w:r>
      <w:r w:rsidR="00881806">
        <w:t>This analysis was performed</w:t>
      </w:r>
      <w:r w:rsidR="00881806" w:rsidRPr="008B2F8A">
        <w:t xml:space="preserve"> to ensure that the estimated lifetime risks are broadly consistent with other estimates for lifetime risk reported in the literature.</w:t>
      </w:r>
    </w:p>
    <w:p w14:paraId="201FB4D7" w14:textId="77777777" w:rsidR="00E47AB8" w:rsidRPr="008B2F8A" w:rsidRDefault="00E47AB8" w:rsidP="00422306">
      <w:pPr>
        <w:pStyle w:val="Caption"/>
      </w:pPr>
      <w:bookmarkStart w:id="1064" w:name="_Ref375315900"/>
      <w:bookmarkStart w:id="1065" w:name="_Toc383424616"/>
      <w:r w:rsidRPr="008B2F8A">
        <w:lastRenderedPageBreak/>
        <w:t xml:space="preserve">Table </w:t>
      </w:r>
      <w:fldSimple w:instr=" STYLEREF 1 \s ">
        <w:r w:rsidR="00B81273">
          <w:rPr>
            <w:noProof/>
          </w:rPr>
          <w:t>D</w:t>
        </w:r>
      </w:fldSimple>
      <w:r w:rsidRPr="008B2F8A">
        <w:t>.</w:t>
      </w:r>
      <w:fldSimple w:instr=" SEQ Table \* ARABIC \s 1 ">
        <w:r w:rsidR="00B81273">
          <w:rPr>
            <w:noProof/>
          </w:rPr>
          <w:t>7</w:t>
        </w:r>
      </w:fldSimple>
      <w:bookmarkEnd w:id="1064"/>
      <w:r w:rsidRPr="008B2F8A">
        <w:tab/>
      </w:r>
      <w:bookmarkStart w:id="1066" w:name="OLE_LINK1083"/>
      <w:bookmarkStart w:id="1067" w:name="OLE_LINK1084"/>
      <w:r w:rsidRPr="008B2F8A">
        <w:t>Annual risk of breast cancer by age</w:t>
      </w:r>
      <w:bookmarkEnd w:id="1066"/>
      <w:bookmarkEnd w:id="1067"/>
      <w:r w:rsidRPr="008B2F8A">
        <w:t>.</w:t>
      </w:r>
      <w:bookmarkEnd w:id="1065"/>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Annual risk of breast cancer by age"/>
      </w:tblPr>
      <w:tblGrid>
        <w:gridCol w:w="455"/>
        <w:gridCol w:w="1867"/>
        <w:gridCol w:w="1540"/>
        <w:gridCol w:w="1562"/>
        <w:gridCol w:w="1703"/>
        <w:gridCol w:w="1999"/>
      </w:tblGrid>
      <w:tr w:rsidR="00E47AB8" w:rsidRPr="008B2F8A" w14:paraId="5F25F89E" w14:textId="77777777" w:rsidTr="0071000B">
        <w:trPr>
          <w:tblHeader/>
        </w:trPr>
        <w:tc>
          <w:tcPr>
            <w:tcW w:w="249" w:type="pct"/>
            <w:shd w:val="clear" w:color="auto" w:fill="auto"/>
            <w:noWrap/>
            <w:vAlign w:val="bottom"/>
            <w:hideMark/>
          </w:tcPr>
          <w:p w14:paraId="7B69727F" w14:textId="77777777" w:rsidR="00E47AB8" w:rsidRPr="008B2F8A" w:rsidRDefault="00E47AB8" w:rsidP="00422306">
            <w:pPr>
              <w:spacing w:before="40" w:after="80"/>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Age</w:t>
            </w:r>
            <w:r>
              <w:rPr>
                <w:rFonts w:ascii="Arial Narrow" w:eastAsiaTheme="minorHAnsi" w:hAnsi="Arial Narrow" w:cstheme="minorBidi"/>
                <w:b/>
                <w:sz w:val="20"/>
                <w:szCs w:val="20"/>
              </w:rPr>
              <w:t xml:space="preserve"> (yrs)</w:t>
            </w:r>
          </w:p>
        </w:tc>
        <w:tc>
          <w:tcPr>
            <w:tcW w:w="1023" w:type="pct"/>
            <w:shd w:val="clear" w:color="auto" w:fill="auto"/>
            <w:noWrap/>
            <w:vAlign w:val="bottom"/>
            <w:hideMark/>
          </w:tcPr>
          <w:p w14:paraId="175A5C8A" w14:textId="77777777"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High-risk based on breast cancer gene mutation</w:t>
            </w:r>
          </w:p>
          <w:p w14:paraId="009CCAEA" w14:textId="57F6C10C"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w:t>
            </w:r>
            <w:bookmarkStart w:id="1068" w:name="OLE_LINK862"/>
            <w:bookmarkStart w:id="1069" w:name="OLE_LINK863"/>
            <w:r w:rsidRPr="008B2F8A">
              <w:rPr>
                <w:rFonts w:ascii="Arial Narrow" w:eastAsiaTheme="minorHAnsi" w:hAnsi="Arial Narrow" w:cstheme="minorBidi"/>
                <w:b/>
                <w:sz w:val="20"/>
                <w:szCs w:val="20"/>
              </w:rPr>
              <w:t>Antoniou et al, 2003</w:t>
            </w:r>
            <w:bookmarkEnd w:id="1068"/>
            <w:bookmarkEnd w:id="1069"/>
            <w:r w:rsidRPr="008B2F8A">
              <w:rPr>
                <w:rFonts w:ascii="Arial Narrow" w:eastAsiaTheme="minorHAnsi" w:hAnsi="Arial Narrow" w:cstheme="minorBidi"/>
                <w:b/>
                <w:sz w:val="20"/>
                <w:szCs w:val="20"/>
              </w:rPr>
              <w:t>)</w:t>
            </w:r>
          </w:p>
        </w:tc>
        <w:tc>
          <w:tcPr>
            <w:tcW w:w="844" w:type="pct"/>
            <w:shd w:val="clear" w:color="auto" w:fill="auto"/>
            <w:noWrap/>
            <w:vAlign w:val="bottom"/>
            <w:hideMark/>
          </w:tcPr>
          <w:p w14:paraId="1A213001" w14:textId="77777777"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Familial high-risk</w:t>
            </w:r>
          </w:p>
          <w:p w14:paraId="063B444D" w14:textId="3058D974"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w:t>
            </w:r>
            <w:bookmarkStart w:id="1070" w:name="OLE_LINK864"/>
            <w:bookmarkStart w:id="1071" w:name="OLE_LINK865"/>
            <w:r w:rsidRPr="008B2F8A">
              <w:rPr>
                <w:rFonts w:ascii="Arial Narrow" w:eastAsiaTheme="minorHAnsi" w:hAnsi="Arial Narrow" w:cstheme="minorBidi"/>
                <w:b/>
                <w:sz w:val="20"/>
                <w:szCs w:val="20"/>
              </w:rPr>
              <w:t>Claus et al, 1994</w:t>
            </w:r>
            <w:bookmarkEnd w:id="1070"/>
            <w:bookmarkEnd w:id="1071"/>
            <w:r w:rsidRPr="008B2F8A">
              <w:rPr>
                <w:rFonts w:ascii="Arial Narrow" w:eastAsiaTheme="minorHAnsi" w:hAnsi="Arial Narrow" w:cstheme="minorBidi"/>
                <w:b/>
                <w:sz w:val="20"/>
                <w:szCs w:val="20"/>
              </w:rPr>
              <w:t>)</w:t>
            </w:r>
          </w:p>
        </w:tc>
        <w:tc>
          <w:tcPr>
            <w:tcW w:w="856" w:type="pct"/>
            <w:shd w:val="clear" w:color="auto" w:fill="auto"/>
            <w:noWrap/>
            <w:vAlign w:val="bottom"/>
            <w:hideMark/>
          </w:tcPr>
          <w:p w14:paraId="2AB7E3DA" w14:textId="77777777"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Prior history of invasive breast cancer</w:t>
            </w:r>
          </w:p>
          <w:p w14:paraId="6BACE1EB" w14:textId="77777777"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w:t>
            </w:r>
            <w:bookmarkStart w:id="1072" w:name="OLE_LINK866"/>
            <w:bookmarkStart w:id="1073" w:name="OLE_LINK867"/>
            <w:r w:rsidRPr="008B2F8A">
              <w:rPr>
                <w:rFonts w:ascii="Arial Narrow" w:eastAsiaTheme="minorHAnsi" w:hAnsi="Arial Narrow" w:cstheme="minorBidi"/>
                <w:b/>
                <w:sz w:val="20"/>
                <w:szCs w:val="20"/>
              </w:rPr>
              <w:t>AIHW</w:t>
            </w:r>
            <w:r>
              <w:rPr>
                <w:rFonts w:ascii="Arial Narrow" w:eastAsiaTheme="minorHAnsi" w:hAnsi="Arial Narrow" w:cstheme="minorBidi"/>
                <w:b/>
                <w:sz w:val="20"/>
                <w:szCs w:val="20"/>
              </w:rPr>
              <w:t xml:space="preserve"> &amp; NBOCC</w:t>
            </w:r>
            <w:r w:rsidRPr="008B2F8A">
              <w:rPr>
                <w:rFonts w:ascii="Arial Narrow" w:eastAsiaTheme="minorHAnsi" w:hAnsi="Arial Narrow" w:cstheme="minorBidi"/>
                <w:b/>
                <w:sz w:val="20"/>
                <w:szCs w:val="20"/>
              </w:rPr>
              <w:t>, 2010</w:t>
            </w:r>
            <w:bookmarkEnd w:id="1072"/>
            <w:bookmarkEnd w:id="1073"/>
            <w:r w:rsidRPr="008B2F8A">
              <w:rPr>
                <w:rFonts w:ascii="Arial Narrow" w:eastAsiaTheme="minorHAnsi" w:hAnsi="Arial Narrow" w:cstheme="minorBidi"/>
                <w:b/>
                <w:sz w:val="20"/>
                <w:szCs w:val="20"/>
              </w:rPr>
              <w:t>)</w:t>
            </w:r>
          </w:p>
        </w:tc>
        <w:tc>
          <w:tcPr>
            <w:tcW w:w="933" w:type="pct"/>
            <w:shd w:val="clear" w:color="auto" w:fill="auto"/>
            <w:noWrap/>
            <w:vAlign w:val="bottom"/>
            <w:hideMark/>
          </w:tcPr>
          <w:p w14:paraId="6263F402" w14:textId="77777777"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Prior history of treatment for DCIS or LCIS</w:t>
            </w:r>
          </w:p>
          <w:p w14:paraId="2F94EE15" w14:textId="77777777"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(AIHW</w:t>
            </w:r>
            <w:r>
              <w:rPr>
                <w:rFonts w:ascii="Arial Narrow" w:eastAsiaTheme="minorHAnsi" w:hAnsi="Arial Narrow" w:cstheme="minorBidi"/>
                <w:b/>
                <w:sz w:val="20"/>
                <w:szCs w:val="20"/>
              </w:rPr>
              <w:t xml:space="preserve"> &amp; NBOCC</w:t>
            </w:r>
            <w:r w:rsidRPr="008B2F8A">
              <w:rPr>
                <w:rFonts w:ascii="Arial Narrow" w:eastAsiaTheme="minorHAnsi" w:hAnsi="Arial Narrow" w:cstheme="minorBidi"/>
                <w:b/>
                <w:sz w:val="20"/>
                <w:szCs w:val="20"/>
              </w:rPr>
              <w:t>, 2010)</w:t>
            </w:r>
          </w:p>
        </w:tc>
        <w:tc>
          <w:tcPr>
            <w:tcW w:w="1095" w:type="pct"/>
            <w:shd w:val="clear" w:color="auto" w:fill="auto"/>
            <w:noWrap/>
            <w:vAlign w:val="bottom"/>
            <w:hideMark/>
          </w:tcPr>
          <w:p w14:paraId="7F7E710B" w14:textId="77777777"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Women with chest radiotherapy between 10 and 35 years</w:t>
            </w:r>
          </w:p>
          <w:p w14:paraId="30C3B5E6" w14:textId="5B9B06CA" w:rsidR="00E47AB8" w:rsidRPr="008B2F8A" w:rsidRDefault="00E47AB8" w:rsidP="00422306">
            <w:pPr>
              <w:spacing w:before="40" w:after="80"/>
              <w:jc w:val="center"/>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w:t>
            </w:r>
            <w:bookmarkStart w:id="1074" w:name="OLE_LINK868"/>
            <w:bookmarkStart w:id="1075" w:name="OLE_LINK869"/>
            <w:r w:rsidRPr="008B2F8A">
              <w:rPr>
                <w:rFonts w:ascii="Arial Narrow" w:eastAsiaTheme="minorHAnsi" w:hAnsi="Arial Narrow" w:cstheme="minorBidi"/>
                <w:b/>
                <w:sz w:val="20"/>
                <w:szCs w:val="20"/>
              </w:rPr>
              <w:t>Henderson et al, 2010</w:t>
            </w:r>
            <w:bookmarkEnd w:id="1074"/>
            <w:bookmarkEnd w:id="1075"/>
            <w:r w:rsidRPr="008B2F8A">
              <w:rPr>
                <w:rFonts w:ascii="Arial Narrow" w:eastAsiaTheme="minorHAnsi" w:hAnsi="Arial Narrow" w:cstheme="minorBidi"/>
                <w:b/>
                <w:sz w:val="20"/>
                <w:szCs w:val="20"/>
              </w:rPr>
              <w:t>)</w:t>
            </w:r>
          </w:p>
        </w:tc>
      </w:tr>
      <w:tr w:rsidR="00E47AB8" w:rsidRPr="008B2F8A" w14:paraId="6A2C7D24" w14:textId="77777777" w:rsidTr="0071000B">
        <w:tc>
          <w:tcPr>
            <w:tcW w:w="249" w:type="pct"/>
            <w:shd w:val="clear" w:color="auto" w:fill="auto"/>
            <w:noWrap/>
            <w:vAlign w:val="bottom"/>
            <w:hideMark/>
          </w:tcPr>
          <w:p w14:paraId="4EBFAADA"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30</w:t>
            </w:r>
          </w:p>
        </w:tc>
        <w:tc>
          <w:tcPr>
            <w:tcW w:w="1023" w:type="pct"/>
            <w:shd w:val="clear" w:color="auto" w:fill="auto"/>
            <w:noWrap/>
            <w:vAlign w:val="center"/>
            <w:hideMark/>
          </w:tcPr>
          <w:p w14:paraId="2A0A44CA"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0.74%</w:t>
            </w:r>
          </w:p>
        </w:tc>
        <w:tc>
          <w:tcPr>
            <w:tcW w:w="844" w:type="pct"/>
            <w:shd w:val="clear" w:color="auto" w:fill="auto"/>
            <w:noWrap/>
            <w:vAlign w:val="center"/>
            <w:hideMark/>
          </w:tcPr>
          <w:p w14:paraId="66FDB9D2"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0.56%</w:t>
            </w:r>
          </w:p>
        </w:tc>
        <w:tc>
          <w:tcPr>
            <w:tcW w:w="856" w:type="pct"/>
            <w:shd w:val="clear" w:color="auto" w:fill="auto"/>
            <w:noWrap/>
            <w:vAlign w:val="bottom"/>
            <w:hideMark/>
          </w:tcPr>
          <w:p w14:paraId="2ECE8F39" w14:textId="77777777" w:rsidR="00E47AB8" w:rsidRPr="0071000B" w:rsidRDefault="00E47AB8" w:rsidP="00422306">
            <w:pPr>
              <w:numPr>
                <w:ilvl w:val="0"/>
                <w:numId w:val="122"/>
              </w:numPr>
              <w:spacing w:before="40" w:after="80"/>
              <w:jc w:val="center"/>
              <w:rPr>
                <w:rFonts w:ascii="Arial Narrow" w:eastAsia="Times New Roman" w:hAnsi="Arial Narrow" w:cs="Arial"/>
                <w:color w:val="FFFFFF" w:themeColor="background1"/>
                <w:sz w:val="20"/>
                <w:szCs w:val="20"/>
                <w:lang w:eastAsia="en-AU"/>
              </w:rPr>
            </w:pPr>
            <w:r w:rsidRPr="0071000B">
              <w:rPr>
                <w:rFonts w:ascii="Arial Narrow" w:eastAsia="Times New Roman" w:hAnsi="Arial Narrow" w:cs="Arial"/>
                <w:color w:val="FFFFFF" w:themeColor="background1"/>
                <w:sz w:val="20"/>
                <w:szCs w:val="20"/>
                <w:lang w:eastAsia="en-AU"/>
              </w:rPr>
              <w:t>-</w:t>
            </w:r>
          </w:p>
        </w:tc>
        <w:tc>
          <w:tcPr>
            <w:tcW w:w="933" w:type="pct"/>
            <w:shd w:val="clear" w:color="auto" w:fill="auto"/>
            <w:noWrap/>
            <w:vAlign w:val="bottom"/>
            <w:hideMark/>
          </w:tcPr>
          <w:p w14:paraId="455940B1" w14:textId="77777777" w:rsidR="00E47AB8" w:rsidRPr="0071000B" w:rsidRDefault="00E47AB8" w:rsidP="00422306">
            <w:pPr>
              <w:numPr>
                <w:ilvl w:val="0"/>
                <w:numId w:val="122"/>
              </w:numPr>
              <w:spacing w:before="40" w:after="80"/>
              <w:jc w:val="center"/>
              <w:rPr>
                <w:rFonts w:ascii="Arial Narrow" w:eastAsia="Times New Roman" w:hAnsi="Arial Narrow" w:cs="Arial"/>
                <w:color w:val="FFFFFF" w:themeColor="background1"/>
                <w:sz w:val="20"/>
                <w:szCs w:val="20"/>
                <w:lang w:eastAsia="en-AU"/>
              </w:rPr>
            </w:pPr>
            <w:r w:rsidRPr="0071000B">
              <w:rPr>
                <w:rFonts w:ascii="Arial Narrow" w:eastAsia="Times New Roman" w:hAnsi="Arial Narrow" w:cs="Arial"/>
                <w:color w:val="FFFFFF" w:themeColor="background1"/>
                <w:sz w:val="20"/>
                <w:szCs w:val="20"/>
                <w:lang w:eastAsia="en-AU"/>
              </w:rPr>
              <w:t>-</w:t>
            </w:r>
          </w:p>
        </w:tc>
        <w:tc>
          <w:tcPr>
            <w:tcW w:w="1095" w:type="pct"/>
            <w:shd w:val="clear" w:color="auto" w:fill="auto"/>
            <w:noWrap/>
            <w:vAlign w:val="center"/>
            <w:hideMark/>
          </w:tcPr>
          <w:p w14:paraId="0C13AEFB"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75E176E7" w14:textId="77777777" w:rsidTr="0071000B">
        <w:tc>
          <w:tcPr>
            <w:tcW w:w="249" w:type="pct"/>
            <w:shd w:val="clear" w:color="auto" w:fill="auto"/>
            <w:noWrap/>
            <w:vAlign w:val="bottom"/>
            <w:hideMark/>
          </w:tcPr>
          <w:p w14:paraId="47C9C37E"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35</w:t>
            </w:r>
          </w:p>
        </w:tc>
        <w:tc>
          <w:tcPr>
            <w:tcW w:w="1023" w:type="pct"/>
            <w:shd w:val="clear" w:color="auto" w:fill="auto"/>
            <w:noWrap/>
            <w:vAlign w:val="center"/>
            <w:hideMark/>
          </w:tcPr>
          <w:p w14:paraId="225D8474"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1.59%</w:t>
            </w:r>
          </w:p>
        </w:tc>
        <w:tc>
          <w:tcPr>
            <w:tcW w:w="844" w:type="pct"/>
            <w:shd w:val="clear" w:color="auto" w:fill="auto"/>
            <w:noWrap/>
            <w:vAlign w:val="center"/>
            <w:hideMark/>
          </w:tcPr>
          <w:p w14:paraId="78AF1B25"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0.56%</w:t>
            </w:r>
          </w:p>
        </w:tc>
        <w:tc>
          <w:tcPr>
            <w:tcW w:w="856" w:type="pct"/>
            <w:shd w:val="clear" w:color="auto" w:fill="auto"/>
            <w:noWrap/>
            <w:vAlign w:val="bottom"/>
            <w:hideMark/>
          </w:tcPr>
          <w:p w14:paraId="70B165CE" w14:textId="77777777" w:rsidR="00E47AB8" w:rsidRPr="0071000B" w:rsidRDefault="00E47AB8" w:rsidP="00422306">
            <w:pPr>
              <w:numPr>
                <w:ilvl w:val="0"/>
                <w:numId w:val="122"/>
              </w:numPr>
              <w:spacing w:before="40" w:after="80"/>
              <w:jc w:val="center"/>
              <w:rPr>
                <w:rFonts w:ascii="Arial Narrow" w:eastAsia="Times New Roman" w:hAnsi="Arial Narrow" w:cs="Arial"/>
                <w:color w:val="FFFFFF" w:themeColor="background1"/>
                <w:sz w:val="20"/>
                <w:szCs w:val="20"/>
                <w:lang w:eastAsia="en-AU"/>
              </w:rPr>
            </w:pPr>
            <w:r w:rsidRPr="0071000B">
              <w:rPr>
                <w:rFonts w:ascii="Arial Narrow" w:eastAsia="Times New Roman" w:hAnsi="Arial Narrow" w:cs="Arial"/>
                <w:color w:val="FFFFFF" w:themeColor="background1"/>
                <w:sz w:val="20"/>
                <w:szCs w:val="20"/>
                <w:lang w:eastAsia="en-AU"/>
              </w:rPr>
              <w:t>-</w:t>
            </w:r>
          </w:p>
        </w:tc>
        <w:tc>
          <w:tcPr>
            <w:tcW w:w="933" w:type="pct"/>
            <w:shd w:val="clear" w:color="auto" w:fill="auto"/>
            <w:noWrap/>
            <w:vAlign w:val="bottom"/>
            <w:hideMark/>
          </w:tcPr>
          <w:p w14:paraId="609B8A58" w14:textId="77777777" w:rsidR="00E47AB8" w:rsidRPr="0071000B" w:rsidRDefault="00E47AB8" w:rsidP="00422306">
            <w:pPr>
              <w:numPr>
                <w:ilvl w:val="0"/>
                <w:numId w:val="122"/>
              </w:numPr>
              <w:spacing w:before="40" w:after="80"/>
              <w:jc w:val="center"/>
              <w:rPr>
                <w:rFonts w:ascii="Arial Narrow" w:eastAsia="Times New Roman" w:hAnsi="Arial Narrow" w:cs="Arial"/>
                <w:color w:val="FFFFFF" w:themeColor="background1"/>
                <w:sz w:val="20"/>
                <w:szCs w:val="20"/>
                <w:lang w:eastAsia="en-AU"/>
              </w:rPr>
            </w:pPr>
            <w:r w:rsidRPr="0071000B">
              <w:rPr>
                <w:rFonts w:ascii="Arial Narrow" w:eastAsia="Times New Roman" w:hAnsi="Arial Narrow" w:cs="Arial"/>
                <w:color w:val="FFFFFF" w:themeColor="background1"/>
                <w:sz w:val="20"/>
                <w:szCs w:val="20"/>
                <w:lang w:eastAsia="en-AU"/>
              </w:rPr>
              <w:t>-</w:t>
            </w:r>
          </w:p>
        </w:tc>
        <w:tc>
          <w:tcPr>
            <w:tcW w:w="1095" w:type="pct"/>
            <w:shd w:val="clear" w:color="auto" w:fill="auto"/>
            <w:noWrap/>
            <w:vAlign w:val="center"/>
            <w:hideMark/>
          </w:tcPr>
          <w:p w14:paraId="4A172B35"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650FCDDF" w14:textId="77777777" w:rsidTr="0071000B">
        <w:tc>
          <w:tcPr>
            <w:tcW w:w="249" w:type="pct"/>
            <w:shd w:val="clear" w:color="auto" w:fill="auto"/>
            <w:noWrap/>
            <w:vAlign w:val="bottom"/>
            <w:hideMark/>
          </w:tcPr>
          <w:p w14:paraId="659B7646"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40</w:t>
            </w:r>
          </w:p>
        </w:tc>
        <w:tc>
          <w:tcPr>
            <w:tcW w:w="1023" w:type="pct"/>
            <w:shd w:val="clear" w:color="auto" w:fill="auto"/>
            <w:noWrap/>
            <w:vAlign w:val="center"/>
            <w:hideMark/>
          </w:tcPr>
          <w:p w14:paraId="18154D19"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2.92%</w:t>
            </w:r>
          </w:p>
        </w:tc>
        <w:tc>
          <w:tcPr>
            <w:tcW w:w="844" w:type="pct"/>
            <w:shd w:val="clear" w:color="auto" w:fill="auto"/>
            <w:noWrap/>
            <w:vAlign w:val="center"/>
            <w:hideMark/>
          </w:tcPr>
          <w:p w14:paraId="043B809E"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1.27%</w:t>
            </w:r>
          </w:p>
        </w:tc>
        <w:tc>
          <w:tcPr>
            <w:tcW w:w="856" w:type="pct"/>
            <w:shd w:val="clear" w:color="auto" w:fill="auto"/>
            <w:noWrap/>
            <w:vAlign w:val="bottom"/>
            <w:hideMark/>
          </w:tcPr>
          <w:p w14:paraId="79C1DA47" w14:textId="77777777" w:rsidR="00E47AB8" w:rsidRPr="0071000B" w:rsidRDefault="00E47AB8" w:rsidP="00422306">
            <w:pPr>
              <w:numPr>
                <w:ilvl w:val="0"/>
                <w:numId w:val="122"/>
              </w:numPr>
              <w:spacing w:before="40" w:after="80"/>
              <w:jc w:val="center"/>
              <w:rPr>
                <w:rFonts w:ascii="Arial Narrow" w:eastAsia="Times New Roman" w:hAnsi="Arial Narrow" w:cs="Arial"/>
                <w:color w:val="FFFFFF" w:themeColor="background1"/>
                <w:sz w:val="20"/>
                <w:szCs w:val="20"/>
                <w:lang w:eastAsia="en-AU"/>
              </w:rPr>
            </w:pPr>
            <w:r w:rsidRPr="0071000B">
              <w:rPr>
                <w:rFonts w:ascii="Arial Narrow" w:eastAsia="Times New Roman" w:hAnsi="Arial Narrow" w:cs="Arial"/>
                <w:color w:val="FFFFFF" w:themeColor="background1"/>
                <w:sz w:val="20"/>
                <w:szCs w:val="20"/>
                <w:lang w:eastAsia="en-AU"/>
              </w:rPr>
              <w:t>-</w:t>
            </w:r>
          </w:p>
        </w:tc>
        <w:tc>
          <w:tcPr>
            <w:tcW w:w="933" w:type="pct"/>
            <w:shd w:val="clear" w:color="auto" w:fill="auto"/>
            <w:noWrap/>
            <w:vAlign w:val="bottom"/>
            <w:hideMark/>
          </w:tcPr>
          <w:p w14:paraId="1CDFCE6E" w14:textId="77777777" w:rsidR="00E47AB8" w:rsidRPr="0071000B" w:rsidRDefault="00E47AB8" w:rsidP="00422306">
            <w:pPr>
              <w:numPr>
                <w:ilvl w:val="0"/>
                <w:numId w:val="122"/>
              </w:numPr>
              <w:spacing w:before="40" w:after="80"/>
              <w:jc w:val="center"/>
              <w:rPr>
                <w:rFonts w:ascii="Arial Narrow" w:eastAsia="Times New Roman" w:hAnsi="Arial Narrow" w:cs="Arial"/>
                <w:color w:val="FFFFFF" w:themeColor="background1"/>
                <w:sz w:val="20"/>
                <w:szCs w:val="20"/>
                <w:lang w:eastAsia="en-AU"/>
              </w:rPr>
            </w:pPr>
            <w:r w:rsidRPr="0071000B">
              <w:rPr>
                <w:rFonts w:ascii="Arial Narrow" w:eastAsia="Times New Roman" w:hAnsi="Arial Narrow" w:cs="Arial"/>
                <w:color w:val="FFFFFF" w:themeColor="background1"/>
                <w:sz w:val="20"/>
                <w:szCs w:val="20"/>
                <w:lang w:eastAsia="en-AU"/>
              </w:rPr>
              <w:t>-</w:t>
            </w:r>
          </w:p>
        </w:tc>
        <w:tc>
          <w:tcPr>
            <w:tcW w:w="1095" w:type="pct"/>
            <w:shd w:val="clear" w:color="auto" w:fill="auto"/>
            <w:noWrap/>
            <w:vAlign w:val="center"/>
            <w:hideMark/>
          </w:tcPr>
          <w:p w14:paraId="50FF1685"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31B059C5" w14:textId="77777777" w:rsidTr="0071000B">
        <w:tc>
          <w:tcPr>
            <w:tcW w:w="249" w:type="pct"/>
            <w:shd w:val="clear" w:color="auto" w:fill="auto"/>
            <w:noWrap/>
            <w:vAlign w:val="bottom"/>
            <w:hideMark/>
          </w:tcPr>
          <w:p w14:paraId="2A59D0E2"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45</w:t>
            </w:r>
          </w:p>
        </w:tc>
        <w:tc>
          <w:tcPr>
            <w:tcW w:w="1023" w:type="pct"/>
            <w:shd w:val="clear" w:color="auto" w:fill="auto"/>
            <w:noWrap/>
            <w:vAlign w:val="center"/>
            <w:hideMark/>
          </w:tcPr>
          <w:p w14:paraId="52AF4504"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4.28%</w:t>
            </w:r>
          </w:p>
        </w:tc>
        <w:tc>
          <w:tcPr>
            <w:tcW w:w="844" w:type="pct"/>
            <w:shd w:val="clear" w:color="auto" w:fill="auto"/>
            <w:noWrap/>
            <w:vAlign w:val="center"/>
            <w:hideMark/>
          </w:tcPr>
          <w:p w14:paraId="28F79F45"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1.27%</w:t>
            </w:r>
          </w:p>
        </w:tc>
        <w:tc>
          <w:tcPr>
            <w:tcW w:w="856" w:type="pct"/>
            <w:shd w:val="clear" w:color="auto" w:fill="auto"/>
            <w:noWrap/>
            <w:vAlign w:val="bottom"/>
            <w:hideMark/>
          </w:tcPr>
          <w:p w14:paraId="3EA5D45C"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1.31%</w:t>
            </w:r>
          </w:p>
        </w:tc>
        <w:tc>
          <w:tcPr>
            <w:tcW w:w="933" w:type="pct"/>
            <w:shd w:val="clear" w:color="auto" w:fill="auto"/>
            <w:noWrap/>
            <w:vAlign w:val="bottom"/>
            <w:hideMark/>
          </w:tcPr>
          <w:p w14:paraId="7AD0B365"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1.31%</w:t>
            </w:r>
          </w:p>
        </w:tc>
        <w:tc>
          <w:tcPr>
            <w:tcW w:w="1095" w:type="pct"/>
            <w:shd w:val="clear" w:color="auto" w:fill="auto"/>
            <w:noWrap/>
            <w:vAlign w:val="center"/>
            <w:hideMark/>
          </w:tcPr>
          <w:p w14:paraId="337F3210"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47882D68" w14:textId="77777777" w:rsidTr="0071000B">
        <w:tc>
          <w:tcPr>
            <w:tcW w:w="249" w:type="pct"/>
            <w:shd w:val="clear" w:color="auto" w:fill="auto"/>
            <w:noWrap/>
            <w:vAlign w:val="bottom"/>
            <w:hideMark/>
          </w:tcPr>
          <w:p w14:paraId="557098C2"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50</w:t>
            </w:r>
          </w:p>
        </w:tc>
        <w:tc>
          <w:tcPr>
            <w:tcW w:w="1023" w:type="pct"/>
            <w:shd w:val="clear" w:color="auto" w:fill="auto"/>
            <w:noWrap/>
            <w:vAlign w:val="center"/>
            <w:hideMark/>
          </w:tcPr>
          <w:p w14:paraId="5BA11B2C"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2.65%</w:t>
            </w:r>
          </w:p>
        </w:tc>
        <w:tc>
          <w:tcPr>
            <w:tcW w:w="844" w:type="pct"/>
            <w:shd w:val="clear" w:color="auto" w:fill="auto"/>
            <w:noWrap/>
            <w:vAlign w:val="center"/>
            <w:hideMark/>
          </w:tcPr>
          <w:p w14:paraId="4E9C58E0"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1.98%</w:t>
            </w:r>
          </w:p>
        </w:tc>
        <w:tc>
          <w:tcPr>
            <w:tcW w:w="856" w:type="pct"/>
            <w:shd w:val="clear" w:color="auto" w:fill="auto"/>
            <w:noWrap/>
            <w:vAlign w:val="bottom"/>
            <w:hideMark/>
          </w:tcPr>
          <w:p w14:paraId="5F0A66CF"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0.97%</w:t>
            </w:r>
          </w:p>
        </w:tc>
        <w:tc>
          <w:tcPr>
            <w:tcW w:w="933" w:type="pct"/>
            <w:shd w:val="clear" w:color="auto" w:fill="auto"/>
            <w:noWrap/>
            <w:vAlign w:val="bottom"/>
            <w:hideMark/>
          </w:tcPr>
          <w:p w14:paraId="2D170072"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0.97%</w:t>
            </w:r>
          </w:p>
        </w:tc>
        <w:tc>
          <w:tcPr>
            <w:tcW w:w="1095" w:type="pct"/>
            <w:shd w:val="clear" w:color="auto" w:fill="auto"/>
            <w:noWrap/>
            <w:vAlign w:val="center"/>
            <w:hideMark/>
          </w:tcPr>
          <w:p w14:paraId="6678E8CF"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4AA831E4" w14:textId="77777777" w:rsidTr="0071000B">
        <w:tc>
          <w:tcPr>
            <w:tcW w:w="249" w:type="pct"/>
            <w:shd w:val="clear" w:color="auto" w:fill="auto"/>
            <w:noWrap/>
            <w:vAlign w:val="bottom"/>
            <w:hideMark/>
          </w:tcPr>
          <w:p w14:paraId="4E42D150"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55</w:t>
            </w:r>
          </w:p>
        </w:tc>
        <w:tc>
          <w:tcPr>
            <w:tcW w:w="1023" w:type="pct"/>
            <w:shd w:val="clear" w:color="auto" w:fill="auto"/>
            <w:noWrap/>
            <w:vAlign w:val="center"/>
            <w:hideMark/>
          </w:tcPr>
          <w:p w14:paraId="7464BE6E"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3.01%</w:t>
            </w:r>
          </w:p>
        </w:tc>
        <w:tc>
          <w:tcPr>
            <w:tcW w:w="844" w:type="pct"/>
            <w:shd w:val="clear" w:color="auto" w:fill="auto"/>
            <w:noWrap/>
            <w:vAlign w:val="center"/>
            <w:hideMark/>
          </w:tcPr>
          <w:p w14:paraId="57EA7008"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1.98%</w:t>
            </w:r>
          </w:p>
        </w:tc>
        <w:tc>
          <w:tcPr>
            <w:tcW w:w="856" w:type="pct"/>
            <w:shd w:val="clear" w:color="auto" w:fill="auto"/>
            <w:noWrap/>
            <w:vAlign w:val="bottom"/>
            <w:hideMark/>
          </w:tcPr>
          <w:p w14:paraId="57D8B64D"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933" w:type="pct"/>
            <w:shd w:val="clear" w:color="auto" w:fill="auto"/>
            <w:noWrap/>
            <w:vAlign w:val="bottom"/>
            <w:hideMark/>
          </w:tcPr>
          <w:p w14:paraId="2FD6882F"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1095" w:type="pct"/>
            <w:shd w:val="clear" w:color="auto" w:fill="auto"/>
            <w:noWrap/>
            <w:vAlign w:val="center"/>
            <w:hideMark/>
          </w:tcPr>
          <w:p w14:paraId="54332F3E"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0EDA1BA7" w14:textId="77777777" w:rsidTr="0071000B">
        <w:tc>
          <w:tcPr>
            <w:tcW w:w="249" w:type="pct"/>
            <w:shd w:val="clear" w:color="auto" w:fill="auto"/>
            <w:noWrap/>
            <w:vAlign w:val="bottom"/>
            <w:hideMark/>
          </w:tcPr>
          <w:p w14:paraId="318EE5E6"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60</w:t>
            </w:r>
          </w:p>
        </w:tc>
        <w:tc>
          <w:tcPr>
            <w:tcW w:w="1023" w:type="pct"/>
            <w:shd w:val="clear" w:color="auto" w:fill="auto"/>
            <w:noWrap/>
            <w:vAlign w:val="center"/>
            <w:hideMark/>
          </w:tcPr>
          <w:p w14:paraId="52167BE0"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2.70%</w:t>
            </w:r>
          </w:p>
        </w:tc>
        <w:tc>
          <w:tcPr>
            <w:tcW w:w="844" w:type="pct"/>
            <w:shd w:val="clear" w:color="auto" w:fill="auto"/>
            <w:noWrap/>
            <w:vAlign w:val="center"/>
            <w:hideMark/>
          </w:tcPr>
          <w:p w14:paraId="439B199D"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2.08%</w:t>
            </w:r>
          </w:p>
        </w:tc>
        <w:tc>
          <w:tcPr>
            <w:tcW w:w="856" w:type="pct"/>
            <w:shd w:val="clear" w:color="auto" w:fill="auto"/>
            <w:noWrap/>
            <w:vAlign w:val="bottom"/>
            <w:hideMark/>
          </w:tcPr>
          <w:p w14:paraId="303282B0"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933" w:type="pct"/>
            <w:shd w:val="clear" w:color="auto" w:fill="auto"/>
            <w:noWrap/>
            <w:vAlign w:val="bottom"/>
            <w:hideMark/>
          </w:tcPr>
          <w:p w14:paraId="1CCC6DEF"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1095" w:type="pct"/>
            <w:shd w:val="clear" w:color="auto" w:fill="auto"/>
            <w:noWrap/>
            <w:vAlign w:val="center"/>
            <w:hideMark/>
          </w:tcPr>
          <w:p w14:paraId="69A2350D"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5385B7C3" w14:textId="77777777" w:rsidTr="0071000B">
        <w:tc>
          <w:tcPr>
            <w:tcW w:w="249" w:type="pct"/>
            <w:shd w:val="clear" w:color="auto" w:fill="auto"/>
            <w:noWrap/>
            <w:vAlign w:val="bottom"/>
            <w:hideMark/>
          </w:tcPr>
          <w:p w14:paraId="606386AB"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65</w:t>
            </w:r>
          </w:p>
        </w:tc>
        <w:tc>
          <w:tcPr>
            <w:tcW w:w="1023" w:type="pct"/>
            <w:shd w:val="clear" w:color="auto" w:fill="auto"/>
            <w:noWrap/>
            <w:vAlign w:val="center"/>
            <w:hideMark/>
          </w:tcPr>
          <w:p w14:paraId="65324661"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2.96%</w:t>
            </w:r>
          </w:p>
        </w:tc>
        <w:tc>
          <w:tcPr>
            <w:tcW w:w="844" w:type="pct"/>
            <w:shd w:val="clear" w:color="auto" w:fill="auto"/>
            <w:noWrap/>
            <w:vAlign w:val="center"/>
            <w:hideMark/>
          </w:tcPr>
          <w:p w14:paraId="54C2E588"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2.08%</w:t>
            </w:r>
          </w:p>
        </w:tc>
        <w:tc>
          <w:tcPr>
            <w:tcW w:w="856" w:type="pct"/>
            <w:shd w:val="clear" w:color="auto" w:fill="auto"/>
            <w:noWrap/>
            <w:vAlign w:val="bottom"/>
            <w:hideMark/>
          </w:tcPr>
          <w:p w14:paraId="53EC7AA1"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933" w:type="pct"/>
            <w:shd w:val="clear" w:color="auto" w:fill="auto"/>
            <w:noWrap/>
            <w:vAlign w:val="bottom"/>
            <w:hideMark/>
          </w:tcPr>
          <w:p w14:paraId="322965BB"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1095" w:type="pct"/>
            <w:shd w:val="clear" w:color="auto" w:fill="auto"/>
            <w:noWrap/>
            <w:vAlign w:val="center"/>
            <w:hideMark/>
          </w:tcPr>
          <w:p w14:paraId="79307858"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68463EDA" w14:textId="77777777" w:rsidTr="0071000B">
        <w:tc>
          <w:tcPr>
            <w:tcW w:w="249" w:type="pct"/>
            <w:shd w:val="clear" w:color="auto" w:fill="auto"/>
            <w:noWrap/>
            <w:vAlign w:val="bottom"/>
            <w:hideMark/>
          </w:tcPr>
          <w:p w14:paraId="4BE78DFA"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70</w:t>
            </w:r>
          </w:p>
        </w:tc>
        <w:tc>
          <w:tcPr>
            <w:tcW w:w="1023" w:type="pct"/>
            <w:shd w:val="clear" w:color="auto" w:fill="auto"/>
            <w:noWrap/>
            <w:vAlign w:val="center"/>
            <w:hideMark/>
          </w:tcPr>
          <w:p w14:paraId="0D3E9D5E"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2.96%</w:t>
            </w:r>
          </w:p>
        </w:tc>
        <w:tc>
          <w:tcPr>
            <w:tcW w:w="844" w:type="pct"/>
            <w:shd w:val="clear" w:color="auto" w:fill="auto"/>
            <w:noWrap/>
            <w:vAlign w:val="center"/>
            <w:hideMark/>
          </w:tcPr>
          <w:p w14:paraId="3627E80E"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1.65%</w:t>
            </w:r>
          </w:p>
        </w:tc>
        <w:tc>
          <w:tcPr>
            <w:tcW w:w="856" w:type="pct"/>
            <w:shd w:val="clear" w:color="auto" w:fill="auto"/>
            <w:noWrap/>
            <w:vAlign w:val="bottom"/>
            <w:hideMark/>
          </w:tcPr>
          <w:p w14:paraId="33FE30D0"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933" w:type="pct"/>
            <w:shd w:val="clear" w:color="auto" w:fill="auto"/>
            <w:noWrap/>
            <w:vAlign w:val="bottom"/>
            <w:hideMark/>
          </w:tcPr>
          <w:p w14:paraId="39A3593B"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1095" w:type="pct"/>
            <w:shd w:val="clear" w:color="auto" w:fill="auto"/>
            <w:noWrap/>
            <w:vAlign w:val="center"/>
            <w:hideMark/>
          </w:tcPr>
          <w:p w14:paraId="4AA2F2B7"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3D7C7D4A" w14:textId="77777777" w:rsidTr="0071000B">
        <w:tc>
          <w:tcPr>
            <w:tcW w:w="249" w:type="pct"/>
            <w:shd w:val="clear" w:color="auto" w:fill="auto"/>
            <w:noWrap/>
            <w:vAlign w:val="bottom"/>
            <w:hideMark/>
          </w:tcPr>
          <w:p w14:paraId="69E6325F" w14:textId="77777777"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75</w:t>
            </w:r>
          </w:p>
        </w:tc>
        <w:tc>
          <w:tcPr>
            <w:tcW w:w="1023" w:type="pct"/>
            <w:shd w:val="clear" w:color="auto" w:fill="auto"/>
            <w:noWrap/>
            <w:vAlign w:val="center"/>
            <w:hideMark/>
          </w:tcPr>
          <w:p w14:paraId="3F27460C"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2.96%</w:t>
            </w:r>
          </w:p>
        </w:tc>
        <w:tc>
          <w:tcPr>
            <w:tcW w:w="844" w:type="pct"/>
            <w:shd w:val="clear" w:color="auto" w:fill="auto"/>
            <w:noWrap/>
            <w:vAlign w:val="center"/>
            <w:hideMark/>
          </w:tcPr>
          <w:p w14:paraId="60B70489"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1.65%</w:t>
            </w:r>
          </w:p>
        </w:tc>
        <w:tc>
          <w:tcPr>
            <w:tcW w:w="856" w:type="pct"/>
            <w:shd w:val="clear" w:color="auto" w:fill="auto"/>
            <w:noWrap/>
            <w:vAlign w:val="bottom"/>
            <w:hideMark/>
          </w:tcPr>
          <w:p w14:paraId="6835F53A"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933" w:type="pct"/>
            <w:shd w:val="clear" w:color="auto" w:fill="auto"/>
            <w:noWrap/>
            <w:vAlign w:val="bottom"/>
            <w:hideMark/>
          </w:tcPr>
          <w:p w14:paraId="790D9CC4"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1095" w:type="pct"/>
            <w:shd w:val="clear" w:color="auto" w:fill="auto"/>
            <w:noWrap/>
            <w:vAlign w:val="center"/>
            <w:hideMark/>
          </w:tcPr>
          <w:p w14:paraId="1A43FE38"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r w:rsidR="00E47AB8" w:rsidRPr="008B2F8A" w14:paraId="00BC88FD" w14:textId="77777777" w:rsidTr="0071000B">
        <w:tc>
          <w:tcPr>
            <w:tcW w:w="249" w:type="pct"/>
            <w:shd w:val="clear" w:color="auto" w:fill="auto"/>
            <w:noWrap/>
            <w:vAlign w:val="bottom"/>
            <w:hideMark/>
          </w:tcPr>
          <w:p w14:paraId="6BDF5CA4" w14:textId="47CF0CED" w:rsidR="00E47AB8" w:rsidRPr="008B2F8A" w:rsidRDefault="00E47AB8" w:rsidP="00422306">
            <w:pPr>
              <w:spacing w:before="40" w:after="80"/>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80</w:t>
            </w:r>
            <w:r w:rsidRPr="008B2F8A">
              <w:rPr>
                <w:rFonts w:ascii="Arial Narrow" w:hAnsi="Arial Narrow"/>
              </w:rPr>
              <w:t>​+</w:t>
            </w:r>
          </w:p>
        </w:tc>
        <w:tc>
          <w:tcPr>
            <w:tcW w:w="1023" w:type="pct"/>
            <w:shd w:val="clear" w:color="auto" w:fill="auto"/>
            <w:noWrap/>
            <w:vAlign w:val="center"/>
            <w:hideMark/>
          </w:tcPr>
          <w:p w14:paraId="72F1FAD5"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2.96%</w:t>
            </w:r>
          </w:p>
        </w:tc>
        <w:tc>
          <w:tcPr>
            <w:tcW w:w="844" w:type="pct"/>
            <w:shd w:val="clear" w:color="auto" w:fill="auto"/>
            <w:noWrap/>
            <w:vAlign w:val="center"/>
            <w:hideMark/>
          </w:tcPr>
          <w:p w14:paraId="4830B5F0"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1.65%</w:t>
            </w:r>
          </w:p>
        </w:tc>
        <w:tc>
          <w:tcPr>
            <w:tcW w:w="856" w:type="pct"/>
            <w:shd w:val="clear" w:color="auto" w:fill="auto"/>
            <w:noWrap/>
            <w:vAlign w:val="bottom"/>
            <w:hideMark/>
          </w:tcPr>
          <w:p w14:paraId="0FC09C12"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933" w:type="pct"/>
            <w:shd w:val="clear" w:color="auto" w:fill="auto"/>
            <w:noWrap/>
            <w:vAlign w:val="bottom"/>
            <w:hideMark/>
          </w:tcPr>
          <w:p w14:paraId="6B3016E2"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0.33%</w:t>
            </w:r>
          </w:p>
        </w:tc>
        <w:tc>
          <w:tcPr>
            <w:tcW w:w="1095" w:type="pct"/>
            <w:shd w:val="clear" w:color="auto" w:fill="auto"/>
            <w:noWrap/>
            <w:vAlign w:val="center"/>
            <w:hideMark/>
          </w:tcPr>
          <w:p w14:paraId="2EEACCB8" w14:textId="77777777" w:rsidR="00E47AB8" w:rsidRPr="008B2F8A" w:rsidRDefault="00E47AB8" w:rsidP="00422306">
            <w:pPr>
              <w:spacing w:before="40" w:after="80"/>
              <w:jc w:val="center"/>
              <w:rPr>
                <w:rFonts w:ascii="Arial Narrow" w:eastAsia="Times New Roman" w:hAnsi="Arial Narrow" w:cs="Arial"/>
                <w:sz w:val="20"/>
                <w:szCs w:val="20"/>
                <w:lang w:eastAsia="en-AU"/>
              </w:rPr>
            </w:pPr>
            <w:r w:rsidRPr="008B2F8A">
              <w:rPr>
                <w:rFonts w:ascii="Arial Narrow" w:eastAsia="Times New Roman" w:hAnsi="Arial Narrow" w:cs="Arial"/>
                <w:sz w:val="20"/>
                <w:szCs w:val="20"/>
                <w:lang w:eastAsia="en-AU"/>
              </w:rPr>
              <w:t>0.54%</w:t>
            </w:r>
          </w:p>
        </w:tc>
      </w:tr>
    </w:tbl>
    <w:p w14:paraId="5BDFF2BA" w14:textId="77777777" w:rsidR="00E47AB8" w:rsidRPr="008B2F8A" w:rsidRDefault="00E47AB8" w:rsidP="0071000B">
      <w:pPr>
        <w:pStyle w:val="TableNotesLast"/>
        <w:rPr>
          <w:rFonts w:eastAsiaTheme="minorHAnsi"/>
        </w:rPr>
      </w:pPr>
      <w:bookmarkStart w:id="1076" w:name="OLE_LINK407"/>
      <w:bookmarkStart w:id="1077" w:name="OLE_LINK408"/>
      <w:bookmarkStart w:id="1078" w:name="_Ref377043145"/>
      <w:r w:rsidRPr="008B2F8A">
        <w:rPr>
          <w:rFonts w:eastAsiaTheme="minorHAnsi"/>
        </w:rPr>
        <w:t>DCIS = ductal carcinoma in situ; LCIS = lobular carcinoma in situ.</w:t>
      </w:r>
      <w:bookmarkEnd w:id="1076"/>
      <w:bookmarkEnd w:id="1077"/>
    </w:p>
    <w:p w14:paraId="396FB8D7" w14:textId="77777777" w:rsidR="00E47AB8" w:rsidRPr="008B2F8A" w:rsidRDefault="00E47AB8" w:rsidP="00422306">
      <w:pPr>
        <w:pStyle w:val="Heading5"/>
        <w:numPr>
          <w:ilvl w:val="0"/>
          <w:numId w:val="0"/>
        </w:numPr>
        <w:ind w:left="1008" w:hanging="1008"/>
        <w:rPr>
          <w:rFonts w:eastAsiaTheme="minorHAnsi"/>
        </w:rPr>
      </w:pPr>
      <w:bookmarkStart w:id="1079" w:name="_Ref377646059"/>
      <w:r w:rsidRPr="008B2F8A">
        <w:rPr>
          <w:rFonts w:eastAsiaTheme="minorHAnsi"/>
        </w:rPr>
        <w:t>Women with a confirmed gene mutation</w:t>
      </w:r>
    </w:p>
    <w:p w14:paraId="0E12EB4C" w14:textId="4827103B" w:rsidR="00E47AB8" w:rsidRPr="007C6E89" w:rsidRDefault="00E47AB8" w:rsidP="00422306">
      <w:pPr>
        <w:spacing w:after="200"/>
        <w:rPr>
          <w:rFonts w:eastAsiaTheme="minorHAnsi" w:cstheme="minorBidi"/>
        </w:rPr>
      </w:pPr>
      <w:r w:rsidRPr="007C6E89">
        <w:rPr>
          <w:rFonts w:eastAsiaTheme="minorHAnsi" w:cstheme="minorBidi"/>
        </w:rPr>
        <w:t xml:space="preserve">Women with a confirmed gene mutation (eg, </w:t>
      </w:r>
      <w:r w:rsidRPr="0071000B">
        <w:rPr>
          <w:rFonts w:eastAsiaTheme="minorHAnsi" w:cstheme="minorBidi"/>
          <w:i/>
        </w:rPr>
        <w:t>BRCA1</w:t>
      </w:r>
      <w:r w:rsidRPr="007C6E89">
        <w:rPr>
          <w:rFonts w:eastAsiaTheme="minorHAnsi" w:cstheme="minorBidi"/>
        </w:rPr>
        <w:t xml:space="preserve"> or </w:t>
      </w:r>
      <w:r w:rsidRPr="0071000B">
        <w:rPr>
          <w:rFonts w:eastAsiaTheme="minorHAnsi" w:cstheme="minorBidi"/>
          <w:i/>
        </w:rPr>
        <w:t>BRCA2</w:t>
      </w:r>
      <w:r w:rsidRPr="007C6E89">
        <w:rPr>
          <w:rFonts w:eastAsiaTheme="minorHAnsi" w:cstheme="minorBidi"/>
        </w:rPr>
        <w:t xml:space="preserve">) have the highest breast cancer incidence, followed by women with a high risk based on family history. As discussed previously, women at high risk for familial breast cancer include a relatively large proportion of women who carry gene mutations for breast cancer. Therefore, the elevated risk in the broader high-risk group is likely driven by the incidence of breast cancer in the subgroup of patients with a confirmed or unconfirmed gene mutation. Information on cancer risk in the mutation carrier population was taken from a case series analysis by </w:t>
      </w:r>
      <w:bookmarkStart w:id="1080" w:name="OLE_LINK870"/>
      <w:bookmarkStart w:id="1081" w:name="OLE_LINK871"/>
      <w:r w:rsidRPr="007C6E89">
        <w:rPr>
          <w:rFonts w:eastAsiaTheme="minorHAnsi" w:cstheme="minorBidi"/>
        </w:rPr>
        <w:t xml:space="preserve">Antoniou et al </w:t>
      </w:r>
      <w:r w:rsidRPr="007C6E89">
        <w:rPr>
          <w:rFonts w:eastAsiaTheme="minorHAnsi" w:cstheme="minorBidi"/>
          <w:noProof/>
        </w:rPr>
        <w:t>(2003</w:t>
      </w:r>
      <w:bookmarkEnd w:id="1080"/>
      <w:bookmarkEnd w:id="1081"/>
      <w:r w:rsidRPr="007C6E89">
        <w:rPr>
          <w:rFonts w:eastAsiaTheme="minorHAnsi" w:cstheme="minorBidi"/>
          <w:noProof/>
        </w:rPr>
        <w:t>)</w:t>
      </w:r>
      <w:r w:rsidRPr="007C6E89">
        <w:rPr>
          <w:rFonts w:eastAsiaTheme="minorHAnsi" w:cstheme="minorBidi"/>
        </w:rPr>
        <w:t xml:space="preserve"> in women with </w:t>
      </w:r>
      <w:r w:rsidRPr="0071000B">
        <w:rPr>
          <w:rFonts w:eastAsiaTheme="minorHAnsi" w:cstheme="minorBidi"/>
          <w:i/>
        </w:rPr>
        <w:t>BRCA1</w:t>
      </w:r>
      <w:r w:rsidRPr="007C6E89">
        <w:rPr>
          <w:rFonts w:eastAsiaTheme="minorHAnsi" w:cstheme="minorBidi"/>
        </w:rPr>
        <w:t xml:space="preserve"> or </w:t>
      </w:r>
      <w:r w:rsidRPr="0071000B">
        <w:rPr>
          <w:rFonts w:eastAsiaTheme="minorHAnsi" w:cstheme="minorBidi"/>
          <w:i/>
        </w:rPr>
        <w:t>BRCA2</w:t>
      </w:r>
      <w:r w:rsidRPr="007C6E89">
        <w:rPr>
          <w:rFonts w:eastAsiaTheme="minorHAnsi" w:cstheme="minorBidi"/>
        </w:rPr>
        <w:t xml:space="preserve"> mutations; the study provides age-specific incidence rates for women aged 20 to 69 years with breast cancer.</w:t>
      </w:r>
    </w:p>
    <w:p w14:paraId="06D97843" w14:textId="41674F0B" w:rsidR="00E47AB8" w:rsidRPr="008B2F8A" w:rsidRDefault="00E47AB8" w:rsidP="00422306">
      <w:pPr>
        <w:pStyle w:val="Caption"/>
      </w:pPr>
      <w:bookmarkStart w:id="1082" w:name="_Ref256249444"/>
      <w:bookmarkStart w:id="1083" w:name="_Toc383424678"/>
      <w:r w:rsidRPr="008B2F8A">
        <w:lastRenderedPageBreak/>
        <w:t xml:space="preserve">Figure </w:t>
      </w:r>
      <w:fldSimple w:instr=" STYLEREF 1 \s ">
        <w:r w:rsidR="00B81273">
          <w:rPr>
            <w:noProof/>
          </w:rPr>
          <w:t>D</w:t>
        </w:r>
      </w:fldSimple>
      <w:r w:rsidRPr="008B2F8A">
        <w:t>.</w:t>
      </w:r>
      <w:fldSimple w:instr=" SEQ Figure \* ARABIC \s 1 ">
        <w:r w:rsidR="00B81273">
          <w:rPr>
            <w:noProof/>
          </w:rPr>
          <w:t>2</w:t>
        </w:r>
      </w:fldSimple>
      <w:bookmarkEnd w:id="1078"/>
      <w:bookmarkEnd w:id="1079"/>
      <w:bookmarkEnd w:id="1082"/>
      <w:r w:rsidRPr="008B2F8A">
        <w:tab/>
      </w:r>
      <w:bookmarkStart w:id="1084" w:name="OLE_LINK1085"/>
      <w:bookmarkStart w:id="1085" w:name="OLE_LINK1086"/>
      <w:r w:rsidRPr="008B2F8A">
        <w:t>Cumulative breast cancer incidence by age estimated in the economic model</w:t>
      </w:r>
      <w:bookmarkEnd w:id="1084"/>
      <w:bookmarkEnd w:id="1085"/>
      <w:r>
        <w:t>.</w:t>
      </w:r>
      <w:bookmarkEnd w:id="1083"/>
    </w:p>
    <w:p w14:paraId="5FE757E9" w14:textId="27FF9B27" w:rsidR="00E47AB8" w:rsidRPr="007C6E89" w:rsidRDefault="00775ACC" w:rsidP="00775ACC">
      <w:pPr>
        <w:spacing w:after="200"/>
        <w:rPr>
          <w:rFonts w:eastAsiaTheme="minorHAnsi" w:cstheme="minorBidi"/>
          <w:lang w:eastAsia="en-AU"/>
        </w:rPr>
      </w:pPr>
      <w:r w:rsidRPr="007C6E89">
        <w:rPr>
          <w:rFonts w:eastAsiaTheme="minorHAnsi" w:cstheme="minorBidi"/>
          <w:noProof/>
          <w:lang w:eastAsia="en-AU"/>
        </w:rPr>
        <w:drawing>
          <wp:inline distT="0" distB="0" distL="0" distR="0" wp14:anchorId="13EFDF4B" wp14:editId="7455F598">
            <wp:extent cx="5534107" cy="2989690"/>
            <wp:effectExtent l="0" t="0" r="0" b="1270"/>
            <wp:docPr id="20" name="Picture 20" descr="Graph with 4 curves increasing to different maximum heights with age" title="Cumulative breast cancer incidence by age estimated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1256" t="10210" r="1031" b="8536"/>
                    <a:stretch/>
                  </pic:blipFill>
                  <pic:spPr bwMode="auto">
                    <a:xfrm>
                      <a:off x="0" y="0"/>
                      <a:ext cx="5539280" cy="2992485"/>
                    </a:xfrm>
                    <a:prstGeom prst="rect">
                      <a:avLst/>
                    </a:prstGeom>
                    <a:noFill/>
                    <a:ln>
                      <a:noFill/>
                    </a:ln>
                    <a:extLst>
                      <a:ext uri="{53640926-AAD7-44D8-BBD7-CCE9431645EC}">
                        <a14:shadowObscured xmlns:a14="http://schemas.microsoft.com/office/drawing/2010/main"/>
                      </a:ext>
                    </a:extLst>
                  </pic:spPr>
                </pic:pic>
              </a:graphicData>
            </a:graphic>
          </wp:inline>
        </w:drawing>
      </w:r>
    </w:p>
    <w:p w14:paraId="019FB01E" w14:textId="651F75C8" w:rsidR="00775ACC" w:rsidRDefault="00775ACC" w:rsidP="00775ACC">
      <w:pPr>
        <w:pStyle w:val="TableNotesLast"/>
        <w:jc w:val="center"/>
      </w:pPr>
      <w:r>
        <w:rPr>
          <w:noProof/>
        </w:rPr>
        <w:drawing>
          <wp:inline distT="0" distB="0" distL="0" distR="0" wp14:anchorId="02F65778" wp14:editId="4748027C">
            <wp:extent cx="5335322" cy="349857"/>
            <wp:effectExtent l="0" t="0" r="0" b="0"/>
            <wp:docPr id="2" name="Picture 2" title="Legend for Figure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7">
                      <a:extLst>
                        <a:ext uri="{28A0092B-C50C-407E-A947-70E740481C1C}">
                          <a14:useLocalDpi xmlns:a14="http://schemas.microsoft.com/office/drawing/2010/main" val="0"/>
                        </a:ext>
                      </a:extLst>
                    </a:blip>
                    <a:srcRect l="3592" t="89407" r="3698" b="1271"/>
                    <a:stretch/>
                  </pic:blipFill>
                  <pic:spPr bwMode="auto">
                    <a:xfrm>
                      <a:off x="0" y="0"/>
                      <a:ext cx="5339608" cy="350138"/>
                    </a:xfrm>
                    <a:prstGeom prst="rect">
                      <a:avLst/>
                    </a:prstGeom>
                    <a:noFill/>
                    <a:ln>
                      <a:noFill/>
                    </a:ln>
                    <a:extLst>
                      <a:ext uri="{53640926-AAD7-44D8-BBD7-CCE9431645EC}">
                        <a14:shadowObscured xmlns:a14="http://schemas.microsoft.com/office/drawing/2010/main"/>
                      </a:ext>
                    </a:extLst>
                  </pic:spPr>
                </pic:pic>
              </a:graphicData>
            </a:graphic>
          </wp:inline>
        </w:drawing>
      </w:r>
    </w:p>
    <w:p w14:paraId="492480FA" w14:textId="2DD895A9" w:rsidR="00E47AB8" w:rsidRPr="008B2F8A" w:rsidRDefault="00E47AB8" w:rsidP="00A6193E">
      <w:pPr>
        <w:pStyle w:val="TableNotesLast"/>
      </w:pPr>
      <w:r w:rsidRPr="008B2F8A">
        <w:t>Note: The cumulative incidence for prior invasive breast cancer and DCIS/LCIS are overlaid because these groups have identical risk.</w:t>
      </w:r>
    </w:p>
    <w:p w14:paraId="1874CFEA" w14:textId="4FFFB140" w:rsidR="00E47AB8" w:rsidRPr="007C6E89" w:rsidRDefault="00E47AB8" w:rsidP="00422306">
      <w:pPr>
        <w:rPr>
          <w:rFonts w:eastAsiaTheme="minorHAnsi" w:cstheme="minorBidi"/>
        </w:rPr>
      </w:pPr>
      <w:r w:rsidRPr="008B2F8A">
        <w:t>The lifetime risk of breast cancer in women with a gene mutation calculated in the model was 77%. This compares well to estimates of cancer risk reported in the literature</w:t>
      </w:r>
      <w:r>
        <w:t>:</w:t>
      </w:r>
      <w:r w:rsidRPr="008B2F8A">
        <w:t xml:space="preserve"> </w:t>
      </w:r>
      <w:bookmarkStart w:id="1086" w:name="OLE_LINK872"/>
      <w:bookmarkStart w:id="1087" w:name="OLE_LINK873"/>
      <w:r w:rsidRPr="008B2F8A">
        <w:t xml:space="preserve">Chen </w:t>
      </w:r>
      <w:r>
        <w:t>and Parmigiani</w:t>
      </w:r>
      <w:r w:rsidRPr="008B2F8A">
        <w:t xml:space="preserve"> </w:t>
      </w:r>
      <w:r w:rsidRPr="008B2F8A">
        <w:rPr>
          <w:noProof/>
        </w:rPr>
        <w:t>(2007</w:t>
      </w:r>
      <w:bookmarkEnd w:id="1086"/>
      <w:bookmarkEnd w:id="1087"/>
      <w:r w:rsidRPr="008B2F8A">
        <w:rPr>
          <w:noProof/>
        </w:rPr>
        <w:t>)</w:t>
      </w:r>
      <w:r w:rsidRPr="008B2F8A">
        <w:t xml:space="preserve"> suggest</w:t>
      </w:r>
      <w:r>
        <w:t>ed</w:t>
      </w:r>
      <w:r w:rsidRPr="008B2F8A">
        <w:t xml:space="preserve"> that 55</w:t>
      </w:r>
      <w:r>
        <w:t xml:space="preserve">% to </w:t>
      </w:r>
      <w:r w:rsidRPr="008B2F8A">
        <w:t>65% of women with a harmful</w:t>
      </w:r>
      <w:r>
        <w:t xml:space="preserve"> </w:t>
      </w:r>
      <w:r w:rsidRPr="00935647">
        <w:t>BRCA1</w:t>
      </w:r>
      <w:r>
        <w:t xml:space="preserve"> </w:t>
      </w:r>
      <w:r w:rsidRPr="008B2F8A">
        <w:t>mutation will develop breast cancer by the age of 70</w:t>
      </w:r>
      <w:r>
        <w:t xml:space="preserve"> years</w:t>
      </w:r>
      <w:r w:rsidRPr="008B2F8A">
        <w:t>.</w:t>
      </w:r>
      <w:r>
        <w:t xml:space="preserve"> </w:t>
      </w:r>
      <w:r>
        <w:fldChar w:fldCharType="begin"/>
      </w:r>
      <w:r>
        <w:instrText xml:space="preserve"> REF _Ref256249444 \h </w:instrText>
      </w:r>
      <w:r>
        <w:fldChar w:fldCharType="separate"/>
      </w:r>
      <w:r w:rsidR="00B81273" w:rsidRPr="008B2F8A">
        <w:t xml:space="preserve">Figure </w:t>
      </w:r>
      <w:r w:rsidR="00B81273">
        <w:rPr>
          <w:noProof/>
        </w:rPr>
        <w:t>D</w:t>
      </w:r>
      <w:r w:rsidR="00B81273" w:rsidRPr="008B2F8A">
        <w:t>.</w:t>
      </w:r>
      <w:r w:rsidR="00B81273">
        <w:rPr>
          <w:noProof/>
        </w:rPr>
        <w:t>2</w:t>
      </w:r>
      <w:r>
        <w:fldChar w:fldCharType="end"/>
      </w:r>
      <w:r w:rsidRPr="007C6E89">
        <w:rPr>
          <w:rFonts w:eastAsiaTheme="minorHAnsi" w:cstheme="minorBidi"/>
        </w:rPr>
        <w:t xml:space="preserve"> shows that the model is at the higher end of this range, with approximately 65% of the modelled population developing breast cancer by that age.</w:t>
      </w:r>
    </w:p>
    <w:p w14:paraId="5458F65C" w14:textId="77777777" w:rsidR="00E47AB8" w:rsidRPr="008B2F8A" w:rsidRDefault="00E47AB8" w:rsidP="00422306">
      <w:pPr>
        <w:pStyle w:val="Heading5"/>
        <w:numPr>
          <w:ilvl w:val="0"/>
          <w:numId w:val="0"/>
        </w:numPr>
        <w:ind w:left="1008" w:hanging="1008"/>
        <w:rPr>
          <w:rFonts w:eastAsiaTheme="minorHAnsi"/>
        </w:rPr>
      </w:pPr>
      <w:r w:rsidRPr="008B2F8A">
        <w:rPr>
          <w:rFonts w:eastAsiaTheme="minorHAnsi"/>
        </w:rPr>
        <w:t>Women with a high risk of breast cancer based on family history</w:t>
      </w:r>
    </w:p>
    <w:p w14:paraId="73F003A8" w14:textId="5B2547DA" w:rsidR="00E47AB8" w:rsidRPr="007C6E89" w:rsidRDefault="00E47AB8" w:rsidP="00422306">
      <w:pPr>
        <w:spacing w:after="200"/>
        <w:rPr>
          <w:rFonts w:eastAsiaTheme="minorHAnsi" w:cstheme="minorBidi"/>
        </w:rPr>
      </w:pPr>
      <w:r w:rsidRPr="007C6E89">
        <w:rPr>
          <w:rFonts w:eastAsiaTheme="minorHAnsi" w:cstheme="minorBidi"/>
        </w:rPr>
        <w:t xml:space="preserve">For women with a high risk of breast cancer based on family history, the NICE (2013) model assumed that the 10-year risk of breast cancer for a 40-year-old was 12%. This corresponds to a 5-year risk of 6.2%. In the absence of other reliable data, this was the 5-year risk used in the economic model presented here. Within this group, age-specific rates of breast cancer were calculated using data from a study which compared the risk of breast cancer in a general population of women of various ages </w:t>
      </w:r>
      <w:r w:rsidRPr="007C6E89">
        <w:rPr>
          <w:rFonts w:eastAsiaTheme="minorHAnsi" w:cstheme="minorBidi"/>
          <w:noProof/>
        </w:rPr>
        <w:t>(Claus et al, 1994)</w:t>
      </w:r>
      <w:r w:rsidRPr="007C6E89">
        <w:rPr>
          <w:rFonts w:eastAsiaTheme="minorHAnsi" w:cstheme="minorBidi"/>
        </w:rPr>
        <w:t>.</w:t>
      </w:r>
    </w:p>
    <w:p w14:paraId="59C934DF" w14:textId="3EC15CAF" w:rsidR="00E47AB8" w:rsidRPr="007C6E89" w:rsidRDefault="00E47AB8" w:rsidP="00422306">
      <w:pPr>
        <w:spacing w:after="200"/>
        <w:rPr>
          <w:rFonts w:eastAsiaTheme="minorHAnsi" w:cstheme="minorBidi"/>
        </w:rPr>
      </w:pPr>
      <w:r w:rsidRPr="007C6E89">
        <w:rPr>
          <w:rFonts w:eastAsiaTheme="minorHAnsi" w:cstheme="minorBidi"/>
        </w:rPr>
        <w:t xml:space="preserve">The annual risk of breast cancer by individual year of age used in the economic model was calculated relative to the 5-year risk of 6.2% in 40-year-olds. For example, 5-year risks of breast cancer reported by Claus et al </w:t>
      </w:r>
      <w:r w:rsidRPr="007C6E89">
        <w:rPr>
          <w:rFonts w:eastAsiaTheme="minorHAnsi" w:cstheme="minorBidi"/>
          <w:noProof/>
        </w:rPr>
        <w:t>(1994)</w:t>
      </w:r>
      <w:r w:rsidRPr="007C6E89">
        <w:rPr>
          <w:rFonts w:eastAsiaTheme="minorHAnsi" w:cstheme="minorBidi"/>
        </w:rPr>
        <w:t xml:space="preserve"> were 1.2% for 30-year-olds and 2.7% for 40-year-olds. Thus, the 5-year risk for 30-year-olds in the economic model is estimated to be 2.8% (2.8% ≈ 6.2% </w:t>
      </w:r>
      <w:r w:rsidRPr="007C6E89">
        <w:rPr>
          <w:rFonts w:eastAsiaTheme="minorHAnsi" w:cstheme="minorBidi"/>
        </w:rPr>
        <w:sym w:font="Symbol" w:char="F0B4"/>
      </w:r>
      <w:r w:rsidRPr="007C6E89">
        <w:rPr>
          <w:rFonts w:eastAsiaTheme="minorHAnsi" w:cstheme="minorBidi"/>
        </w:rPr>
        <w:t xml:space="preserve"> 1.2/2.7)</w:t>
      </w:r>
      <w:r w:rsidRPr="007C6E89">
        <w:rPr>
          <w:rFonts w:eastAsiaTheme="minorHAnsi" w:cstheme="minorBidi"/>
          <w:vertAlign w:val="superscript"/>
        </w:rPr>
        <w:footnoteReference w:id="1"/>
      </w:r>
      <w:r w:rsidRPr="007C6E89">
        <w:rPr>
          <w:rFonts w:eastAsiaTheme="minorHAnsi" w:cstheme="minorBidi"/>
        </w:rPr>
        <w:t>. This age adjustment is also the approach used in the original NICE (2013) model.</w:t>
      </w:r>
    </w:p>
    <w:p w14:paraId="16FE3E22" w14:textId="648E1819" w:rsidR="00E47AB8" w:rsidRPr="007C6E89" w:rsidRDefault="00E47AB8" w:rsidP="00422306">
      <w:pPr>
        <w:spacing w:after="200"/>
        <w:rPr>
          <w:rFonts w:eastAsiaTheme="minorHAnsi" w:cstheme="minorBidi"/>
        </w:rPr>
      </w:pPr>
      <w:r w:rsidRPr="007C6E89">
        <w:rPr>
          <w:rFonts w:eastAsiaTheme="minorHAnsi" w:cstheme="minorBidi"/>
        </w:rPr>
        <w:t xml:space="preserve">For women with a high familial risk for breast cancer, the calculated lifetime risk of 57% is slightly higher than lifetime risk according to the NBCC risk classification system (25%–50%). This </w:t>
      </w:r>
      <w:r w:rsidRPr="007C6E89">
        <w:rPr>
          <w:rFonts w:eastAsiaTheme="minorHAnsi" w:cstheme="minorBidi"/>
        </w:rPr>
        <w:lastRenderedPageBreak/>
        <w:t>overestimation is likely to favour the MRI + mammography arm of the model because it overestimates the number of women likely to benefit from the improved sensitivity of MRI.</w:t>
      </w:r>
    </w:p>
    <w:p w14:paraId="32A26024" w14:textId="3A3F6082" w:rsidR="00E47AB8" w:rsidRPr="008B2F8A" w:rsidRDefault="00E47AB8" w:rsidP="00422306">
      <w:pPr>
        <w:pStyle w:val="Heading5"/>
        <w:numPr>
          <w:ilvl w:val="0"/>
          <w:numId w:val="0"/>
        </w:numPr>
        <w:ind w:left="1008" w:hanging="1008"/>
        <w:rPr>
          <w:rFonts w:eastAsiaTheme="minorHAnsi"/>
        </w:rPr>
      </w:pPr>
      <w:r w:rsidRPr="008B2F8A">
        <w:rPr>
          <w:rFonts w:eastAsiaTheme="minorHAnsi"/>
        </w:rPr>
        <w:t>Women with a prior history of DCIS</w:t>
      </w:r>
      <w:r>
        <w:rPr>
          <w:rFonts w:eastAsiaTheme="minorHAnsi"/>
        </w:rPr>
        <w:t xml:space="preserve">, </w:t>
      </w:r>
      <w:r w:rsidRPr="008B2F8A">
        <w:rPr>
          <w:rFonts w:eastAsiaTheme="minorHAnsi"/>
        </w:rPr>
        <w:t>LCIS or invasive breast cancer</w:t>
      </w:r>
    </w:p>
    <w:p w14:paraId="1A4F0AFD" w14:textId="1D6B3EB2" w:rsidR="00E47AB8" w:rsidRPr="007C6E89" w:rsidRDefault="00E47AB8" w:rsidP="00422306">
      <w:pPr>
        <w:spacing w:after="200"/>
        <w:rPr>
          <w:rFonts w:eastAsiaTheme="minorHAnsi" w:cstheme="minorBidi"/>
        </w:rPr>
      </w:pPr>
      <w:r w:rsidRPr="007C6E89">
        <w:rPr>
          <w:rFonts w:eastAsiaTheme="minorHAnsi" w:cstheme="minorBidi"/>
        </w:rPr>
        <w:t xml:space="preserve">Breast cancer incidence in this population includes new cancers in either breast or recurrent secondary breast cancers. There are relatively few published reports on the rates of breast cancer in women with prior breast cancer, as this information is not routinely collected by most registries. As discussed in Section </w:t>
      </w:r>
      <w:r w:rsidRPr="007C6E89">
        <w:rPr>
          <w:rFonts w:eastAsiaTheme="minorHAnsi" w:cstheme="minorBidi"/>
        </w:rPr>
        <w:fldChar w:fldCharType="begin"/>
      </w:r>
      <w:r w:rsidRPr="007C6E89">
        <w:rPr>
          <w:rFonts w:eastAsiaTheme="minorHAnsi" w:cstheme="minorBidi"/>
        </w:rPr>
        <w:instrText xml:space="preserve"> REF _Ref377651270 \r \h </w:instrText>
      </w:r>
      <w:r w:rsidRPr="007C6E89">
        <w:rPr>
          <w:rFonts w:eastAsiaTheme="minorHAnsi" w:cstheme="minorBidi"/>
        </w:rPr>
      </w:r>
      <w:r w:rsidRPr="007C6E89">
        <w:rPr>
          <w:rFonts w:eastAsiaTheme="minorHAnsi" w:cstheme="minorBidi"/>
        </w:rPr>
        <w:fldChar w:fldCharType="separate"/>
      </w:r>
      <w:r w:rsidR="00B81273">
        <w:rPr>
          <w:rFonts w:eastAsiaTheme="minorHAnsi" w:cstheme="minorBidi"/>
        </w:rPr>
        <w:t>A.1.2</w:t>
      </w:r>
      <w:r w:rsidRPr="007C6E89">
        <w:rPr>
          <w:rFonts w:eastAsiaTheme="minorHAnsi" w:cstheme="minorBidi"/>
        </w:rPr>
        <w:fldChar w:fldCharType="end"/>
      </w:r>
      <w:r w:rsidRPr="007C6E89">
        <w:rPr>
          <w:rFonts w:eastAsiaTheme="minorHAnsi" w:cstheme="minorBidi"/>
        </w:rPr>
        <w:t>, published estimates vary widely depending on the population’s disease characteristics, treatment, follow-up period and type of cancer being measured (eg, recurrent, ipsilateral or metastatic).</w:t>
      </w:r>
    </w:p>
    <w:p w14:paraId="65655171" w14:textId="4F554170" w:rsidR="00E47AB8" w:rsidRPr="007C6E89" w:rsidRDefault="00E47AB8" w:rsidP="00422306">
      <w:pPr>
        <w:spacing w:after="200"/>
        <w:rPr>
          <w:rFonts w:eastAsiaTheme="minorHAnsi" w:cstheme="minorBidi"/>
        </w:rPr>
      </w:pPr>
      <w:r w:rsidRPr="007C6E89">
        <w:rPr>
          <w:rFonts w:eastAsiaTheme="minorHAnsi" w:cstheme="minorBidi"/>
        </w:rPr>
        <w:t xml:space="preserve">In the NICE (2013) model, the baseline values for the risks of developing breast cancer in women with prior breast cancer were determined by converting the 5-year risk reported by </w:t>
      </w:r>
      <w:bookmarkStart w:id="1088" w:name="OLE_LINK874"/>
      <w:bookmarkStart w:id="1089" w:name="OLE_LINK875"/>
      <w:r w:rsidRPr="007C6E89">
        <w:rPr>
          <w:rFonts w:eastAsiaTheme="minorHAnsi" w:cstheme="minorBidi"/>
        </w:rPr>
        <w:t xml:space="preserve">Malone et al </w:t>
      </w:r>
      <w:r w:rsidRPr="007C6E89">
        <w:rPr>
          <w:rFonts w:eastAsiaTheme="minorHAnsi" w:cstheme="minorBidi"/>
          <w:noProof/>
        </w:rPr>
        <w:t>(2010</w:t>
      </w:r>
      <w:bookmarkEnd w:id="1088"/>
      <w:bookmarkEnd w:id="1089"/>
      <w:r w:rsidRPr="007C6E89">
        <w:rPr>
          <w:rFonts w:eastAsiaTheme="minorHAnsi" w:cstheme="minorBidi"/>
          <w:noProof/>
        </w:rPr>
        <w:t>)</w:t>
      </w:r>
      <w:r w:rsidRPr="007C6E89">
        <w:rPr>
          <w:rFonts w:eastAsiaTheme="minorHAnsi" w:cstheme="minorBidi"/>
        </w:rPr>
        <w:t xml:space="preserve"> to annual probabilities. This study consisted of women initially diagnosed with a primary invasive cancer, and risks were reported separately for </w:t>
      </w:r>
      <w:r w:rsidRPr="00A6193E">
        <w:rPr>
          <w:rFonts w:eastAsiaTheme="minorHAnsi" w:cstheme="minorBidi"/>
          <w:i/>
        </w:rPr>
        <w:t>BRCA1</w:t>
      </w:r>
      <w:r w:rsidRPr="007C6E89">
        <w:rPr>
          <w:rFonts w:eastAsiaTheme="minorHAnsi" w:cstheme="minorBidi"/>
        </w:rPr>
        <w:t xml:space="preserve"> carriers, </w:t>
      </w:r>
      <w:r w:rsidRPr="00A6193E">
        <w:rPr>
          <w:rFonts w:eastAsiaTheme="minorHAnsi" w:cstheme="minorBidi"/>
          <w:i/>
        </w:rPr>
        <w:t>BRCA2</w:t>
      </w:r>
      <w:r w:rsidRPr="007C6E89">
        <w:rPr>
          <w:rFonts w:eastAsiaTheme="minorHAnsi" w:cstheme="minorBidi"/>
        </w:rPr>
        <w:t xml:space="preserve"> carriers and non-carriers. This study reported the risk of only contralateral breast cancer. These data therefore underestimate the true risk of breast cancer in this group of women, which should include recurrent primary cancers and new breast cancers in both breasts. Thus, this assessment report takes a different approach from that used in the NICE (2013) model.</w:t>
      </w:r>
    </w:p>
    <w:p w14:paraId="7AF24B77" w14:textId="0A1AE118" w:rsidR="00E47AB8" w:rsidRPr="007C6E89" w:rsidRDefault="00E47AB8" w:rsidP="00422306">
      <w:pPr>
        <w:spacing w:after="200"/>
        <w:rPr>
          <w:rFonts w:eastAsiaTheme="minorHAnsi" w:cstheme="minorBidi"/>
        </w:rPr>
      </w:pPr>
      <w:r w:rsidRPr="007C6E89">
        <w:rPr>
          <w:rFonts w:eastAsiaTheme="minorHAnsi" w:cstheme="minorBidi"/>
        </w:rPr>
        <w:t xml:space="preserve">For women with a prior diagnosis of breast cancer, the model presented here relies primarily on data from an </w:t>
      </w:r>
      <w:r w:rsidRPr="008B2F8A">
        <w:rPr>
          <w:lang w:eastAsia="en-AU"/>
        </w:rPr>
        <w:t>Australian Institute of Health and Welfare (</w:t>
      </w:r>
      <w:r w:rsidRPr="007C6E89">
        <w:rPr>
          <w:rFonts w:eastAsiaTheme="minorHAnsi" w:cstheme="minorBidi"/>
        </w:rPr>
        <w:t xml:space="preserve">AIHW) report on the risk of invasive breast cancer in women diagnosed with DCIS in Australia between 1995 and 2005 </w:t>
      </w:r>
      <w:r w:rsidRPr="007C6E89">
        <w:rPr>
          <w:rFonts w:eastAsiaTheme="minorHAnsi" w:cstheme="minorBidi"/>
          <w:noProof/>
        </w:rPr>
        <w:t>(</w:t>
      </w:r>
      <w:bookmarkStart w:id="1090" w:name="OLE_LINK876"/>
      <w:bookmarkStart w:id="1091" w:name="OLE_LINK877"/>
      <w:r w:rsidRPr="007C6E89">
        <w:rPr>
          <w:rFonts w:eastAsiaTheme="minorHAnsi" w:cstheme="minorBidi"/>
          <w:noProof/>
        </w:rPr>
        <w:t>AIHW &amp; NBOCC, 2010</w:t>
      </w:r>
      <w:bookmarkEnd w:id="1090"/>
      <w:bookmarkEnd w:id="1091"/>
      <w:r w:rsidRPr="007C6E89">
        <w:rPr>
          <w:rFonts w:eastAsiaTheme="minorHAnsi" w:cstheme="minorBidi"/>
          <w:noProof/>
        </w:rPr>
        <w:t>)</w:t>
      </w:r>
      <w:r w:rsidRPr="007C6E89">
        <w:rPr>
          <w:rFonts w:eastAsiaTheme="minorHAnsi" w:cstheme="minorBidi"/>
        </w:rPr>
        <w:t>. The report was considered highly applicable to this evaluation because the data are Australian, ipsilateral and contralateral breast cancers are included, and the risk of breast cancer is provided for different age groups by year from diagnosis. In the absence of similarly comprehensive data in women with prior invasive breast cancer, the model applies the same risks of cancer for women with prior DCIS or LCIS and prior invasive breast cancer based on the AIHW dataset. Sensitivity analysis examines different rates of breast cancer for patients with a prior diagnosis of breast cancer to reflect the fact that different cancers will have different treatments, which may affect the risk of future cancer.</w:t>
      </w:r>
    </w:p>
    <w:p w14:paraId="3C461841" w14:textId="3C5CBA0F" w:rsidR="00E47AB8" w:rsidRPr="007C6E89" w:rsidRDefault="00E47AB8" w:rsidP="00422306">
      <w:pPr>
        <w:spacing w:after="200"/>
        <w:rPr>
          <w:rFonts w:eastAsiaTheme="minorHAnsi" w:cstheme="minorBidi"/>
        </w:rPr>
      </w:pPr>
      <w:r w:rsidRPr="007C6E89">
        <w:rPr>
          <w:rFonts w:eastAsiaTheme="minorHAnsi" w:cstheme="minorBidi"/>
        </w:rPr>
        <w:t xml:space="preserve">The AIHW report estimates that in Australian women with a DCIS diagnosis made between 1995 and 2005, the probability of being diagnosed with a subsequent invasive breast cancer in all ages is 5.3% within 5 years and 10.9% within 10 years. Since the average age of screening in these women is 44 years, the age group of greatest relevance to this assessment report is women aged 40–49 years, in whom the risk of subsequent breast cancer is 5.7% within 5 years and 10.6% within 10 years </w:t>
      </w:r>
      <w:r w:rsidRPr="007C6E89">
        <w:rPr>
          <w:rFonts w:eastAsiaTheme="minorHAnsi" w:cstheme="minorBidi"/>
          <w:noProof/>
        </w:rPr>
        <w:t>(AIHW &amp; NBOCC, 2010)</w:t>
      </w:r>
      <w:r w:rsidRPr="007C6E89">
        <w:rPr>
          <w:rFonts w:eastAsiaTheme="minorHAnsi" w:cstheme="minorBidi"/>
        </w:rPr>
        <w:t>. For the base-case economic evaluation, the probability of breast cancer in the first 10 years of screening was based on the 5- and 10-year risks of breast cancer in that group. These risks were converted into annual probabilities. Beyond 10 years, women were given an ongoing low background risk for new breast cancer assumed to be half the annual risk observed in years 9 and 10 following original diagnosis. Women who have the highest probability of invasive breast cancer are aged &lt;40 years at the time of DCIS diagnosis: 8.4% within 5 years and 15.5% within 10 years. The cost-effectiveness of commencing screening in the younger age group (patients originally diagnosed at &lt;40 years) is included as a sensitivity analysis.</w:t>
      </w:r>
    </w:p>
    <w:p w14:paraId="681D518C" w14:textId="1A36905D" w:rsidR="00E47AB8" w:rsidRPr="007C6E89" w:rsidRDefault="00E47AB8" w:rsidP="00422306">
      <w:pPr>
        <w:rPr>
          <w:rFonts w:eastAsiaTheme="minorHAnsi" w:cstheme="minorBidi"/>
        </w:rPr>
      </w:pPr>
      <w:r w:rsidRPr="008B2F8A">
        <w:t>For populations with prior DCIS</w:t>
      </w:r>
      <w:r>
        <w:t xml:space="preserve">, </w:t>
      </w:r>
      <w:r w:rsidRPr="008B2F8A">
        <w:t xml:space="preserve">LCIS </w:t>
      </w:r>
      <w:r>
        <w:t>or</w:t>
      </w:r>
      <w:r w:rsidRPr="008B2F8A">
        <w:t xml:space="preserve"> invasive breast cancer, several factors may contribute to uncertainty </w:t>
      </w:r>
      <w:r>
        <w:t>in</w:t>
      </w:r>
      <w:r w:rsidRPr="008B2F8A">
        <w:t xml:space="preserve"> the estimates of risk. Firstly, the same risks are used for women with prior invasive and </w:t>
      </w:r>
      <w:r w:rsidRPr="008B2F8A">
        <w:lastRenderedPageBreak/>
        <w:t>noninvasive breast cancer</w:t>
      </w:r>
      <w:r>
        <w:t>s</w:t>
      </w:r>
      <w:r w:rsidRPr="008B2F8A">
        <w:t xml:space="preserve">, as suitable data for the </w:t>
      </w:r>
      <w:r>
        <w:t>former</w:t>
      </w:r>
      <w:r w:rsidRPr="008B2F8A">
        <w:t xml:space="preserve"> population were not available. For both populations, information on the risk of breast cancer beyond 10 years was not available, and the overall lifetime risk was based on assumptions. In addition, as treatment for primary breast cancer improves over time, the probability of recurrence will decrease commensurately. Finally, there may be some overestimation of risk</w:t>
      </w:r>
      <w:r>
        <w:t>,</w:t>
      </w:r>
      <w:r w:rsidRPr="008B2F8A">
        <w:t xml:space="preserve"> because estimates of recurrence are based on a population that includes women with breast cancer mutation</w:t>
      </w:r>
      <w:r>
        <w:t>s</w:t>
      </w:r>
      <w:r w:rsidRPr="008B2F8A">
        <w:t xml:space="preserve">. Women at high risk </w:t>
      </w:r>
      <w:r>
        <w:t>for</w:t>
      </w:r>
      <w:r w:rsidRPr="008B2F8A">
        <w:t xml:space="preserve"> breast cancer due to family history o</w:t>
      </w:r>
      <w:r>
        <w:t>r</w:t>
      </w:r>
      <w:r w:rsidRPr="008B2F8A">
        <w:t xml:space="preserve"> genetic predisposition are estimated to make up 5% to 10% of </w:t>
      </w:r>
      <w:r>
        <w:t xml:space="preserve">women with </w:t>
      </w:r>
      <w:r w:rsidRPr="008B2F8A">
        <w:t>breast cancers</w:t>
      </w:r>
      <w:r>
        <w:t>,</w:t>
      </w:r>
      <w:r w:rsidRPr="008B2F8A">
        <w:t xml:space="preserve"> </w:t>
      </w:r>
      <w:r>
        <w:t>and</w:t>
      </w:r>
      <w:r w:rsidRPr="008B2F8A">
        <w:t xml:space="preserve"> this proportion is likely to be higher among younger cohorts </w:t>
      </w:r>
      <w:r w:rsidRPr="008B2F8A">
        <w:rPr>
          <w:noProof/>
        </w:rPr>
        <w:t>(</w:t>
      </w:r>
      <w:bookmarkStart w:id="1092" w:name="OLE_LINK878"/>
      <w:bookmarkStart w:id="1093" w:name="OLE_LINK879"/>
      <w:r w:rsidRPr="008B2F8A">
        <w:rPr>
          <w:noProof/>
        </w:rPr>
        <w:t>NBOCC, 2009</w:t>
      </w:r>
      <w:bookmarkEnd w:id="1092"/>
      <w:bookmarkEnd w:id="1093"/>
      <w:r w:rsidRPr="008B2F8A">
        <w:rPr>
          <w:noProof/>
        </w:rPr>
        <w:t>)</w:t>
      </w:r>
      <w:r w:rsidRPr="008B2F8A">
        <w:t xml:space="preserve">. In this assessment report, the analysis of patients with prior breast cancer should theoretically exclude patients with a gene mutation, as these patients are already eligible for MRI screening under interim MBS item 63454. </w:t>
      </w:r>
      <w:r w:rsidRPr="007C6E89">
        <w:rPr>
          <w:rFonts w:eastAsiaTheme="minorHAnsi" w:cstheme="minorBidi"/>
        </w:rPr>
        <w:t>The lifetime risk of recurrent breast cancer in the model is approximately 20% in this population and is the lowest of all the populations examined here (</w:t>
      </w:r>
      <w:r>
        <w:rPr>
          <w:rFonts w:asciiTheme="minorHAnsi" w:eastAsiaTheme="minorHAnsi" w:hAnsiTheme="minorHAnsi" w:cstheme="minorBidi"/>
        </w:rPr>
        <w:fldChar w:fldCharType="begin"/>
      </w:r>
      <w:r>
        <w:rPr>
          <w:rFonts w:asciiTheme="minorHAnsi" w:eastAsiaTheme="minorHAnsi" w:hAnsiTheme="minorHAnsi" w:cstheme="minorBidi"/>
        </w:rPr>
        <w:instrText xml:space="preserve"> REF _Ref256249444 \h </w:instrText>
      </w:r>
      <w:r>
        <w:rPr>
          <w:rFonts w:asciiTheme="minorHAnsi" w:eastAsiaTheme="minorHAnsi" w:hAnsiTheme="minorHAnsi" w:cstheme="minorBidi"/>
        </w:rPr>
      </w:r>
      <w:r>
        <w:rPr>
          <w:rFonts w:asciiTheme="minorHAnsi" w:eastAsiaTheme="minorHAnsi" w:hAnsiTheme="minorHAnsi" w:cstheme="minorBidi"/>
        </w:rPr>
        <w:fldChar w:fldCharType="separate"/>
      </w:r>
      <w:r w:rsidR="00B81273" w:rsidRPr="008B2F8A">
        <w:t xml:space="preserve">Figure </w:t>
      </w:r>
      <w:r w:rsidR="00B81273">
        <w:rPr>
          <w:noProof/>
        </w:rPr>
        <w:t>D</w:t>
      </w:r>
      <w:r w:rsidR="00B81273" w:rsidRPr="008B2F8A">
        <w:t>.</w:t>
      </w:r>
      <w:r w:rsidR="00B81273">
        <w:rPr>
          <w:noProof/>
        </w:rPr>
        <w:t>2</w:t>
      </w:r>
      <w:r>
        <w:rPr>
          <w:rFonts w:asciiTheme="minorHAnsi" w:eastAsiaTheme="minorHAnsi" w:hAnsiTheme="minorHAnsi" w:cstheme="minorBidi"/>
        </w:rPr>
        <w:fldChar w:fldCharType="end"/>
      </w:r>
      <w:r w:rsidRPr="007C6E89">
        <w:rPr>
          <w:rFonts w:eastAsiaTheme="minorHAnsi" w:cstheme="minorBidi"/>
        </w:rPr>
        <w:t>).</w:t>
      </w:r>
    </w:p>
    <w:p w14:paraId="47CE6331" w14:textId="77777777" w:rsidR="00E47AB8" w:rsidRPr="008B2F8A" w:rsidRDefault="00E47AB8" w:rsidP="00422306">
      <w:pPr>
        <w:pStyle w:val="Heading5"/>
        <w:numPr>
          <w:ilvl w:val="0"/>
          <w:numId w:val="0"/>
        </w:numPr>
        <w:ind w:left="1008" w:hanging="1008"/>
        <w:rPr>
          <w:rFonts w:eastAsiaTheme="minorHAnsi"/>
        </w:rPr>
      </w:pPr>
      <w:r w:rsidRPr="008B2F8A">
        <w:rPr>
          <w:rFonts w:eastAsiaTheme="minorHAnsi"/>
        </w:rPr>
        <w:t>Women with prior chest radiotherapy</w:t>
      </w:r>
    </w:p>
    <w:p w14:paraId="53C027E4" w14:textId="09CE7646" w:rsidR="00E47AB8" w:rsidRPr="007C6E89" w:rsidRDefault="00E47AB8" w:rsidP="00422306">
      <w:pPr>
        <w:spacing w:after="200"/>
        <w:rPr>
          <w:rFonts w:eastAsiaTheme="minorHAnsi" w:cstheme="minorBidi"/>
        </w:rPr>
      </w:pPr>
      <w:r w:rsidRPr="007C6E89">
        <w:rPr>
          <w:rFonts w:eastAsiaTheme="minorHAnsi" w:cstheme="minorBidi"/>
        </w:rPr>
        <w:t xml:space="preserve">Women that have had prior chest radiotherapy were not included in </w:t>
      </w:r>
      <w:bookmarkStart w:id="1094" w:name="OLE_LINK196"/>
      <w:bookmarkStart w:id="1095" w:name="OLE_LINK197"/>
      <w:r w:rsidRPr="007C6E89">
        <w:rPr>
          <w:rFonts w:eastAsiaTheme="minorHAnsi" w:cstheme="minorBidi"/>
        </w:rPr>
        <w:t xml:space="preserve">CG641 </w:t>
      </w:r>
      <w:bookmarkEnd w:id="1094"/>
      <w:bookmarkEnd w:id="1095"/>
      <w:r w:rsidRPr="007C6E89">
        <w:rPr>
          <w:rFonts w:eastAsiaTheme="minorHAnsi" w:cstheme="minorBidi"/>
          <w:noProof/>
        </w:rPr>
        <w:t>(NICE, 2013)</w:t>
      </w:r>
      <w:r w:rsidRPr="007C6E89">
        <w:rPr>
          <w:rFonts w:eastAsiaTheme="minorHAnsi" w:cstheme="minorBidi"/>
        </w:rPr>
        <w:t xml:space="preserve">, and risk estimates for this population were therefore derived from a systematic review of surveillance in women treated with chest irradiation </w:t>
      </w:r>
      <w:r w:rsidRPr="007C6E89">
        <w:rPr>
          <w:rFonts w:eastAsiaTheme="minorHAnsi" w:cstheme="minorBidi"/>
          <w:noProof/>
        </w:rPr>
        <w:t>(Henderson et al, 2010)</w:t>
      </w:r>
      <w:r w:rsidRPr="007C6E89">
        <w:rPr>
          <w:rFonts w:eastAsiaTheme="minorHAnsi" w:cstheme="minorBidi"/>
        </w:rPr>
        <w:t>. The review reported that the cumulative incidence of breast cancer by age 40 to 45 years ranged from 13% to 20% and by 25 to 30 years of follow-up ranged from 12% to 26%. However, in a number of the included studies, only some patients underwent chest radiotherapy. Including just those studies in which ≥95% of patients were exposed to chest irradiation, the pooled annual incidence of breast cancer is 0.54% (</w:t>
      </w:r>
      <w:r w:rsidRPr="007C6E89">
        <w:rPr>
          <w:rFonts w:eastAsiaTheme="minorHAnsi" w:cstheme="minorBidi"/>
          <w:noProof/>
        </w:rPr>
        <w:t>Hancock et al, 1993</w:t>
      </w:r>
      <w:r w:rsidRPr="007C6E89">
        <w:rPr>
          <w:rFonts w:eastAsiaTheme="minorHAnsi" w:cstheme="minorBidi"/>
        </w:rPr>
        <w:t xml:space="preserve">; </w:t>
      </w:r>
      <w:r w:rsidRPr="007C6E89">
        <w:rPr>
          <w:rFonts w:eastAsiaTheme="minorHAnsi" w:cstheme="minorBidi"/>
          <w:noProof/>
        </w:rPr>
        <w:t>Wolden et al, 1998</w:t>
      </w:r>
      <w:r w:rsidRPr="007C6E89">
        <w:rPr>
          <w:rFonts w:eastAsiaTheme="minorHAnsi" w:cstheme="minorBidi"/>
        </w:rPr>
        <w:t xml:space="preserve">; </w:t>
      </w:r>
      <w:r w:rsidRPr="007C6E89">
        <w:rPr>
          <w:rFonts w:eastAsiaTheme="minorHAnsi" w:cstheme="minorBidi"/>
          <w:noProof/>
        </w:rPr>
        <w:t>Alm El-Din et al, 2009</w:t>
      </w:r>
      <w:r w:rsidRPr="007C6E89">
        <w:rPr>
          <w:rFonts w:eastAsiaTheme="minorHAnsi" w:cstheme="minorBidi"/>
        </w:rPr>
        <w:t xml:space="preserve">; </w:t>
      </w:r>
      <w:r w:rsidRPr="007C6E89">
        <w:rPr>
          <w:rFonts w:eastAsiaTheme="minorHAnsi" w:cstheme="minorBidi"/>
          <w:noProof/>
        </w:rPr>
        <w:t>Ng et al, 2002</w:t>
      </w:r>
      <w:r w:rsidRPr="007C6E89">
        <w:rPr>
          <w:rFonts w:eastAsiaTheme="minorHAnsi" w:cstheme="minorBidi"/>
        </w:rPr>
        <w:t>). This is equivalent to a lifetime risk of 25.85%. Since the relationship between age and the incidence of breast cancer is unclear, the model assumes that the annual risk of breast cancer in this population remains constant over time.</w:t>
      </w:r>
    </w:p>
    <w:p w14:paraId="26DF04C7" w14:textId="77777777" w:rsidR="00E47AB8" w:rsidRPr="008B2F8A" w:rsidRDefault="00E47AB8" w:rsidP="00A6193E">
      <w:pPr>
        <w:pStyle w:val="Heading4"/>
      </w:pPr>
      <w:r w:rsidRPr="008B2F8A">
        <w:t>Breast cancer prognosis and survival</w:t>
      </w:r>
    </w:p>
    <w:p w14:paraId="54C70EE6" w14:textId="4E0F72DF" w:rsidR="00E47AB8" w:rsidRPr="007C6E89" w:rsidRDefault="00E47AB8" w:rsidP="00422306">
      <w:pPr>
        <w:spacing w:after="200"/>
        <w:rPr>
          <w:rFonts w:eastAsiaTheme="minorHAnsi" w:cstheme="minorBidi"/>
        </w:rPr>
      </w:pPr>
      <w:r w:rsidRPr="007C6E89">
        <w:rPr>
          <w:rFonts w:eastAsiaTheme="minorHAnsi" w:cstheme="minorBidi"/>
        </w:rPr>
        <w:t xml:space="preserve">The duration of survival after breast cancer is used to model how much clinical benefit a patient will gain as a result of being diagnosed and treated. Thus, life expectancy for patients diagnosed with breast cancer was sourced from AIHW (2012b), which reported that among women aged 40 to 49 years, 5-year relative survival from breast cancer is 91.9%. For patients that receive a false-negative diagnosis, it is assumed that the tumour will be identified at the following screening opportunity (ie, the next year). The delay in diagnosis is associated with a reduction in survival as a result of disease progression and tumour growth in the intervening period. Australian data </w:t>
      </w:r>
      <w:r w:rsidRPr="007C6E89">
        <w:rPr>
          <w:rFonts w:eastAsiaTheme="minorHAnsi" w:cstheme="minorBidi"/>
          <w:noProof/>
        </w:rPr>
        <w:t>(AIHW, 2012a)</w:t>
      </w:r>
      <w:r w:rsidRPr="007C6E89">
        <w:rPr>
          <w:rFonts w:eastAsiaTheme="minorHAnsi" w:cstheme="minorBidi"/>
        </w:rPr>
        <w:t xml:space="preserve"> show that survival is considerably better for women diagnosed with smaller tumours (</w:t>
      </w:r>
      <w:r w:rsidRPr="008B2F8A">
        <w:rPr>
          <w:rFonts w:asciiTheme="minorHAnsi" w:eastAsiaTheme="minorHAnsi" w:hAnsiTheme="minorHAnsi" w:cstheme="minorBidi"/>
          <w:highlight w:val="yellow"/>
        </w:rPr>
        <w:fldChar w:fldCharType="begin"/>
      </w:r>
      <w:r w:rsidRPr="008B2F8A">
        <w:rPr>
          <w:rFonts w:asciiTheme="minorHAnsi" w:eastAsiaTheme="minorHAnsi" w:hAnsiTheme="minorHAnsi" w:cstheme="minorBidi"/>
        </w:rPr>
        <w:instrText xml:space="preserve"> REF _Ref377649059 \h </w:instrText>
      </w:r>
      <w:r w:rsidRPr="008B2F8A">
        <w:rPr>
          <w:rFonts w:asciiTheme="minorHAnsi" w:eastAsiaTheme="minorHAnsi" w:hAnsiTheme="minorHAnsi" w:cstheme="minorBidi"/>
          <w:highlight w:val="yellow"/>
        </w:rPr>
      </w:r>
      <w:r w:rsidRPr="008B2F8A">
        <w:rPr>
          <w:rFonts w:asciiTheme="minorHAnsi" w:eastAsiaTheme="minorHAnsi" w:hAnsiTheme="minorHAnsi" w:cstheme="minorBidi"/>
          <w:highlight w:val="yellow"/>
        </w:rPr>
        <w:fldChar w:fldCharType="separate"/>
      </w:r>
      <w:r w:rsidR="00B81273" w:rsidRPr="008B2F8A">
        <w:t xml:space="preserve">Table </w:t>
      </w:r>
      <w:r w:rsidR="00B81273">
        <w:rPr>
          <w:noProof/>
        </w:rPr>
        <w:t>D</w:t>
      </w:r>
      <w:r w:rsidR="00B81273" w:rsidRPr="008B2F8A">
        <w:t>.</w:t>
      </w:r>
      <w:r w:rsidR="00B81273">
        <w:rPr>
          <w:noProof/>
        </w:rPr>
        <w:t>8</w:t>
      </w:r>
      <w:r w:rsidRPr="008B2F8A">
        <w:rPr>
          <w:rFonts w:asciiTheme="minorHAnsi" w:eastAsiaTheme="minorHAnsi" w:hAnsiTheme="minorHAnsi" w:cstheme="minorBidi"/>
          <w:highlight w:val="yellow"/>
        </w:rPr>
        <w:fldChar w:fldCharType="end"/>
      </w:r>
      <w:r w:rsidRPr="007C6E89">
        <w:rPr>
          <w:rFonts w:eastAsiaTheme="minorHAnsi" w:cstheme="minorBidi"/>
        </w:rPr>
        <w:t>).</w:t>
      </w:r>
    </w:p>
    <w:p w14:paraId="739367C4" w14:textId="77777777" w:rsidR="00E47AB8" w:rsidRPr="008B2F8A" w:rsidRDefault="00E47AB8" w:rsidP="00422306">
      <w:pPr>
        <w:pStyle w:val="Caption"/>
      </w:pPr>
      <w:bookmarkStart w:id="1096" w:name="_Ref377649059"/>
      <w:bookmarkStart w:id="1097" w:name="_Toc383424617"/>
      <w:r w:rsidRPr="008B2F8A">
        <w:t xml:space="preserve">Table </w:t>
      </w:r>
      <w:fldSimple w:instr=" STYLEREF 1 \s ">
        <w:r w:rsidR="00B81273">
          <w:rPr>
            <w:noProof/>
          </w:rPr>
          <w:t>D</w:t>
        </w:r>
      </w:fldSimple>
      <w:r w:rsidRPr="008B2F8A">
        <w:t>.</w:t>
      </w:r>
      <w:fldSimple w:instr=" SEQ Table \* ARABIC \s 1 ">
        <w:r w:rsidR="00B81273">
          <w:rPr>
            <w:noProof/>
          </w:rPr>
          <w:t>8</w:t>
        </w:r>
      </w:fldSimple>
      <w:bookmarkEnd w:id="1096"/>
      <w:r w:rsidRPr="008B2F8A">
        <w:tab/>
      </w:r>
      <w:bookmarkStart w:id="1098" w:name="OLE_LINK1087"/>
      <w:bookmarkStart w:id="1099" w:name="OLE_LINK1088"/>
      <w:r w:rsidRPr="007B6507">
        <w:rPr>
          <w:spacing w:val="-6"/>
          <w:szCs w:val="22"/>
        </w:rPr>
        <w:t xml:space="preserve">Relationship between tumour size at diagnosis and 5-year relative survival (AIHW, </w:t>
      </w:r>
      <w:bookmarkStart w:id="1100" w:name="OLE_LINK198"/>
      <w:bookmarkStart w:id="1101" w:name="OLE_LINK199"/>
      <w:r w:rsidRPr="007B6507">
        <w:rPr>
          <w:spacing w:val="-6"/>
          <w:szCs w:val="22"/>
        </w:rPr>
        <w:t>2012a</w:t>
      </w:r>
      <w:bookmarkEnd w:id="1100"/>
      <w:bookmarkEnd w:id="1101"/>
      <w:r w:rsidRPr="007B6507">
        <w:rPr>
          <w:spacing w:val="-6"/>
          <w:szCs w:val="22"/>
        </w:rPr>
        <w:t>)</w:t>
      </w:r>
      <w:bookmarkEnd w:id="1098"/>
      <w:bookmarkEnd w:id="1099"/>
      <w:r w:rsidRPr="007B6507">
        <w:rPr>
          <w:spacing w:val="-6"/>
          <w:szCs w:val="22"/>
        </w:rPr>
        <w:t>.</w:t>
      </w:r>
      <w:bookmarkEnd w:id="1097"/>
    </w:p>
    <w:tbl>
      <w:tblPr>
        <w:tblStyle w:val="TableGrid"/>
        <w:tblW w:w="9070" w:type="dxa"/>
        <w:tblCellMar>
          <w:left w:w="28" w:type="dxa"/>
          <w:right w:w="28" w:type="dxa"/>
        </w:tblCellMar>
        <w:tblLook w:val="04A0" w:firstRow="1" w:lastRow="0" w:firstColumn="1" w:lastColumn="0" w:noHBand="0" w:noVBand="1"/>
        <w:tblCaption w:val="Relationship between tumour size at diagnosis and 5-year relative survival (AIHW, 2012a)"/>
      </w:tblPr>
      <w:tblGrid>
        <w:gridCol w:w="3043"/>
        <w:gridCol w:w="3032"/>
        <w:gridCol w:w="2995"/>
      </w:tblGrid>
      <w:tr w:rsidR="00E47AB8" w:rsidRPr="008B2F8A" w14:paraId="70D2D9C2" w14:textId="77777777" w:rsidTr="00422306">
        <w:trPr>
          <w:tblHeader/>
        </w:trPr>
        <w:tc>
          <w:tcPr>
            <w:tcW w:w="3061" w:type="dxa"/>
            <w:shd w:val="clear" w:color="auto" w:fill="EEECE1" w:themeFill="background2"/>
          </w:tcPr>
          <w:p w14:paraId="7900BEB7" w14:textId="77777777" w:rsidR="00E47AB8" w:rsidRPr="008B2F8A" w:rsidRDefault="00E47AB8" w:rsidP="00422306">
            <w:pPr>
              <w:spacing w:before="40" w:after="80"/>
              <w:rPr>
                <w:rFonts w:ascii="Arial Narrow" w:eastAsia="Times New Roman" w:hAnsi="Arial Narrow" w:cs="Arial"/>
                <w:b/>
              </w:rPr>
            </w:pPr>
            <w:r w:rsidRPr="008B2F8A">
              <w:rPr>
                <w:rFonts w:ascii="Arial Narrow" w:eastAsia="Times New Roman" w:hAnsi="Arial Narrow" w:cs="Arial"/>
                <w:b/>
              </w:rPr>
              <w:t>Size of cancer</w:t>
            </w:r>
          </w:p>
        </w:tc>
        <w:tc>
          <w:tcPr>
            <w:tcW w:w="3050" w:type="dxa"/>
            <w:shd w:val="clear" w:color="auto" w:fill="EEECE1" w:themeFill="background2"/>
          </w:tcPr>
          <w:p w14:paraId="2CA15DB4" w14:textId="77777777" w:rsidR="00E47AB8" w:rsidRPr="008B2F8A" w:rsidRDefault="00E47AB8" w:rsidP="00422306">
            <w:pPr>
              <w:spacing w:before="40" w:after="80"/>
              <w:jc w:val="center"/>
              <w:rPr>
                <w:rFonts w:ascii="Arial Narrow" w:eastAsia="Times New Roman" w:hAnsi="Arial Narrow" w:cs="Arial"/>
                <w:b/>
              </w:rPr>
            </w:pPr>
            <w:r w:rsidRPr="008B2F8A">
              <w:rPr>
                <w:rFonts w:ascii="Arial Narrow" w:eastAsia="Times New Roman" w:hAnsi="Arial Narrow" w:cs="Arial"/>
                <w:b/>
              </w:rPr>
              <w:t>5-year relative survival</w:t>
            </w:r>
          </w:p>
        </w:tc>
        <w:tc>
          <w:tcPr>
            <w:tcW w:w="3015" w:type="dxa"/>
            <w:shd w:val="clear" w:color="auto" w:fill="EEECE1" w:themeFill="background2"/>
          </w:tcPr>
          <w:p w14:paraId="45949988" w14:textId="77777777" w:rsidR="00E47AB8" w:rsidRPr="008B2F8A" w:rsidRDefault="00E47AB8" w:rsidP="00422306">
            <w:pPr>
              <w:spacing w:before="40" w:after="80"/>
              <w:jc w:val="center"/>
              <w:rPr>
                <w:rFonts w:ascii="Arial Narrow" w:eastAsia="Times New Roman" w:hAnsi="Arial Narrow" w:cs="Arial"/>
                <w:b/>
              </w:rPr>
            </w:pPr>
            <w:r w:rsidRPr="008B2F8A">
              <w:rPr>
                <w:rFonts w:ascii="Arial Narrow" w:eastAsia="Times New Roman" w:hAnsi="Arial Narrow" w:cs="Arial"/>
                <w:b/>
              </w:rPr>
              <w:t xml:space="preserve">95% CI </w:t>
            </w:r>
          </w:p>
        </w:tc>
      </w:tr>
      <w:tr w:rsidR="00E47AB8" w:rsidRPr="008B2F8A" w14:paraId="55AAECE2" w14:textId="77777777" w:rsidTr="00422306">
        <w:tc>
          <w:tcPr>
            <w:tcW w:w="3061" w:type="dxa"/>
          </w:tcPr>
          <w:p w14:paraId="63F8E222" w14:textId="77777777" w:rsidR="00E47AB8" w:rsidRPr="008B2F8A" w:rsidRDefault="00E47AB8" w:rsidP="00422306">
            <w:pPr>
              <w:spacing w:before="40" w:after="80"/>
              <w:rPr>
                <w:rFonts w:ascii="Arial Narrow" w:eastAsia="Times New Roman" w:hAnsi="Arial Narrow" w:cs="Arial"/>
              </w:rPr>
            </w:pPr>
            <w:r w:rsidRPr="008B2F8A">
              <w:rPr>
                <w:rFonts w:ascii="Arial Narrow" w:eastAsia="Times New Roman" w:hAnsi="Arial Narrow" w:cs="Arial"/>
              </w:rPr>
              <w:t>1–10 mm</w:t>
            </w:r>
          </w:p>
        </w:tc>
        <w:tc>
          <w:tcPr>
            <w:tcW w:w="3050" w:type="dxa"/>
          </w:tcPr>
          <w:p w14:paraId="5E081987"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 xml:space="preserve">98.2 </w:t>
            </w:r>
          </w:p>
        </w:tc>
        <w:tc>
          <w:tcPr>
            <w:tcW w:w="3015" w:type="dxa"/>
          </w:tcPr>
          <w:p w14:paraId="77C82E73"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96.9–99.4</w:t>
            </w:r>
          </w:p>
        </w:tc>
      </w:tr>
      <w:tr w:rsidR="00E47AB8" w:rsidRPr="008B2F8A" w14:paraId="5DB2F4CD" w14:textId="77777777" w:rsidTr="00422306">
        <w:tc>
          <w:tcPr>
            <w:tcW w:w="3061" w:type="dxa"/>
          </w:tcPr>
          <w:p w14:paraId="194E84BA" w14:textId="77777777" w:rsidR="00E47AB8" w:rsidRPr="008B2F8A" w:rsidRDefault="00E47AB8" w:rsidP="00422306">
            <w:pPr>
              <w:spacing w:before="40" w:after="80"/>
              <w:rPr>
                <w:rFonts w:ascii="Arial Narrow" w:eastAsia="Times New Roman" w:hAnsi="Arial Narrow" w:cs="Arial"/>
              </w:rPr>
            </w:pPr>
            <w:r w:rsidRPr="008B2F8A">
              <w:rPr>
                <w:rFonts w:ascii="Arial Narrow" w:eastAsia="Times New Roman" w:hAnsi="Arial Narrow" w:cs="Arial"/>
              </w:rPr>
              <w:t>11–15 mm</w:t>
            </w:r>
          </w:p>
        </w:tc>
        <w:tc>
          <w:tcPr>
            <w:tcW w:w="3050" w:type="dxa"/>
          </w:tcPr>
          <w:p w14:paraId="74469940"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94.7</w:t>
            </w:r>
          </w:p>
        </w:tc>
        <w:tc>
          <w:tcPr>
            <w:tcW w:w="3015" w:type="dxa"/>
          </w:tcPr>
          <w:p w14:paraId="5372299B"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93.2–96.1</w:t>
            </w:r>
          </w:p>
        </w:tc>
      </w:tr>
      <w:tr w:rsidR="00E47AB8" w:rsidRPr="008B2F8A" w14:paraId="68FF3551" w14:textId="77777777" w:rsidTr="00422306">
        <w:tc>
          <w:tcPr>
            <w:tcW w:w="3061" w:type="dxa"/>
          </w:tcPr>
          <w:p w14:paraId="35663FFA" w14:textId="77777777" w:rsidR="00E47AB8" w:rsidRPr="008B2F8A" w:rsidRDefault="00E47AB8" w:rsidP="00422306">
            <w:pPr>
              <w:spacing w:before="40" w:after="80"/>
              <w:rPr>
                <w:rFonts w:ascii="Arial Narrow" w:eastAsia="Times New Roman" w:hAnsi="Arial Narrow" w:cs="Arial"/>
              </w:rPr>
            </w:pPr>
            <w:r w:rsidRPr="008B2F8A">
              <w:rPr>
                <w:rFonts w:ascii="Arial Narrow" w:eastAsia="Times New Roman" w:hAnsi="Arial Narrow" w:cs="Arial"/>
              </w:rPr>
              <w:t>16–19 mm</w:t>
            </w:r>
          </w:p>
        </w:tc>
        <w:tc>
          <w:tcPr>
            <w:tcW w:w="3050" w:type="dxa"/>
          </w:tcPr>
          <w:p w14:paraId="2EB13C0D"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93.0</w:t>
            </w:r>
          </w:p>
        </w:tc>
        <w:tc>
          <w:tcPr>
            <w:tcW w:w="3015" w:type="dxa"/>
          </w:tcPr>
          <w:p w14:paraId="60599D95"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90.6–95.1</w:t>
            </w:r>
          </w:p>
        </w:tc>
      </w:tr>
      <w:tr w:rsidR="00E47AB8" w:rsidRPr="008B2F8A" w14:paraId="10FB750D" w14:textId="77777777" w:rsidTr="00422306">
        <w:tc>
          <w:tcPr>
            <w:tcW w:w="3061" w:type="dxa"/>
          </w:tcPr>
          <w:p w14:paraId="21AD5C9D" w14:textId="77777777" w:rsidR="00E47AB8" w:rsidRPr="008B2F8A" w:rsidRDefault="00E47AB8" w:rsidP="00422306">
            <w:pPr>
              <w:spacing w:before="40" w:after="80"/>
              <w:rPr>
                <w:rFonts w:ascii="Arial Narrow" w:eastAsia="Times New Roman" w:hAnsi="Arial Narrow" w:cs="Arial"/>
              </w:rPr>
            </w:pPr>
            <w:r w:rsidRPr="008B2F8A">
              <w:rPr>
                <w:rFonts w:ascii="Arial Narrow" w:eastAsia="Times New Roman" w:hAnsi="Arial Narrow" w:cs="Arial"/>
              </w:rPr>
              <w:t>20–29 mm</w:t>
            </w:r>
          </w:p>
        </w:tc>
        <w:tc>
          <w:tcPr>
            <w:tcW w:w="3050" w:type="dxa"/>
          </w:tcPr>
          <w:p w14:paraId="12C6B400"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87.9</w:t>
            </w:r>
          </w:p>
        </w:tc>
        <w:tc>
          <w:tcPr>
            <w:tcW w:w="3015" w:type="dxa"/>
          </w:tcPr>
          <w:p w14:paraId="6BF429FB"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86.0–89.6</w:t>
            </w:r>
          </w:p>
        </w:tc>
      </w:tr>
      <w:tr w:rsidR="00E47AB8" w:rsidRPr="008B2F8A" w14:paraId="5C76270B" w14:textId="77777777" w:rsidTr="00422306">
        <w:tc>
          <w:tcPr>
            <w:tcW w:w="3061" w:type="dxa"/>
          </w:tcPr>
          <w:p w14:paraId="19C638BC" w14:textId="77777777" w:rsidR="00E47AB8" w:rsidRPr="008B2F8A" w:rsidRDefault="00E47AB8" w:rsidP="00422306">
            <w:pPr>
              <w:spacing w:before="40" w:after="80"/>
              <w:rPr>
                <w:rFonts w:ascii="Arial Narrow" w:eastAsia="Times New Roman" w:hAnsi="Arial Narrow" w:cs="Arial"/>
              </w:rPr>
            </w:pPr>
            <w:r w:rsidRPr="008B2F8A">
              <w:rPr>
                <w:rFonts w:ascii="Arial Narrow" w:eastAsia="Times New Roman" w:hAnsi="Arial Narrow" w:cs="Arial"/>
              </w:rPr>
              <w:t>30</w:t>
            </w:r>
            <w:r w:rsidRPr="008B2F8A">
              <w:rPr>
                <w:rFonts w:ascii="Arial Narrow" w:hAnsi="Arial Narrow"/>
              </w:rPr>
              <w:t>​+​</w:t>
            </w:r>
            <w:r w:rsidRPr="008B2F8A">
              <w:rPr>
                <w:rFonts w:ascii="Arial Narrow" w:eastAsia="Times New Roman" w:hAnsi="Arial Narrow" w:cs="Arial"/>
              </w:rPr>
              <w:t xml:space="preserve"> mm</w:t>
            </w:r>
          </w:p>
        </w:tc>
        <w:tc>
          <w:tcPr>
            <w:tcW w:w="3050" w:type="dxa"/>
          </w:tcPr>
          <w:p w14:paraId="647B42EF"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73.1</w:t>
            </w:r>
          </w:p>
        </w:tc>
        <w:tc>
          <w:tcPr>
            <w:tcW w:w="3015" w:type="dxa"/>
          </w:tcPr>
          <w:p w14:paraId="67C3C554"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70.6–75.5</w:t>
            </w:r>
          </w:p>
        </w:tc>
      </w:tr>
      <w:tr w:rsidR="00E47AB8" w:rsidRPr="008B2F8A" w14:paraId="7E1E3198" w14:textId="77777777" w:rsidTr="00422306">
        <w:tc>
          <w:tcPr>
            <w:tcW w:w="3061" w:type="dxa"/>
          </w:tcPr>
          <w:p w14:paraId="3BC4B0AE" w14:textId="77777777" w:rsidR="00E47AB8" w:rsidRPr="008B2F8A" w:rsidRDefault="00E47AB8" w:rsidP="00422306">
            <w:pPr>
              <w:spacing w:before="40" w:after="80"/>
              <w:rPr>
                <w:rFonts w:ascii="Arial Narrow" w:eastAsia="Times New Roman" w:hAnsi="Arial Narrow" w:cs="Arial"/>
              </w:rPr>
            </w:pPr>
            <w:r w:rsidRPr="008B2F8A">
              <w:rPr>
                <w:rFonts w:ascii="Arial Narrow" w:eastAsia="Times New Roman" w:hAnsi="Arial Narrow" w:cs="Arial"/>
              </w:rPr>
              <w:t>Unknown</w:t>
            </w:r>
          </w:p>
        </w:tc>
        <w:tc>
          <w:tcPr>
            <w:tcW w:w="3050" w:type="dxa"/>
          </w:tcPr>
          <w:p w14:paraId="03BADB55"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49.1</w:t>
            </w:r>
          </w:p>
        </w:tc>
        <w:tc>
          <w:tcPr>
            <w:tcW w:w="3015" w:type="dxa"/>
          </w:tcPr>
          <w:p w14:paraId="327CF05F" w14:textId="77777777" w:rsidR="00E47AB8" w:rsidRPr="008B2F8A" w:rsidRDefault="00E47AB8" w:rsidP="00422306">
            <w:pPr>
              <w:spacing w:before="40" w:after="80"/>
              <w:jc w:val="center"/>
              <w:rPr>
                <w:rFonts w:ascii="Arial Narrow" w:eastAsia="Times New Roman" w:hAnsi="Arial Narrow" w:cs="Arial"/>
              </w:rPr>
            </w:pPr>
            <w:r w:rsidRPr="008B2F8A">
              <w:rPr>
                <w:rFonts w:ascii="Arial Narrow" w:eastAsia="Times New Roman" w:hAnsi="Arial Narrow" w:cs="Arial"/>
              </w:rPr>
              <w:t>45.7–52.5</w:t>
            </w:r>
          </w:p>
        </w:tc>
      </w:tr>
    </w:tbl>
    <w:p w14:paraId="227FA7E7" w14:textId="39BB6C06" w:rsidR="00E47AB8" w:rsidRPr="007C6E89" w:rsidRDefault="00E47AB8" w:rsidP="00422306">
      <w:pPr>
        <w:spacing w:after="200"/>
        <w:rPr>
          <w:rFonts w:eastAsiaTheme="minorHAnsi" w:cstheme="minorBidi"/>
        </w:rPr>
      </w:pPr>
      <w:r w:rsidRPr="007C6E89">
        <w:rPr>
          <w:rFonts w:eastAsiaTheme="minorHAnsi" w:cstheme="minorBidi"/>
        </w:rPr>
        <w:lastRenderedPageBreak/>
        <w:t xml:space="preserve">In Australia, in the 40 to 49 year age group, the majority of tumours are between 0 and 30 mm at diagnosis </w:t>
      </w:r>
      <w:r w:rsidRPr="007C6E89">
        <w:rPr>
          <w:rFonts w:eastAsiaTheme="minorHAnsi" w:cstheme="minorBidi"/>
          <w:noProof/>
        </w:rPr>
        <w:t>(AIHW, 2012a)</w:t>
      </w:r>
      <w:r w:rsidRPr="007C6E89">
        <w:rPr>
          <w:rFonts w:eastAsiaTheme="minorHAnsi" w:cstheme="minorBidi"/>
        </w:rPr>
        <w:t xml:space="preserve">. Similarly, in the MARIBS study of MRI in patients at high risk of breast cancer, of the 29 invasive tumours identified, eleven were &lt;10 mm across in greatest dimension, four were 10–14 mm, five were 15–19 mm, and nine were &gt;20 mm. The average invasive tumour size was 15 mm </w:t>
      </w:r>
      <w:r w:rsidRPr="007C6E89">
        <w:rPr>
          <w:rFonts w:eastAsiaTheme="minorHAnsi" w:cstheme="minorBidi"/>
          <w:noProof/>
        </w:rPr>
        <w:t>(Leach, 2005)</w:t>
      </w:r>
      <w:r w:rsidRPr="007C6E89">
        <w:rPr>
          <w:rFonts w:eastAsiaTheme="minorHAnsi" w:cstheme="minorBidi"/>
        </w:rPr>
        <w:t xml:space="preserve">. In a study of breast cancer tumour growth estimated through mammography screening data, tumour growth varied considerably between patients, with 5% of tumours taking &lt;1.2 months to grow from 10 mm to 20 mm, and another 5% taking &gt;6.3 years </w:t>
      </w:r>
      <w:r w:rsidRPr="007C6E89">
        <w:rPr>
          <w:rFonts w:eastAsiaTheme="minorHAnsi" w:cstheme="minorBidi"/>
          <w:noProof/>
        </w:rPr>
        <w:t>(</w:t>
      </w:r>
      <w:bookmarkStart w:id="1102" w:name="OLE_LINK880"/>
      <w:bookmarkStart w:id="1103" w:name="OLE_LINK881"/>
      <w:r w:rsidRPr="007C6E89">
        <w:rPr>
          <w:rFonts w:eastAsiaTheme="minorHAnsi" w:cstheme="minorBidi"/>
          <w:noProof/>
        </w:rPr>
        <w:t>Weedon-Fekjær et al, 2008</w:t>
      </w:r>
      <w:bookmarkEnd w:id="1102"/>
      <w:bookmarkEnd w:id="1103"/>
      <w:r w:rsidRPr="007C6E89">
        <w:rPr>
          <w:rFonts w:eastAsiaTheme="minorHAnsi" w:cstheme="minorBidi"/>
          <w:noProof/>
        </w:rPr>
        <w:t>)</w:t>
      </w:r>
      <w:r w:rsidRPr="007C6E89">
        <w:rPr>
          <w:rFonts w:eastAsiaTheme="minorHAnsi" w:cstheme="minorBidi"/>
        </w:rPr>
        <w:t xml:space="preserve">. The mean time a tumour needed to grow from 10 mm to 20 mm is estimated as 1.7 years, and the interval increases with age. For women aged 50 to 59 years, a 15-mm tumour in the 50th percentile (in relation to growth rate) was estimated to double in volume in 73 days. On the assumption that a tumour grows from 15 mm to &gt;30 mm in the year after a false-negative test, the 5-year relative survival would decrease to 73.1%. On the basis of an age-specific 5-year relative survival estimate of 91.9% for women aged 40 to 49 years, there is likely to be an average 18.8% reduction in survival </w:t>
      </w:r>
      <w:r w:rsidR="00775ACC">
        <w:rPr>
          <w:rFonts w:eastAsiaTheme="minorHAnsi" w:cstheme="minorBidi"/>
        </w:rPr>
        <w:t xml:space="preserve">over 5 years </w:t>
      </w:r>
      <w:r w:rsidRPr="007C6E89">
        <w:rPr>
          <w:rFonts w:eastAsiaTheme="minorHAnsi" w:cstheme="minorBidi"/>
        </w:rPr>
        <w:t>in women who receive a false-negative diagnosis.</w:t>
      </w:r>
    </w:p>
    <w:p w14:paraId="6FD754DA" w14:textId="084D8FE6" w:rsidR="00E47AB8" w:rsidRPr="007C6E89" w:rsidRDefault="00E47AB8" w:rsidP="00422306">
      <w:pPr>
        <w:spacing w:after="200"/>
        <w:rPr>
          <w:rFonts w:eastAsiaTheme="minorHAnsi" w:cstheme="minorBidi"/>
        </w:rPr>
      </w:pPr>
      <w:r w:rsidRPr="007C6E89">
        <w:rPr>
          <w:rFonts w:eastAsiaTheme="minorHAnsi" w:cstheme="minorBidi"/>
        </w:rPr>
        <w:t xml:space="preserve">There is a considerable degree of uncertainty about the rates of growth of breast cancers and therefore the impact of delayed diagnosis on survival. To address this uncertainty, sensitivity analyses were performed in which the decrement in 5-year survival as a result of delayed detection was varied. These survival estimates were applied to all of the populations except patients with a confirmed gene mutation, who have faster-growing and more aggressive tumours. In the NICE model (and here), patients with a </w:t>
      </w:r>
      <w:r w:rsidRPr="00A6193E">
        <w:rPr>
          <w:rFonts w:eastAsiaTheme="minorHAnsi" w:cstheme="minorBidi"/>
          <w:i/>
        </w:rPr>
        <w:t>BRCA1</w:t>
      </w:r>
      <w:r w:rsidRPr="007C6E89">
        <w:rPr>
          <w:rFonts w:eastAsiaTheme="minorHAnsi" w:cstheme="minorBidi"/>
        </w:rPr>
        <w:t xml:space="preserve"> mutation were assumed to have a survival rate of 80%, with a 15% decrement for each year following a false-negative result up to a maximum of two false-negative results (ie, a total decrement in overall survival of 30%). Given that the sensitivity of mammography is approximately 33%, two-thirds of the population with delayed detection will experience a decrement in survival of 30% and one-third a decrement of 15%. This corresponds to an average decrement in survival of approximately 25% (higher than the 18.8% used for the other populations). This assessment uses the same assumption for the population with a confirmed gene mutation for breast cancer (ie, a survival decrement of 15% over 2 years is applied to the baseline survival of 80%).</w:t>
      </w:r>
    </w:p>
    <w:p w14:paraId="32DF1972" w14:textId="64E52F2D" w:rsidR="00E47AB8" w:rsidRPr="007C6E89" w:rsidRDefault="00E47AB8" w:rsidP="00422306">
      <w:pPr>
        <w:spacing w:after="200"/>
        <w:rPr>
          <w:rFonts w:eastAsiaTheme="minorHAnsi" w:cstheme="minorBidi"/>
        </w:rPr>
      </w:pPr>
      <w:r w:rsidRPr="007C6E89">
        <w:rPr>
          <w:rFonts w:eastAsiaTheme="minorHAnsi" w:cstheme="minorBidi"/>
        </w:rPr>
        <w:t>Recent improvements in breast cancer treatment have produced substantial improvements in survival, and this trend is likely to continue. As a result, the clinical consequences of delayed diagnosis are likely to become less serious. In addition, AIHW data suggest that among Australian women who had been diagnosed with invasive breast cancer, those women with a prior diagnosis of DCIS generally had smaller invasive tumours and the cancer was less likely to have spread to regional lymph nodes. Therefore, it is possible that women in the group with prior DCIS or LCIS have better 5-year survival rates than women with prior invasive breast cancer.</w:t>
      </w:r>
    </w:p>
    <w:p w14:paraId="33DFF3C5" w14:textId="77777777" w:rsidR="00E47AB8" w:rsidRPr="008B2F8A" w:rsidRDefault="00E47AB8" w:rsidP="00E47AB8">
      <w:pPr>
        <w:pStyle w:val="Heading3"/>
        <w:numPr>
          <w:ilvl w:val="2"/>
          <w:numId w:val="42"/>
        </w:numPr>
      </w:pPr>
      <w:bookmarkStart w:id="1104" w:name="_Ref375919934"/>
      <w:bookmarkStart w:id="1105" w:name="_Toc383424497"/>
      <w:r w:rsidRPr="008B2F8A">
        <w:t>Diagnostic accuracy</w:t>
      </w:r>
      <w:bookmarkEnd w:id="1104"/>
      <w:bookmarkEnd w:id="1105"/>
    </w:p>
    <w:p w14:paraId="31979FBD" w14:textId="445F363C" w:rsidR="00E47AB8" w:rsidRPr="007C6E89" w:rsidRDefault="00E47AB8" w:rsidP="00422306">
      <w:pPr>
        <w:spacing w:after="200"/>
        <w:rPr>
          <w:rFonts w:eastAsiaTheme="minorHAnsi" w:cstheme="minorBidi"/>
        </w:rPr>
      </w:pPr>
      <w:r w:rsidRPr="007C6E89">
        <w:rPr>
          <w:rFonts w:eastAsiaTheme="minorHAnsi" w:cstheme="minorBidi"/>
        </w:rPr>
        <w:t xml:space="preserve">A detailed assessment of the quality of included diagnostic accuracy studies of MRI + mammography is presented in Section </w:t>
      </w:r>
      <w:r w:rsidRPr="007C6E89">
        <w:rPr>
          <w:rFonts w:eastAsiaTheme="minorHAnsi" w:cstheme="minorBidi"/>
        </w:rPr>
        <w:fldChar w:fldCharType="begin"/>
      </w:r>
      <w:r w:rsidRPr="007C6E89">
        <w:rPr>
          <w:rFonts w:eastAsiaTheme="minorHAnsi" w:cstheme="minorBidi"/>
        </w:rPr>
        <w:instrText xml:space="preserve"> REF _Ref256236312 \r \h </w:instrText>
      </w:r>
      <w:r w:rsidRPr="007C6E89">
        <w:rPr>
          <w:rFonts w:eastAsiaTheme="minorHAnsi" w:cstheme="minorBidi"/>
        </w:rPr>
      </w:r>
      <w:r w:rsidRPr="007C6E89">
        <w:rPr>
          <w:rFonts w:eastAsiaTheme="minorHAnsi" w:cstheme="minorBidi"/>
        </w:rPr>
        <w:fldChar w:fldCharType="separate"/>
      </w:r>
      <w:r w:rsidR="00B81273">
        <w:rPr>
          <w:rFonts w:eastAsiaTheme="minorHAnsi" w:cstheme="minorBidi"/>
        </w:rPr>
        <w:t>B.4</w:t>
      </w:r>
      <w:r w:rsidRPr="007C6E89">
        <w:rPr>
          <w:rFonts w:eastAsiaTheme="minorHAnsi" w:cstheme="minorBidi"/>
        </w:rPr>
        <w:fldChar w:fldCharType="end"/>
      </w:r>
      <w:r w:rsidRPr="007C6E89">
        <w:rPr>
          <w:rFonts w:eastAsiaTheme="minorHAnsi" w:cstheme="minorBidi"/>
        </w:rPr>
        <w:t>. For each of the populations of interest, a number of studies were identified. The economic model uses data from those studies considered to be most applicable to the requested MBS indication</w:t>
      </w:r>
      <w:r w:rsidR="00775ACC">
        <w:rPr>
          <w:rFonts w:eastAsiaTheme="minorHAnsi" w:cstheme="minorBidi"/>
        </w:rPr>
        <w:t xml:space="preserve"> (</w:t>
      </w:r>
      <w:r w:rsidR="00775ACC">
        <w:rPr>
          <w:rFonts w:eastAsiaTheme="minorHAnsi" w:cstheme="minorBidi"/>
        </w:rPr>
        <w:fldChar w:fldCharType="begin"/>
      </w:r>
      <w:r w:rsidR="00775ACC">
        <w:rPr>
          <w:rFonts w:eastAsiaTheme="minorHAnsi" w:cstheme="minorBidi"/>
        </w:rPr>
        <w:instrText xml:space="preserve"> REF _Ref383161948 \h </w:instrText>
      </w:r>
      <w:r w:rsidR="00775ACC">
        <w:rPr>
          <w:rFonts w:eastAsiaTheme="minorHAnsi" w:cstheme="minorBidi"/>
        </w:rPr>
      </w:r>
      <w:r w:rsidR="00775ACC">
        <w:rPr>
          <w:rFonts w:eastAsiaTheme="minorHAnsi" w:cstheme="minorBidi"/>
        </w:rPr>
        <w:fldChar w:fldCharType="separate"/>
      </w:r>
      <w:r w:rsidR="00B81273" w:rsidRPr="008B2F8A">
        <w:t xml:space="preserve">Table </w:t>
      </w:r>
      <w:r w:rsidR="00B81273">
        <w:rPr>
          <w:noProof/>
        </w:rPr>
        <w:t>D</w:t>
      </w:r>
      <w:r w:rsidR="00B81273" w:rsidRPr="008B2F8A">
        <w:t>.</w:t>
      </w:r>
      <w:r w:rsidR="00B81273">
        <w:rPr>
          <w:noProof/>
        </w:rPr>
        <w:t>9</w:t>
      </w:r>
      <w:r w:rsidR="00775ACC">
        <w:rPr>
          <w:rFonts w:eastAsiaTheme="minorHAnsi" w:cstheme="minorBidi"/>
        </w:rPr>
        <w:fldChar w:fldCharType="end"/>
      </w:r>
      <w:r w:rsidR="00775ACC">
        <w:rPr>
          <w:rFonts w:eastAsiaTheme="minorHAnsi" w:cstheme="minorBidi"/>
        </w:rPr>
        <w:t>)</w:t>
      </w:r>
      <w:r w:rsidRPr="007C6E89">
        <w:rPr>
          <w:rFonts w:eastAsiaTheme="minorHAnsi" w:cstheme="minorBidi"/>
        </w:rPr>
        <w:t>.</w:t>
      </w:r>
    </w:p>
    <w:p w14:paraId="20D7E0F7" w14:textId="4956CAF9" w:rsidR="00E47AB8" w:rsidRPr="007C6E89" w:rsidRDefault="00E47AB8" w:rsidP="00422306">
      <w:pPr>
        <w:spacing w:after="200"/>
        <w:rPr>
          <w:rFonts w:eastAsiaTheme="minorHAnsi" w:cstheme="minorBidi"/>
        </w:rPr>
      </w:pPr>
      <w:r w:rsidRPr="007C6E89">
        <w:rPr>
          <w:rFonts w:eastAsiaTheme="minorHAnsi" w:cstheme="minorBidi"/>
        </w:rPr>
        <w:t xml:space="preserve">For patients with a breast cancer gene mutation, evidence for diagnostic accuracy was sourced from a prospective, non-randomised, single-centre cohort study comparing the sensitivity and specificity of MRI, ultrasound, mammography and CBE in women aged between 26 and 65 years (median 44 </w:t>
      </w:r>
      <w:r w:rsidRPr="007C6E89">
        <w:rPr>
          <w:rFonts w:eastAsiaTheme="minorHAnsi" w:cstheme="minorBidi"/>
        </w:rPr>
        <w:lastRenderedPageBreak/>
        <w:t xml:space="preserve">years) with a confirmed </w:t>
      </w:r>
      <w:r w:rsidRPr="00A6193E">
        <w:rPr>
          <w:rFonts w:eastAsiaTheme="minorHAnsi" w:cstheme="minorBidi"/>
          <w:i/>
        </w:rPr>
        <w:t>BRCA1</w:t>
      </w:r>
      <w:r w:rsidRPr="007C6E89">
        <w:rPr>
          <w:rFonts w:eastAsiaTheme="minorHAnsi" w:cstheme="minorBidi"/>
        </w:rPr>
        <w:t xml:space="preserve"> or </w:t>
      </w:r>
      <w:r w:rsidRPr="00A6193E">
        <w:rPr>
          <w:rFonts w:eastAsiaTheme="minorHAnsi" w:cstheme="minorBidi"/>
          <w:i/>
        </w:rPr>
        <w:t>BRCA2</w:t>
      </w:r>
      <w:r w:rsidRPr="007C6E89">
        <w:rPr>
          <w:rFonts w:eastAsiaTheme="minorHAnsi" w:cstheme="minorBidi"/>
        </w:rPr>
        <w:t xml:space="preserve"> mutation </w:t>
      </w:r>
      <w:r w:rsidRPr="007C6E89">
        <w:rPr>
          <w:rFonts w:eastAsiaTheme="minorHAnsi" w:cstheme="minorBidi"/>
          <w:noProof/>
        </w:rPr>
        <w:t>(</w:t>
      </w:r>
      <w:bookmarkStart w:id="1106" w:name="OLE_LINK882"/>
      <w:bookmarkStart w:id="1107" w:name="OLE_LINK883"/>
      <w:r w:rsidRPr="007C6E89">
        <w:rPr>
          <w:rFonts w:eastAsiaTheme="minorHAnsi" w:cstheme="minorBidi"/>
          <w:noProof/>
        </w:rPr>
        <w:t>Warner et al, 2008</w:t>
      </w:r>
      <w:bookmarkEnd w:id="1106"/>
      <w:bookmarkEnd w:id="1107"/>
      <w:r w:rsidRPr="007C6E89">
        <w:rPr>
          <w:rFonts w:eastAsiaTheme="minorHAnsi" w:cstheme="minorBidi"/>
          <w:noProof/>
        </w:rPr>
        <w:t>)</w:t>
      </w:r>
      <w:r w:rsidRPr="007C6E89">
        <w:rPr>
          <w:rFonts w:eastAsiaTheme="minorHAnsi" w:cstheme="minorBidi"/>
        </w:rPr>
        <w:t>. This was the only identified study in which all patients had a confirmed mutation for breast cancer. False-negatives were calculated through the monitoring of interval cancers over the 3-year follow-up period and through biopsy-confirmed cancers detected by other methods. Test results were scored using the BI-RADS classification, with a positive result being a BI-RADS score of 4 or 5.</w:t>
      </w:r>
    </w:p>
    <w:p w14:paraId="14DE2C44" w14:textId="1F6817C7" w:rsidR="00E47AB8" w:rsidRPr="007C6E89" w:rsidRDefault="00E47AB8" w:rsidP="00422306">
      <w:pPr>
        <w:spacing w:after="200"/>
        <w:rPr>
          <w:rFonts w:eastAsiaTheme="minorHAnsi" w:cstheme="minorBidi"/>
        </w:rPr>
      </w:pPr>
      <w:r w:rsidRPr="007C6E89">
        <w:rPr>
          <w:rFonts w:eastAsiaTheme="minorHAnsi" w:cstheme="minorBidi"/>
        </w:rPr>
        <w:t xml:space="preserve">For the broader population of women with a high risk for breast cancer based on family history, the model uses the results of a meta-analysis presented in the HTA by HIQA </w:t>
      </w:r>
      <w:r w:rsidRPr="007C6E89">
        <w:rPr>
          <w:rFonts w:eastAsiaTheme="minorHAnsi" w:cstheme="minorBidi"/>
          <w:noProof/>
        </w:rPr>
        <w:t>(2013)</w:t>
      </w:r>
      <w:r w:rsidRPr="007C6E89">
        <w:rPr>
          <w:rFonts w:eastAsiaTheme="minorHAnsi" w:cstheme="minorBidi"/>
        </w:rPr>
        <w:t xml:space="preserve">. The comparison of mammography and MRI + mammography is based on three studies </w:t>
      </w:r>
      <w:r w:rsidRPr="007C6E89">
        <w:rPr>
          <w:rFonts w:eastAsiaTheme="minorHAnsi" w:cstheme="minorBidi"/>
          <w:noProof/>
        </w:rPr>
        <w:t>(Leach, 2005</w:t>
      </w:r>
      <w:r w:rsidRPr="007C6E89">
        <w:rPr>
          <w:rFonts w:eastAsiaTheme="minorHAnsi" w:cstheme="minorBidi"/>
        </w:rPr>
        <w:t xml:space="preserve">; </w:t>
      </w:r>
      <w:r w:rsidRPr="007C6E89">
        <w:rPr>
          <w:rFonts w:eastAsiaTheme="minorHAnsi" w:cstheme="minorBidi"/>
          <w:noProof/>
        </w:rPr>
        <w:t>Kuhl et al, 2005</w:t>
      </w:r>
      <w:r w:rsidRPr="007C6E89">
        <w:rPr>
          <w:rFonts w:eastAsiaTheme="minorHAnsi" w:cstheme="minorBidi"/>
        </w:rPr>
        <w:t xml:space="preserve">; </w:t>
      </w:r>
      <w:r w:rsidRPr="007C6E89">
        <w:rPr>
          <w:rFonts w:eastAsiaTheme="minorHAnsi" w:cstheme="minorBidi"/>
          <w:noProof/>
        </w:rPr>
        <w:t>Kriege et al, 2006a)</w:t>
      </w:r>
      <w:r w:rsidRPr="007C6E89">
        <w:rPr>
          <w:rFonts w:eastAsiaTheme="minorHAnsi" w:cstheme="minorBidi"/>
        </w:rPr>
        <w:t xml:space="preserve">, all of which included a majority of patients with a high lifetime risk of breast cancer based on family history. A key limitation of this analysis is the lack of data on the sensitivity and specificity of digital mammography in younger women at elevated risk, since all studies meeting the inclusion criteria involved film mammography. It should also be noted that the studies used different definitions of a positive result, with some test results scored using a BI-RADS threshold of 0, 3, 4 or 5 </w:t>
      </w:r>
      <w:r w:rsidRPr="007C6E89">
        <w:rPr>
          <w:rFonts w:eastAsiaTheme="minorHAnsi" w:cstheme="minorBidi"/>
          <w:noProof/>
        </w:rPr>
        <w:t>(Kriege et al, 2006a</w:t>
      </w:r>
      <w:r w:rsidRPr="007C6E89">
        <w:rPr>
          <w:rFonts w:eastAsiaTheme="minorHAnsi" w:cstheme="minorBidi"/>
        </w:rPr>
        <w:t xml:space="preserve">; </w:t>
      </w:r>
      <w:r w:rsidRPr="007C6E89">
        <w:rPr>
          <w:rFonts w:eastAsiaTheme="minorHAnsi" w:cstheme="minorBidi"/>
          <w:noProof/>
        </w:rPr>
        <w:t>Leach, 2005)</w:t>
      </w:r>
      <w:r w:rsidRPr="007C6E89">
        <w:rPr>
          <w:rFonts w:eastAsiaTheme="minorHAnsi" w:cstheme="minorBidi"/>
        </w:rPr>
        <w:t xml:space="preserve"> and others using a threshold of 4 or 5 </w:t>
      </w:r>
      <w:r w:rsidRPr="007C6E89">
        <w:rPr>
          <w:rFonts w:eastAsiaTheme="minorHAnsi" w:cstheme="minorBidi"/>
          <w:noProof/>
        </w:rPr>
        <w:t>(Kuhl et al, 2005)</w:t>
      </w:r>
      <w:r w:rsidRPr="007C6E89">
        <w:rPr>
          <w:rFonts w:eastAsiaTheme="minorHAnsi" w:cstheme="minorBidi"/>
        </w:rPr>
        <w:t>. A sensitivity analysis presented in HIQA (2013) found only modest changes when the analysis was restricted to the two studies that used BI-RADS scores of 0, 3, 4 and 5 to define a positive test result.</w:t>
      </w:r>
    </w:p>
    <w:p w14:paraId="2A54D996" w14:textId="321545D3" w:rsidR="00E47AB8" w:rsidRPr="007C6E89" w:rsidRDefault="00E47AB8" w:rsidP="00422306">
      <w:pPr>
        <w:spacing w:after="200"/>
        <w:rPr>
          <w:rFonts w:eastAsiaTheme="minorHAnsi" w:cstheme="minorBidi"/>
        </w:rPr>
      </w:pPr>
      <w:r w:rsidRPr="007C6E89">
        <w:rPr>
          <w:rFonts w:eastAsiaTheme="minorHAnsi" w:cstheme="minorBidi"/>
        </w:rPr>
        <w:t xml:space="preserve">For women with a prior history of invasive breast cancer, diagnostic accuracy data were drawn from a surveillance study of women at high risk, who included a subgroup of women with a personal history of breast cancer </w:t>
      </w:r>
      <w:r w:rsidRPr="007C6E89">
        <w:rPr>
          <w:rFonts w:eastAsiaTheme="minorHAnsi" w:cstheme="minorBidi"/>
          <w:noProof/>
        </w:rPr>
        <w:t xml:space="preserve">(Berg et al, 2012). </w:t>
      </w:r>
      <w:r w:rsidRPr="007C6E89">
        <w:rPr>
          <w:rFonts w:eastAsiaTheme="minorHAnsi" w:cstheme="minorBidi"/>
        </w:rPr>
        <w:t xml:space="preserve">Diagnostic accuracy was reported for the subgroup; however, details of their treatment for breast cancer and time since diagnosis were not provided. Because the analysis was based on a relatively small subgroup of the full study population, the confidence intervals around the estimates of sensitivity and specificity were relatively wide. The other potentially relevant study in this population </w:t>
      </w:r>
      <w:r w:rsidRPr="007C6E89">
        <w:rPr>
          <w:rFonts w:eastAsiaTheme="minorHAnsi" w:cstheme="minorBidi"/>
          <w:noProof/>
        </w:rPr>
        <w:t>(Viehweg et al, 2004)</w:t>
      </w:r>
      <w:r w:rsidRPr="007C6E89">
        <w:rPr>
          <w:rFonts w:eastAsiaTheme="minorHAnsi" w:cstheme="minorBidi"/>
        </w:rPr>
        <w:t xml:space="preserve"> reported only on the detection of contralateral breast cancers following breast-conserving surgery, and the comparator with MRI was conventional imaging, which included ultrasound in 93 of 145 cases (64%).</w:t>
      </w:r>
    </w:p>
    <w:p w14:paraId="142C21C4" w14:textId="75247422" w:rsidR="00E47AB8" w:rsidRPr="007C6E89" w:rsidRDefault="00E47AB8" w:rsidP="00422306">
      <w:pPr>
        <w:spacing w:after="200"/>
        <w:rPr>
          <w:rFonts w:eastAsiaTheme="minorHAnsi" w:cstheme="minorBidi"/>
        </w:rPr>
      </w:pPr>
      <w:r w:rsidRPr="007C6E89">
        <w:rPr>
          <w:rFonts w:eastAsiaTheme="minorHAnsi" w:cstheme="minorBidi"/>
        </w:rPr>
        <w:t xml:space="preserve">One small diagnostic accuracy study was identified in patients with a history of treatment for DCIS or LCIS </w:t>
      </w:r>
      <w:r w:rsidRPr="007C6E89">
        <w:rPr>
          <w:rFonts w:eastAsiaTheme="minorHAnsi" w:cstheme="minorBidi"/>
          <w:noProof/>
        </w:rPr>
        <w:t>(Sung et al, 2011b).</w:t>
      </w:r>
      <w:r w:rsidRPr="007C6E89">
        <w:rPr>
          <w:rFonts w:eastAsiaTheme="minorHAnsi" w:cstheme="minorBidi"/>
        </w:rPr>
        <w:t xml:space="preserve"> This retrospective analysis included 22 women (840 MRI scans) with a history of LCIS diagnosis. The study did not evaluate MRI + mammography; therefore, the results presented here pertain to a comparison between MRI alone and mammography alone. Overall, this was judged to be a poor-quality study with a high risk of bias.</w:t>
      </w:r>
    </w:p>
    <w:p w14:paraId="7C18209C" w14:textId="12883D4E" w:rsidR="00E47AB8" w:rsidRPr="007C6E89" w:rsidRDefault="00E47AB8" w:rsidP="00422306">
      <w:pPr>
        <w:spacing w:after="200"/>
        <w:rPr>
          <w:rFonts w:eastAsiaTheme="minorHAnsi" w:cstheme="minorBidi"/>
        </w:rPr>
      </w:pPr>
      <w:r w:rsidRPr="007C6E89">
        <w:rPr>
          <w:rFonts w:eastAsiaTheme="minorHAnsi" w:cstheme="minorBidi"/>
        </w:rPr>
        <w:t xml:space="preserve">Of the studies in women with a history of chest irradiation between the ages of 10 and 35 years, only one study addressed the review question, which was the addition of breast MRI to mammography </w:t>
      </w:r>
      <w:r w:rsidRPr="007C6E89">
        <w:rPr>
          <w:rFonts w:eastAsiaTheme="minorHAnsi" w:cstheme="minorBidi"/>
          <w:noProof/>
        </w:rPr>
        <w:t>(Ng et al, 2013)</w:t>
      </w:r>
      <w:r w:rsidRPr="007C6E89">
        <w:rPr>
          <w:rFonts w:eastAsiaTheme="minorHAnsi" w:cstheme="minorBidi"/>
        </w:rPr>
        <w:t>. This study was of higher quality and more applicable than the other studies and was the largest study included. Across all populations, this was the only study that included digital mammography as opposed to film screen mammography.</w:t>
      </w:r>
    </w:p>
    <w:p w14:paraId="44A7FAA8" w14:textId="3A35F125" w:rsidR="00E47AB8" w:rsidRPr="008B2F8A" w:rsidRDefault="00E47AB8" w:rsidP="00422306">
      <w:pPr>
        <w:pStyle w:val="Caption"/>
      </w:pPr>
      <w:bookmarkStart w:id="1108" w:name="_Ref383161948"/>
      <w:bookmarkStart w:id="1109" w:name="_Toc383424618"/>
      <w:r w:rsidRPr="008B2F8A">
        <w:lastRenderedPageBreak/>
        <w:t xml:space="preserve">Table </w:t>
      </w:r>
      <w:fldSimple w:instr=" STYLEREF 1 \s ">
        <w:r w:rsidR="00B81273">
          <w:rPr>
            <w:noProof/>
          </w:rPr>
          <w:t>D</w:t>
        </w:r>
      </w:fldSimple>
      <w:r w:rsidRPr="008B2F8A">
        <w:t>.</w:t>
      </w:r>
      <w:fldSimple w:instr=" SEQ Table \* ARABIC \s 1 ">
        <w:r w:rsidR="00B81273">
          <w:rPr>
            <w:noProof/>
          </w:rPr>
          <w:t>9</w:t>
        </w:r>
      </w:fldSimple>
      <w:bookmarkEnd w:id="1108"/>
      <w:r w:rsidRPr="008B2F8A">
        <w:tab/>
      </w:r>
      <w:bookmarkStart w:id="1110" w:name="OLE_LINK1089"/>
      <w:bookmarkStart w:id="1111" w:name="OLE_LINK1090"/>
      <w:r w:rsidRPr="008B2F8A">
        <w:t xml:space="preserve">Diagnostic accuracy of mammography and MRI </w:t>
      </w:r>
      <w:r>
        <w:t>+</w:t>
      </w:r>
      <w:r w:rsidRPr="008B2F8A">
        <w:t xml:space="preserve"> mammography</w:t>
      </w:r>
      <w:bookmarkEnd w:id="1110"/>
      <w:bookmarkEnd w:id="1111"/>
      <w:r w:rsidRPr="008B2F8A">
        <w:t>.</w:t>
      </w:r>
      <w:bookmarkEnd w:id="1109"/>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Diagnostic accuracy of mammography and MRI + mammography"/>
      </w:tblPr>
      <w:tblGrid>
        <w:gridCol w:w="2584"/>
        <w:gridCol w:w="1445"/>
        <w:gridCol w:w="1444"/>
        <w:gridCol w:w="1444"/>
        <w:gridCol w:w="558"/>
        <w:gridCol w:w="931"/>
        <w:gridCol w:w="719"/>
      </w:tblGrid>
      <w:tr w:rsidR="00E47AB8" w:rsidRPr="008B2F8A" w14:paraId="5B29FDE6" w14:textId="77777777" w:rsidTr="00A6193E">
        <w:trPr>
          <w:tblHeader/>
        </w:trPr>
        <w:tc>
          <w:tcPr>
            <w:tcW w:w="1416" w:type="pct"/>
            <w:tcBorders>
              <w:bottom w:val="nil"/>
            </w:tcBorders>
            <w:shd w:val="clear" w:color="auto" w:fill="EEECE1" w:themeFill="background2"/>
            <w:noWrap/>
          </w:tcPr>
          <w:p w14:paraId="7B47CDC7" w14:textId="77777777" w:rsidR="00E47AB8" w:rsidRPr="008B2F8A" w:rsidRDefault="00E47AB8" w:rsidP="00A6193E">
            <w:pPr>
              <w:keepNext/>
              <w:spacing w:before="40" w:after="80"/>
              <w:rPr>
                <w:rFonts w:ascii="Arial Narrow" w:hAnsi="Arial Narrow"/>
                <w:b/>
                <w:sz w:val="20"/>
                <w:szCs w:val="20"/>
                <w:lang w:eastAsia="en-AU"/>
              </w:rPr>
            </w:pPr>
            <w:r w:rsidRPr="008B2F8A">
              <w:rPr>
                <w:rFonts w:ascii="Arial Narrow" w:hAnsi="Arial Narrow"/>
                <w:b/>
                <w:sz w:val="20"/>
                <w:szCs w:val="20"/>
                <w:lang w:eastAsia="en-AU"/>
              </w:rPr>
              <w:t>Population</w:t>
            </w:r>
          </w:p>
        </w:tc>
        <w:tc>
          <w:tcPr>
            <w:tcW w:w="792" w:type="pct"/>
            <w:tcBorders>
              <w:right w:val="nil"/>
            </w:tcBorders>
            <w:shd w:val="clear" w:color="auto" w:fill="EEECE1" w:themeFill="background2"/>
            <w:noWrap/>
          </w:tcPr>
          <w:p w14:paraId="0CAE47D4" w14:textId="77777777" w:rsidR="00E47AB8" w:rsidRPr="008B2F8A" w:rsidRDefault="00E47AB8" w:rsidP="00A6193E">
            <w:pPr>
              <w:keepNext/>
              <w:spacing w:before="40" w:after="80"/>
              <w:rPr>
                <w:rFonts w:ascii="Arial Narrow" w:hAnsi="Arial Narrow"/>
                <w:b/>
                <w:sz w:val="20"/>
                <w:szCs w:val="20"/>
                <w:lang w:eastAsia="en-AU"/>
              </w:rPr>
            </w:pPr>
            <w:r w:rsidRPr="008B2F8A">
              <w:rPr>
                <w:rFonts w:ascii="Arial Narrow" w:hAnsi="Arial Narrow"/>
                <w:b/>
                <w:sz w:val="20"/>
                <w:szCs w:val="20"/>
                <w:lang w:eastAsia="en-AU"/>
              </w:rPr>
              <w:t>Mammography</w:t>
            </w:r>
          </w:p>
        </w:tc>
        <w:tc>
          <w:tcPr>
            <w:tcW w:w="791" w:type="pct"/>
            <w:tcBorders>
              <w:left w:val="nil"/>
            </w:tcBorders>
            <w:shd w:val="clear" w:color="auto" w:fill="EEECE1" w:themeFill="background2"/>
            <w:noWrap/>
          </w:tcPr>
          <w:p w14:paraId="15063F4C" w14:textId="77777777" w:rsidR="00E47AB8" w:rsidRPr="008B2F8A" w:rsidRDefault="00E47AB8" w:rsidP="00A6193E">
            <w:pPr>
              <w:keepNext/>
              <w:spacing w:before="40" w:after="80"/>
              <w:rPr>
                <w:rFonts w:ascii="Arial Narrow" w:hAnsi="Arial Narrow"/>
                <w:b/>
                <w:sz w:val="20"/>
                <w:szCs w:val="20"/>
                <w:lang w:eastAsia="en-AU"/>
              </w:rPr>
            </w:pPr>
          </w:p>
        </w:tc>
        <w:tc>
          <w:tcPr>
            <w:tcW w:w="1097" w:type="pct"/>
            <w:gridSpan w:val="2"/>
            <w:tcBorders>
              <w:right w:val="nil"/>
            </w:tcBorders>
            <w:shd w:val="clear" w:color="auto" w:fill="EEECE1" w:themeFill="background2"/>
            <w:noWrap/>
          </w:tcPr>
          <w:p w14:paraId="2BB711B0" w14:textId="77777777" w:rsidR="00E47AB8" w:rsidRPr="008B2F8A" w:rsidRDefault="00E47AB8" w:rsidP="00A6193E">
            <w:pPr>
              <w:keepNext/>
              <w:spacing w:before="40" w:after="80"/>
              <w:rPr>
                <w:rFonts w:ascii="Arial Narrow" w:hAnsi="Arial Narrow"/>
                <w:b/>
                <w:sz w:val="20"/>
                <w:szCs w:val="20"/>
                <w:lang w:eastAsia="en-AU"/>
              </w:rPr>
            </w:pPr>
            <w:r w:rsidRPr="008B2F8A">
              <w:rPr>
                <w:rFonts w:ascii="Arial Narrow" w:hAnsi="Arial Narrow"/>
                <w:b/>
                <w:sz w:val="20"/>
                <w:szCs w:val="20"/>
                <w:lang w:eastAsia="en-AU"/>
              </w:rPr>
              <w:t xml:space="preserve">Mammography </w:t>
            </w:r>
            <w:r w:rsidRPr="008B2F8A">
              <w:rPr>
                <w:rFonts w:ascii="Arial Narrow" w:hAnsi="Arial Narrow"/>
              </w:rPr>
              <w:t>​+​</w:t>
            </w:r>
            <w:r w:rsidRPr="008B2F8A">
              <w:rPr>
                <w:rFonts w:ascii="Arial Narrow" w:hAnsi="Arial Narrow"/>
                <w:b/>
                <w:sz w:val="20"/>
                <w:szCs w:val="20"/>
                <w:lang w:eastAsia="en-AU"/>
              </w:rPr>
              <w:t xml:space="preserve"> MRI</w:t>
            </w:r>
          </w:p>
        </w:tc>
        <w:tc>
          <w:tcPr>
            <w:tcW w:w="510" w:type="pct"/>
            <w:tcBorders>
              <w:left w:val="nil"/>
            </w:tcBorders>
            <w:shd w:val="clear" w:color="auto" w:fill="EEECE1" w:themeFill="background2"/>
            <w:noWrap/>
          </w:tcPr>
          <w:p w14:paraId="292E66EE" w14:textId="77777777" w:rsidR="00E47AB8" w:rsidRPr="008B2F8A" w:rsidRDefault="00E47AB8" w:rsidP="00A6193E">
            <w:pPr>
              <w:keepNext/>
              <w:spacing w:before="40" w:after="80"/>
              <w:rPr>
                <w:rFonts w:ascii="Arial Narrow" w:hAnsi="Arial Narrow"/>
                <w:b/>
                <w:sz w:val="20"/>
                <w:szCs w:val="20"/>
                <w:lang w:eastAsia="en-AU"/>
              </w:rPr>
            </w:pPr>
          </w:p>
        </w:tc>
        <w:tc>
          <w:tcPr>
            <w:tcW w:w="394" w:type="pct"/>
            <w:tcBorders>
              <w:bottom w:val="nil"/>
            </w:tcBorders>
            <w:shd w:val="clear" w:color="auto" w:fill="EEECE1" w:themeFill="background2"/>
          </w:tcPr>
          <w:p w14:paraId="742F71B4" w14:textId="77777777" w:rsidR="00E47AB8" w:rsidRPr="008B2F8A" w:rsidRDefault="00E47AB8" w:rsidP="00A6193E">
            <w:pPr>
              <w:keepNext/>
              <w:spacing w:before="40" w:after="80"/>
              <w:rPr>
                <w:rFonts w:ascii="Arial Narrow" w:hAnsi="Arial Narrow"/>
                <w:b/>
                <w:sz w:val="20"/>
                <w:szCs w:val="20"/>
                <w:lang w:eastAsia="en-AU"/>
              </w:rPr>
            </w:pPr>
            <w:r w:rsidRPr="008B2F8A">
              <w:rPr>
                <w:rFonts w:ascii="Arial Narrow" w:hAnsi="Arial Narrow"/>
                <w:b/>
                <w:sz w:val="20"/>
                <w:szCs w:val="20"/>
                <w:lang w:eastAsia="en-AU"/>
              </w:rPr>
              <w:t>Source</w:t>
            </w:r>
          </w:p>
        </w:tc>
      </w:tr>
      <w:tr w:rsidR="00E47AB8" w:rsidRPr="008B2F8A" w14:paraId="52348778" w14:textId="77777777" w:rsidTr="00A6193E">
        <w:trPr>
          <w:tblHeader/>
        </w:trPr>
        <w:tc>
          <w:tcPr>
            <w:tcW w:w="1416" w:type="pct"/>
            <w:tcBorders>
              <w:top w:val="nil"/>
            </w:tcBorders>
            <w:shd w:val="clear" w:color="auto" w:fill="EEECE1" w:themeFill="background2"/>
            <w:noWrap/>
            <w:hideMark/>
          </w:tcPr>
          <w:p w14:paraId="74FE55F7" w14:textId="77777777" w:rsidR="00E47AB8" w:rsidRPr="008B2F8A" w:rsidRDefault="00E47AB8" w:rsidP="00A6193E">
            <w:pPr>
              <w:keepNext/>
              <w:spacing w:before="40" w:after="80"/>
              <w:rPr>
                <w:rFonts w:ascii="Arial Narrow" w:hAnsi="Arial Narrow"/>
                <w:b/>
                <w:sz w:val="20"/>
                <w:szCs w:val="20"/>
                <w:lang w:eastAsia="en-AU"/>
              </w:rPr>
            </w:pPr>
          </w:p>
        </w:tc>
        <w:tc>
          <w:tcPr>
            <w:tcW w:w="792" w:type="pct"/>
            <w:shd w:val="clear" w:color="auto" w:fill="EEECE1" w:themeFill="background2"/>
            <w:noWrap/>
            <w:hideMark/>
          </w:tcPr>
          <w:p w14:paraId="5C34D6C5" w14:textId="77777777" w:rsidR="00E47AB8" w:rsidRPr="008B2F8A" w:rsidRDefault="00E47AB8" w:rsidP="00A6193E">
            <w:pPr>
              <w:keepNext/>
              <w:spacing w:before="40" w:after="80"/>
              <w:rPr>
                <w:rFonts w:ascii="Arial Narrow" w:hAnsi="Arial Narrow"/>
                <w:b/>
                <w:color w:val="000000"/>
                <w:sz w:val="20"/>
                <w:szCs w:val="20"/>
                <w:lang w:eastAsia="en-AU"/>
              </w:rPr>
            </w:pPr>
            <w:r w:rsidRPr="008B2F8A">
              <w:rPr>
                <w:rFonts w:ascii="Arial Narrow" w:hAnsi="Arial Narrow"/>
                <w:b/>
                <w:sz w:val="20"/>
                <w:szCs w:val="20"/>
                <w:lang w:eastAsia="en-AU"/>
              </w:rPr>
              <w:t xml:space="preserve">Sensitivity </w:t>
            </w:r>
          </w:p>
        </w:tc>
        <w:tc>
          <w:tcPr>
            <w:tcW w:w="791" w:type="pct"/>
            <w:shd w:val="clear" w:color="auto" w:fill="EEECE1" w:themeFill="background2"/>
            <w:noWrap/>
            <w:hideMark/>
          </w:tcPr>
          <w:p w14:paraId="72202F16" w14:textId="77777777" w:rsidR="00E47AB8" w:rsidRPr="008B2F8A" w:rsidRDefault="00E47AB8" w:rsidP="00A6193E">
            <w:pPr>
              <w:keepNext/>
              <w:spacing w:before="40" w:after="80"/>
              <w:rPr>
                <w:rFonts w:ascii="Arial Narrow" w:hAnsi="Arial Narrow"/>
                <w:b/>
                <w:color w:val="000000"/>
                <w:sz w:val="20"/>
                <w:szCs w:val="20"/>
                <w:lang w:eastAsia="en-AU"/>
              </w:rPr>
            </w:pPr>
            <w:r w:rsidRPr="008B2F8A">
              <w:rPr>
                <w:rFonts w:ascii="Arial Narrow" w:hAnsi="Arial Narrow"/>
                <w:b/>
                <w:sz w:val="20"/>
                <w:szCs w:val="20"/>
                <w:lang w:eastAsia="en-AU"/>
              </w:rPr>
              <w:t xml:space="preserve">Specificity </w:t>
            </w:r>
          </w:p>
        </w:tc>
        <w:tc>
          <w:tcPr>
            <w:tcW w:w="791" w:type="pct"/>
            <w:shd w:val="clear" w:color="auto" w:fill="EEECE1" w:themeFill="background2"/>
            <w:noWrap/>
            <w:hideMark/>
          </w:tcPr>
          <w:p w14:paraId="57BB51EE" w14:textId="77777777" w:rsidR="00E47AB8" w:rsidRPr="008B2F8A" w:rsidRDefault="00E47AB8" w:rsidP="00A6193E">
            <w:pPr>
              <w:keepNext/>
              <w:spacing w:before="40" w:after="80"/>
              <w:rPr>
                <w:rFonts w:ascii="Arial Narrow" w:hAnsi="Arial Narrow"/>
                <w:b/>
                <w:color w:val="000000"/>
                <w:sz w:val="20"/>
                <w:szCs w:val="20"/>
                <w:lang w:eastAsia="en-AU"/>
              </w:rPr>
            </w:pPr>
            <w:r w:rsidRPr="008B2F8A">
              <w:rPr>
                <w:rFonts w:ascii="Arial Narrow" w:hAnsi="Arial Narrow"/>
                <w:b/>
                <w:sz w:val="20"/>
                <w:szCs w:val="20"/>
                <w:lang w:eastAsia="en-AU"/>
              </w:rPr>
              <w:t xml:space="preserve">Sensitivity </w:t>
            </w:r>
          </w:p>
        </w:tc>
        <w:tc>
          <w:tcPr>
            <w:tcW w:w="816" w:type="pct"/>
            <w:gridSpan w:val="2"/>
            <w:shd w:val="clear" w:color="auto" w:fill="EEECE1" w:themeFill="background2"/>
            <w:noWrap/>
            <w:hideMark/>
          </w:tcPr>
          <w:p w14:paraId="484309E0" w14:textId="77777777" w:rsidR="00E47AB8" w:rsidRPr="008B2F8A" w:rsidRDefault="00E47AB8" w:rsidP="00A6193E">
            <w:pPr>
              <w:keepNext/>
              <w:spacing w:before="40" w:after="80"/>
              <w:rPr>
                <w:rFonts w:ascii="Arial Narrow" w:hAnsi="Arial Narrow"/>
                <w:b/>
                <w:color w:val="000000"/>
                <w:sz w:val="20"/>
                <w:szCs w:val="20"/>
                <w:lang w:eastAsia="en-AU"/>
              </w:rPr>
            </w:pPr>
            <w:r w:rsidRPr="008B2F8A">
              <w:rPr>
                <w:rFonts w:ascii="Arial Narrow" w:hAnsi="Arial Narrow"/>
                <w:b/>
                <w:sz w:val="20"/>
                <w:szCs w:val="20"/>
                <w:lang w:eastAsia="en-AU"/>
              </w:rPr>
              <w:t xml:space="preserve">Specificity </w:t>
            </w:r>
          </w:p>
        </w:tc>
        <w:tc>
          <w:tcPr>
            <w:tcW w:w="394" w:type="pct"/>
            <w:tcBorders>
              <w:top w:val="nil"/>
            </w:tcBorders>
            <w:shd w:val="clear" w:color="auto" w:fill="EEECE1" w:themeFill="background2"/>
          </w:tcPr>
          <w:p w14:paraId="4EDEBE3A" w14:textId="77777777" w:rsidR="00E47AB8" w:rsidRPr="008B2F8A" w:rsidRDefault="00E47AB8" w:rsidP="00A6193E">
            <w:pPr>
              <w:keepNext/>
              <w:spacing w:before="40" w:after="80"/>
              <w:rPr>
                <w:rFonts w:ascii="Arial Narrow" w:hAnsi="Arial Narrow"/>
                <w:b/>
                <w:sz w:val="20"/>
                <w:szCs w:val="20"/>
                <w:lang w:eastAsia="en-AU"/>
              </w:rPr>
            </w:pPr>
          </w:p>
        </w:tc>
      </w:tr>
      <w:tr w:rsidR="00E47AB8" w:rsidRPr="008B2F8A" w14:paraId="24C0DB36" w14:textId="77777777" w:rsidTr="00A6193E">
        <w:tc>
          <w:tcPr>
            <w:tcW w:w="1416" w:type="pct"/>
            <w:shd w:val="clear" w:color="auto" w:fill="auto"/>
            <w:noWrap/>
          </w:tcPr>
          <w:p w14:paraId="443DDC9D" w14:textId="77777777" w:rsidR="00E47AB8" w:rsidRPr="008B2F8A" w:rsidRDefault="00E47AB8" w:rsidP="00A6193E">
            <w:pPr>
              <w:keepNext/>
              <w:spacing w:before="40" w:after="80"/>
              <w:rPr>
                <w:rFonts w:ascii="Arial Narrow" w:hAnsi="Arial Narrow"/>
                <w:sz w:val="20"/>
                <w:szCs w:val="20"/>
                <w:lang w:eastAsia="en-AU"/>
              </w:rPr>
            </w:pPr>
            <w:r w:rsidRPr="008B2F8A">
              <w:rPr>
                <w:rFonts w:ascii="Arial Narrow" w:hAnsi="Arial Narrow"/>
                <w:sz w:val="20"/>
                <w:szCs w:val="20"/>
                <w:lang w:eastAsia="en-AU"/>
              </w:rPr>
              <w:t>High-risk based on breast cancer gene mutation​</w:t>
            </w:r>
            <w:r w:rsidRPr="008B2F8A">
              <w:rPr>
                <w:rFonts w:ascii="Arial Narrow" w:hAnsi="Arial Narrow"/>
                <w:sz w:val="20"/>
                <w:szCs w:val="20"/>
                <w:vertAlign w:val="superscript"/>
                <w:lang w:eastAsia="en-AU"/>
              </w:rPr>
              <w:t>a</w:t>
            </w:r>
          </w:p>
        </w:tc>
        <w:tc>
          <w:tcPr>
            <w:tcW w:w="792" w:type="pct"/>
            <w:shd w:val="clear" w:color="auto" w:fill="auto"/>
            <w:noWrap/>
            <w:hideMark/>
          </w:tcPr>
          <w:p w14:paraId="14453A98" w14:textId="77777777" w:rsidR="00E47AB8" w:rsidRPr="008B2F8A" w:rsidRDefault="00E47AB8" w:rsidP="00A6193E">
            <w:pPr>
              <w:keepNext/>
              <w:spacing w:before="40" w:after="80"/>
              <w:rPr>
                <w:rFonts w:ascii="Arial Narrow" w:hAnsi="Arial Narrow"/>
                <w:color w:val="000000"/>
                <w:sz w:val="20"/>
                <w:szCs w:val="20"/>
                <w:lang w:eastAsia="en-AU"/>
              </w:rPr>
            </w:pPr>
            <w:r w:rsidRPr="008B2F8A">
              <w:rPr>
                <w:rFonts w:ascii="Arial Narrow" w:hAnsi="Arial Narrow"/>
                <w:sz w:val="20"/>
                <w:szCs w:val="20"/>
                <w:lang w:eastAsia="en-AU"/>
              </w:rPr>
              <w:t>0.36 (0.17–0.59)</w:t>
            </w:r>
          </w:p>
        </w:tc>
        <w:tc>
          <w:tcPr>
            <w:tcW w:w="791" w:type="pct"/>
            <w:shd w:val="clear" w:color="auto" w:fill="auto"/>
            <w:noWrap/>
            <w:hideMark/>
          </w:tcPr>
          <w:p w14:paraId="3EE59E9A" w14:textId="77777777" w:rsidR="00E47AB8" w:rsidRPr="008B2F8A" w:rsidRDefault="00E47AB8" w:rsidP="00A6193E">
            <w:pPr>
              <w:keepNext/>
              <w:spacing w:before="40" w:after="80"/>
              <w:rPr>
                <w:rFonts w:ascii="Arial Narrow" w:hAnsi="Arial Narrow"/>
                <w:color w:val="000000"/>
                <w:sz w:val="20"/>
                <w:szCs w:val="20"/>
                <w:lang w:eastAsia="en-AU"/>
              </w:rPr>
            </w:pPr>
            <w:r w:rsidRPr="008B2F8A">
              <w:rPr>
                <w:rFonts w:ascii="Arial Narrow" w:hAnsi="Arial Narrow"/>
                <w:sz w:val="20"/>
                <w:szCs w:val="20"/>
                <w:lang w:eastAsia="en-AU"/>
              </w:rPr>
              <w:t>1.00 (0.99, 1.00)</w:t>
            </w:r>
          </w:p>
        </w:tc>
        <w:tc>
          <w:tcPr>
            <w:tcW w:w="791" w:type="pct"/>
            <w:shd w:val="clear" w:color="auto" w:fill="auto"/>
            <w:noWrap/>
            <w:hideMark/>
          </w:tcPr>
          <w:p w14:paraId="0A025B6E" w14:textId="77777777" w:rsidR="00E47AB8" w:rsidRPr="008B2F8A" w:rsidRDefault="00E47AB8" w:rsidP="00A6193E">
            <w:pPr>
              <w:keepNext/>
              <w:spacing w:before="40" w:after="80"/>
              <w:rPr>
                <w:rFonts w:ascii="Arial Narrow" w:hAnsi="Arial Narrow"/>
                <w:color w:val="000000"/>
                <w:sz w:val="20"/>
                <w:szCs w:val="20"/>
                <w:lang w:eastAsia="en-AU"/>
              </w:rPr>
            </w:pPr>
            <w:r w:rsidRPr="008B2F8A">
              <w:rPr>
                <w:rFonts w:ascii="Arial Narrow" w:hAnsi="Arial Narrow"/>
                <w:sz w:val="20"/>
                <w:szCs w:val="20"/>
                <w:lang w:eastAsia="en-AU"/>
              </w:rPr>
              <w:t>0.86 (0.64, 0.97)</w:t>
            </w:r>
          </w:p>
        </w:tc>
        <w:tc>
          <w:tcPr>
            <w:tcW w:w="816" w:type="pct"/>
            <w:gridSpan w:val="2"/>
            <w:shd w:val="clear" w:color="auto" w:fill="auto"/>
            <w:noWrap/>
            <w:hideMark/>
          </w:tcPr>
          <w:p w14:paraId="177A4A81" w14:textId="77777777" w:rsidR="00E47AB8" w:rsidRPr="008B2F8A" w:rsidRDefault="00E47AB8" w:rsidP="00A6193E">
            <w:pPr>
              <w:keepNext/>
              <w:spacing w:before="40" w:after="80"/>
              <w:rPr>
                <w:rFonts w:ascii="Arial Narrow" w:hAnsi="Arial Narrow"/>
                <w:color w:val="000000"/>
                <w:sz w:val="20"/>
                <w:szCs w:val="20"/>
                <w:lang w:eastAsia="en-AU"/>
              </w:rPr>
            </w:pPr>
            <w:r w:rsidRPr="008B2F8A">
              <w:rPr>
                <w:rFonts w:ascii="Arial Narrow" w:hAnsi="Arial Narrow"/>
                <w:sz w:val="20"/>
                <w:szCs w:val="20"/>
                <w:lang w:eastAsia="en-AU"/>
              </w:rPr>
              <w:t>0.95 (0.94, 0.96)</w:t>
            </w:r>
            <w:r w:rsidRPr="008B2F8A">
              <w:rPr>
                <w:rFonts w:ascii="Arial Narrow" w:hAnsi="Arial Narrow"/>
                <w:sz w:val="20"/>
                <w:szCs w:val="20"/>
                <w:vertAlign w:val="superscript"/>
                <w:lang w:eastAsia="en-AU"/>
              </w:rPr>
              <w:t>b</w:t>
            </w:r>
          </w:p>
        </w:tc>
        <w:tc>
          <w:tcPr>
            <w:tcW w:w="394" w:type="pct"/>
          </w:tcPr>
          <w:p w14:paraId="4988EB8A" w14:textId="77777777" w:rsidR="00E47AB8" w:rsidRPr="008B2F8A" w:rsidRDefault="00E47AB8" w:rsidP="00A6193E">
            <w:pPr>
              <w:keepNext/>
              <w:spacing w:before="40" w:after="80"/>
              <w:rPr>
                <w:rFonts w:ascii="Arial Narrow" w:hAnsi="Arial Narrow"/>
                <w:color w:val="000000"/>
                <w:sz w:val="20"/>
                <w:szCs w:val="20"/>
                <w:lang w:eastAsia="en-AU"/>
              </w:rPr>
            </w:pPr>
            <w:r w:rsidRPr="008B2F8A">
              <w:rPr>
                <w:rFonts w:ascii="Arial Narrow" w:hAnsi="Arial Narrow"/>
                <w:sz w:val="20"/>
                <w:szCs w:val="20"/>
                <w:lang w:eastAsia="en-AU"/>
              </w:rPr>
              <w:t xml:space="preserve">Warner 2008 </w:t>
            </w:r>
          </w:p>
        </w:tc>
      </w:tr>
      <w:tr w:rsidR="00E47AB8" w:rsidRPr="008B2F8A" w14:paraId="39ECE9E8" w14:textId="77777777" w:rsidTr="00A6193E">
        <w:tc>
          <w:tcPr>
            <w:tcW w:w="1416" w:type="pct"/>
            <w:shd w:val="clear" w:color="auto" w:fill="auto"/>
            <w:noWrap/>
          </w:tcPr>
          <w:p w14:paraId="15A6647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Familial high-risk</w:t>
            </w:r>
          </w:p>
        </w:tc>
        <w:tc>
          <w:tcPr>
            <w:tcW w:w="792" w:type="pct"/>
            <w:shd w:val="clear" w:color="auto" w:fill="auto"/>
            <w:noWrap/>
            <w:hideMark/>
          </w:tcPr>
          <w:p w14:paraId="2B67CA8C"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0.38 (0.26, 0.51)</w:t>
            </w:r>
          </w:p>
        </w:tc>
        <w:tc>
          <w:tcPr>
            <w:tcW w:w="791" w:type="pct"/>
            <w:shd w:val="clear" w:color="auto" w:fill="auto"/>
            <w:noWrap/>
            <w:hideMark/>
          </w:tcPr>
          <w:p w14:paraId="47D216A1"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0.97 (0.87, 0.98)</w:t>
            </w:r>
          </w:p>
        </w:tc>
        <w:tc>
          <w:tcPr>
            <w:tcW w:w="791" w:type="pct"/>
            <w:shd w:val="clear" w:color="auto" w:fill="auto"/>
            <w:noWrap/>
            <w:hideMark/>
          </w:tcPr>
          <w:p w14:paraId="61BAFA0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0.88 (0.78, 0.93)</w:t>
            </w:r>
          </w:p>
        </w:tc>
        <w:tc>
          <w:tcPr>
            <w:tcW w:w="816" w:type="pct"/>
            <w:gridSpan w:val="2"/>
            <w:shd w:val="clear" w:color="auto" w:fill="auto"/>
            <w:noWrap/>
            <w:hideMark/>
          </w:tcPr>
          <w:p w14:paraId="5D179D3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0.88 (0.73, 0.93)</w:t>
            </w:r>
          </w:p>
        </w:tc>
        <w:tc>
          <w:tcPr>
            <w:tcW w:w="394" w:type="pct"/>
          </w:tcPr>
          <w:p w14:paraId="6DF70E4F"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HIQA, 2013</w:t>
            </w:r>
          </w:p>
        </w:tc>
      </w:tr>
      <w:tr w:rsidR="00E47AB8" w:rsidRPr="008B2F8A" w14:paraId="6A9F8074" w14:textId="77777777" w:rsidTr="00A6193E">
        <w:tc>
          <w:tcPr>
            <w:tcW w:w="1416" w:type="pct"/>
            <w:shd w:val="clear" w:color="auto" w:fill="auto"/>
            <w:noWrap/>
          </w:tcPr>
          <w:p w14:paraId="50D630D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Prior history of invasive breast cancer</w:t>
            </w:r>
          </w:p>
        </w:tc>
        <w:tc>
          <w:tcPr>
            <w:tcW w:w="792" w:type="pct"/>
            <w:shd w:val="clear" w:color="auto" w:fill="auto"/>
            <w:noWrap/>
            <w:hideMark/>
          </w:tcPr>
          <w:p w14:paraId="441C6D7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0.50 (0.07, 0.93)</w:t>
            </w:r>
          </w:p>
        </w:tc>
        <w:tc>
          <w:tcPr>
            <w:tcW w:w="791" w:type="pct"/>
            <w:shd w:val="clear" w:color="auto" w:fill="auto"/>
            <w:noWrap/>
            <w:hideMark/>
          </w:tcPr>
          <w:p w14:paraId="11A135E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0.95 (0.92, 0.97)</w:t>
            </w:r>
          </w:p>
        </w:tc>
        <w:tc>
          <w:tcPr>
            <w:tcW w:w="791" w:type="pct"/>
            <w:shd w:val="clear" w:color="auto" w:fill="auto"/>
            <w:noWrap/>
            <w:hideMark/>
          </w:tcPr>
          <w:p w14:paraId="709D51BA"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1.00 (0.40, 1.00)</w:t>
            </w:r>
          </w:p>
        </w:tc>
        <w:tc>
          <w:tcPr>
            <w:tcW w:w="816" w:type="pct"/>
            <w:gridSpan w:val="2"/>
            <w:shd w:val="clear" w:color="auto" w:fill="auto"/>
            <w:noWrap/>
            <w:hideMark/>
          </w:tcPr>
          <w:p w14:paraId="5E554DF8"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0.79 (0.73, 0.83)</w:t>
            </w:r>
          </w:p>
        </w:tc>
        <w:tc>
          <w:tcPr>
            <w:tcW w:w="394" w:type="pct"/>
          </w:tcPr>
          <w:p w14:paraId="099D179C" w14:textId="4270E64B"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Berg et al, 2012</w:t>
            </w:r>
          </w:p>
        </w:tc>
      </w:tr>
      <w:tr w:rsidR="00E47AB8" w:rsidRPr="008B2F8A" w14:paraId="33C25EF7" w14:textId="77777777" w:rsidTr="00A6193E">
        <w:tc>
          <w:tcPr>
            <w:tcW w:w="1416" w:type="pct"/>
            <w:shd w:val="clear" w:color="auto" w:fill="auto"/>
            <w:noWrap/>
          </w:tcPr>
          <w:p w14:paraId="040FD89B"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Prior history of treatment for DCIS or LCIS</w:t>
            </w:r>
          </w:p>
        </w:tc>
        <w:tc>
          <w:tcPr>
            <w:tcW w:w="792" w:type="pct"/>
            <w:shd w:val="clear" w:color="auto" w:fill="auto"/>
            <w:noWrap/>
            <w:hideMark/>
          </w:tcPr>
          <w:p w14:paraId="6EF56C7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0.36 (0.13, 0.65)</w:t>
            </w:r>
          </w:p>
        </w:tc>
        <w:tc>
          <w:tcPr>
            <w:tcW w:w="791" w:type="pct"/>
            <w:shd w:val="clear" w:color="auto" w:fill="auto"/>
            <w:noWrap/>
            <w:hideMark/>
          </w:tcPr>
          <w:p w14:paraId="584E762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0.9 (0.85, 0.94)</w:t>
            </w:r>
          </w:p>
        </w:tc>
        <w:tc>
          <w:tcPr>
            <w:tcW w:w="791" w:type="pct"/>
            <w:shd w:val="clear" w:color="auto" w:fill="auto"/>
            <w:noWrap/>
            <w:hideMark/>
          </w:tcPr>
          <w:p w14:paraId="5518AD09"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0.71 (0.42, 0.92)</w:t>
            </w:r>
          </w:p>
        </w:tc>
        <w:tc>
          <w:tcPr>
            <w:tcW w:w="816" w:type="pct"/>
            <w:gridSpan w:val="2"/>
            <w:shd w:val="clear" w:color="auto" w:fill="auto"/>
            <w:noWrap/>
            <w:hideMark/>
          </w:tcPr>
          <w:p w14:paraId="2EB30272"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0.76 (0.70, 0.82)</w:t>
            </w:r>
          </w:p>
        </w:tc>
        <w:tc>
          <w:tcPr>
            <w:tcW w:w="394" w:type="pct"/>
          </w:tcPr>
          <w:p w14:paraId="24719087" w14:textId="003F9A86"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Sung et al, 2011</w:t>
            </w:r>
          </w:p>
        </w:tc>
      </w:tr>
      <w:tr w:rsidR="00E47AB8" w:rsidRPr="008B2F8A" w14:paraId="0F2DD506" w14:textId="77777777" w:rsidTr="00A6193E">
        <w:tc>
          <w:tcPr>
            <w:tcW w:w="1416" w:type="pct"/>
            <w:shd w:val="clear" w:color="auto" w:fill="auto"/>
            <w:noWrap/>
          </w:tcPr>
          <w:p w14:paraId="42C1EDF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Women with chest radiotherapy between 10 and 35 years</w:t>
            </w:r>
          </w:p>
        </w:tc>
        <w:tc>
          <w:tcPr>
            <w:tcW w:w="792" w:type="pct"/>
            <w:shd w:val="clear" w:color="auto" w:fill="auto"/>
            <w:noWrap/>
            <w:hideMark/>
          </w:tcPr>
          <w:p w14:paraId="24D3EEF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0.68 (0.43, 0.87)</w:t>
            </w:r>
          </w:p>
        </w:tc>
        <w:tc>
          <w:tcPr>
            <w:tcW w:w="791" w:type="pct"/>
            <w:shd w:val="clear" w:color="auto" w:fill="auto"/>
            <w:noWrap/>
            <w:hideMark/>
          </w:tcPr>
          <w:p w14:paraId="718303F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0.92 (0.89, 0.95)</w:t>
            </w:r>
          </w:p>
        </w:tc>
        <w:tc>
          <w:tcPr>
            <w:tcW w:w="791" w:type="pct"/>
            <w:shd w:val="clear" w:color="auto" w:fill="auto"/>
            <w:noWrap/>
            <w:hideMark/>
          </w:tcPr>
          <w:p w14:paraId="4A3D230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0.95 (0.74, 1.00)</w:t>
            </w:r>
          </w:p>
        </w:tc>
        <w:tc>
          <w:tcPr>
            <w:tcW w:w="816" w:type="pct"/>
            <w:gridSpan w:val="2"/>
            <w:shd w:val="clear" w:color="auto" w:fill="auto"/>
            <w:noWrap/>
            <w:hideMark/>
          </w:tcPr>
          <w:p w14:paraId="2676ACA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0.86 (0.82, 0.90)</w:t>
            </w:r>
          </w:p>
        </w:tc>
        <w:tc>
          <w:tcPr>
            <w:tcW w:w="394" w:type="pct"/>
          </w:tcPr>
          <w:p w14:paraId="31C9361D" w14:textId="2317C0E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Ng et al, 2013</w:t>
            </w:r>
          </w:p>
        </w:tc>
      </w:tr>
    </w:tbl>
    <w:p w14:paraId="6C51FC87" w14:textId="61501690" w:rsidR="00E47AB8" w:rsidRPr="008B2F8A" w:rsidRDefault="00E47AB8" w:rsidP="00A6193E">
      <w:pPr>
        <w:pStyle w:val="TableNotesFirst"/>
      </w:pPr>
      <w:r w:rsidRPr="008B2F8A">
        <w:rPr>
          <w:vertAlign w:val="superscript"/>
        </w:rPr>
        <w:t xml:space="preserve">a </w:t>
      </w:r>
      <w:r w:rsidRPr="00A6193E">
        <w:rPr>
          <w:i/>
        </w:rPr>
        <w:t>BRCA1</w:t>
      </w:r>
      <w:r w:rsidRPr="008B2F8A">
        <w:t>/</w:t>
      </w:r>
      <w:r w:rsidRPr="00A6193E">
        <w:rPr>
          <w:i/>
        </w:rPr>
        <w:t>BRCA2</w:t>
      </w:r>
      <w:r w:rsidRPr="008B2F8A">
        <w:t xml:space="preserve"> patients only BI-RADS 4 </w:t>
      </w:r>
      <w:r>
        <w:t>and</w:t>
      </w:r>
      <w:r w:rsidRPr="008B2F8A">
        <w:t xml:space="preserve"> 5.</w:t>
      </w:r>
    </w:p>
    <w:p w14:paraId="2051AD79" w14:textId="77777777" w:rsidR="00E47AB8" w:rsidRPr="008B2F8A" w:rsidRDefault="00E47AB8" w:rsidP="00A6193E">
      <w:pPr>
        <w:pStyle w:val="TableNotesMiddle"/>
      </w:pPr>
      <w:r w:rsidRPr="008B2F8A">
        <w:rPr>
          <w:vertAlign w:val="superscript"/>
        </w:rPr>
        <w:t xml:space="preserve">b </w:t>
      </w:r>
      <w:r w:rsidRPr="008B2F8A">
        <w:t>Confidence intervals were not reported; therefore</w:t>
      </w:r>
      <w:r>
        <w:t>,</w:t>
      </w:r>
      <w:r w:rsidRPr="008B2F8A">
        <w:t xml:space="preserve"> assume the same width (0.01 from the mean) as for mammography alone.</w:t>
      </w:r>
    </w:p>
    <w:p w14:paraId="7878BA1E" w14:textId="77777777" w:rsidR="00E47AB8" w:rsidRPr="008B2F8A" w:rsidRDefault="00E47AB8" w:rsidP="00A6193E">
      <w:pPr>
        <w:pStyle w:val="TableNotesLast"/>
      </w:pPr>
      <w:r w:rsidRPr="008B2F8A">
        <w:rPr>
          <w:rFonts w:eastAsiaTheme="minorHAnsi"/>
        </w:rPr>
        <w:t>DCIS = ductal carcinoma in situ; LCIS = lobular carcinoma in situ; MRI = magnetic resonance imaging.</w:t>
      </w:r>
    </w:p>
    <w:p w14:paraId="4A8915D2" w14:textId="74F48391" w:rsidR="00E47AB8" w:rsidRPr="007C6E89" w:rsidRDefault="00E47AB8" w:rsidP="00422306">
      <w:pPr>
        <w:spacing w:after="200"/>
        <w:rPr>
          <w:rFonts w:eastAsiaTheme="minorHAnsi" w:cstheme="minorBidi"/>
        </w:rPr>
      </w:pPr>
      <w:r w:rsidRPr="007C6E89">
        <w:rPr>
          <w:rFonts w:eastAsiaTheme="minorHAnsi" w:cstheme="minorBidi"/>
        </w:rPr>
        <w:t xml:space="preserve">For mammography alone, age-specific sensitivity estimates were adjusted to account for the fact that mammography is associated with lower sensitivity in younger women owing to thicker breast tissue. This adjustment was done using the same approach as that described in the NICE (2013) economic evaluation, whereby relative sensitivity figures were drawn from the literature </w:t>
      </w:r>
      <w:r w:rsidRPr="007C6E89">
        <w:rPr>
          <w:rFonts w:eastAsiaTheme="minorHAnsi" w:cstheme="minorBidi"/>
          <w:noProof/>
        </w:rPr>
        <w:t>(</w:t>
      </w:r>
      <w:bookmarkStart w:id="1112" w:name="OLE_LINK884"/>
      <w:bookmarkStart w:id="1113" w:name="OLE_LINK885"/>
      <w:r w:rsidRPr="007C6E89">
        <w:rPr>
          <w:rFonts w:eastAsiaTheme="minorHAnsi" w:cstheme="minorBidi"/>
          <w:noProof/>
        </w:rPr>
        <w:t>Kerlikowske et al, 1996</w:t>
      </w:r>
      <w:bookmarkEnd w:id="1112"/>
      <w:bookmarkEnd w:id="1113"/>
      <w:r w:rsidRPr="007C6E89">
        <w:rPr>
          <w:rFonts w:eastAsiaTheme="minorHAnsi" w:cstheme="minorBidi"/>
          <w:noProof/>
        </w:rPr>
        <w:t>)</w:t>
      </w:r>
      <w:r w:rsidRPr="007C6E89">
        <w:rPr>
          <w:rFonts w:eastAsiaTheme="minorHAnsi" w:cstheme="minorBidi"/>
        </w:rPr>
        <w:t xml:space="preserve"> and applied to the population-specific diagnostic accuracy data. As shown in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_Ref376937037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Figure </w:t>
      </w:r>
      <w:r w:rsidR="00B81273">
        <w:rPr>
          <w:noProof/>
        </w:rPr>
        <w:t>D</w:t>
      </w:r>
      <w:r w:rsidR="00B81273" w:rsidRPr="008B2F8A">
        <w:t>.</w:t>
      </w:r>
      <w:r w:rsidR="00B81273">
        <w:rPr>
          <w:noProof/>
        </w:rPr>
        <w:t>3</w:t>
      </w:r>
      <w:r w:rsidRPr="008B2F8A">
        <w:rPr>
          <w:rFonts w:asciiTheme="minorHAnsi" w:eastAsiaTheme="minorHAnsi" w:hAnsiTheme="minorHAnsi" w:cstheme="minorBidi"/>
        </w:rPr>
        <w:fldChar w:fldCharType="end"/>
      </w:r>
      <w:r w:rsidRPr="007C6E89">
        <w:rPr>
          <w:rFonts w:eastAsiaTheme="minorHAnsi" w:cstheme="minorBidi"/>
        </w:rPr>
        <w:t xml:space="preserve">, the age-adjusted sensitivity of mammography used in the model follows the same pattern as the sensitivity distribution reported by Kerlikowske et al </w:t>
      </w:r>
      <w:r w:rsidRPr="007C6E89">
        <w:rPr>
          <w:rFonts w:eastAsiaTheme="minorHAnsi" w:cstheme="minorBidi"/>
          <w:noProof/>
        </w:rPr>
        <w:t>(1996),</w:t>
      </w:r>
      <w:r w:rsidRPr="007C6E89">
        <w:rPr>
          <w:rFonts w:eastAsiaTheme="minorHAnsi" w:cstheme="minorBidi"/>
        </w:rPr>
        <w:t xml:space="preserve"> albeit relative to the sensitivity data for women at high risk of breast cancer (presented in Section B).</w:t>
      </w:r>
    </w:p>
    <w:p w14:paraId="0816FC20" w14:textId="77777777" w:rsidR="00E47AB8" w:rsidRPr="008B2F8A" w:rsidRDefault="00E47AB8" w:rsidP="00422306">
      <w:pPr>
        <w:pStyle w:val="Caption"/>
      </w:pPr>
      <w:bookmarkStart w:id="1114" w:name="_Ref376937037"/>
      <w:bookmarkStart w:id="1115" w:name="_Toc383424679"/>
      <w:r w:rsidRPr="008B2F8A">
        <w:t xml:space="preserve">Figure </w:t>
      </w:r>
      <w:fldSimple w:instr=" STYLEREF 1 \s ">
        <w:r w:rsidR="00B81273">
          <w:rPr>
            <w:noProof/>
          </w:rPr>
          <w:t>D</w:t>
        </w:r>
      </w:fldSimple>
      <w:r w:rsidRPr="008B2F8A">
        <w:t>.</w:t>
      </w:r>
      <w:fldSimple w:instr=" SEQ Figure \* ARABIC \s 1 ">
        <w:r w:rsidR="00B81273">
          <w:rPr>
            <w:noProof/>
          </w:rPr>
          <w:t>3</w:t>
        </w:r>
      </w:fldSimple>
      <w:bookmarkEnd w:id="1114"/>
      <w:r w:rsidRPr="008B2F8A">
        <w:tab/>
      </w:r>
      <w:bookmarkStart w:id="1116" w:name="OLE_LINK1091"/>
      <w:bookmarkStart w:id="1117" w:name="OLE_LINK1092"/>
      <w:r w:rsidRPr="008B2F8A">
        <w:t>Sensitivity of mammography by age</w:t>
      </w:r>
      <w:bookmarkEnd w:id="1116"/>
      <w:bookmarkEnd w:id="1117"/>
      <w:r w:rsidRPr="008B2F8A">
        <w:t>.</w:t>
      </w:r>
      <w:bookmarkEnd w:id="1115"/>
    </w:p>
    <w:p w14:paraId="74D2FB23" w14:textId="77777777" w:rsidR="00E47AB8" w:rsidRPr="007C6E89" w:rsidRDefault="00E47AB8" w:rsidP="00A6193E">
      <w:pPr>
        <w:keepNext/>
        <w:keepLines/>
        <w:spacing w:after="200"/>
        <w:jc w:val="center"/>
        <w:rPr>
          <w:rFonts w:eastAsiaTheme="minorHAnsi" w:cstheme="minorBidi"/>
        </w:rPr>
      </w:pPr>
      <w:r w:rsidRPr="007C6E89">
        <w:rPr>
          <w:rFonts w:eastAsiaTheme="minorHAnsi" w:cstheme="minorBidi"/>
          <w:noProof/>
          <w:lang w:eastAsia="en-AU"/>
        </w:rPr>
        <w:drawing>
          <wp:inline distT="0" distB="0" distL="0" distR="0" wp14:anchorId="39CAACA6" wp14:editId="2F4E2416">
            <wp:extent cx="5405120" cy="2895600"/>
            <wp:effectExtent l="0" t="0" r="5080" b="0"/>
            <wp:docPr id="21" name="Picture 1" descr="Graph with 2 curves rising with age to 55 years and then slightly declining" title="Sensitivity of mammography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8" cstate="print"/>
                    <a:srcRect l="3014" t="9895" r="2660" b="1969"/>
                    <a:stretch/>
                  </pic:blipFill>
                  <pic:spPr bwMode="auto">
                    <a:xfrm>
                      <a:off x="0" y="0"/>
                      <a:ext cx="5406325" cy="2896246"/>
                    </a:xfrm>
                    <a:prstGeom prst="rect">
                      <a:avLst/>
                    </a:prstGeom>
                    <a:noFill/>
                    <a:ln>
                      <a:noFill/>
                    </a:ln>
                    <a:extLst>
                      <a:ext uri="{53640926-AAD7-44D8-BBD7-CCE9431645EC}">
                        <a14:shadowObscured xmlns:a14="http://schemas.microsoft.com/office/drawing/2010/main"/>
                      </a:ext>
                    </a:extLst>
                  </pic:spPr>
                </pic:pic>
              </a:graphicData>
            </a:graphic>
          </wp:inline>
        </w:drawing>
      </w:r>
    </w:p>
    <w:p w14:paraId="5CF971AA" w14:textId="3519CAE7" w:rsidR="00E47AB8" w:rsidRPr="007C6E89" w:rsidRDefault="00E47AB8" w:rsidP="00A6193E">
      <w:pPr>
        <w:pStyle w:val="TableNotesLast"/>
        <w:rPr>
          <w:rFonts w:eastAsiaTheme="minorHAnsi" w:cstheme="minorBidi"/>
        </w:rPr>
      </w:pPr>
      <w:r w:rsidRPr="008B2F8A">
        <w:t>Note</w:t>
      </w:r>
      <w:r>
        <w:t>:</w:t>
      </w:r>
      <w:r w:rsidRPr="008B2F8A">
        <w:t xml:space="preserve"> The sensitivity data in this figure are for the familial high-risk population. The same age adjustment applies to the other populations</w:t>
      </w:r>
      <w:r>
        <w:t>,</w:t>
      </w:r>
      <w:r w:rsidRPr="008B2F8A">
        <w:t xml:space="preserve"> although the absolute sensitivity levels will differ.</w:t>
      </w:r>
    </w:p>
    <w:p w14:paraId="688A5BA6" w14:textId="77777777" w:rsidR="00E47AB8" w:rsidRPr="008B2F8A" w:rsidRDefault="00E47AB8" w:rsidP="00E47AB8">
      <w:pPr>
        <w:pStyle w:val="Heading3"/>
        <w:numPr>
          <w:ilvl w:val="2"/>
          <w:numId w:val="42"/>
        </w:numPr>
      </w:pPr>
      <w:bookmarkStart w:id="1118" w:name="_Ref358034079"/>
      <w:bookmarkStart w:id="1119" w:name="_Toc358810408"/>
      <w:bookmarkStart w:id="1120" w:name="_Toc383424498"/>
      <w:r w:rsidRPr="008B2F8A">
        <w:lastRenderedPageBreak/>
        <w:t>Cost variables</w:t>
      </w:r>
      <w:bookmarkEnd w:id="1118"/>
      <w:bookmarkEnd w:id="1119"/>
      <w:bookmarkEnd w:id="1120"/>
    </w:p>
    <w:p w14:paraId="1EEAE7CB" w14:textId="77777777" w:rsidR="00E47AB8" w:rsidRPr="008B2F8A" w:rsidRDefault="00E47AB8" w:rsidP="00422306">
      <w:pPr>
        <w:pStyle w:val="Heading4"/>
      </w:pPr>
      <w:r w:rsidRPr="008B2F8A">
        <w:t>Cost of screening</w:t>
      </w:r>
    </w:p>
    <w:p w14:paraId="34CB0D38" w14:textId="27121CEE" w:rsidR="00E47AB8" w:rsidRPr="007C6E89" w:rsidRDefault="00E47AB8" w:rsidP="00422306">
      <w:pPr>
        <w:spacing w:after="200"/>
        <w:rPr>
          <w:rFonts w:eastAsiaTheme="minorHAnsi" w:cstheme="minorBidi"/>
        </w:rPr>
      </w:pPr>
      <w:r w:rsidRPr="007C6E89">
        <w:rPr>
          <w:rFonts w:eastAsiaTheme="minorHAnsi" w:cstheme="minorBidi"/>
        </w:rPr>
        <w:t>The costs of screening consist of MRI + mammography for the intervention arm and mammography alone for the control arm. These costs were based on the current MBS item fees for MRI (item 63464) and mammography (item 59300), which are $690.00 and $89.50, respectively</w:t>
      </w:r>
      <w:r w:rsidR="00775ACC">
        <w:rPr>
          <w:rFonts w:eastAsiaTheme="minorHAnsi" w:cstheme="minorBidi"/>
        </w:rPr>
        <w:t xml:space="preserve"> (</w:t>
      </w:r>
      <w:r w:rsidR="00775ACC">
        <w:rPr>
          <w:rFonts w:eastAsiaTheme="minorHAnsi" w:cstheme="minorBidi"/>
        </w:rPr>
        <w:fldChar w:fldCharType="begin"/>
      </w:r>
      <w:r w:rsidR="00775ACC">
        <w:rPr>
          <w:rFonts w:eastAsiaTheme="minorHAnsi" w:cstheme="minorBidi"/>
        </w:rPr>
        <w:instrText xml:space="preserve"> REF _Ref383162003 \h </w:instrText>
      </w:r>
      <w:r w:rsidR="00775ACC">
        <w:rPr>
          <w:rFonts w:eastAsiaTheme="minorHAnsi" w:cstheme="minorBidi"/>
        </w:rPr>
      </w:r>
      <w:r w:rsidR="00775ACC">
        <w:rPr>
          <w:rFonts w:eastAsiaTheme="minorHAnsi" w:cstheme="minorBidi"/>
        </w:rPr>
        <w:fldChar w:fldCharType="separate"/>
      </w:r>
      <w:r w:rsidR="00B81273" w:rsidRPr="008B2F8A">
        <w:t xml:space="preserve">Table </w:t>
      </w:r>
      <w:r w:rsidR="00B81273">
        <w:rPr>
          <w:noProof/>
        </w:rPr>
        <w:t>D</w:t>
      </w:r>
      <w:r w:rsidR="00B81273" w:rsidRPr="008B2F8A">
        <w:t>.</w:t>
      </w:r>
      <w:r w:rsidR="00B81273">
        <w:rPr>
          <w:noProof/>
        </w:rPr>
        <w:t>10</w:t>
      </w:r>
      <w:r w:rsidR="00775ACC">
        <w:rPr>
          <w:rFonts w:eastAsiaTheme="minorHAnsi" w:cstheme="minorBidi"/>
        </w:rPr>
        <w:fldChar w:fldCharType="end"/>
      </w:r>
      <w:r w:rsidR="00775ACC">
        <w:rPr>
          <w:rFonts w:eastAsiaTheme="minorHAnsi" w:cstheme="minorBidi"/>
        </w:rPr>
        <w:t>)</w:t>
      </w:r>
      <w:r w:rsidRPr="007C6E89">
        <w:rPr>
          <w:rFonts w:eastAsiaTheme="minorHAnsi" w:cstheme="minorBidi"/>
        </w:rPr>
        <w:t>. True-negative individuals continue to accrue these costs annually.</w:t>
      </w:r>
    </w:p>
    <w:p w14:paraId="6CC6F934" w14:textId="77777777" w:rsidR="00E47AB8" w:rsidRPr="008B2F8A" w:rsidRDefault="00E47AB8" w:rsidP="00422306">
      <w:pPr>
        <w:pStyle w:val="Caption"/>
      </w:pPr>
      <w:bookmarkStart w:id="1121" w:name="_Ref383162003"/>
      <w:bookmarkStart w:id="1122" w:name="_Toc383424619"/>
      <w:r w:rsidRPr="008B2F8A">
        <w:t xml:space="preserve">Table </w:t>
      </w:r>
      <w:fldSimple w:instr=" STYLEREF 1 \s ">
        <w:r w:rsidR="00B81273">
          <w:rPr>
            <w:noProof/>
          </w:rPr>
          <w:t>D</w:t>
        </w:r>
      </w:fldSimple>
      <w:r w:rsidRPr="008B2F8A">
        <w:t>.</w:t>
      </w:r>
      <w:fldSimple w:instr=" SEQ Table \* ARABIC \s 1 ">
        <w:r w:rsidR="00B81273">
          <w:rPr>
            <w:noProof/>
          </w:rPr>
          <w:t>10</w:t>
        </w:r>
      </w:fldSimple>
      <w:bookmarkEnd w:id="1121"/>
      <w:r w:rsidRPr="008B2F8A">
        <w:tab/>
      </w:r>
      <w:bookmarkStart w:id="1123" w:name="OLE_LINK1093"/>
      <w:bookmarkStart w:id="1124" w:name="OLE_LINK1094"/>
      <w:r w:rsidRPr="008B2F8A">
        <w:t>Cost of MRI and mammography</w:t>
      </w:r>
      <w:bookmarkEnd w:id="1123"/>
      <w:bookmarkEnd w:id="1124"/>
      <w:r w:rsidRPr="008B2F8A">
        <w:t>.</w:t>
      </w:r>
      <w:bookmarkEnd w:id="1122"/>
    </w:p>
    <w:tbl>
      <w:tblPr>
        <w:tblW w:w="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Cost of MRI and mammography"/>
      </w:tblPr>
      <w:tblGrid>
        <w:gridCol w:w="2448"/>
        <w:gridCol w:w="2982"/>
        <w:gridCol w:w="1130"/>
      </w:tblGrid>
      <w:tr w:rsidR="00E47AB8" w:rsidRPr="008B2F8A" w14:paraId="02D525ED" w14:textId="77777777" w:rsidTr="00A6193E">
        <w:trPr>
          <w:tblHeader/>
        </w:trPr>
        <w:tc>
          <w:tcPr>
            <w:tcW w:w="1866" w:type="pct"/>
            <w:shd w:val="clear" w:color="auto" w:fill="EEECE1" w:themeFill="background2"/>
            <w:noWrap/>
          </w:tcPr>
          <w:p w14:paraId="28533442"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Cost item</w:t>
            </w:r>
          </w:p>
        </w:tc>
        <w:tc>
          <w:tcPr>
            <w:tcW w:w="2273" w:type="pct"/>
            <w:shd w:val="clear" w:color="auto" w:fill="EEECE1" w:themeFill="background2"/>
            <w:noWrap/>
          </w:tcPr>
          <w:p w14:paraId="1B087EE7"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Reference</w:t>
            </w:r>
          </w:p>
        </w:tc>
        <w:tc>
          <w:tcPr>
            <w:tcW w:w="861" w:type="pct"/>
            <w:shd w:val="clear" w:color="auto" w:fill="EEECE1" w:themeFill="background2"/>
          </w:tcPr>
          <w:p w14:paraId="2FF91CDD" w14:textId="77777777" w:rsidR="00E47AB8" w:rsidRPr="008B2F8A" w:rsidRDefault="00E47AB8" w:rsidP="00422306">
            <w:pPr>
              <w:spacing w:before="40" w:after="80"/>
              <w:jc w:val="center"/>
              <w:rPr>
                <w:rFonts w:ascii="Arial Narrow" w:eastAsia="Times New Roman" w:hAnsi="Arial Narrow"/>
                <w:b/>
                <w:sz w:val="20"/>
                <w:szCs w:val="20"/>
              </w:rPr>
            </w:pPr>
            <w:r w:rsidRPr="008B2F8A">
              <w:rPr>
                <w:rFonts w:ascii="Arial Narrow" w:eastAsia="Times New Roman" w:hAnsi="Arial Narrow"/>
                <w:b/>
                <w:sz w:val="20"/>
                <w:szCs w:val="20"/>
              </w:rPr>
              <w:t>Unit cost</w:t>
            </w:r>
          </w:p>
        </w:tc>
      </w:tr>
      <w:tr w:rsidR="00E47AB8" w:rsidRPr="008B2F8A" w14:paraId="686655F9" w14:textId="77777777" w:rsidTr="00A6193E">
        <w:tc>
          <w:tcPr>
            <w:tcW w:w="1866" w:type="pct"/>
            <w:shd w:val="clear" w:color="auto" w:fill="auto"/>
            <w:noWrap/>
            <w:hideMark/>
          </w:tcPr>
          <w:p w14:paraId="461CAE31"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MRI scan</w:t>
            </w:r>
          </w:p>
        </w:tc>
        <w:tc>
          <w:tcPr>
            <w:tcW w:w="2273" w:type="pct"/>
            <w:shd w:val="clear" w:color="auto" w:fill="auto"/>
            <w:noWrap/>
          </w:tcPr>
          <w:p w14:paraId="5553776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63464</w:t>
            </w:r>
          </w:p>
        </w:tc>
        <w:tc>
          <w:tcPr>
            <w:tcW w:w="861" w:type="pct"/>
          </w:tcPr>
          <w:p w14:paraId="7E178C17" w14:textId="77777777" w:rsidR="00E47AB8" w:rsidRPr="008B2F8A" w:rsidRDefault="00E47AB8" w:rsidP="00422306">
            <w:pPr>
              <w:spacing w:before="40" w:after="80"/>
              <w:jc w:val="right"/>
              <w:rPr>
                <w:rFonts w:ascii="Arial Narrow" w:hAnsi="Arial Narrow"/>
                <w:sz w:val="20"/>
                <w:szCs w:val="20"/>
                <w:lang w:eastAsia="en-AU"/>
              </w:rPr>
            </w:pPr>
            <w:r w:rsidRPr="008B2F8A">
              <w:rPr>
                <w:rFonts w:ascii="Arial Narrow" w:hAnsi="Arial Narrow"/>
                <w:sz w:val="20"/>
                <w:szCs w:val="20"/>
                <w:lang w:eastAsia="en-AU"/>
              </w:rPr>
              <w:t>$690.00</w:t>
            </w:r>
          </w:p>
        </w:tc>
      </w:tr>
      <w:tr w:rsidR="00E47AB8" w:rsidRPr="008B2F8A" w14:paraId="1DA1E462" w14:textId="77777777" w:rsidTr="00A6193E">
        <w:tc>
          <w:tcPr>
            <w:tcW w:w="1866" w:type="pct"/>
            <w:shd w:val="clear" w:color="auto" w:fill="auto"/>
            <w:noWrap/>
            <w:hideMark/>
          </w:tcPr>
          <w:p w14:paraId="38FD28F8"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Mammography</w:t>
            </w:r>
          </w:p>
        </w:tc>
        <w:tc>
          <w:tcPr>
            <w:tcW w:w="2273" w:type="pct"/>
            <w:shd w:val="clear" w:color="auto" w:fill="auto"/>
            <w:noWrap/>
          </w:tcPr>
          <w:p w14:paraId="63198111"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59300</w:t>
            </w:r>
          </w:p>
        </w:tc>
        <w:tc>
          <w:tcPr>
            <w:tcW w:w="861" w:type="pct"/>
          </w:tcPr>
          <w:p w14:paraId="6479543F" w14:textId="77777777" w:rsidR="00E47AB8" w:rsidRPr="008B2F8A" w:rsidRDefault="00E47AB8" w:rsidP="00422306">
            <w:pPr>
              <w:spacing w:before="40" w:after="80"/>
              <w:jc w:val="right"/>
              <w:rPr>
                <w:rFonts w:ascii="Arial Narrow" w:hAnsi="Arial Narrow"/>
                <w:sz w:val="20"/>
                <w:szCs w:val="20"/>
                <w:lang w:eastAsia="en-AU"/>
              </w:rPr>
            </w:pPr>
            <w:r w:rsidRPr="008B2F8A">
              <w:rPr>
                <w:rFonts w:ascii="Arial Narrow" w:hAnsi="Arial Narrow"/>
                <w:sz w:val="20"/>
                <w:szCs w:val="20"/>
                <w:lang w:eastAsia="en-AU"/>
              </w:rPr>
              <w:t>$89.50</w:t>
            </w:r>
          </w:p>
        </w:tc>
      </w:tr>
      <w:tr w:rsidR="00E47AB8" w:rsidRPr="008B2F8A" w14:paraId="0B6E0C45" w14:textId="77777777" w:rsidTr="00A6193E">
        <w:tc>
          <w:tcPr>
            <w:tcW w:w="1866" w:type="pct"/>
            <w:shd w:val="clear" w:color="auto" w:fill="auto"/>
            <w:noWrap/>
          </w:tcPr>
          <w:p w14:paraId="66C341DD" w14:textId="748C40FA"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Cost of MRI </w:t>
            </w:r>
            <w:r>
              <w:rPr>
                <w:rFonts w:ascii="Arial Narrow" w:hAnsi="Arial Narrow"/>
                <w:sz w:val="20"/>
                <w:szCs w:val="20"/>
                <w:lang w:eastAsia="en-AU"/>
              </w:rPr>
              <w:t>+</w:t>
            </w:r>
            <w:r w:rsidRPr="008B2F8A">
              <w:rPr>
                <w:rFonts w:ascii="Arial Narrow" w:hAnsi="Arial Narrow"/>
                <w:sz w:val="20"/>
                <w:szCs w:val="20"/>
                <w:lang w:eastAsia="en-AU"/>
              </w:rPr>
              <w:t xml:space="preserve"> mammography</w:t>
            </w:r>
          </w:p>
        </w:tc>
        <w:tc>
          <w:tcPr>
            <w:tcW w:w="2273" w:type="pct"/>
            <w:shd w:val="clear" w:color="auto" w:fill="auto"/>
            <w:noWrap/>
          </w:tcPr>
          <w:p w14:paraId="6BC2B95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63464 and MBS item 59300</w:t>
            </w:r>
          </w:p>
        </w:tc>
        <w:tc>
          <w:tcPr>
            <w:tcW w:w="861" w:type="pct"/>
          </w:tcPr>
          <w:p w14:paraId="284C1FD6" w14:textId="77777777" w:rsidR="00E47AB8" w:rsidRPr="008B2F8A" w:rsidRDefault="00E47AB8" w:rsidP="00422306">
            <w:pPr>
              <w:spacing w:before="40" w:after="80"/>
              <w:jc w:val="right"/>
              <w:rPr>
                <w:rFonts w:ascii="Arial Narrow" w:hAnsi="Arial Narrow"/>
                <w:sz w:val="20"/>
                <w:szCs w:val="20"/>
                <w:lang w:eastAsia="en-AU"/>
              </w:rPr>
            </w:pPr>
            <w:r w:rsidRPr="008B2F8A">
              <w:rPr>
                <w:rFonts w:ascii="Arial Narrow" w:hAnsi="Arial Narrow"/>
                <w:sz w:val="20"/>
                <w:szCs w:val="20"/>
                <w:lang w:eastAsia="en-AU"/>
              </w:rPr>
              <w:t>$779.50</w:t>
            </w:r>
          </w:p>
        </w:tc>
      </w:tr>
    </w:tbl>
    <w:p w14:paraId="17D95709" w14:textId="77777777" w:rsidR="00E47AB8" w:rsidRPr="008B2F8A" w:rsidRDefault="00E47AB8" w:rsidP="00A6193E">
      <w:pPr>
        <w:pStyle w:val="TableNotesLast"/>
        <w:rPr>
          <w:rFonts w:eastAsiaTheme="minorHAnsi"/>
        </w:rPr>
      </w:pPr>
      <w:r w:rsidRPr="008B2F8A">
        <w:rPr>
          <w:rFonts w:eastAsiaTheme="minorHAnsi"/>
        </w:rPr>
        <w:t>MRI = magnetic resonance imaging.</w:t>
      </w:r>
    </w:p>
    <w:p w14:paraId="07ECAEF1" w14:textId="77777777" w:rsidR="00E47AB8" w:rsidRPr="008B2F8A" w:rsidRDefault="00E47AB8" w:rsidP="00422306">
      <w:pPr>
        <w:pStyle w:val="Heading4"/>
      </w:pPr>
      <w:r w:rsidRPr="008B2F8A">
        <w:t>Cost of a true-positive diagnosis</w:t>
      </w:r>
    </w:p>
    <w:p w14:paraId="1E000FA5" w14:textId="491567C5" w:rsidR="00E47AB8" w:rsidRPr="007C6E89" w:rsidRDefault="00E47AB8" w:rsidP="00422306">
      <w:pPr>
        <w:spacing w:after="200"/>
        <w:rPr>
          <w:rFonts w:eastAsiaTheme="minorHAnsi" w:cstheme="minorBidi"/>
        </w:rPr>
      </w:pPr>
      <w:r w:rsidRPr="007C6E89">
        <w:rPr>
          <w:rFonts w:eastAsiaTheme="minorHAnsi" w:cstheme="minorBidi"/>
        </w:rPr>
        <w:t>In patients that receive a true-positive diagnosis of breast cancer, the cost of the first year of cancer treatment consists of a specialist consultation, biopsy, ultrasound, follow-up MRI, wide local excision or mastectomy (</w:t>
      </w:r>
      <w:bookmarkStart w:id="1125" w:name="OLE_LINK143"/>
      <w:bookmarkStart w:id="1126" w:name="OLE_LINK144"/>
      <w:r w:rsidRPr="007C6E89">
        <w:rPr>
          <w:rFonts w:eastAsiaTheme="minorHAnsi" w:cstheme="minorBidi"/>
        </w:rPr>
        <w:t xml:space="preserve">ARDRG </w:t>
      </w:r>
      <w:bookmarkStart w:id="1127" w:name="OLE_LINK202"/>
      <w:bookmarkStart w:id="1128" w:name="OLE_LINK203"/>
      <w:bookmarkEnd w:id="1125"/>
      <w:bookmarkEnd w:id="1126"/>
      <w:r w:rsidRPr="007C6E89">
        <w:rPr>
          <w:rFonts w:eastAsiaTheme="minorHAnsi" w:cstheme="minorBidi"/>
        </w:rPr>
        <w:t>J06A</w:t>
      </w:r>
      <w:bookmarkEnd w:id="1127"/>
      <w:bookmarkEnd w:id="1128"/>
      <w:r w:rsidRPr="007C6E89">
        <w:rPr>
          <w:rFonts w:eastAsiaTheme="minorHAnsi" w:cstheme="minorBidi"/>
        </w:rPr>
        <w:t>), chemotherapy and 1 year of tamoxifen therapy</w:t>
      </w:r>
      <w:r w:rsidR="00775ACC">
        <w:rPr>
          <w:rFonts w:eastAsiaTheme="minorHAnsi" w:cstheme="minorBidi"/>
        </w:rPr>
        <w:t xml:space="preserve"> (</w:t>
      </w:r>
      <w:r w:rsidR="00775ACC">
        <w:rPr>
          <w:rFonts w:eastAsiaTheme="minorHAnsi" w:cstheme="minorBidi"/>
        </w:rPr>
        <w:fldChar w:fldCharType="begin"/>
      </w:r>
      <w:r w:rsidR="00775ACC">
        <w:rPr>
          <w:rFonts w:eastAsiaTheme="minorHAnsi" w:cstheme="minorBidi"/>
        </w:rPr>
        <w:instrText xml:space="preserve"> REF _Ref375573288 \h </w:instrText>
      </w:r>
      <w:r w:rsidR="00775ACC">
        <w:rPr>
          <w:rFonts w:eastAsiaTheme="minorHAnsi" w:cstheme="minorBidi"/>
        </w:rPr>
      </w:r>
      <w:r w:rsidR="00775ACC">
        <w:rPr>
          <w:rFonts w:eastAsiaTheme="minorHAnsi" w:cstheme="minorBidi"/>
        </w:rPr>
        <w:fldChar w:fldCharType="separate"/>
      </w:r>
      <w:r w:rsidR="00B81273" w:rsidRPr="008B2F8A">
        <w:t xml:space="preserve">Table </w:t>
      </w:r>
      <w:r w:rsidR="00B81273">
        <w:rPr>
          <w:noProof/>
        </w:rPr>
        <w:t>D</w:t>
      </w:r>
      <w:r w:rsidR="00B81273" w:rsidRPr="008B2F8A">
        <w:t>.</w:t>
      </w:r>
      <w:r w:rsidR="00B81273">
        <w:rPr>
          <w:noProof/>
        </w:rPr>
        <w:t>11</w:t>
      </w:r>
      <w:r w:rsidR="00775ACC">
        <w:rPr>
          <w:rFonts w:eastAsiaTheme="minorHAnsi" w:cstheme="minorBidi"/>
        </w:rPr>
        <w:fldChar w:fldCharType="end"/>
      </w:r>
      <w:r w:rsidR="00775ACC">
        <w:rPr>
          <w:rFonts w:eastAsiaTheme="minorHAnsi" w:cstheme="minorBidi"/>
        </w:rPr>
        <w:t>)</w:t>
      </w:r>
      <w:r w:rsidRPr="007C6E89">
        <w:rPr>
          <w:rFonts w:eastAsiaTheme="minorHAnsi" w:cstheme="minorBidi"/>
        </w:rPr>
        <w:t>.</w:t>
      </w:r>
    </w:p>
    <w:p w14:paraId="0364FA59" w14:textId="77777777" w:rsidR="00E47AB8" w:rsidRPr="008B2F8A" w:rsidRDefault="00E47AB8" w:rsidP="00422306">
      <w:pPr>
        <w:pStyle w:val="Caption"/>
      </w:pPr>
      <w:bookmarkStart w:id="1129" w:name="_Ref375573288"/>
      <w:bookmarkStart w:id="1130" w:name="_Toc383424620"/>
      <w:r w:rsidRPr="008B2F8A">
        <w:t xml:space="preserve">Table </w:t>
      </w:r>
      <w:fldSimple w:instr=" STYLEREF 1 \s ">
        <w:r w:rsidR="00B81273">
          <w:rPr>
            <w:noProof/>
          </w:rPr>
          <w:t>D</w:t>
        </w:r>
      </w:fldSimple>
      <w:r w:rsidRPr="008B2F8A">
        <w:t>.</w:t>
      </w:r>
      <w:fldSimple w:instr=" SEQ Table \* ARABIC \s 1 ">
        <w:r w:rsidR="00B81273">
          <w:rPr>
            <w:noProof/>
          </w:rPr>
          <w:t>11</w:t>
        </w:r>
      </w:fldSimple>
      <w:bookmarkEnd w:id="1129"/>
      <w:r w:rsidRPr="008B2F8A">
        <w:tab/>
      </w:r>
      <w:bookmarkStart w:id="1131" w:name="OLE_LINK1095"/>
      <w:bookmarkStart w:id="1132" w:name="OLE_LINK1096"/>
      <w:r w:rsidRPr="008B2F8A">
        <w:t>Cost of the first year of cancer treatment in patients with a true-positive diagnosis</w:t>
      </w:r>
      <w:bookmarkEnd w:id="1131"/>
      <w:bookmarkEnd w:id="1132"/>
      <w:r w:rsidRPr="008B2F8A">
        <w:t>.</w:t>
      </w:r>
      <w:bookmarkEnd w:id="1130"/>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Cost of the first year of cancer treatment in patients with a true-positive diagnosis"/>
      </w:tblPr>
      <w:tblGrid>
        <w:gridCol w:w="1589"/>
        <w:gridCol w:w="995"/>
        <w:gridCol w:w="4545"/>
        <w:gridCol w:w="993"/>
        <w:gridCol w:w="1004"/>
      </w:tblGrid>
      <w:tr w:rsidR="00E47AB8" w:rsidRPr="000978BA" w14:paraId="2CA69823" w14:textId="77777777" w:rsidTr="00A6193E">
        <w:trPr>
          <w:tblHeader/>
        </w:trPr>
        <w:tc>
          <w:tcPr>
            <w:tcW w:w="871" w:type="pct"/>
            <w:shd w:val="clear" w:color="auto" w:fill="EEECE1" w:themeFill="background2"/>
            <w:noWrap/>
          </w:tcPr>
          <w:p w14:paraId="53E4CDCC"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Cost item</w:t>
            </w:r>
          </w:p>
        </w:tc>
        <w:tc>
          <w:tcPr>
            <w:tcW w:w="545" w:type="pct"/>
            <w:shd w:val="clear" w:color="auto" w:fill="EEECE1" w:themeFill="background2"/>
            <w:noWrap/>
          </w:tcPr>
          <w:p w14:paraId="0BB7DE0F"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Unit cost</w:t>
            </w:r>
          </w:p>
        </w:tc>
        <w:tc>
          <w:tcPr>
            <w:tcW w:w="2490" w:type="pct"/>
            <w:shd w:val="clear" w:color="auto" w:fill="EEECE1" w:themeFill="background2"/>
            <w:noWrap/>
          </w:tcPr>
          <w:p w14:paraId="27CE9BD9"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Reference</w:t>
            </w:r>
          </w:p>
        </w:tc>
        <w:tc>
          <w:tcPr>
            <w:tcW w:w="544" w:type="pct"/>
            <w:shd w:val="clear" w:color="auto" w:fill="EEECE1" w:themeFill="background2"/>
          </w:tcPr>
          <w:p w14:paraId="3C3DA8BA"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Units</w:t>
            </w:r>
          </w:p>
        </w:tc>
        <w:tc>
          <w:tcPr>
            <w:tcW w:w="550" w:type="pct"/>
            <w:shd w:val="clear" w:color="auto" w:fill="EEECE1" w:themeFill="background2"/>
          </w:tcPr>
          <w:p w14:paraId="247EB9B2"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Total cost</w:t>
            </w:r>
          </w:p>
        </w:tc>
      </w:tr>
      <w:tr w:rsidR="00E47AB8" w:rsidRPr="000978BA" w14:paraId="4839BECF" w14:textId="77777777" w:rsidTr="00A6193E">
        <w:tc>
          <w:tcPr>
            <w:tcW w:w="871" w:type="pct"/>
            <w:shd w:val="clear" w:color="auto" w:fill="auto"/>
            <w:noWrap/>
            <w:hideMark/>
          </w:tcPr>
          <w:p w14:paraId="0E275295"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Specialist consultation—initial</w:t>
            </w:r>
          </w:p>
        </w:tc>
        <w:tc>
          <w:tcPr>
            <w:tcW w:w="545" w:type="pct"/>
            <w:shd w:val="clear" w:color="auto" w:fill="auto"/>
            <w:noWrap/>
            <w:hideMark/>
          </w:tcPr>
          <w:p w14:paraId="1597C5C5" w14:textId="77777777" w:rsidR="00E47AB8" w:rsidRPr="008B2F8A" w:rsidRDefault="00E47AB8" w:rsidP="00422306">
            <w:pPr>
              <w:spacing w:before="40" w:after="40"/>
              <w:jc w:val="right"/>
              <w:rPr>
                <w:rFonts w:ascii="Arial Narrow" w:hAnsi="Arial Narrow"/>
                <w:sz w:val="20"/>
                <w:szCs w:val="20"/>
                <w:lang w:eastAsia="en-AU"/>
              </w:rPr>
            </w:pPr>
            <w:bookmarkStart w:id="1133" w:name="RANGE!E50"/>
            <w:r w:rsidRPr="008B2F8A">
              <w:rPr>
                <w:rFonts w:ascii="Arial Narrow" w:hAnsi="Arial Narrow"/>
                <w:sz w:val="20"/>
                <w:szCs w:val="20"/>
                <w:lang w:eastAsia="en-AU"/>
              </w:rPr>
              <w:t>$85.55</w:t>
            </w:r>
            <w:bookmarkEnd w:id="1133"/>
          </w:p>
        </w:tc>
        <w:tc>
          <w:tcPr>
            <w:tcW w:w="2490" w:type="pct"/>
            <w:shd w:val="clear" w:color="auto" w:fill="auto"/>
            <w:noWrap/>
          </w:tcPr>
          <w:p w14:paraId="7A8ACD69"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MBS item 104</w:t>
            </w:r>
          </w:p>
        </w:tc>
        <w:tc>
          <w:tcPr>
            <w:tcW w:w="544" w:type="pct"/>
          </w:tcPr>
          <w:p w14:paraId="39F733D9"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1</w:t>
            </w:r>
          </w:p>
        </w:tc>
        <w:tc>
          <w:tcPr>
            <w:tcW w:w="550" w:type="pct"/>
          </w:tcPr>
          <w:p w14:paraId="5B8CEBAA"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$85.55</w:t>
            </w:r>
          </w:p>
        </w:tc>
      </w:tr>
      <w:tr w:rsidR="00E47AB8" w:rsidRPr="000978BA" w14:paraId="2E452271" w14:textId="77777777" w:rsidTr="00A6193E">
        <w:tc>
          <w:tcPr>
            <w:tcW w:w="871" w:type="pct"/>
            <w:shd w:val="clear" w:color="auto" w:fill="auto"/>
            <w:noWrap/>
            <w:hideMark/>
          </w:tcPr>
          <w:p w14:paraId="6A59F42C"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MRI scan</w:t>
            </w:r>
          </w:p>
        </w:tc>
        <w:tc>
          <w:tcPr>
            <w:tcW w:w="545" w:type="pct"/>
            <w:shd w:val="clear" w:color="auto" w:fill="auto"/>
            <w:noWrap/>
            <w:hideMark/>
          </w:tcPr>
          <w:p w14:paraId="17F9282F" w14:textId="77777777" w:rsidR="00E47AB8" w:rsidRPr="008B2F8A" w:rsidRDefault="00E47AB8" w:rsidP="00422306">
            <w:pPr>
              <w:spacing w:before="40" w:after="40"/>
              <w:jc w:val="right"/>
              <w:rPr>
                <w:rFonts w:ascii="Arial Narrow" w:hAnsi="Arial Narrow"/>
                <w:sz w:val="20"/>
                <w:szCs w:val="20"/>
                <w:lang w:eastAsia="en-AU"/>
              </w:rPr>
            </w:pPr>
            <w:bookmarkStart w:id="1134" w:name="RANGE!E52"/>
            <w:r w:rsidRPr="008B2F8A">
              <w:rPr>
                <w:rFonts w:ascii="Arial Narrow" w:hAnsi="Arial Narrow"/>
                <w:sz w:val="20"/>
                <w:szCs w:val="20"/>
                <w:lang w:eastAsia="en-AU"/>
              </w:rPr>
              <w:t>$690.00</w:t>
            </w:r>
            <w:bookmarkEnd w:id="1134"/>
          </w:p>
        </w:tc>
        <w:tc>
          <w:tcPr>
            <w:tcW w:w="2490" w:type="pct"/>
            <w:shd w:val="clear" w:color="auto" w:fill="auto"/>
            <w:noWrap/>
          </w:tcPr>
          <w:p w14:paraId="4C8751A4"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MBS item 63467</w:t>
            </w:r>
          </w:p>
        </w:tc>
        <w:tc>
          <w:tcPr>
            <w:tcW w:w="544" w:type="pct"/>
          </w:tcPr>
          <w:p w14:paraId="7E53CDC0"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1</w:t>
            </w:r>
          </w:p>
        </w:tc>
        <w:tc>
          <w:tcPr>
            <w:tcW w:w="550" w:type="pct"/>
          </w:tcPr>
          <w:p w14:paraId="70094265"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$690.00</w:t>
            </w:r>
          </w:p>
        </w:tc>
      </w:tr>
      <w:tr w:rsidR="00E47AB8" w:rsidRPr="000978BA" w14:paraId="336BB8F2" w14:textId="77777777" w:rsidTr="00A6193E">
        <w:tc>
          <w:tcPr>
            <w:tcW w:w="871" w:type="pct"/>
            <w:shd w:val="clear" w:color="auto" w:fill="auto"/>
            <w:noWrap/>
            <w:hideMark/>
          </w:tcPr>
          <w:p w14:paraId="2D47055F"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Biopsy</w:t>
            </w:r>
          </w:p>
        </w:tc>
        <w:tc>
          <w:tcPr>
            <w:tcW w:w="545" w:type="pct"/>
            <w:shd w:val="clear" w:color="auto" w:fill="auto"/>
            <w:noWrap/>
            <w:hideMark/>
          </w:tcPr>
          <w:p w14:paraId="18A5C975" w14:textId="77777777" w:rsidR="00E47AB8" w:rsidRPr="008B2F8A" w:rsidRDefault="00E47AB8" w:rsidP="00422306">
            <w:pPr>
              <w:spacing w:before="40" w:after="40"/>
              <w:jc w:val="right"/>
              <w:rPr>
                <w:rFonts w:ascii="Arial Narrow" w:hAnsi="Arial Narrow"/>
                <w:sz w:val="20"/>
                <w:szCs w:val="20"/>
                <w:lang w:eastAsia="en-AU"/>
              </w:rPr>
            </w:pPr>
            <w:bookmarkStart w:id="1135" w:name="RANGE!E54"/>
            <w:r w:rsidRPr="008B2F8A">
              <w:rPr>
                <w:rFonts w:ascii="Arial Narrow" w:hAnsi="Arial Narrow"/>
                <w:sz w:val="20"/>
                <w:szCs w:val="20"/>
                <w:lang w:eastAsia="en-AU"/>
              </w:rPr>
              <w:t>$137.90</w:t>
            </w:r>
            <w:bookmarkEnd w:id="1135"/>
          </w:p>
        </w:tc>
        <w:tc>
          <w:tcPr>
            <w:tcW w:w="2490" w:type="pct"/>
            <w:shd w:val="clear" w:color="auto" w:fill="auto"/>
            <w:noWrap/>
          </w:tcPr>
          <w:p w14:paraId="2B2E4CF8"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MBS item 31548</w:t>
            </w:r>
          </w:p>
        </w:tc>
        <w:tc>
          <w:tcPr>
            <w:tcW w:w="544" w:type="pct"/>
          </w:tcPr>
          <w:p w14:paraId="2A4B9A2A"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1</w:t>
            </w:r>
          </w:p>
        </w:tc>
        <w:tc>
          <w:tcPr>
            <w:tcW w:w="550" w:type="pct"/>
          </w:tcPr>
          <w:p w14:paraId="31660F75"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$137.90</w:t>
            </w:r>
          </w:p>
        </w:tc>
      </w:tr>
      <w:tr w:rsidR="00E47AB8" w:rsidRPr="000978BA" w14:paraId="7BF84D30" w14:textId="77777777" w:rsidTr="00A6193E">
        <w:tc>
          <w:tcPr>
            <w:tcW w:w="871" w:type="pct"/>
            <w:shd w:val="clear" w:color="auto" w:fill="auto"/>
            <w:noWrap/>
          </w:tcPr>
          <w:p w14:paraId="46A2F3A8"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Ultrasound</w:t>
            </w:r>
          </w:p>
        </w:tc>
        <w:tc>
          <w:tcPr>
            <w:tcW w:w="545" w:type="pct"/>
            <w:shd w:val="clear" w:color="auto" w:fill="auto"/>
            <w:noWrap/>
          </w:tcPr>
          <w:p w14:paraId="746A4267"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$98.25</w:t>
            </w:r>
          </w:p>
        </w:tc>
        <w:tc>
          <w:tcPr>
            <w:tcW w:w="2490" w:type="pct"/>
            <w:shd w:val="clear" w:color="auto" w:fill="auto"/>
            <w:noWrap/>
          </w:tcPr>
          <w:p w14:paraId="2B826979"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MBS item 55070</w:t>
            </w:r>
          </w:p>
        </w:tc>
        <w:tc>
          <w:tcPr>
            <w:tcW w:w="544" w:type="pct"/>
          </w:tcPr>
          <w:p w14:paraId="45150AC4"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1</w:t>
            </w:r>
          </w:p>
        </w:tc>
        <w:tc>
          <w:tcPr>
            <w:tcW w:w="550" w:type="pct"/>
          </w:tcPr>
          <w:p w14:paraId="534AE9CD"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$98.25</w:t>
            </w:r>
          </w:p>
        </w:tc>
      </w:tr>
      <w:tr w:rsidR="00E47AB8" w:rsidRPr="000978BA" w14:paraId="64CA9B19" w14:textId="77777777" w:rsidTr="00A6193E">
        <w:tc>
          <w:tcPr>
            <w:tcW w:w="871" w:type="pct"/>
            <w:shd w:val="clear" w:color="auto" w:fill="auto"/>
            <w:noWrap/>
            <w:hideMark/>
          </w:tcPr>
          <w:p w14:paraId="7FB623F8" w14:textId="2640FEF0"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 xml:space="preserve">Wide local excision </w:t>
            </w:r>
            <w:r>
              <w:rPr>
                <w:rFonts w:ascii="Arial Narrow" w:hAnsi="Arial Narrow"/>
                <w:sz w:val="20"/>
                <w:szCs w:val="20"/>
                <w:lang w:eastAsia="en-AU"/>
              </w:rPr>
              <w:t>or</w:t>
            </w:r>
            <w:r w:rsidRPr="008B2F8A">
              <w:rPr>
                <w:rFonts w:ascii="Arial Narrow" w:hAnsi="Arial Narrow"/>
                <w:sz w:val="20"/>
                <w:szCs w:val="20"/>
                <w:lang w:eastAsia="en-AU"/>
              </w:rPr>
              <w:t xml:space="preserve"> mastectomy</w:t>
            </w:r>
          </w:p>
        </w:tc>
        <w:tc>
          <w:tcPr>
            <w:tcW w:w="545" w:type="pct"/>
            <w:shd w:val="clear" w:color="auto" w:fill="auto"/>
            <w:noWrap/>
            <w:hideMark/>
          </w:tcPr>
          <w:p w14:paraId="098ED2EA" w14:textId="77777777" w:rsidR="00E47AB8" w:rsidRPr="008B2F8A" w:rsidRDefault="00E47AB8" w:rsidP="00422306">
            <w:pPr>
              <w:spacing w:before="40" w:after="40"/>
              <w:jc w:val="right"/>
              <w:rPr>
                <w:rFonts w:ascii="Arial Narrow" w:hAnsi="Arial Narrow"/>
                <w:sz w:val="20"/>
                <w:szCs w:val="20"/>
                <w:lang w:eastAsia="en-AU"/>
              </w:rPr>
            </w:pPr>
            <w:bookmarkStart w:id="1136" w:name="RANGE!E55"/>
            <w:r w:rsidRPr="008B2F8A">
              <w:rPr>
                <w:rFonts w:ascii="Arial Narrow" w:hAnsi="Arial Narrow"/>
                <w:sz w:val="20"/>
                <w:szCs w:val="20"/>
                <w:lang w:eastAsia="en-AU"/>
              </w:rPr>
              <w:t>$7,295.00</w:t>
            </w:r>
            <w:bookmarkEnd w:id="1136"/>
          </w:p>
        </w:tc>
        <w:tc>
          <w:tcPr>
            <w:tcW w:w="2490" w:type="pct"/>
            <w:shd w:val="clear" w:color="auto" w:fill="auto"/>
            <w:noWrap/>
          </w:tcPr>
          <w:p w14:paraId="473E0B30" w14:textId="77777777" w:rsidR="00E47AB8" w:rsidRPr="008B2F8A" w:rsidRDefault="00E47AB8" w:rsidP="00422306">
            <w:pPr>
              <w:spacing w:before="40" w:after="40"/>
              <w:rPr>
                <w:rFonts w:ascii="Arial Narrow" w:hAnsi="Arial Narrow"/>
                <w:noProof/>
                <w:sz w:val="20"/>
                <w:szCs w:val="20"/>
                <w:lang w:eastAsia="en-AU"/>
              </w:rPr>
            </w:pPr>
            <w:r w:rsidRPr="008B2F8A">
              <w:rPr>
                <w:rFonts w:ascii="Arial Narrow" w:hAnsi="Arial Narrow"/>
                <w:noProof/>
                <w:sz w:val="20"/>
                <w:szCs w:val="20"/>
                <w:lang w:eastAsia="en-AU"/>
              </w:rPr>
              <w:t>ARDRG v6 Public. J06A (</w:t>
            </w:r>
            <w:r w:rsidRPr="008B2F8A">
              <w:rPr>
                <w:rFonts w:ascii="Arial Narrow" w:hAnsi="Arial Narrow"/>
                <w:smallCaps/>
                <w:noProof/>
                <w:sz w:val="20"/>
                <w:szCs w:val="20"/>
                <w:lang w:eastAsia="en-AU"/>
              </w:rPr>
              <w:t>Major Pr Malig Breast Condtns</w:t>
            </w:r>
            <w:r w:rsidRPr="008B2F8A">
              <w:rPr>
                <w:rFonts w:ascii="Arial Narrow" w:hAnsi="Arial Narrow"/>
                <w:noProof/>
                <w:sz w:val="20"/>
                <w:szCs w:val="20"/>
                <w:lang w:eastAsia="en-AU"/>
              </w:rPr>
              <w:t>). http://www.health.gov.au/internet/main/publishing.nsf/Content/Round_14-cost-reports</w:t>
            </w:r>
          </w:p>
        </w:tc>
        <w:tc>
          <w:tcPr>
            <w:tcW w:w="544" w:type="pct"/>
          </w:tcPr>
          <w:p w14:paraId="32400269"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1</w:t>
            </w:r>
          </w:p>
        </w:tc>
        <w:tc>
          <w:tcPr>
            <w:tcW w:w="550" w:type="pct"/>
          </w:tcPr>
          <w:p w14:paraId="5CA9450B"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$7,958.00</w:t>
            </w:r>
          </w:p>
        </w:tc>
      </w:tr>
      <w:tr w:rsidR="00E47AB8" w:rsidRPr="000978BA" w14:paraId="7DA3A392" w14:textId="77777777" w:rsidTr="00A6193E">
        <w:tc>
          <w:tcPr>
            <w:tcW w:w="871" w:type="pct"/>
            <w:shd w:val="clear" w:color="auto" w:fill="auto"/>
            <w:noWrap/>
            <w:hideMark/>
          </w:tcPr>
          <w:p w14:paraId="4BAD01B2"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Tamoxifen (1 year; 20 mg daily)</w:t>
            </w:r>
          </w:p>
        </w:tc>
        <w:tc>
          <w:tcPr>
            <w:tcW w:w="545" w:type="pct"/>
            <w:shd w:val="clear" w:color="auto" w:fill="auto"/>
            <w:noWrap/>
            <w:hideMark/>
          </w:tcPr>
          <w:p w14:paraId="4726EDEB"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$42.40 (for 60 days)</w:t>
            </w:r>
          </w:p>
        </w:tc>
        <w:tc>
          <w:tcPr>
            <w:tcW w:w="2490" w:type="pct"/>
            <w:shd w:val="clear" w:color="auto" w:fill="auto"/>
            <w:noWrap/>
          </w:tcPr>
          <w:p w14:paraId="3B822B8F" w14:textId="77777777" w:rsidR="00E47AB8" w:rsidRPr="008B2F8A" w:rsidRDefault="00E47AB8" w:rsidP="00422306">
            <w:pPr>
              <w:spacing w:before="40" w:after="40"/>
              <w:rPr>
                <w:rFonts w:ascii="Arial Narrow" w:hAnsi="Arial Narrow"/>
                <w:noProof/>
                <w:sz w:val="20"/>
                <w:szCs w:val="20"/>
                <w:lang w:eastAsia="en-AU"/>
              </w:rPr>
            </w:pPr>
            <w:r w:rsidRPr="008B2F8A">
              <w:rPr>
                <w:rFonts w:ascii="Arial Narrow" w:hAnsi="Arial Narrow"/>
                <w:noProof/>
                <w:sz w:val="20"/>
                <w:szCs w:val="20"/>
                <w:lang w:eastAsia="en-AU"/>
              </w:rPr>
              <w:t>PBS 2110C</w:t>
            </w:r>
          </w:p>
        </w:tc>
        <w:tc>
          <w:tcPr>
            <w:tcW w:w="544" w:type="pct"/>
          </w:tcPr>
          <w:p w14:paraId="0BCDE8F7"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365 ÷ 60 = 6.08</w:t>
            </w:r>
          </w:p>
        </w:tc>
        <w:tc>
          <w:tcPr>
            <w:tcW w:w="550" w:type="pct"/>
          </w:tcPr>
          <w:p w14:paraId="756F014D"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$257.93</w:t>
            </w:r>
          </w:p>
          <w:p w14:paraId="3E91E24E" w14:textId="77777777" w:rsidR="00E47AB8" w:rsidRPr="008B2F8A" w:rsidRDefault="00E47AB8" w:rsidP="00422306">
            <w:pPr>
              <w:spacing w:before="40" w:after="40"/>
              <w:jc w:val="right"/>
              <w:rPr>
                <w:rFonts w:ascii="Arial Narrow" w:hAnsi="Arial Narrow"/>
                <w:sz w:val="20"/>
                <w:szCs w:val="20"/>
                <w:lang w:eastAsia="en-AU"/>
              </w:rPr>
            </w:pPr>
          </w:p>
        </w:tc>
      </w:tr>
      <w:tr w:rsidR="00E47AB8" w:rsidRPr="000978BA" w14:paraId="42322E03" w14:textId="77777777" w:rsidTr="00A6193E">
        <w:tc>
          <w:tcPr>
            <w:tcW w:w="871" w:type="pct"/>
            <w:tcBorders>
              <w:bottom w:val="single" w:sz="4" w:space="0" w:color="auto"/>
            </w:tcBorders>
            <w:shd w:val="clear" w:color="auto" w:fill="auto"/>
            <w:noWrap/>
            <w:hideMark/>
          </w:tcPr>
          <w:p w14:paraId="09C7250F"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Adjuvant chemo (course)</w:t>
            </w:r>
          </w:p>
        </w:tc>
        <w:tc>
          <w:tcPr>
            <w:tcW w:w="545" w:type="pct"/>
            <w:tcBorders>
              <w:bottom w:val="single" w:sz="4" w:space="0" w:color="auto"/>
            </w:tcBorders>
            <w:shd w:val="clear" w:color="auto" w:fill="auto"/>
            <w:noWrap/>
            <w:hideMark/>
          </w:tcPr>
          <w:p w14:paraId="37E55E3B"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$16,043.72</w:t>
            </w:r>
          </w:p>
        </w:tc>
        <w:tc>
          <w:tcPr>
            <w:tcW w:w="2490" w:type="pct"/>
            <w:tcBorders>
              <w:bottom w:val="single" w:sz="4" w:space="0" w:color="auto"/>
            </w:tcBorders>
            <w:shd w:val="clear" w:color="auto" w:fill="auto"/>
            <w:noWrap/>
          </w:tcPr>
          <w:p w14:paraId="755CD698" w14:textId="2680FDDA"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 xml:space="preserve">Based on </w:t>
            </w:r>
            <w:bookmarkStart w:id="1137" w:name="OLE_LINK886"/>
            <w:bookmarkStart w:id="1138" w:name="OLE_LINK887"/>
            <w:r w:rsidRPr="008B2F8A">
              <w:rPr>
                <w:rFonts w:ascii="Arial Narrow" w:hAnsi="Arial Narrow"/>
                <w:sz w:val="20"/>
                <w:szCs w:val="20"/>
                <w:lang w:eastAsia="en-AU"/>
              </w:rPr>
              <w:t>Verry et al (2012</w:t>
            </w:r>
            <w:bookmarkEnd w:id="1137"/>
            <w:bookmarkEnd w:id="1138"/>
            <w:r w:rsidRPr="008B2F8A">
              <w:rPr>
                <w:rFonts w:ascii="Arial Narrow" w:hAnsi="Arial Narrow"/>
                <w:sz w:val="20"/>
                <w:szCs w:val="20"/>
                <w:lang w:eastAsia="en-AU"/>
              </w:rPr>
              <w:t>)</w:t>
            </w:r>
          </w:p>
        </w:tc>
        <w:tc>
          <w:tcPr>
            <w:tcW w:w="544" w:type="pct"/>
            <w:tcBorders>
              <w:bottom w:val="single" w:sz="4" w:space="0" w:color="auto"/>
            </w:tcBorders>
          </w:tcPr>
          <w:p w14:paraId="05A18B45" w14:textId="3D9764AB" w:rsidR="00E47AB8" w:rsidRPr="008B2F8A" w:rsidRDefault="00E47AB8" w:rsidP="00422306">
            <w:pPr>
              <w:spacing w:before="40" w:after="40"/>
              <w:rPr>
                <w:rFonts w:ascii="Arial Narrow" w:hAnsi="Arial Narrow"/>
                <w:sz w:val="20"/>
                <w:szCs w:val="20"/>
                <w:lang w:eastAsia="en-AU"/>
              </w:rPr>
            </w:pPr>
            <w:r w:rsidRPr="00077ABD">
              <w:rPr>
                <w:rFonts w:ascii="Arial Narrow" w:hAnsi="Arial Narrow"/>
                <w:sz w:val="20"/>
                <w:szCs w:val="20"/>
                <w:lang w:eastAsia="en-AU"/>
              </w:rPr>
              <w:t xml:space="preserve">See </w:t>
            </w:r>
            <w:r w:rsidRPr="00307B29">
              <w:rPr>
                <w:rFonts w:ascii="Arial Narrow" w:hAnsi="Arial Narrow"/>
                <w:sz w:val="20"/>
                <w:szCs w:val="20"/>
                <w:lang w:eastAsia="en-AU"/>
              </w:rPr>
              <w:fldChar w:fldCharType="begin"/>
            </w:r>
            <w:r w:rsidRPr="00307B29">
              <w:rPr>
                <w:rFonts w:ascii="Arial Narrow" w:hAnsi="Arial Narrow"/>
                <w:sz w:val="20"/>
                <w:szCs w:val="20"/>
                <w:lang w:eastAsia="en-AU"/>
              </w:rPr>
              <w:instrText xml:space="preserve"> REF _Ref355084959 \h </w:instrText>
            </w:r>
            <w:r w:rsidRPr="00307B29">
              <w:rPr>
                <w:rFonts w:ascii="Arial Narrow" w:hAnsi="Arial Narrow"/>
                <w:sz w:val="20"/>
                <w:szCs w:val="20"/>
                <w:lang w:eastAsia="en-AU"/>
              </w:rPr>
            </w:r>
            <w:r w:rsidRPr="00307B29">
              <w:rPr>
                <w:rFonts w:ascii="Arial Narrow" w:hAnsi="Arial Narrow"/>
                <w:sz w:val="20"/>
                <w:szCs w:val="20"/>
                <w:lang w:eastAsia="en-AU"/>
              </w:rPr>
              <w:fldChar w:fldCharType="separate"/>
            </w:r>
            <w:r w:rsidR="00B81273" w:rsidRPr="008B2F8A">
              <w:t xml:space="preserve">Table </w:t>
            </w:r>
            <w:r w:rsidR="00B81273">
              <w:rPr>
                <w:noProof/>
              </w:rPr>
              <w:t>D</w:t>
            </w:r>
            <w:r w:rsidR="00B81273" w:rsidRPr="008B2F8A">
              <w:t>.</w:t>
            </w:r>
            <w:r w:rsidR="00B81273">
              <w:rPr>
                <w:noProof/>
              </w:rPr>
              <w:t>12</w:t>
            </w:r>
            <w:r w:rsidRPr="00307B29">
              <w:rPr>
                <w:rFonts w:ascii="Arial Narrow" w:hAnsi="Arial Narrow"/>
                <w:sz w:val="20"/>
                <w:szCs w:val="20"/>
                <w:lang w:eastAsia="en-AU"/>
              </w:rPr>
              <w:fldChar w:fldCharType="end"/>
            </w:r>
          </w:p>
        </w:tc>
        <w:tc>
          <w:tcPr>
            <w:tcW w:w="550" w:type="pct"/>
            <w:tcBorders>
              <w:bottom w:val="single" w:sz="4" w:space="0" w:color="auto"/>
            </w:tcBorders>
          </w:tcPr>
          <w:p w14:paraId="216887E5"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$16,043.72</w:t>
            </w:r>
          </w:p>
        </w:tc>
      </w:tr>
      <w:tr w:rsidR="00E47AB8" w:rsidRPr="000978BA" w14:paraId="6F1C7E7F" w14:textId="77777777" w:rsidTr="00A6193E">
        <w:tc>
          <w:tcPr>
            <w:tcW w:w="871" w:type="pct"/>
            <w:tcBorders>
              <w:right w:val="nil"/>
            </w:tcBorders>
            <w:shd w:val="clear" w:color="auto" w:fill="auto"/>
            <w:noWrap/>
            <w:hideMark/>
          </w:tcPr>
          <w:p w14:paraId="1A1C106B" w14:textId="77777777" w:rsidR="00E47AB8" w:rsidRPr="008B2F8A" w:rsidRDefault="00E47AB8" w:rsidP="00422306">
            <w:pPr>
              <w:spacing w:before="40" w:after="40"/>
              <w:rPr>
                <w:rFonts w:ascii="Arial Narrow" w:hAnsi="Arial Narrow"/>
                <w:sz w:val="20"/>
                <w:szCs w:val="20"/>
                <w:lang w:eastAsia="en-AU"/>
              </w:rPr>
            </w:pPr>
            <w:r w:rsidRPr="008B2F8A">
              <w:rPr>
                <w:rFonts w:ascii="Arial Narrow" w:hAnsi="Arial Narrow"/>
                <w:sz w:val="20"/>
                <w:szCs w:val="20"/>
                <w:lang w:eastAsia="en-AU"/>
              </w:rPr>
              <w:t>Total costs per first year of cancer</w:t>
            </w:r>
          </w:p>
        </w:tc>
        <w:tc>
          <w:tcPr>
            <w:tcW w:w="545" w:type="pct"/>
            <w:tcBorders>
              <w:left w:val="nil"/>
              <w:right w:val="nil"/>
            </w:tcBorders>
            <w:shd w:val="clear" w:color="auto" w:fill="auto"/>
            <w:noWrap/>
            <w:hideMark/>
          </w:tcPr>
          <w:p w14:paraId="41AE9EDB" w14:textId="77777777" w:rsidR="00E47AB8" w:rsidRPr="00BB3820" w:rsidRDefault="00E47AB8" w:rsidP="00422306">
            <w:pPr>
              <w:spacing w:before="40" w:after="40"/>
              <w:rPr>
                <w:rFonts w:ascii="Arial Narrow" w:hAnsi="Arial Narrow"/>
                <w:sz w:val="20"/>
                <w:szCs w:val="20"/>
                <w:lang w:eastAsia="en-AU"/>
              </w:rPr>
            </w:pPr>
            <w:r w:rsidRPr="00A6193E">
              <w:rPr>
                <w:rFonts w:ascii="Arial Narrow" w:hAnsi="Arial Narrow"/>
                <w:color w:val="FFFFFF" w:themeColor="background1"/>
                <w:sz w:val="20"/>
                <w:szCs w:val="20"/>
              </w:rPr>
              <w:t>-</w:t>
            </w:r>
          </w:p>
        </w:tc>
        <w:tc>
          <w:tcPr>
            <w:tcW w:w="2490" w:type="pct"/>
            <w:tcBorders>
              <w:left w:val="nil"/>
              <w:right w:val="nil"/>
            </w:tcBorders>
            <w:shd w:val="clear" w:color="auto" w:fill="auto"/>
            <w:noWrap/>
          </w:tcPr>
          <w:p w14:paraId="6311040F" w14:textId="77777777" w:rsidR="00E47AB8" w:rsidRPr="00BB3820" w:rsidRDefault="00E47AB8" w:rsidP="00422306">
            <w:pPr>
              <w:spacing w:before="40" w:after="40"/>
              <w:rPr>
                <w:rFonts w:ascii="Arial Narrow" w:hAnsi="Arial Narrow"/>
                <w:sz w:val="20"/>
                <w:szCs w:val="20"/>
                <w:lang w:eastAsia="en-AU"/>
              </w:rPr>
            </w:pPr>
            <w:r w:rsidRPr="00A6193E">
              <w:rPr>
                <w:rFonts w:ascii="Arial Narrow" w:hAnsi="Arial Narrow"/>
                <w:color w:val="FFFFFF" w:themeColor="background1"/>
                <w:sz w:val="20"/>
                <w:szCs w:val="20"/>
              </w:rPr>
              <w:t>-</w:t>
            </w:r>
          </w:p>
        </w:tc>
        <w:tc>
          <w:tcPr>
            <w:tcW w:w="544" w:type="pct"/>
            <w:tcBorders>
              <w:left w:val="nil"/>
              <w:right w:val="single" w:sz="4" w:space="0" w:color="auto"/>
            </w:tcBorders>
          </w:tcPr>
          <w:p w14:paraId="1ED59EC0" w14:textId="77777777" w:rsidR="00E47AB8" w:rsidRPr="00BB3820" w:rsidRDefault="00E47AB8" w:rsidP="00422306">
            <w:pPr>
              <w:spacing w:before="40" w:after="40"/>
              <w:rPr>
                <w:rFonts w:ascii="Arial Narrow" w:hAnsi="Arial Narrow"/>
                <w:sz w:val="20"/>
                <w:szCs w:val="20"/>
                <w:lang w:eastAsia="en-AU"/>
              </w:rPr>
            </w:pPr>
            <w:r w:rsidRPr="00A6193E">
              <w:rPr>
                <w:rFonts w:ascii="Arial Narrow" w:hAnsi="Arial Narrow"/>
                <w:color w:val="FFFFFF" w:themeColor="background1"/>
                <w:sz w:val="20"/>
                <w:szCs w:val="20"/>
              </w:rPr>
              <w:t>-</w:t>
            </w:r>
          </w:p>
        </w:tc>
        <w:tc>
          <w:tcPr>
            <w:tcW w:w="550" w:type="pct"/>
            <w:tcBorders>
              <w:left w:val="single" w:sz="4" w:space="0" w:color="auto"/>
            </w:tcBorders>
          </w:tcPr>
          <w:p w14:paraId="0437E36D" w14:textId="77777777" w:rsidR="00E47AB8" w:rsidRPr="008B2F8A" w:rsidRDefault="00E47AB8" w:rsidP="00422306">
            <w:pPr>
              <w:spacing w:before="40" w:after="40"/>
              <w:jc w:val="right"/>
              <w:rPr>
                <w:rFonts w:ascii="Arial Narrow" w:hAnsi="Arial Narrow"/>
                <w:sz w:val="20"/>
                <w:szCs w:val="20"/>
                <w:lang w:eastAsia="en-AU"/>
              </w:rPr>
            </w:pPr>
            <w:r w:rsidRPr="008B2F8A">
              <w:rPr>
                <w:rFonts w:ascii="Arial Narrow" w:hAnsi="Arial Narrow"/>
                <w:sz w:val="20"/>
                <w:szCs w:val="20"/>
                <w:lang w:eastAsia="en-AU"/>
              </w:rPr>
              <w:t>$24,510.10</w:t>
            </w:r>
          </w:p>
        </w:tc>
      </w:tr>
    </w:tbl>
    <w:p w14:paraId="332DCD4B" w14:textId="77777777" w:rsidR="00E47AB8" w:rsidRPr="008B2F8A" w:rsidRDefault="00E47AB8" w:rsidP="00A6193E">
      <w:pPr>
        <w:pStyle w:val="TableNotesLast"/>
        <w:rPr>
          <w:rFonts w:eastAsiaTheme="minorHAnsi"/>
        </w:rPr>
      </w:pPr>
      <w:r w:rsidRPr="008B2F8A">
        <w:rPr>
          <w:rFonts w:eastAsiaTheme="minorHAnsi"/>
        </w:rPr>
        <w:t>MBS = Medicare Benefits Schedule; MRI = magnetic resonance imaging; PBS = Pharmaceutical Benefits Scheme.</w:t>
      </w:r>
    </w:p>
    <w:p w14:paraId="7F297329" w14:textId="103ADFB9" w:rsidR="00E47AB8" w:rsidRPr="007C6E89" w:rsidRDefault="00E47AB8" w:rsidP="00422306">
      <w:pPr>
        <w:spacing w:after="200"/>
        <w:rPr>
          <w:rFonts w:eastAsiaTheme="minorHAnsi" w:cstheme="minorBidi"/>
        </w:rPr>
      </w:pPr>
      <w:r w:rsidRPr="007C6E89">
        <w:rPr>
          <w:rFonts w:eastAsiaTheme="minorHAnsi" w:cstheme="minorBidi"/>
        </w:rPr>
        <w:t xml:space="preserve">The cost of adjuvant chemotherapy was based on an Australian study (Verry et al, </w:t>
      </w:r>
      <w:r w:rsidRPr="007C6E89">
        <w:rPr>
          <w:rFonts w:eastAsiaTheme="minorHAnsi" w:cstheme="minorBidi"/>
          <w:noProof/>
        </w:rPr>
        <w:t>2012)</w:t>
      </w:r>
      <w:r w:rsidRPr="007C6E89">
        <w:rPr>
          <w:rFonts w:eastAsiaTheme="minorHAnsi" w:cstheme="minorBidi"/>
        </w:rPr>
        <w:t>. Patients are assumed to receive six intravenous administrations per treatment course (1 per cycle for 6 cycles)</w:t>
      </w:r>
      <w:r w:rsidR="00775ACC">
        <w:rPr>
          <w:rFonts w:eastAsiaTheme="minorHAnsi" w:cstheme="minorBidi"/>
        </w:rPr>
        <w:t xml:space="preserve"> (</w:t>
      </w:r>
      <w:r w:rsidR="00775ACC">
        <w:rPr>
          <w:rFonts w:eastAsiaTheme="minorHAnsi" w:cstheme="minorBidi"/>
        </w:rPr>
        <w:fldChar w:fldCharType="begin"/>
      </w:r>
      <w:r w:rsidR="00775ACC">
        <w:rPr>
          <w:rFonts w:eastAsiaTheme="minorHAnsi" w:cstheme="minorBidi"/>
        </w:rPr>
        <w:instrText xml:space="preserve"> REF _Ref355084959 \h </w:instrText>
      </w:r>
      <w:r w:rsidR="00775ACC">
        <w:rPr>
          <w:rFonts w:eastAsiaTheme="minorHAnsi" w:cstheme="minorBidi"/>
        </w:rPr>
      </w:r>
      <w:r w:rsidR="00775ACC">
        <w:rPr>
          <w:rFonts w:eastAsiaTheme="minorHAnsi" w:cstheme="minorBidi"/>
        </w:rPr>
        <w:fldChar w:fldCharType="separate"/>
      </w:r>
      <w:r w:rsidR="00B81273" w:rsidRPr="008B2F8A">
        <w:t xml:space="preserve">Table </w:t>
      </w:r>
      <w:r w:rsidR="00B81273">
        <w:rPr>
          <w:noProof/>
        </w:rPr>
        <w:t>D</w:t>
      </w:r>
      <w:r w:rsidR="00B81273" w:rsidRPr="008B2F8A">
        <w:t>.</w:t>
      </w:r>
      <w:r w:rsidR="00B81273">
        <w:rPr>
          <w:noProof/>
        </w:rPr>
        <w:t>12</w:t>
      </w:r>
      <w:r w:rsidR="00775ACC">
        <w:rPr>
          <w:rFonts w:eastAsiaTheme="minorHAnsi" w:cstheme="minorBidi"/>
        </w:rPr>
        <w:fldChar w:fldCharType="end"/>
      </w:r>
      <w:r w:rsidR="00775ACC">
        <w:rPr>
          <w:rFonts w:eastAsiaTheme="minorHAnsi" w:cstheme="minorBidi"/>
        </w:rPr>
        <w:t>)</w:t>
      </w:r>
      <w:r w:rsidRPr="007C6E89">
        <w:rPr>
          <w:rFonts w:eastAsiaTheme="minorHAnsi" w:cstheme="minorBidi"/>
        </w:rPr>
        <w:t>.</w:t>
      </w:r>
    </w:p>
    <w:p w14:paraId="7433DF95" w14:textId="77777777" w:rsidR="00E47AB8" w:rsidRPr="008B2F8A" w:rsidRDefault="00E47AB8" w:rsidP="00422306">
      <w:pPr>
        <w:pStyle w:val="Caption"/>
      </w:pPr>
      <w:bookmarkStart w:id="1139" w:name="_Ref355084959"/>
      <w:bookmarkStart w:id="1140" w:name="_Toc358810473"/>
      <w:bookmarkStart w:id="1141" w:name="_Toc383424621"/>
      <w:r w:rsidRPr="008B2F8A">
        <w:lastRenderedPageBreak/>
        <w:t xml:space="preserve">Table </w:t>
      </w:r>
      <w:fldSimple w:instr=" STYLEREF 1 \s ">
        <w:r w:rsidR="00B81273">
          <w:rPr>
            <w:noProof/>
          </w:rPr>
          <w:t>D</w:t>
        </w:r>
      </w:fldSimple>
      <w:r w:rsidRPr="008B2F8A">
        <w:t>.</w:t>
      </w:r>
      <w:fldSimple w:instr=" SEQ Table \* ARABIC \s 1 ">
        <w:r w:rsidR="00B81273">
          <w:rPr>
            <w:noProof/>
          </w:rPr>
          <w:t>12</w:t>
        </w:r>
      </w:fldSimple>
      <w:bookmarkEnd w:id="1139"/>
      <w:r w:rsidRPr="008B2F8A">
        <w:tab/>
      </w:r>
      <w:bookmarkStart w:id="1142" w:name="OLE_LINK1097"/>
      <w:bookmarkStart w:id="1143" w:name="OLE_LINK1098"/>
      <w:r w:rsidRPr="008B2F8A">
        <w:t xml:space="preserve">Costs of </w:t>
      </w:r>
      <w:bookmarkEnd w:id="1140"/>
      <w:r w:rsidRPr="008B2F8A">
        <w:t xml:space="preserve">adjuvant chemotherapy for first year of treatment </w:t>
      </w:r>
      <w:r w:rsidRPr="008B2F8A">
        <w:rPr>
          <w:noProof/>
        </w:rPr>
        <w:t>(Verry et al, 2012)</w:t>
      </w:r>
      <w:bookmarkEnd w:id="1142"/>
      <w:bookmarkEnd w:id="1143"/>
      <w:r w:rsidRPr="008B2F8A">
        <w:rPr>
          <w:noProof/>
        </w:rPr>
        <w:t>.</w:t>
      </w:r>
      <w:bookmarkEnd w:id="1141"/>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Caption w:val="Costs of adjuvant chemotherapy for first year of treatment (Verry et al, 2012)"/>
      </w:tblPr>
      <w:tblGrid>
        <w:gridCol w:w="3478"/>
        <w:gridCol w:w="1399"/>
        <w:gridCol w:w="1399"/>
        <w:gridCol w:w="1399"/>
        <w:gridCol w:w="1395"/>
      </w:tblGrid>
      <w:tr w:rsidR="00E47AB8" w:rsidRPr="008B2F8A" w14:paraId="05CDE444" w14:textId="77777777" w:rsidTr="00422306">
        <w:trPr>
          <w:tblHeader/>
        </w:trPr>
        <w:tc>
          <w:tcPr>
            <w:tcW w:w="1917" w:type="pct"/>
            <w:tcBorders>
              <w:bottom w:val="single" w:sz="4" w:space="0" w:color="auto"/>
            </w:tcBorders>
            <w:shd w:val="clear" w:color="auto" w:fill="EEECE1" w:themeFill="background2"/>
          </w:tcPr>
          <w:p w14:paraId="0515425B" w14:textId="77777777" w:rsidR="00E47AB8" w:rsidRPr="008B2F8A" w:rsidRDefault="00E47AB8" w:rsidP="00A6193E">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Cost item</w:t>
            </w:r>
          </w:p>
        </w:tc>
        <w:tc>
          <w:tcPr>
            <w:tcW w:w="771" w:type="pct"/>
            <w:tcBorders>
              <w:bottom w:val="single" w:sz="4" w:space="0" w:color="auto"/>
            </w:tcBorders>
            <w:shd w:val="clear" w:color="auto" w:fill="EEECE1" w:themeFill="background2"/>
          </w:tcPr>
          <w:p w14:paraId="1B9F4DD7" w14:textId="77777777" w:rsidR="00E47AB8" w:rsidRPr="008B2F8A" w:rsidRDefault="00E47AB8" w:rsidP="00A6193E">
            <w:pPr>
              <w:keepNext/>
              <w:spacing w:before="40" w:after="80"/>
              <w:jc w:val="center"/>
              <w:rPr>
                <w:rFonts w:ascii="Arial Narrow" w:eastAsia="Times New Roman" w:hAnsi="Arial Narrow"/>
                <w:b/>
                <w:sz w:val="20"/>
                <w:szCs w:val="20"/>
              </w:rPr>
            </w:pPr>
            <w:r w:rsidRPr="008B2F8A">
              <w:rPr>
                <w:rFonts w:ascii="Arial Narrow" w:eastAsia="Times New Roman" w:hAnsi="Arial Narrow"/>
                <w:b/>
                <w:sz w:val="20"/>
                <w:szCs w:val="20"/>
              </w:rPr>
              <w:t>Unit cost</w:t>
            </w:r>
          </w:p>
        </w:tc>
        <w:tc>
          <w:tcPr>
            <w:tcW w:w="771" w:type="pct"/>
            <w:tcBorders>
              <w:bottom w:val="single" w:sz="4" w:space="0" w:color="auto"/>
            </w:tcBorders>
            <w:shd w:val="clear" w:color="auto" w:fill="EEECE1" w:themeFill="background2"/>
          </w:tcPr>
          <w:p w14:paraId="4979EE19" w14:textId="77777777" w:rsidR="00E47AB8" w:rsidRPr="008B2F8A" w:rsidRDefault="00E47AB8" w:rsidP="00A6193E">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Reference</w:t>
            </w:r>
          </w:p>
        </w:tc>
        <w:tc>
          <w:tcPr>
            <w:tcW w:w="771" w:type="pct"/>
            <w:tcBorders>
              <w:bottom w:val="single" w:sz="4" w:space="0" w:color="auto"/>
            </w:tcBorders>
            <w:shd w:val="clear" w:color="auto" w:fill="EEECE1" w:themeFill="background2"/>
          </w:tcPr>
          <w:p w14:paraId="65B00960" w14:textId="77777777" w:rsidR="00E47AB8" w:rsidRPr="008B2F8A" w:rsidRDefault="00E47AB8" w:rsidP="00A6193E">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Units</w:t>
            </w:r>
          </w:p>
        </w:tc>
        <w:tc>
          <w:tcPr>
            <w:tcW w:w="769" w:type="pct"/>
            <w:tcBorders>
              <w:bottom w:val="single" w:sz="4" w:space="0" w:color="auto"/>
            </w:tcBorders>
            <w:shd w:val="clear" w:color="auto" w:fill="EEECE1" w:themeFill="background2"/>
          </w:tcPr>
          <w:p w14:paraId="2D648EFA" w14:textId="77777777" w:rsidR="00E47AB8" w:rsidRPr="008B2F8A" w:rsidRDefault="00E47AB8" w:rsidP="00A6193E">
            <w:pPr>
              <w:keepNext/>
              <w:spacing w:before="40" w:after="80"/>
              <w:jc w:val="center"/>
              <w:rPr>
                <w:rFonts w:ascii="Arial Narrow" w:eastAsia="Times New Roman" w:hAnsi="Arial Narrow"/>
                <w:b/>
                <w:sz w:val="20"/>
                <w:szCs w:val="20"/>
              </w:rPr>
            </w:pPr>
            <w:r w:rsidRPr="008B2F8A">
              <w:rPr>
                <w:rFonts w:ascii="Arial Narrow" w:eastAsia="Times New Roman" w:hAnsi="Arial Narrow"/>
                <w:b/>
                <w:sz w:val="20"/>
                <w:szCs w:val="20"/>
              </w:rPr>
              <w:t>Total cost</w:t>
            </w:r>
          </w:p>
        </w:tc>
      </w:tr>
      <w:tr w:rsidR="00E47AB8" w:rsidRPr="008B2F8A" w14:paraId="278FB9AE" w14:textId="77777777" w:rsidTr="00422306">
        <w:tc>
          <w:tcPr>
            <w:tcW w:w="1917" w:type="pct"/>
            <w:tcBorders>
              <w:top w:val="single" w:sz="4" w:space="0" w:color="auto"/>
              <w:bottom w:val="single" w:sz="4" w:space="0" w:color="auto"/>
            </w:tcBorders>
          </w:tcPr>
          <w:p w14:paraId="46BAB734"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Initial consultation</w:t>
            </w:r>
          </w:p>
        </w:tc>
        <w:tc>
          <w:tcPr>
            <w:tcW w:w="771" w:type="pct"/>
            <w:tcBorders>
              <w:top w:val="single" w:sz="4" w:space="0" w:color="auto"/>
              <w:bottom w:val="single" w:sz="4" w:space="0" w:color="auto"/>
            </w:tcBorders>
          </w:tcPr>
          <w:p w14:paraId="04133011"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$85.55</w:t>
            </w:r>
          </w:p>
        </w:tc>
        <w:tc>
          <w:tcPr>
            <w:tcW w:w="771" w:type="pct"/>
            <w:tcBorders>
              <w:top w:val="single" w:sz="4" w:space="0" w:color="auto"/>
              <w:bottom w:val="single" w:sz="4" w:space="0" w:color="auto"/>
            </w:tcBorders>
          </w:tcPr>
          <w:p w14:paraId="6F27BE69"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MBS 104</w:t>
            </w:r>
          </w:p>
        </w:tc>
        <w:tc>
          <w:tcPr>
            <w:tcW w:w="771" w:type="pct"/>
            <w:tcBorders>
              <w:top w:val="single" w:sz="4" w:space="0" w:color="auto"/>
              <w:bottom w:val="single" w:sz="4" w:space="0" w:color="auto"/>
            </w:tcBorders>
          </w:tcPr>
          <w:p w14:paraId="62C0B1DC"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1</w:t>
            </w:r>
          </w:p>
        </w:tc>
        <w:tc>
          <w:tcPr>
            <w:tcW w:w="769" w:type="pct"/>
            <w:tcBorders>
              <w:top w:val="single" w:sz="4" w:space="0" w:color="auto"/>
            </w:tcBorders>
          </w:tcPr>
          <w:p w14:paraId="15743E89"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$85.55</w:t>
            </w:r>
          </w:p>
        </w:tc>
      </w:tr>
      <w:tr w:rsidR="00E47AB8" w:rsidRPr="008B2F8A" w14:paraId="4EB1B1B0" w14:textId="77777777" w:rsidTr="00422306">
        <w:tc>
          <w:tcPr>
            <w:tcW w:w="1917" w:type="pct"/>
            <w:tcBorders>
              <w:top w:val="single" w:sz="4" w:space="0" w:color="auto"/>
              <w:bottom w:val="single" w:sz="4" w:space="0" w:color="auto"/>
            </w:tcBorders>
          </w:tcPr>
          <w:p w14:paraId="4FD30C9F"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Follow-up consultation</w:t>
            </w:r>
          </w:p>
        </w:tc>
        <w:tc>
          <w:tcPr>
            <w:tcW w:w="771" w:type="pct"/>
            <w:tcBorders>
              <w:top w:val="single" w:sz="4" w:space="0" w:color="auto"/>
              <w:bottom w:val="single" w:sz="4" w:space="0" w:color="auto"/>
            </w:tcBorders>
          </w:tcPr>
          <w:p w14:paraId="6E980361"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$43.00</w:t>
            </w:r>
          </w:p>
        </w:tc>
        <w:tc>
          <w:tcPr>
            <w:tcW w:w="771" w:type="pct"/>
            <w:tcBorders>
              <w:top w:val="single" w:sz="4" w:space="0" w:color="auto"/>
              <w:bottom w:val="single" w:sz="4" w:space="0" w:color="auto"/>
            </w:tcBorders>
          </w:tcPr>
          <w:p w14:paraId="58C6955A"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MBS 105</w:t>
            </w:r>
          </w:p>
        </w:tc>
        <w:tc>
          <w:tcPr>
            <w:tcW w:w="771" w:type="pct"/>
            <w:tcBorders>
              <w:top w:val="single" w:sz="4" w:space="0" w:color="auto"/>
              <w:bottom w:val="single" w:sz="4" w:space="0" w:color="auto"/>
            </w:tcBorders>
          </w:tcPr>
          <w:p w14:paraId="555C73F0"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1</w:t>
            </w:r>
          </w:p>
        </w:tc>
        <w:tc>
          <w:tcPr>
            <w:tcW w:w="769" w:type="pct"/>
            <w:tcBorders>
              <w:top w:val="single" w:sz="4" w:space="0" w:color="auto"/>
            </w:tcBorders>
          </w:tcPr>
          <w:p w14:paraId="56D89AA6"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$43.00</w:t>
            </w:r>
          </w:p>
        </w:tc>
      </w:tr>
      <w:tr w:rsidR="00E47AB8" w:rsidRPr="008B2F8A" w14:paraId="3643734A" w14:textId="77777777" w:rsidTr="00422306">
        <w:tc>
          <w:tcPr>
            <w:tcW w:w="1917" w:type="pct"/>
            <w:tcBorders>
              <w:top w:val="single" w:sz="4" w:space="0" w:color="auto"/>
              <w:bottom w:val="single" w:sz="4" w:space="0" w:color="auto"/>
            </w:tcBorders>
          </w:tcPr>
          <w:p w14:paraId="44565221" w14:textId="5D1DCA5F" w:rsidR="00A014BF" w:rsidRPr="00A014BF" w:rsidRDefault="00E47AB8" w:rsidP="00A014BF">
            <w:pPr>
              <w:spacing w:before="40" w:after="40"/>
              <w:rPr>
                <w:rFonts w:ascii="Arial Narrow" w:eastAsia="Times New Roman" w:hAnsi="Arial Narrow"/>
                <w:sz w:val="20"/>
                <w:szCs w:val="20"/>
              </w:rPr>
            </w:pPr>
            <w:r w:rsidRPr="00A6193E">
              <w:rPr>
                <w:rFonts w:ascii="Arial Narrow" w:eastAsia="Times New Roman" w:hAnsi="Arial Narrow"/>
                <w:sz w:val="20"/>
                <w:szCs w:val="20"/>
              </w:rPr>
              <w:t>AC</w:t>
            </w:r>
            <w:r w:rsidR="00A014BF">
              <w:rPr>
                <w:rFonts w:ascii="Arial Narrow" w:eastAsia="Times New Roman" w:hAnsi="Arial Narrow"/>
                <w:sz w:val="20"/>
                <w:szCs w:val="20"/>
              </w:rPr>
              <w:t xml:space="preserve"> (doxorubicin [adriamycin]/</w:t>
            </w:r>
          </w:p>
          <w:p w14:paraId="11FA8F8C" w14:textId="49142DDE" w:rsidR="00E47AB8" w:rsidRPr="008B2F8A" w:rsidRDefault="00A014BF" w:rsidP="00A014BF">
            <w:pPr>
              <w:spacing w:before="40" w:after="40"/>
              <w:rPr>
                <w:rFonts w:ascii="Arial Narrow" w:eastAsia="Times New Roman" w:hAnsi="Arial Narrow"/>
                <w:sz w:val="20"/>
                <w:szCs w:val="20"/>
              </w:rPr>
            </w:pPr>
            <w:r>
              <w:rPr>
                <w:rFonts w:ascii="Arial Narrow" w:eastAsia="Times New Roman" w:hAnsi="Arial Narrow"/>
                <w:sz w:val="20"/>
                <w:szCs w:val="20"/>
              </w:rPr>
              <w:t>c</w:t>
            </w:r>
            <w:r w:rsidRPr="00A014BF">
              <w:rPr>
                <w:rFonts w:ascii="Arial Narrow" w:eastAsia="Times New Roman" w:hAnsi="Arial Narrow"/>
                <w:sz w:val="20"/>
                <w:szCs w:val="20"/>
              </w:rPr>
              <w:t>yclophosphamide</w:t>
            </w:r>
            <w:r>
              <w:rPr>
                <w:rFonts w:ascii="Arial Narrow" w:eastAsia="Times New Roman" w:hAnsi="Arial Narrow"/>
                <w:sz w:val="20"/>
                <w:szCs w:val="20"/>
              </w:rPr>
              <w:t>)</w:t>
            </w:r>
            <w:r w:rsidR="00E47AB8" w:rsidRPr="008B2F8A">
              <w:rPr>
                <w:rFonts w:ascii="Arial Narrow" w:eastAsia="Times New Roman" w:hAnsi="Arial Narrow"/>
                <w:sz w:val="20"/>
                <w:szCs w:val="20"/>
              </w:rPr>
              <w:t xml:space="preserve"> chemo</w:t>
            </w:r>
          </w:p>
        </w:tc>
        <w:tc>
          <w:tcPr>
            <w:tcW w:w="771" w:type="pct"/>
            <w:tcBorders>
              <w:top w:val="single" w:sz="4" w:space="0" w:color="auto"/>
              <w:bottom w:val="single" w:sz="4" w:space="0" w:color="auto"/>
            </w:tcBorders>
          </w:tcPr>
          <w:p w14:paraId="5461A2D5"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$400.00</w:t>
            </w:r>
          </w:p>
        </w:tc>
        <w:tc>
          <w:tcPr>
            <w:tcW w:w="771" w:type="pct"/>
            <w:tcBorders>
              <w:top w:val="single" w:sz="4" w:space="0" w:color="auto"/>
              <w:bottom w:val="single" w:sz="4" w:space="0" w:color="auto"/>
            </w:tcBorders>
          </w:tcPr>
          <w:p w14:paraId="40B0AF54"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Cancer Institute</w:t>
            </w:r>
          </w:p>
        </w:tc>
        <w:tc>
          <w:tcPr>
            <w:tcW w:w="771" w:type="pct"/>
            <w:tcBorders>
              <w:top w:val="single" w:sz="4" w:space="0" w:color="auto"/>
              <w:bottom w:val="single" w:sz="4" w:space="0" w:color="auto"/>
            </w:tcBorders>
          </w:tcPr>
          <w:p w14:paraId="5542FD36"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6</w:t>
            </w:r>
          </w:p>
        </w:tc>
        <w:tc>
          <w:tcPr>
            <w:tcW w:w="769" w:type="pct"/>
            <w:tcBorders>
              <w:top w:val="single" w:sz="4" w:space="0" w:color="auto"/>
            </w:tcBorders>
          </w:tcPr>
          <w:p w14:paraId="05F8D657"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$2,400.00</w:t>
            </w:r>
          </w:p>
        </w:tc>
      </w:tr>
      <w:tr w:rsidR="00E47AB8" w:rsidRPr="008B2F8A" w14:paraId="79E60D3B" w14:textId="77777777" w:rsidTr="00422306">
        <w:tc>
          <w:tcPr>
            <w:tcW w:w="1917" w:type="pct"/>
            <w:tcBorders>
              <w:top w:val="single" w:sz="4" w:space="0" w:color="auto"/>
              <w:bottom w:val="single" w:sz="4" w:space="0" w:color="auto"/>
            </w:tcBorders>
          </w:tcPr>
          <w:p w14:paraId="54AAB3C0"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Drug administration</w:t>
            </w:r>
          </w:p>
        </w:tc>
        <w:tc>
          <w:tcPr>
            <w:tcW w:w="771" w:type="pct"/>
            <w:tcBorders>
              <w:top w:val="single" w:sz="4" w:space="0" w:color="auto"/>
              <w:bottom w:val="single" w:sz="4" w:space="0" w:color="auto"/>
            </w:tcBorders>
          </w:tcPr>
          <w:p w14:paraId="33BEACBC"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$97.95</w:t>
            </w:r>
          </w:p>
        </w:tc>
        <w:tc>
          <w:tcPr>
            <w:tcW w:w="771" w:type="pct"/>
            <w:tcBorders>
              <w:top w:val="single" w:sz="4" w:space="0" w:color="auto"/>
              <w:bottom w:val="single" w:sz="4" w:space="0" w:color="auto"/>
            </w:tcBorders>
          </w:tcPr>
          <w:p w14:paraId="34F575EC"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MBS 13918</w:t>
            </w:r>
          </w:p>
        </w:tc>
        <w:tc>
          <w:tcPr>
            <w:tcW w:w="771" w:type="pct"/>
            <w:tcBorders>
              <w:top w:val="single" w:sz="4" w:space="0" w:color="auto"/>
              <w:bottom w:val="single" w:sz="4" w:space="0" w:color="auto"/>
            </w:tcBorders>
          </w:tcPr>
          <w:p w14:paraId="47B9BF77"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6</w:t>
            </w:r>
          </w:p>
        </w:tc>
        <w:tc>
          <w:tcPr>
            <w:tcW w:w="769" w:type="pct"/>
            <w:tcBorders>
              <w:top w:val="single" w:sz="4" w:space="0" w:color="auto"/>
            </w:tcBorders>
          </w:tcPr>
          <w:p w14:paraId="3BF3252D"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$587.70</w:t>
            </w:r>
          </w:p>
        </w:tc>
      </w:tr>
      <w:tr w:rsidR="00E47AB8" w:rsidRPr="008B2F8A" w14:paraId="53A129ED" w14:textId="77777777" w:rsidTr="00422306">
        <w:tc>
          <w:tcPr>
            <w:tcW w:w="1917" w:type="pct"/>
            <w:tcBorders>
              <w:top w:val="single" w:sz="4" w:space="0" w:color="auto"/>
              <w:bottom w:val="single" w:sz="4" w:space="0" w:color="auto"/>
            </w:tcBorders>
          </w:tcPr>
          <w:p w14:paraId="09968121" w14:textId="2861EFD6" w:rsidR="00E47AB8" w:rsidRPr="008B2F8A" w:rsidRDefault="00E47AB8" w:rsidP="00422306">
            <w:pPr>
              <w:spacing w:before="40" w:after="40"/>
              <w:rPr>
                <w:rFonts w:ascii="Arial Narrow" w:eastAsia="Times New Roman" w:hAnsi="Arial Narrow"/>
                <w:sz w:val="20"/>
                <w:szCs w:val="20"/>
              </w:rPr>
            </w:pPr>
            <w:bookmarkStart w:id="1144" w:name="OLE_LINK200"/>
            <w:bookmarkStart w:id="1145" w:name="OLE_LINK201"/>
            <w:r w:rsidRPr="008B2F8A">
              <w:rPr>
                <w:rFonts w:ascii="Arial Narrow" w:eastAsia="Times New Roman" w:hAnsi="Arial Narrow"/>
                <w:sz w:val="20"/>
                <w:szCs w:val="20"/>
              </w:rPr>
              <w:t>G</w:t>
            </w:r>
            <w:r w:rsidR="00A014BF">
              <w:rPr>
                <w:rFonts w:ascii="Arial Narrow" w:eastAsia="Times New Roman" w:hAnsi="Arial Narrow"/>
                <w:sz w:val="20"/>
                <w:szCs w:val="20"/>
              </w:rPr>
              <w:t>-</w:t>
            </w:r>
            <w:r w:rsidRPr="008B2F8A">
              <w:rPr>
                <w:rFonts w:ascii="Arial Narrow" w:eastAsia="Times New Roman" w:hAnsi="Arial Narrow"/>
                <w:sz w:val="20"/>
                <w:szCs w:val="20"/>
              </w:rPr>
              <w:t xml:space="preserve">CSF </w:t>
            </w:r>
            <w:bookmarkEnd w:id="1144"/>
            <w:bookmarkEnd w:id="1145"/>
            <w:r w:rsidRPr="008B2F8A">
              <w:rPr>
                <w:rFonts w:ascii="Arial Narrow" w:eastAsia="Times New Roman" w:hAnsi="Arial Narrow"/>
                <w:sz w:val="20"/>
                <w:szCs w:val="20"/>
              </w:rPr>
              <w:t>(</w:t>
            </w:r>
            <w:r w:rsidRPr="00A6193E">
              <w:rPr>
                <w:rFonts w:ascii="Arial Narrow" w:eastAsia="Times New Roman" w:hAnsi="Arial Narrow"/>
                <w:sz w:val="20"/>
                <w:szCs w:val="20"/>
              </w:rPr>
              <w:t>IV</w:t>
            </w:r>
            <w:r w:rsidRPr="008B2F8A">
              <w:rPr>
                <w:rFonts w:ascii="Arial Narrow" w:eastAsia="Times New Roman" w:hAnsi="Arial Narrow"/>
                <w:sz w:val="20"/>
                <w:szCs w:val="20"/>
              </w:rPr>
              <w:t>, 6 mg)</w:t>
            </w:r>
          </w:p>
        </w:tc>
        <w:tc>
          <w:tcPr>
            <w:tcW w:w="771" w:type="pct"/>
            <w:tcBorders>
              <w:top w:val="single" w:sz="4" w:space="0" w:color="auto"/>
              <w:bottom w:val="single" w:sz="4" w:space="0" w:color="auto"/>
            </w:tcBorders>
          </w:tcPr>
          <w:p w14:paraId="6DE489A8"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$1971.52</w:t>
            </w:r>
          </w:p>
        </w:tc>
        <w:tc>
          <w:tcPr>
            <w:tcW w:w="771" w:type="pct"/>
            <w:tcBorders>
              <w:top w:val="single" w:sz="4" w:space="0" w:color="auto"/>
              <w:bottom w:val="single" w:sz="4" w:space="0" w:color="auto"/>
            </w:tcBorders>
          </w:tcPr>
          <w:p w14:paraId="7381D47C"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PBS 6363X</w:t>
            </w:r>
          </w:p>
        </w:tc>
        <w:tc>
          <w:tcPr>
            <w:tcW w:w="771" w:type="pct"/>
            <w:tcBorders>
              <w:top w:val="single" w:sz="4" w:space="0" w:color="auto"/>
              <w:bottom w:val="single" w:sz="4" w:space="0" w:color="auto"/>
            </w:tcBorders>
          </w:tcPr>
          <w:p w14:paraId="56C18CF6" w14:textId="688432B9"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5 (1 </w:t>
            </w:r>
            <w:bookmarkStart w:id="1146" w:name="OLE_LINK214"/>
            <w:bookmarkStart w:id="1147" w:name="OLE_LINK215"/>
            <w:r w:rsidRPr="008B2F8A">
              <w:rPr>
                <w:rFonts w:ascii="Arial Narrow" w:eastAsia="Times New Roman" w:hAnsi="Arial Narrow"/>
                <w:sz w:val="20"/>
                <w:szCs w:val="20"/>
              </w:rPr>
              <w:sym w:font="Symbol" w:char="F0B4"/>
            </w:r>
            <w:bookmarkEnd w:id="1146"/>
            <w:bookmarkEnd w:id="1147"/>
            <w:r w:rsidRPr="008B2F8A">
              <w:rPr>
                <w:rFonts w:ascii="Arial Narrow" w:eastAsia="Times New Roman" w:hAnsi="Arial Narrow"/>
                <w:sz w:val="20"/>
                <w:szCs w:val="20"/>
              </w:rPr>
              <w:t xml:space="preserve"> 5) </w:t>
            </w:r>
            <w:r w:rsidRPr="008B2F8A">
              <w:rPr>
                <w:rFonts w:ascii="Arial Narrow" w:eastAsia="Times New Roman" w:hAnsi="Arial Narrow"/>
                <w:sz w:val="20"/>
                <w:szCs w:val="20"/>
                <w:vertAlign w:val="superscript"/>
              </w:rPr>
              <w:t>a</w:t>
            </w:r>
          </w:p>
        </w:tc>
        <w:tc>
          <w:tcPr>
            <w:tcW w:w="769" w:type="pct"/>
            <w:tcBorders>
              <w:top w:val="single" w:sz="4" w:space="0" w:color="auto"/>
            </w:tcBorders>
          </w:tcPr>
          <w:p w14:paraId="5A499334"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$9857.60</w:t>
            </w:r>
          </w:p>
        </w:tc>
      </w:tr>
      <w:tr w:rsidR="00E47AB8" w:rsidRPr="008B2F8A" w14:paraId="0DE69BD5" w14:textId="77777777" w:rsidTr="00422306">
        <w:tc>
          <w:tcPr>
            <w:tcW w:w="1917" w:type="pct"/>
            <w:tcBorders>
              <w:top w:val="single" w:sz="4" w:space="0" w:color="auto"/>
              <w:bottom w:val="single" w:sz="4" w:space="0" w:color="auto"/>
            </w:tcBorders>
          </w:tcPr>
          <w:p w14:paraId="68D2427C" w14:textId="31B83DB2"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G</w:t>
            </w:r>
            <w:r w:rsidR="00A014BF">
              <w:rPr>
                <w:rFonts w:ascii="Arial Narrow" w:eastAsia="Times New Roman" w:hAnsi="Arial Narrow"/>
                <w:sz w:val="20"/>
                <w:szCs w:val="20"/>
              </w:rPr>
              <w:t>-</w:t>
            </w:r>
            <w:r w:rsidRPr="008B2F8A">
              <w:rPr>
                <w:rFonts w:ascii="Arial Narrow" w:eastAsia="Times New Roman" w:hAnsi="Arial Narrow"/>
                <w:sz w:val="20"/>
                <w:szCs w:val="20"/>
              </w:rPr>
              <w:t>CSF admin</w:t>
            </w:r>
          </w:p>
        </w:tc>
        <w:tc>
          <w:tcPr>
            <w:tcW w:w="771" w:type="pct"/>
            <w:tcBorders>
              <w:top w:val="single" w:sz="4" w:space="0" w:color="auto"/>
              <w:bottom w:val="single" w:sz="4" w:space="0" w:color="auto"/>
            </w:tcBorders>
          </w:tcPr>
          <w:p w14:paraId="654D83A2"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$65.05</w:t>
            </w:r>
          </w:p>
        </w:tc>
        <w:tc>
          <w:tcPr>
            <w:tcW w:w="771" w:type="pct"/>
            <w:tcBorders>
              <w:top w:val="single" w:sz="4" w:space="0" w:color="auto"/>
              <w:bottom w:val="single" w:sz="4" w:space="0" w:color="auto"/>
            </w:tcBorders>
          </w:tcPr>
          <w:p w14:paraId="69BFCFF7"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MBS 13918</w:t>
            </w:r>
          </w:p>
        </w:tc>
        <w:tc>
          <w:tcPr>
            <w:tcW w:w="771" w:type="pct"/>
            <w:tcBorders>
              <w:top w:val="single" w:sz="4" w:space="0" w:color="auto"/>
              <w:bottom w:val="single" w:sz="4" w:space="0" w:color="auto"/>
            </w:tcBorders>
          </w:tcPr>
          <w:p w14:paraId="7E9A2911" w14:textId="329AD2A0"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5 (1 </w:t>
            </w:r>
            <w:r w:rsidRPr="008B2F8A">
              <w:rPr>
                <w:rFonts w:ascii="Arial Narrow" w:eastAsia="Times New Roman" w:hAnsi="Arial Narrow"/>
                <w:sz w:val="20"/>
                <w:szCs w:val="20"/>
              </w:rPr>
              <w:sym w:font="Symbol" w:char="F0B4"/>
            </w:r>
            <w:r w:rsidRPr="008B2F8A">
              <w:rPr>
                <w:rFonts w:ascii="Arial Narrow" w:eastAsia="Times New Roman" w:hAnsi="Arial Narrow"/>
                <w:sz w:val="20"/>
                <w:szCs w:val="20"/>
              </w:rPr>
              <w:t xml:space="preserve"> 5) </w:t>
            </w:r>
          </w:p>
        </w:tc>
        <w:tc>
          <w:tcPr>
            <w:tcW w:w="769" w:type="pct"/>
          </w:tcPr>
          <w:p w14:paraId="7B26786B"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$325.25</w:t>
            </w:r>
          </w:p>
        </w:tc>
      </w:tr>
      <w:tr w:rsidR="00E47AB8" w:rsidRPr="008B2F8A" w14:paraId="5DD6AB03" w14:textId="77777777" w:rsidTr="00422306">
        <w:tc>
          <w:tcPr>
            <w:tcW w:w="1917" w:type="pct"/>
            <w:tcBorders>
              <w:top w:val="single" w:sz="4" w:space="0" w:color="auto"/>
              <w:bottom w:val="single" w:sz="4" w:space="0" w:color="auto"/>
            </w:tcBorders>
          </w:tcPr>
          <w:p w14:paraId="62F4F0B3"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Metoclopramide (IV, 10 mg)</w:t>
            </w:r>
          </w:p>
        </w:tc>
        <w:tc>
          <w:tcPr>
            <w:tcW w:w="771" w:type="pct"/>
            <w:tcBorders>
              <w:top w:val="single" w:sz="4" w:space="0" w:color="auto"/>
              <w:bottom w:val="single" w:sz="4" w:space="0" w:color="auto"/>
            </w:tcBorders>
          </w:tcPr>
          <w:p w14:paraId="69C2F750"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$1.31</w:t>
            </w:r>
          </w:p>
        </w:tc>
        <w:tc>
          <w:tcPr>
            <w:tcW w:w="771" w:type="pct"/>
            <w:tcBorders>
              <w:top w:val="single" w:sz="4" w:space="0" w:color="auto"/>
              <w:bottom w:val="single" w:sz="4" w:space="0" w:color="auto"/>
            </w:tcBorders>
          </w:tcPr>
          <w:p w14:paraId="7796B4AA"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PBS 1206L</w:t>
            </w:r>
          </w:p>
        </w:tc>
        <w:tc>
          <w:tcPr>
            <w:tcW w:w="771" w:type="pct"/>
            <w:tcBorders>
              <w:top w:val="single" w:sz="4" w:space="0" w:color="auto"/>
              <w:bottom w:val="single" w:sz="4" w:space="0" w:color="auto"/>
            </w:tcBorders>
          </w:tcPr>
          <w:p w14:paraId="6B9DE095" w14:textId="788F21C8"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6 (1 </w:t>
            </w:r>
            <w:r w:rsidRPr="008B2F8A">
              <w:rPr>
                <w:rFonts w:ascii="Arial Narrow" w:eastAsia="Times New Roman" w:hAnsi="Arial Narrow"/>
                <w:sz w:val="20"/>
                <w:szCs w:val="20"/>
              </w:rPr>
              <w:sym w:font="Symbol" w:char="F0B4"/>
            </w:r>
            <w:r w:rsidRPr="008B2F8A">
              <w:rPr>
                <w:rFonts w:ascii="Arial Narrow" w:eastAsia="Times New Roman" w:hAnsi="Arial Narrow"/>
                <w:sz w:val="20"/>
                <w:szCs w:val="20"/>
              </w:rPr>
              <w:t xml:space="preserve"> 6)</w:t>
            </w:r>
          </w:p>
        </w:tc>
        <w:tc>
          <w:tcPr>
            <w:tcW w:w="769" w:type="pct"/>
          </w:tcPr>
          <w:p w14:paraId="22BD93AA"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$7.85</w:t>
            </w:r>
          </w:p>
        </w:tc>
      </w:tr>
      <w:tr w:rsidR="00E47AB8" w:rsidRPr="008B2F8A" w14:paraId="2A087110" w14:textId="77777777" w:rsidTr="00422306">
        <w:tc>
          <w:tcPr>
            <w:tcW w:w="1917" w:type="pct"/>
            <w:tcBorders>
              <w:top w:val="single" w:sz="4" w:space="0" w:color="auto"/>
              <w:bottom w:val="single" w:sz="4" w:space="0" w:color="auto"/>
            </w:tcBorders>
          </w:tcPr>
          <w:p w14:paraId="0F6B6C28"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Metoclopramide (</w:t>
            </w:r>
            <w:r w:rsidRPr="00A6193E">
              <w:rPr>
                <w:rFonts w:ascii="Arial Narrow" w:eastAsia="Times New Roman" w:hAnsi="Arial Narrow"/>
                <w:sz w:val="20"/>
                <w:szCs w:val="20"/>
              </w:rPr>
              <w:t>PO</w:t>
            </w:r>
            <w:r w:rsidRPr="008B2F8A">
              <w:rPr>
                <w:rFonts w:ascii="Arial Narrow" w:eastAsia="Times New Roman" w:hAnsi="Arial Narrow"/>
                <w:sz w:val="20"/>
                <w:szCs w:val="20"/>
              </w:rPr>
              <w:t>, 10 mg)</w:t>
            </w:r>
          </w:p>
        </w:tc>
        <w:tc>
          <w:tcPr>
            <w:tcW w:w="771" w:type="pct"/>
            <w:tcBorders>
              <w:top w:val="single" w:sz="4" w:space="0" w:color="auto"/>
              <w:bottom w:val="single" w:sz="4" w:space="0" w:color="auto"/>
            </w:tcBorders>
          </w:tcPr>
          <w:p w14:paraId="2720FABF"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$0.33</w:t>
            </w:r>
          </w:p>
        </w:tc>
        <w:tc>
          <w:tcPr>
            <w:tcW w:w="771" w:type="pct"/>
            <w:tcBorders>
              <w:top w:val="single" w:sz="4" w:space="0" w:color="auto"/>
              <w:bottom w:val="single" w:sz="4" w:space="0" w:color="auto"/>
            </w:tcBorders>
          </w:tcPr>
          <w:p w14:paraId="37403E6A"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PBS 1207M</w:t>
            </w:r>
          </w:p>
        </w:tc>
        <w:tc>
          <w:tcPr>
            <w:tcW w:w="771" w:type="pct"/>
            <w:tcBorders>
              <w:top w:val="single" w:sz="4" w:space="0" w:color="auto"/>
              <w:bottom w:val="single" w:sz="4" w:space="0" w:color="auto"/>
            </w:tcBorders>
          </w:tcPr>
          <w:p w14:paraId="36A737DC" w14:textId="260FF7CF"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168 (28 </w:t>
            </w:r>
            <w:r w:rsidRPr="008B2F8A">
              <w:rPr>
                <w:rFonts w:ascii="Arial Narrow" w:eastAsia="Times New Roman" w:hAnsi="Arial Narrow"/>
                <w:sz w:val="20"/>
                <w:szCs w:val="20"/>
              </w:rPr>
              <w:sym w:font="Symbol" w:char="F0B4"/>
            </w:r>
            <w:r w:rsidRPr="008B2F8A">
              <w:rPr>
                <w:rFonts w:ascii="Arial Narrow" w:eastAsia="Times New Roman" w:hAnsi="Arial Narrow"/>
                <w:sz w:val="20"/>
                <w:szCs w:val="20"/>
              </w:rPr>
              <w:t xml:space="preserve"> 6)</w:t>
            </w:r>
          </w:p>
        </w:tc>
        <w:tc>
          <w:tcPr>
            <w:tcW w:w="769" w:type="pct"/>
          </w:tcPr>
          <w:p w14:paraId="4816B41C"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$55.78</w:t>
            </w:r>
          </w:p>
        </w:tc>
      </w:tr>
      <w:tr w:rsidR="00E47AB8" w:rsidRPr="008B2F8A" w14:paraId="7259EAB3" w14:textId="77777777" w:rsidTr="00422306">
        <w:tc>
          <w:tcPr>
            <w:tcW w:w="1917" w:type="pct"/>
            <w:tcBorders>
              <w:top w:val="single" w:sz="4" w:space="0" w:color="auto"/>
              <w:bottom w:val="single" w:sz="4" w:space="0" w:color="auto"/>
            </w:tcBorders>
          </w:tcPr>
          <w:p w14:paraId="20E632F4"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Dexamethasone (IV, 4 mg)</w:t>
            </w:r>
          </w:p>
        </w:tc>
        <w:tc>
          <w:tcPr>
            <w:tcW w:w="771" w:type="pct"/>
            <w:tcBorders>
              <w:top w:val="single" w:sz="4" w:space="0" w:color="auto"/>
              <w:bottom w:val="single" w:sz="4" w:space="0" w:color="auto"/>
            </w:tcBorders>
          </w:tcPr>
          <w:p w14:paraId="3A3D80B3"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$3.26</w:t>
            </w:r>
          </w:p>
        </w:tc>
        <w:tc>
          <w:tcPr>
            <w:tcW w:w="771" w:type="pct"/>
            <w:tcBorders>
              <w:top w:val="single" w:sz="4" w:space="0" w:color="auto"/>
              <w:bottom w:val="single" w:sz="4" w:space="0" w:color="auto"/>
            </w:tcBorders>
          </w:tcPr>
          <w:p w14:paraId="647F267F"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PBS 2509C</w:t>
            </w:r>
          </w:p>
        </w:tc>
        <w:tc>
          <w:tcPr>
            <w:tcW w:w="771" w:type="pct"/>
            <w:tcBorders>
              <w:top w:val="single" w:sz="4" w:space="0" w:color="auto"/>
              <w:bottom w:val="single" w:sz="4" w:space="0" w:color="auto"/>
            </w:tcBorders>
          </w:tcPr>
          <w:p w14:paraId="7CF4BD4F" w14:textId="4DA2874E"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6 (1 </w:t>
            </w:r>
            <w:r w:rsidRPr="008B2F8A">
              <w:rPr>
                <w:rFonts w:ascii="Arial Narrow" w:eastAsia="Times New Roman" w:hAnsi="Arial Narrow"/>
                <w:sz w:val="20"/>
                <w:szCs w:val="20"/>
              </w:rPr>
              <w:sym w:font="Symbol" w:char="F0B4"/>
            </w:r>
            <w:r w:rsidRPr="008B2F8A">
              <w:rPr>
                <w:rFonts w:ascii="Arial Narrow" w:eastAsia="Times New Roman" w:hAnsi="Arial Narrow"/>
                <w:sz w:val="20"/>
                <w:szCs w:val="20"/>
              </w:rPr>
              <w:t xml:space="preserve"> 6)</w:t>
            </w:r>
          </w:p>
        </w:tc>
        <w:tc>
          <w:tcPr>
            <w:tcW w:w="769" w:type="pct"/>
          </w:tcPr>
          <w:p w14:paraId="540F8479"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$19.58</w:t>
            </w:r>
          </w:p>
        </w:tc>
      </w:tr>
      <w:tr w:rsidR="00E47AB8" w:rsidRPr="008B2F8A" w14:paraId="6D78279A" w14:textId="77777777" w:rsidTr="00422306">
        <w:tc>
          <w:tcPr>
            <w:tcW w:w="1917" w:type="pct"/>
            <w:tcBorders>
              <w:top w:val="single" w:sz="4" w:space="0" w:color="auto"/>
              <w:bottom w:val="single" w:sz="4" w:space="0" w:color="auto"/>
            </w:tcBorders>
          </w:tcPr>
          <w:p w14:paraId="7E8DBF92"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Dexamethasone (</w:t>
            </w:r>
            <w:bookmarkStart w:id="1148" w:name="OLE_LINK355"/>
            <w:bookmarkStart w:id="1149" w:name="OLE_LINK356"/>
            <w:r w:rsidRPr="008B2F8A">
              <w:rPr>
                <w:rFonts w:ascii="Arial Narrow" w:eastAsia="Times New Roman" w:hAnsi="Arial Narrow"/>
                <w:sz w:val="20"/>
                <w:szCs w:val="20"/>
              </w:rPr>
              <w:t>PO</w:t>
            </w:r>
            <w:bookmarkEnd w:id="1148"/>
            <w:bookmarkEnd w:id="1149"/>
            <w:r w:rsidRPr="008B2F8A">
              <w:rPr>
                <w:rFonts w:ascii="Arial Narrow" w:eastAsia="Times New Roman" w:hAnsi="Arial Narrow"/>
                <w:sz w:val="20"/>
                <w:szCs w:val="20"/>
              </w:rPr>
              <w:t>, 0.5 mg)</w:t>
            </w:r>
          </w:p>
        </w:tc>
        <w:tc>
          <w:tcPr>
            <w:tcW w:w="771" w:type="pct"/>
            <w:tcBorders>
              <w:top w:val="single" w:sz="4" w:space="0" w:color="auto"/>
              <w:bottom w:val="single" w:sz="4" w:space="0" w:color="auto"/>
            </w:tcBorders>
          </w:tcPr>
          <w:p w14:paraId="1EFB4FA2"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$0.30</w:t>
            </w:r>
          </w:p>
        </w:tc>
        <w:tc>
          <w:tcPr>
            <w:tcW w:w="771" w:type="pct"/>
            <w:tcBorders>
              <w:top w:val="single" w:sz="4" w:space="0" w:color="auto"/>
              <w:bottom w:val="single" w:sz="4" w:space="0" w:color="auto"/>
            </w:tcBorders>
          </w:tcPr>
          <w:p w14:paraId="2A2ABC9D"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PBS 1292B</w:t>
            </w:r>
          </w:p>
        </w:tc>
        <w:tc>
          <w:tcPr>
            <w:tcW w:w="771" w:type="pct"/>
            <w:tcBorders>
              <w:top w:val="single" w:sz="4" w:space="0" w:color="auto"/>
              <w:bottom w:val="single" w:sz="4" w:space="0" w:color="auto"/>
            </w:tcBorders>
          </w:tcPr>
          <w:p w14:paraId="4492A6CE" w14:textId="6F2DA3A2"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18 (3 </w:t>
            </w:r>
            <w:r w:rsidRPr="008B2F8A">
              <w:rPr>
                <w:rFonts w:ascii="Arial Narrow" w:eastAsia="Times New Roman" w:hAnsi="Arial Narrow"/>
                <w:sz w:val="20"/>
                <w:szCs w:val="20"/>
              </w:rPr>
              <w:sym w:font="Symbol" w:char="F0B4"/>
            </w:r>
            <w:r w:rsidRPr="008B2F8A">
              <w:rPr>
                <w:rFonts w:ascii="Arial Narrow" w:eastAsia="Times New Roman" w:hAnsi="Arial Narrow"/>
                <w:sz w:val="20"/>
                <w:szCs w:val="20"/>
              </w:rPr>
              <w:t xml:space="preserve"> 6)</w:t>
            </w:r>
          </w:p>
        </w:tc>
        <w:tc>
          <w:tcPr>
            <w:tcW w:w="769" w:type="pct"/>
          </w:tcPr>
          <w:p w14:paraId="49160986"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$5.36</w:t>
            </w:r>
          </w:p>
        </w:tc>
      </w:tr>
      <w:tr w:rsidR="00E47AB8" w:rsidRPr="008B2F8A" w14:paraId="5B429F0B" w14:textId="77777777" w:rsidTr="00422306">
        <w:tc>
          <w:tcPr>
            <w:tcW w:w="1917" w:type="pct"/>
            <w:tcBorders>
              <w:top w:val="single" w:sz="4" w:space="0" w:color="auto"/>
              <w:bottom w:val="single" w:sz="4" w:space="0" w:color="auto"/>
            </w:tcBorders>
          </w:tcPr>
          <w:p w14:paraId="35943B8D"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Ondansetron (IV, 4 mg)</w:t>
            </w:r>
          </w:p>
        </w:tc>
        <w:tc>
          <w:tcPr>
            <w:tcW w:w="771" w:type="pct"/>
            <w:tcBorders>
              <w:top w:val="single" w:sz="4" w:space="0" w:color="auto"/>
              <w:bottom w:val="single" w:sz="4" w:space="0" w:color="auto"/>
            </w:tcBorders>
          </w:tcPr>
          <w:p w14:paraId="12BD6CC3"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$8.91</w:t>
            </w:r>
          </w:p>
        </w:tc>
        <w:tc>
          <w:tcPr>
            <w:tcW w:w="771" w:type="pct"/>
            <w:tcBorders>
              <w:top w:val="single" w:sz="4" w:space="0" w:color="auto"/>
              <w:bottom w:val="single" w:sz="4" w:space="0" w:color="auto"/>
            </w:tcBorders>
          </w:tcPr>
          <w:p w14:paraId="080234D5"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PBS 1596B</w:t>
            </w:r>
          </w:p>
        </w:tc>
        <w:tc>
          <w:tcPr>
            <w:tcW w:w="771" w:type="pct"/>
            <w:tcBorders>
              <w:top w:val="single" w:sz="4" w:space="0" w:color="auto"/>
              <w:bottom w:val="single" w:sz="4" w:space="0" w:color="auto"/>
            </w:tcBorders>
          </w:tcPr>
          <w:p w14:paraId="57B18780" w14:textId="44EB780F"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6 (1 </w:t>
            </w:r>
            <w:r w:rsidRPr="008B2F8A">
              <w:rPr>
                <w:rFonts w:ascii="Arial Narrow" w:eastAsia="Times New Roman" w:hAnsi="Arial Narrow"/>
                <w:sz w:val="20"/>
                <w:szCs w:val="20"/>
              </w:rPr>
              <w:sym w:font="Symbol" w:char="F0B4"/>
            </w:r>
            <w:r w:rsidRPr="008B2F8A">
              <w:rPr>
                <w:rFonts w:ascii="Arial Narrow" w:eastAsia="Times New Roman" w:hAnsi="Arial Narrow"/>
                <w:sz w:val="20"/>
                <w:szCs w:val="20"/>
              </w:rPr>
              <w:t xml:space="preserve"> 6)</w:t>
            </w:r>
          </w:p>
        </w:tc>
        <w:tc>
          <w:tcPr>
            <w:tcW w:w="769" w:type="pct"/>
          </w:tcPr>
          <w:p w14:paraId="50A81536"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$53.46</w:t>
            </w:r>
          </w:p>
        </w:tc>
      </w:tr>
      <w:tr w:rsidR="00E47AB8" w:rsidRPr="008B2F8A" w14:paraId="44BC5F7E" w14:textId="77777777" w:rsidTr="00422306">
        <w:tc>
          <w:tcPr>
            <w:tcW w:w="1917" w:type="pct"/>
            <w:tcBorders>
              <w:top w:val="single" w:sz="4" w:space="0" w:color="auto"/>
              <w:bottom w:val="single" w:sz="4" w:space="0" w:color="auto"/>
            </w:tcBorders>
          </w:tcPr>
          <w:p w14:paraId="25DC4E73"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Ondansetron (PO, 4 mg)</w:t>
            </w:r>
          </w:p>
        </w:tc>
        <w:tc>
          <w:tcPr>
            <w:tcW w:w="771" w:type="pct"/>
            <w:tcBorders>
              <w:top w:val="single" w:sz="4" w:space="0" w:color="auto"/>
              <w:bottom w:val="single" w:sz="4" w:space="0" w:color="auto"/>
            </w:tcBorders>
          </w:tcPr>
          <w:p w14:paraId="0FBA695F"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$5.45</w:t>
            </w:r>
          </w:p>
        </w:tc>
        <w:tc>
          <w:tcPr>
            <w:tcW w:w="771" w:type="pct"/>
            <w:tcBorders>
              <w:top w:val="single" w:sz="4" w:space="0" w:color="auto"/>
              <w:bottom w:val="single" w:sz="4" w:space="0" w:color="auto"/>
            </w:tcBorders>
          </w:tcPr>
          <w:p w14:paraId="7D6921F2"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PBS 1594X</w:t>
            </w:r>
          </w:p>
        </w:tc>
        <w:tc>
          <w:tcPr>
            <w:tcW w:w="771" w:type="pct"/>
            <w:tcBorders>
              <w:top w:val="single" w:sz="4" w:space="0" w:color="auto"/>
              <w:bottom w:val="single" w:sz="4" w:space="0" w:color="auto"/>
            </w:tcBorders>
          </w:tcPr>
          <w:p w14:paraId="45484935" w14:textId="1869BB2E"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18 (3 </w:t>
            </w:r>
            <w:r w:rsidRPr="008B2F8A">
              <w:rPr>
                <w:rFonts w:ascii="Arial Narrow" w:eastAsia="Times New Roman" w:hAnsi="Arial Narrow"/>
                <w:sz w:val="20"/>
                <w:szCs w:val="20"/>
              </w:rPr>
              <w:sym w:font="Symbol" w:char="F0B4"/>
            </w:r>
            <w:r w:rsidRPr="008B2F8A">
              <w:rPr>
                <w:rFonts w:ascii="Arial Narrow" w:eastAsia="Times New Roman" w:hAnsi="Arial Narrow"/>
                <w:sz w:val="20"/>
                <w:szCs w:val="20"/>
              </w:rPr>
              <w:t xml:space="preserve"> 6)</w:t>
            </w:r>
          </w:p>
        </w:tc>
        <w:tc>
          <w:tcPr>
            <w:tcW w:w="769" w:type="pct"/>
          </w:tcPr>
          <w:p w14:paraId="012D5FAF"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$98.08</w:t>
            </w:r>
          </w:p>
        </w:tc>
      </w:tr>
      <w:tr w:rsidR="00E47AB8" w:rsidRPr="008B2F8A" w14:paraId="453C5EFC" w14:textId="77777777" w:rsidTr="00422306">
        <w:tc>
          <w:tcPr>
            <w:tcW w:w="1917" w:type="pct"/>
            <w:tcBorders>
              <w:top w:val="single" w:sz="4" w:space="0" w:color="auto"/>
              <w:bottom w:val="single" w:sz="4" w:space="0" w:color="auto"/>
            </w:tcBorders>
          </w:tcPr>
          <w:p w14:paraId="09A830FB" w14:textId="77777777"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Aprepitant (PO, 125 mg)</w:t>
            </w:r>
          </w:p>
        </w:tc>
        <w:tc>
          <w:tcPr>
            <w:tcW w:w="771" w:type="pct"/>
            <w:tcBorders>
              <w:top w:val="single" w:sz="4" w:space="0" w:color="auto"/>
              <w:bottom w:val="single" w:sz="4" w:space="0" w:color="auto"/>
            </w:tcBorders>
          </w:tcPr>
          <w:p w14:paraId="146BC1B6" w14:textId="77777777" w:rsidR="00E47AB8" w:rsidRPr="008B2F8A" w:rsidRDefault="00E47AB8" w:rsidP="00A6193E">
            <w:pPr>
              <w:spacing w:before="40" w:after="40"/>
              <w:ind w:right="135"/>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$138.99</w:t>
            </w:r>
          </w:p>
        </w:tc>
        <w:tc>
          <w:tcPr>
            <w:tcW w:w="771" w:type="pct"/>
            <w:tcBorders>
              <w:top w:val="single" w:sz="4" w:space="0" w:color="auto"/>
              <w:bottom w:val="single" w:sz="4" w:space="0" w:color="auto"/>
            </w:tcBorders>
          </w:tcPr>
          <w:p w14:paraId="04F32342" w14:textId="77777777" w:rsidR="00E47AB8" w:rsidRPr="008B2F8A" w:rsidRDefault="00E47AB8" w:rsidP="00422306">
            <w:pPr>
              <w:spacing w:before="40" w:after="40"/>
              <w:rPr>
                <w:rFonts w:ascii="Arial Narrow" w:eastAsia="Times New Roman" w:hAnsi="Arial Narrow"/>
                <w:noProof/>
                <w:sz w:val="20"/>
                <w:szCs w:val="20"/>
              </w:rPr>
            </w:pPr>
            <w:r w:rsidRPr="008B2F8A">
              <w:rPr>
                <w:rFonts w:ascii="Arial Narrow" w:eastAsia="Times New Roman" w:hAnsi="Arial Narrow"/>
                <w:noProof/>
                <w:sz w:val="20"/>
                <w:szCs w:val="20"/>
              </w:rPr>
              <w:t>PBS 8808N</w:t>
            </w:r>
          </w:p>
        </w:tc>
        <w:tc>
          <w:tcPr>
            <w:tcW w:w="771" w:type="pct"/>
            <w:tcBorders>
              <w:top w:val="single" w:sz="4" w:space="0" w:color="auto"/>
              <w:bottom w:val="single" w:sz="4" w:space="0" w:color="auto"/>
            </w:tcBorders>
          </w:tcPr>
          <w:p w14:paraId="7E9C6108" w14:textId="2B3EA47C" w:rsidR="00E47AB8" w:rsidRPr="008B2F8A" w:rsidRDefault="00E47AB8" w:rsidP="00422306">
            <w:pPr>
              <w:spacing w:before="40" w:after="40"/>
              <w:rPr>
                <w:rFonts w:ascii="Arial Narrow" w:eastAsia="Times New Roman" w:hAnsi="Arial Narrow"/>
                <w:sz w:val="20"/>
                <w:szCs w:val="20"/>
              </w:rPr>
            </w:pPr>
            <w:r w:rsidRPr="008B2F8A">
              <w:rPr>
                <w:rFonts w:ascii="Arial Narrow" w:eastAsia="Times New Roman" w:hAnsi="Arial Narrow"/>
                <w:sz w:val="20"/>
                <w:szCs w:val="20"/>
              </w:rPr>
              <w:t xml:space="preserve">18 (3 </w:t>
            </w:r>
            <w:r w:rsidRPr="008B2F8A">
              <w:rPr>
                <w:rFonts w:ascii="Arial Narrow" w:eastAsia="Times New Roman" w:hAnsi="Arial Narrow"/>
                <w:sz w:val="20"/>
                <w:szCs w:val="20"/>
              </w:rPr>
              <w:sym w:font="Symbol" w:char="F0B4"/>
            </w:r>
            <w:r w:rsidRPr="008B2F8A">
              <w:rPr>
                <w:rFonts w:ascii="Arial Narrow" w:eastAsia="Times New Roman" w:hAnsi="Arial Narrow"/>
                <w:sz w:val="20"/>
                <w:szCs w:val="20"/>
              </w:rPr>
              <w:t xml:space="preserve"> 6)</w:t>
            </w:r>
          </w:p>
        </w:tc>
        <w:tc>
          <w:tcPr>
            <w:tcW w:w="769" w:type="pct"/>
            <w:tcBorders>
              <w:bottom w:val="single" w:sz="4" w:space="0" w:color="auto"/>
            </w:tcBorders>
          </w:tcPr>
          <w:p w14:paraId="504369BD" w14:textId="77777777" w:rsidR="00E47AB8" w:rsidRPr="008B2F8A" w:rsidRDefault="00E47AB8" w:rsidP="00A6193E">
            <w:pPr>
              <w:spacing w:before="40" w:after="4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$2,501.82</w:t>
            </w:r>
          </w:p>
        </w:tc>
      </w:tr>
      <w:tr w:rsidR="00E47AB8" w:rsidRPr="008B2F8A" w14:paraId="5306198C" w14:textId="77777777" w:rsidTr="00422306">
        <w:tc>
          <w:tcPr>
            <w:tcW w:w="1917" w:type="pct"/>
            <w:tcBorders>
              <w:top w:val="single" w:sz="4" w:space="0" w:color="auto"/>
              <w:left w:val="single" w:sz="4" w:space="0" w:color="auto"/>
              <w:bottom w:val="single" w:sz="4" w:space="0" w:color="auto"/>
              <w:right w:val="nil"/>
            </w:tcBorders>
          </w:tcPr>
          <w:p w14:paraId="3814D5E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w:t>
            </w:r>
          </w:p>
        </w:tc>
        <w:tc>
          <w:tcPr>
            <w:tcW w:w="771" w:type="pct"/>
            <w:tcBorders>
              <w:top w:val="single" w:sz="4" w:space="0" w:color="auto"/>
              <w:left w:val="nil"/>
              <w:bottom w:val="single" w:sz="4" w:space="0" w:color="auto"/>
              <w:right w:val="nil"/>
            </w:tcBorders>
          </w:tcPr>
          <w:p w14:paraId="125E7EB2" w14:textId="77777777" w:rsidR="00E47AB8" w:rsidRPr="00BB3820" w:rsidRDefault="00E47AB8" w:rsidP="00422306">
            <w:pPr>
              <w:spacing w:before="40" w:after="80"/>
              <w:rPr>
                <w:rFonts w:ascii="Arial Narrow" w:eastAsia="Times New Roman" w:hAnsi="Arial Narrow"/>
                <w:sz w:val="20"/>
                <w:szCs w:val="20"/>
              </w:rPr>
            </w:pPr>
            <w:r w:rsidRPr="00A6193E">
              <w:rPr>
                <w:rFonts w:ascii="Arial Narrow" w:hAnsi="Arial Narrow"/>
                <w:color w:val="FFFFFF" w:themeColor="background1"/>
                <w:sz w:val="20"/>
                <w:szCs w:val="20"/>
              </w:rPr>
              <w:t>-</w:t>
            </w:r>
          </w:p>
        </w:tc>
        <w:tc>
          <w:tcPr>
            <w:tcW w:w="771" w:type="pct"/>
            <w:tcBorders>
              <w:top w:val="single" w:sz="4" w:space="0" w:color="auto"/>
              <w:left w:val="nil"/>
              <w:bottom w:val="single" w:sz="4" w:space="0" w:color="auto"/>
              <w:right w:val="nil"/>
            </w:tcBorders>
          </w:tcPr>
          <w:p w14:paraId="4E2F3799" w14:textId="77777777" w:rsidR="00E47AB8" w:rsidRPr="00BB3820" w:rsidRDefault="00E47AB8" w:rsidP="00422306">
            <w:pPr>
              <w:spacing w:before="40" w:after="80"/>
              <w:rPr>
                <w:rFonts w:ascii="Arial Narrow" w:eastAsia="Times New Roman" w:hAnsi="Arial Narrow"/>
                <w:sz w:val="20"/>
                <w:szCs w:val="20"/>
              </w:rPr>
            </w:pPr>
            <w:r w:rsidRPr="00A6193E">
              <w:rPr>
                <w:rFonts w:ascii="Arial Narrow" w:hAnsi="Arial Narrow"/>
                <w:color w:val="FFFFFF" w:themeColor="background1"/>
                <w:sz w:val="20"/>
                <w:szCs w:val="20"/>
              </w:rPr>
              <w:t>-</w:t>
            </w:r>
          </w:p>
        </w:tc>
        <w:tc>
          <w:tcPr>
            <w:tcW w:w="771" w:type="pct"/>
            <w:tcBorders>
              <w:top w:val="single" w:sz="4" w:space="0" w:color="auto"/>
              <w:left w:val="nil"/>
              <w:bottom w:val="single" w:sz="4" w:space="0" w:color="auto"/>
              <w:right w:val="single" w:sz="4" w:space="0" w:color="auto"/>
            </w:tcBorders>
          </w:tcPr>
          <w:p w14:paraId="0474C69F" w14:textId="77777777" w:rsidR="00E47AB8" w:rsidRPr="00BB3820" w:rsidRDefault="00E47AB8" w:rsidP="00422306">
            <w:pPr>
              <w:spacing w:before="40" w:after="80"/>
              <w:rPr>
                <w:rFonts w:ascii="Arial Narrow" w:eastAsia="Times New Roman" w:hAnsi="Arial Narrow"/>
                <w:sz w:val="20"/>
                <w:szCs w:val="20"/>
              </w:rPr>
            </w:pPr>
            <w:r w:rsidRPr="00A6193E">
              <w:rPr>
                <w:rFonts w:ascii="Arial Narrow" w:hAnsi="Arial Narrow"/>
                <w:color w:val="FFFFFF" w:themeColor="background1"/>
                <w:sz w:val="20"/>
                <w:szCs w:val="20"/>
              </w:rPr>
              <w:t>-</w:t>
            </w:r>
          </w:p>
        </w:tc>
        <w:tc>
          <w:tcPr>
            <w:tcW w:w="769" w:type="pct"/>
            <w:tcBorders>
              <w:left w:val="single" w:sz="4" w:space="0" w:color="auto"/>
              <w:bottom w:val="single" w:sz="4" w:space="0" w:color="auto"/>
            </w:tcBorders>
          </w:tcPr>
          <w:p w14:paraId="0EF473AB" w14:textId="77777777" w:rsidR="00E47AB8" w:rsidRPr="008B2F8A" w:rsidRDefault="00E47AB8" w:rsidP="00A6193E">
            <w:pPr>
              <w:spacing w:before="40" w:after="80"/>
              <w:ind w:right="21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$16,043.72</w:t>
            </w:r>
          </w:p>
        </w:tc>
      </w:tr>
    </w:tbl>
    <w:p w14:paraId="2C0EF311" w14:textId="3551C308" w:rsidR="00E47AB8" w:rsidRPr="00A6193E" w:rsidRDefault="00E47AB8" w:rsidP="00A6193E">
      <w:pPr>
        <w:pStyle w:val="TableNotesLast"/>
        <w:rPr>
          <w:rFonts w:eastAsia="Calibri"/>
        </w:rPr>
      </w:pPr>
      <w:r w:rsidRPr="008B2F8A">
        <w:rPr>
          <w:vertAlign w:val="superscript"/>
        </w:rPr>
        <w:t>a</w:t>
      </w:r>
      <w:r w:rsidRPr="008B2F8A">
        <w:t>. G</w:t>
      </w:r>
      <w:r w:rsidR="00A014BF">
        <w:t>-</w:t>
      </w:r>
      <w:r w:rsidRPr="008B2F8A">
        <w:t>CSF IV on day 2 after each cycle from cycle 2. G</w:t>
      </w:r>
      <w:r w:rsidR="00A014BF">
        <w:t>-</w:t>
      </w:r>
      <w:r w:rsidRPr="008B2F8A">
        <w:t xml:space="preserve">CSF = </w:t>
      </w:r>
      <w:r w:rsidR="00A014BF">
        <w:t>Granulocyte-colony Stimulating Factor (</w:t>
      </w:r>
      <w:r w:rsidR="00A014BF" w:rsidRPr="00A014BF">
        <w:t>Pegfilgrastim</w:t>
      </w:r>
      <w:r w:rsidR="00A014BF">
        <w:t>)</w:t>
      </w:r>
      <w:r w:rsidRPr="008B2F8A">
        <w:t xml:space="preserve">; IV = intravenous; PO = </w:t>
      </w:r>
      <w:r w:rsidR="00A014BF">
        <w:t>per oral</w:t>
      </w:r>
      <w:r w:rsidRPr="008B2F8A">
        <w:t>; MBS = Medicare Benefits Schedule; PBS = Pharmaceutical Benefits Scheme.</w:t>
      </w:r>
    </w:p>
    <w:p w14:paraId="548F9988" w14:textId="68014490" w:rsidR="00E47AB8" w:rsidRPr="007C6E89" w:rsidRDefault="00E47AB8" w:rsidP="00422306">
      <w:pPr>
        <w:spacing w:after="200"/>
        <w:rPr>
          <w:rFonts w:eastAsiaTheme="minorHAnsi" w:cstheme="minorBidi"/>
        </w:rPr>
      </w:pPr>
      <w:r w:rsidRPr="007C6E89">
        <w:rPr>
          <w:rFonts w:eastAsiaTheme="minorHAnsi" w:cstheme="minorBidi"/>
        </w:rPr>
        <w:t>Following the first year of treatment, it is assumed that in patients without disease recurrence, the annual costs of treatment (for a maximum of 5 years after diagnosis) are $175.50, consisting of 2 specialist consultations and one mammogram. After 5 years, these patients return to the model as ‘true-negatives’ with the same baseline risk of cancer as other patients in the model and the same annual surveillance routine.</w:t>
      </w:r>
    </w:p>
    <w:p w14:paraId="2401E5C0" w14:textId="6ACF0F9F" w:rsidR="00E47AB8" w:rsidRPr="007C6E89" w:rsidRDefault="00E47AB8" w:rsidP="00422306">
      <w:pPr>
        <w:spacing w:after="200"/>
        <w:rPr>
          <w:rFonts w:eastAsiaTheme="minorHAnsi" w:cstheme="minorBidi"/>
        </w:rPr>
      </w:pPr>
      <w:r w:rsidRPr="007C6E89">
        <w:rPr>
          <w:rFonts w:eastAsiaTheme="minorHAnsi" w:cstheme="minorBidi"/>
        </w:rPr>
        <w:t xml:space="preserve">A proportion of true-positive patients will not be successfully treated and will go on to receive treatment for distant metastases and other complications. Verry et al </w:t>
      </w:r>
      <w:r w:rsidRPr="007C6E89">
        <w:rPr>
          <w:rFonts w:eastAsiaTheme="minorHAnsi" w:cstheme="minorBidi"/>
          <w:noProof/>
        </w:rPr>
        <w:t>(2012)</w:t>
      </w:r>
      <w:r w:rsidRPr="007C6E89">
        <w:rPr>
          <w:rFonts w:eastAsiaTheme="minorHAnsi" w:cstheme="minorBidi"/>
        </w:rPr>
        <w:t xml:space="preserve"> report an annual recurrence to distant metastases of 0.69% and an annual cost of distant metastases of $24,340.11. These costs are projected over a 5-year period to estimate an expected annual cost of cancer treatment after the first year of true-positive diagnosis of $341.45 ($341.45 ≈ $24,340.11 per year × 2.5 years of treatment on average over 5 years × 0.69% of patients per year; the exact calculations also allow for discounting and are provided in the Excel spreadsheet attachment).</w:t>
      </w:r>
    </w:p>
    <w:p w14:paraId="77D7CD70" w14:textId="77777777" w:rsidR="00E47AB8" w:rsidRPr="008B2F8A" w:rsidRDefault="00E47AB8" w:rsidP="00422306">
      <w:pPr>
        <w:pStyle w:val="Heading4"/>
      </w:pPr>
      <w:r w:rsidRPr="008B2F8A">
        <w:t>Cost of a false-negative diagnosis</w:t>
      </w:r>
    </w:p>
    <w:p w14:paraId="2CF147F6" w14:textId="6C1B734E" w:rsidR="00E47AB8" w:rsidRPr="007C6E89" w:rsidRDefault="00E47AB8" w:rsidP="00422306">
      <w:pPr>
        <w:spacing w:after="200"/>
        <w:rPr>
          <w:rFonts w:eastAsiaTheme="minorHAnsi" w:cstheme="minorBidi"/>
        </w:rPr>
      </w:pPr>
      <w:r w:rsidRPr="007C6E89">
        <w:rPr>
          <w:rFonts w:eastAsiaTheme="minorHAnsi" w:cstheme="minorBidi"/>
        </w:rPr>
        <w:t>Patients with a false-negative diagnosis incur the same costs as patients who receive a true-negative diagnosis (ie, screening costs only). However, when the cancer is identified, these patients incur the same costs as for a true-positive diagnosis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_Ref375573288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11</w:t>
      </w:r>
      <w:r w:rsidRPr="008B2F8A">
        <w:rPr>
          <w:rFonts w:asciiTheme="minorHAnsi" w:eastAsiaTheme="minorHAnsi" w:hAnsiTheme="minorHAnsi" w:cstheme="minorBidi"/>
        </w:rPr>
        <w:fldChar w:fldCharType="end"/>
      </w:r>
      <w:r w:rsidRPr="007C6E89">
        <w:rPr>
          <w:rFonts w:eastAsiaTheme="minorHAnsi" w:cstheme="minorBidi"/>
        </w:rPr>
        <w:t>).</w:t>
      </w:r>
    </w:p>
    <w:p w14:paraId="3F626F06" w14:textId="77777777" w:rsidR="00E47AB8" w:rsidRPr="008B2F8A" w:rsidRDefault="00E47AB8" w:rsidP="00422306">
      <w:pPr>
        <w:pStyle w:val="Heading4"/>
      </w:pPr>
      <w:r w:rsidRPr="008B2F8A">
        <w:t>Cost of a false-positive diagnosis</w:t>
      </w:r>
    </w:p>
    <w:p w14:paraId="3E4A1E09" w14:textId="5DD36D5C" w:rsidR="00E47AB8" w:rsidRPr="007C6E89" w:rsidRDefault="00E47AB8" w:rsidP="00422306">
      <w:pPr>
        <w:spacing w:after="200"/>
        <w:rPr>
          <w:rFonts w:eastAsiaTheme="minorHAnsi" w:cstheme="minorBidi"/>
        </w:rPr>
      </w:pPr>
      <w:r w:rsidRPr="007C6E89">
        <w:rPr>
          <w:rFonts w:eastAsiaTheme="minorHAnsi" w:cstheme="minorBidi"/>
        </w:rPr>
        <w:t>Patients with a false-positive diagnosis are assumed to receive a follow-up biopsy (MBS item 31548), follow-up ultrasound (MBS item 55070) and specialist consultation (MBS item 104). The total cost of follow-up in these patients is therefore $321.70</w:t>
      </w:r>
      <w:r w:rsidR="00A014BF">
        <w:rPr>
          <w:rFonts w:eastAsiaTheme="minorHAnsi" w:cstheme="minorBidi"/>
        </w:rPr>
        <w:t xml:space="preserve"> (</w:t>
      </w:r>
      <w:r w:rsidR="00A014BF">
        <w:rPr>
          <w:rFonts w:eastAsiaTheme="minorHAnsi" w:cstheme="minorBidi"/>
        </w:rPr>
        <w:fldChar w:fldCharType="begin"/>
      </w:r>
      <w:r w:rsidR="00A014BF">
        <w:rPr>
          <w:rFonts w:eastAsiaTheme="minorHAnsi" w:cstheme="minorBidi"/>
        </w:rPr>
        <w:instrText xml:space="preserve"> REF _Ref383162731 \h </w:instrText>
      </w:r>
      <w:r w:rsidR="00A014BF">
        <w:rPr>
          <w:rFonts w:eastAsiaTheme="minorHAnsi" w:cstheme="minorBidi"/>
        </w:rPr>
      </w:r>
      <w:r w:rsidR="00A014BF">
        <w:rPr>
          <w:rFonts w:eastAsiaTheme="minorHAnsi" w:cstheme="minorBidi"/>
        </w:rPr>
        <w:fldChar w:fldCharType="separate"/>
      </w:r>
      <w:r w:rsidR="00B81273" w:rsidRPr="008B2F8A">
        <w:t xml:space="preserve">Table </w:t>
      </w:r>
      <w:r w:rsidR="00B81273">
        <w:rPr>
          <w:noProof/>
        </w:rPr>
        <w:t>D</w:t>
      </w:r>
      <w:r w:rsidR="00B81273" w:rsidRPr="008B2F8A">
        <w:t>.</w:t>
      </w:r>
      <w:r w:rsidR="00B81273">
        <w:rPr>
          <w:noProof/>
        </w:rPr>
        <w:t>13</w:t>
      </w:r>
      <w:r w:rsidR="00A014BF">
        <w:rPr>
          <w:rFonts w:eastAsiaTheme="minorHAnsi" w:cstheme="minorBidi"/>
        </w:rPr>
        <w:fldChar w:fldCharType="end"/>
      </w:r>
      <w:r w:rsidR="00A014BF">
        <w:rPr>
          <w:rFonts w:eastAsiaTheme="minorHAnsi" w:cstheme="minorBidi"/>
        </w:rPr>
        <w:t>)</w:t>
      </w:r>
      <w:r w:rsidRPr="007C6E89">
        <w:rPr>
          <w:rFonts w:eastAsiaTheme="minorHAnsi" w:cstheme="minorBidi"/>
        </w:rPr>
        <w:t>. Note that the assumption that all false-</w:t>
      </w:r>
      <w:r w:rsidRPr="007C6E89">
        <w:rPr>
          <w:rFonts w:eastAsiaTheme="minorHAnsi" w:cstheme="minorBidi"/>
        </w:rPr>
        <w:lastRenderedPageBreak/>
        <w:t>positives proceed to biopsy may lead to an overestimation of biopsy costs. Whereas true-positive patients receive a follow-up MRI as part of their first-year treatment costs, false-positive diagnoses are assumed to have no additional MRI screening owing to the lack of incremental clinical benefit associated with performing the same test twice.</w:t>
      </w:r>
    </w:p>
    <w:p w14:paraId="3C6F057A" w14:textId="77777777" w:rsidR="00E47AB8" w:rsidRPr="008B2F8A" w:rsidRDefault="00E47AB8" w:rsidP="00422306">
      <w:pPr>
        <w:pStyle w:val="Caption"/>
      </w:pPr>
      <w:bookmarkStart w:id="1150" w:name="_Ref383162731"/>
      <w:bookmarkStart w:id="1151" w:name="_Toc383424622"/>
      <w:r w:rsidRPr="008B2F8A">
        <w:t xml:space="preserve">Table </w:t>
      </w:r>
      <w:fldSimple w:instr=" STYLEREF 1 \s ">
        <w:r w:rsidR="00B81273">
          <w:rPr>
            <w:noProof/>
          </w:rPr>
          <w:t>D</w:t>
        </w:r>
      </w:fldSimple>
      <w:r w:rsidRPr="008B2F8A">
        <w:t>.</w:t>
      </w:r>
      <w:fldSimple w:instr=" SEQ Table \* ARABIC \s 1 ">
        <w:r w:rsidR="00B81273">
          <w:rPr>
            <w:noProof/>
          </w:rPr>
          <w:t>13</w:t>
        </w:r>
      </w:fldSimple>
      <w:bookmarkEnd w:id="1150"/>
      <w:r w:rsidRPr="008B2F8A">
        <w:tab/>
      </w:r>
      <w:bookmarkStart w:id="1152" w:name="OLE_LINK1099"/>
      <w:bookmarkStart w:id="1153" w:name="OLE_LINK1100"/>
      <w:r w:rsidRPr="008B2F8A">
        <w:t>Cost of follow-up in false-positive patients</w:t>
      </w:r>
      <w:bookmarkEnd w:id="1152"/>
      <w:bookmarkEnd w:id="1153"/>
      <w:r w:rsidRPr="008B2F8A">
        <w:t>.</w:t>
      </w:r>
      <w:bookmarkEnd w:id="1151"/>
    </w:p>
    <w:tbl>
      <w:tblPr>
        <w:tblW w:w="6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ost of follow-up in false-positive patients"/>
      </w:tblPr>
      <w:tblGrid>
        <w:gridCol w:w="2441"/>
        <w:gridCol w:w="1399"/>
        <w:gridCol w:w="2720"/>
      </w:tblGrid>
      <w:tr w:rsidR="00E47AB8" w:rsidRPr="008B2F8A" w14:paraId="3305A7E2" w14:textId="77777777" w:rsidTr="00422306">
        <w:trPr>
          <w:tblHeader/>
        </w:trPr>
        <w:tc>
          <w:tcPr>
            <w:tcW w:w="1861" w:type="pct"/>
            <w:shd w:val="clear" w:color="auto" w:fill="EEECE1" w:themeFill="background2"/>
            <w:noWrap/>
          </w:tcPr>
          <w:p w14:paraId="0A31FABB"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Cost item</w:t>
            </w:r>
          </w:p>
        </w:tc>
        <w:tc>
          <w:tcPr>
            <w:tcW w:w="1066" w:type="pct"/>
            <w:shd w:val="clear" w:color="auto" w:fill="EEECE1" w:themeFill="background2"/>
            <w:noWrap/>
          </w:tcPr>
          <w:p w14:paraId="3A6C9081"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Unit cost</w:t>
            </w:r>
          </w:p>
        </w:tc>
        <w:tc>
          <w:tcPr>
            <w:tcW w:w="2074" w:type="pct"/>
            <w:shd w:val="clear" w:color="auto" w:fill="EEECE1" w:themeFill="background2"/>
            <w:noWrap/>
          </w:tcPr>
          <w:p w14:paraId="71F08405"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Reference</w:t>
            </w:r>
          </w:p>
        </w:tc>
      </w:tr>
      <w:tr w:rsidR="00E47AB8" w:rsidRPr="008B2F8A" w14:paraId="600E5034" w14:textId="77777777" w:rsidTr="00422306">
        <w:tc>
          <w:tcPr>
            <w:tcW w:w="1861" w:type="pct"/>
            <w:shd w:val="clear" w:color="auto" w:fill="auto"/>
            <w:noWrap/>
            <w:hideMark/>
          </w:tcPr>
          <w:p w14:paraId="7B064A8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Biopsy</w:t>
            </w:r>
          </w:p>
        </w:tc>
        <w:tc>
          <w:tcPr>
            <w:tcW w:w="1066" w:type="pct"/>
            <w:shd w:val="clear" w:color="auto" w:fill="auto"/>
            <w:noWrap/>
            <w:hideMark/>
          </w:tcPr>
          <w:p w14:paraId="3B657362" w14:textId="77777777" w:rsidR="00E47AB8" w:rsidRPr="008B2F8A" w:rsidRDefault="00E47AB8" w:rsidP="00E14AC4">
            <w:pPr>
              <w:spacing w:before="40" w:after="80"/>
              <w:ind w:right="202"/>
              <w:jc w:val="right"/>
              <w:rPr>
                <w:rFonts w:ascii="Arial Narrow" w:hAnsi="Arial Narrow"/>
                <w:color w:val="000000"/>
                <w:sz w:val="20"/>
                <w:szCs w:val="20"/>
                <w:lang w:eastAsia="en-AU"/>
              </w:rPr>
            </w:pPr>
            <w:r w:rsidRPr="008B2F8A">
              <w:rPr>
                <w:rFonts w:ascii="Arial Narrow" w:hAnsi="Arial Narrow"/>
                <w:sz w:val="20"/>
                <w:szCs w:val="20"/>
                <w:lang w:eastAsia="en-AU"/>
              </w:rPr>
              <w:t>$137.90</w:t>
            </w:r>
          </w:p>
        </w:tc>
        <w:tc>
          <w:tcPr>
            <w:tcW w:w="2074" w:type="pct"/>
            <w:shd w:val="clear" w:color="auto" w:fill="auto"/>
            <w:noWrap/>
          </w:tcPr>
          <w:p w14:paraId="3E0850B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31548</w:t>
            </w:r>
          </w:p>
        </w:tc>
      </w:tr>
      <w:tr w:rsidR="00E47AB8" w:rsidRPr="008B2F8A" w14:paraId="6588753E" w14:textId="77777777" w:rsidTr="00422306">
        <w:tc>
          <w:tcPr>
            <w:tcW w:w="1861" w:type="pct"/>
            <w:shd w:val="clear" w:color="auto" w:fill="auto"/>
            <w:noWrap/>
          </w:tcPr>
          <w:p w14:paraId="2027CA29"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Ultrasound</w:t>
            </w:r>
          </w:p>
        </w:tc>
        <w:tc>
          <w:tcPr>
            <w:tcW w:w="1066" w:type="pct"/>
            <w:shd w:val="clear" w:color="auto" w:fill="auto"/>
            <w:noWrap/>
          </w:tcPr>
          <w:p w14:paraId="3183569F" w14:textId="77777777" w:rsidR="00E47AB8" w:rsidRPr="008B2F8A" w:rsidRDefault="00E47AB8" w:rsidP="00E14AC4">
            <w:pPr>
              <w:spacing w:before="40" w:after="80"/>
              <w:ind w:right="202"/>
              <w:jc w:val="right"/>
              <w:rPr>
                <w:rFonts w:ascii="Arial Narrow" w:hAnsi="Arial Narrow"/>
                <w:color w:val="000000"/>
                <w:sz w:val="20"/>
                <w:szCs w:val="20"/>
                <w:lang w:eastAsia="en-AU"/>
              </w:rPr>
            </w:pPr>
            <w:r w:rsidRPr="008B2F8A">
              <w:rPr>
                <w:rFonts w:ascii="Arial Narrow" w:hAnsi="Arial Narrow"/>
                <w:sz w:val="20"/>
                <w:szCs w:val="20"/>
                <w:lang w:eastAsia="en-AU"/>
              </w:rPr>
              <w:t>$98.25</w:t>
            </w:r>
          </w:p>
        </w:tc>
        <w:tc>
          <w:tcPr>
            <w:tcW w:w="2074" w:type="pct"/>
            <w:shd w:val="clear" w:color="auto" w:fill="auto"/>
            <w:noWrap/>
          </w:tcPr>
          <w:p w14:paraId="169ECF6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55070</w:t>
            </w:r>
          </w:p>
        </w:tc>
      </w:tr>
      <w:tr w:rsidR="00E47AB8" w:rsidRPr="008B2F8A" w14:paraId="69FAE5D3" w14:textId="77777777" w:rsidTr="00422306">
        <w:tc>
          <w:tcPr>
            <w:tcW w:w="1861" w:type="pct"/>
            <w:shd w:val="clear" w:color="auto" w:fill="auto"/>
            <w:noWrap/>
            <w:hideMark/>
          </w:tcPr>
          <w:p w14:paraId="3F06B3E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Specialist consultation—initial</w:t>
            </w:r>
          </w:p>
        </w:tc>
        <w:tc>
          <w:tcPr>
            <w:tcW w:w="1066" w:type="pct"/>
            <w:shd w:val="clear" w:color="auto" w:fill="auto"/>
            <w:noWrap/>
            <w:hideMark/>
          </w:tcPr>
          <w:p w14:paraId="7F30595D" w14:textId="77777777" w:rsidR="00E47AB8" w:rsidRPr="008B2F8A" w:rsidRDefault="00E47AB8" w:rsidP="00E14AC4">
            <w:pPr>
              <w:spacing w:before="40" w:after="80"/>
              <w:ind w:right="202"/>
              <w:jc w:val="right"/>
              <w:rPr>
                <w:rFonts w:ascii="Arial Narrow" w:hAnsi="Arial Narrow"/>
                <w:color w:val="000000"/>
                <w:sz w:val="20"/>
                <w:szCs w:val="20"/>
                <w:lang w:eastAsia="en-AU"/>
              </w:rPr>
            </w:pPr>
            <w:r w:rsidRPr="008B2F8A">
              <w:rPr>
                <w:rFonts w:ascii="Arial Narrow" w:hAnsi="Arial Narrow"/>
                <w:sz w:val="20"/>
                <w:szCs w:val="20"/>
                <w:lang w:eastAsia="en-AU"/>
              </w:rPr>
              <w:t>$85.55</w:t>
            </w:r>
          </w:p>
        </w:tc>
        <w:tc>
          <w:tcPr>
            <w:tcW w:w="2074" w:type="pct"/>
            <w:shd w:val="clear" w:color="auto" w:fill="auto"/>
            <w:noWrap/>
          </w:tcPr>
          <w:p w14:paraId="7CE14AA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104</w:t>
            </w:r>
          </w:p>
        </w:tc>
      </w:tr>
      <w:tr w:rsidR="00E47AB8" w:rsidRPr="008B2F8A" w14:paraId="11D1A3B1" w14:textId="77777777" w:rsidTr="00422306">
        <w:tc>
          <w:tcPr>
            <w:tcW w:w="1861" w:type="pct"/>
            <w:shd w:val="clear" w:color="auto" w:fill="auto"/>
            <w:noWrap/>
          </w:tcPr>
          <w:p w14:paraId="594FD027"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Total cost</w:t>
            </w:r>
          </w:p>
        </w:tc>
        <w:tc>
          <w:tcPr>
            <w:tcW w:w="1066" w:type="pct"/>
            <w:shd w:val="clear" w:color="auto" w:fill="auto"/>
            <w:noWrap/>
          </w:tcPr>
          <w:p w14:paraId="65F155B6" w14:textId="77777777" w:rsidR="00E47AB8" w:rsidRPr="008B2F8A" w:rsidRDefault="00E47AB8" w:rsidP="00E14AC4">
            <w:pPr>
              <w:spacing w:before="40" w:after="80"/>
              <w:ind w:right="202"/>
              <w:jc w:val="right"/>
              <w:rPr>
                <w:rFonts w:ascii="Arial Narrow" w:hAnsi="Arial Narrow"/>
                <w:color w:val="000000"/>
                <w:sz w:val="20"/>
                <w:szCs w:val="20"/>
                <w:lang w:eastAsia="en-AU"/>
              </w:rPr>
            </w:pPr>
            <w:r w:rsidRPr="008B2F8A">
              <w:rPr>
                <w:rFonts w:ascii="Arial Narrow" w:hAnsi="Arial Narrow"/>
                <w:sz w:val="20"/>
                <w:szCs w:val="20"/>
                <w:lang w:eastAsia="en-AU"/>
              </w:rPr>
              <w:t>$321.70</w:t>
            </w:r>
          </w:p>
        </w:tc>
        <w:tc>
          <w:tcPr>
            <w:tcW w:w="2074" w:type="pct"/>
            <w:shd w:val="clear" w:color="auto" w:fill="auto"/>
            <w:noWrap/>
          </w:tcPr>
          <w:p w14:paraId="76721662"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items 31548, 55070 and 104</w:t>
            </w:r>
          </w:p>
        </w:tc>
      </w:tr>
    </w:tbl>
    <w:p w14:paraId="32817AF8" w14:textId="77777777" w:rsidR="00E47AB8" w:rsidRPr="007C6E89" w:rsidRDefault="00E47AB8" w:rsidP="00422306">
      <w:pPr>
        <w:spacing w:after="200"/>
        <w:rPr>
          <w:rFonts w:eastAsiaTheme="minorHAnsi" w:cstheme="minorBidi"/>
        </w:rPr>
      </w:pPr>
    </w:p>
    <w:p w14:paraId="2C574261" w14:textId="77777777" w:rsidR="00E47AB8" w:rsidRPr="008B2F8A" w:rsidRDefault="00E47AB8" w:rsidP="00E47AB8">
      <w:pPr>
        <w:pStyle w:val="Heading3"/>
        <w:numPr>
          <w:ilvl w:val="2"/>
          <w:numId w:val="42"/>
        </w:numPr>
      </w:pPr>
      <w:bookmarkStart w:id="1154" w:name="_Ref377647754"/>
      <w:bookmarkStart w:id="1155" w:name="_Toc383424499"/>
      <w:r w:rsidRPr="008B2F8A">
        <w:t>Utility values</w:t>
      </w:r>
      <w:bookmarkEnd w:id="1154"/>
      <w:bookmarkEnd w:id="1155"/>
    </w:p>
    <w:p w14:paraId="2A9A4540" w14:textId="2E189AC7" w:rsidR="00E47AB8" w:rsidRPr="007C6E89" w:rsidRDefault="00E47AB8" w:rsidP="00422306">
      <w:pPr>
        <w:spacing w:after="200"/>
        <w:rPr>
          <w:rFonts w:eastAsiaTheme="minorHAnsi" w:cstheme="minorBidi"/>
        </w:rPr>
      </w:pP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_Ref375578113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14</w:t>
      </w:r>
      <w:r w:rsidRPr="008B2F8A">
        <w:rPr>
          <w:rFonts w:asciiTheme="minorHAnsi" w:eastAsiaTheme="minorHAnsi" w:hAnsiTheme="minorHAnsi" w:cstheme="minorBidi"/>
        </w:rPr>
        <w:fldChar w:fldCharType="end"/>
      </w:r>
      <w:r w:rsidRPr="007C6E89">
        <w:rPr>
          <w:rFonts w:eastAsiaTheme="minorHAnsi" w:cstheme="minorBidi"/>
        </w:rPr>
        <w:t xml:space="preserve"> presents the relative utility values applied to patients in different health states in the model. The utility values for patients undergoing treatment for breast cancer were derived from the same source as those used in the NICE economic model </w:t>
      </w:r>
      <w:r w:rsidRPr="007C6E89">
        <w:rPr>
          <w:rFonts w:eastAsiaTheme="minorHAnsi" w:cstheme="minorBidi"/>
          <w:noProof/>
        </w:rPr>
        <w:t>(</w:t>
      </w:r>
      <w:bookmarkStart w:id="1156" w:name="OLE_LINK888"/>
      <w:bookmarkStart w:id="1157" w:name="OLE_LINK889"/>
      <w:r w:rsidRPr="007C6E89">
        <w:rPr>
          <w:rFonts w:eastAsiaTheme="minorHAnsi" w:cstheme="minorBidi"/>
          <w:noProof/>
        </w:rPr>
        <w:t>Peasgood et al, 2010</w:t>
      </w:r>
      <w:bookmarkEnd w:id="1156"/>
      <w:bookmarkEnd w:id="1157"/>
      <w:r w:rsidRPr="007C6E89">
        <w:rPr>
          <w:rFonts w:eastAsiaTheme="minorHAnsi" w:cstheme="minorBidi"/>
          <w:noProof/>
        </w:rPr>
        <w:t>)</w:t>
      </w:r>
      <w:r w:rsidRPr="007C6E89">
        <w:rPr>
          <w:rFonts w:eastAsiaTheme="minorHAnsi" w:cstheme="minorBidi"/>
        </w:rPr>
        <w:t>, and were applied for 1 year only. As in the NICE model, the base case here does not apply any utility decrement to patients who receive a false-positive diagnosis. While false-positives can lead to stress in the time between screening and follow-up biopsy, this time is likely to be short, as it is assumed that false-positives are identified during follow-up imaging and biopsy evaluations. It is important to note that including a disutility for any anxiety or inconvenience associated with a false-positive finding implicitly assumes that there is a finite (presumably high, but still finite) number of cancer deaths the community is willing to allow in order to avoid these inconveniences. For simplicity, the base-case model assumes that they cannot be measured against the overall objective of the screening program—to reduce cancer deaths—and are therefore ignored. The impact of including a 1-month disutility for women with a false-positive diagnosis is explored in sensitivity analyses</w:t>
      </w:r>
      <w:r w:rsidR="00A014BF">
        <w:rPr>
          <w:rFonts w:eastAsiaTheme="minorHAnsi" w:cstheme="minorBidi"/>
        </w:rPr>
        <w:t xml:space="preserve"> (section </w:t>
      </w:r>
      <w:r w:rsidR="00A014BF">
        <w:rPr>
          <w:rFonts w:eastAsiaTheme="minorHAnsi" w:cstheme="minorBidi"/>
        </w:rPr>
        <w:fldChar w:fldCharType="begin"/>
      </w:r>
      <w:r w:rsidR="00A014BF">
        <w:rPr>
          <w:rFonts w:eastAsiaTheme="minorHAnsi" w:cstheme="minorBidi"/>
        </w:rPr>
        <w:instrText xml:space="preserve"> REF _Ref383162810 \r \h </w:instrText>
      </w:r>
      <w:r w:rsidR="00A014BF">
        <w:rPr>
          <w:rFonts w:eastAsiaTheme="minorHAnsi" w:cstheme="minorBidi"/>
        </w:rPr>
      </w:r>
      <w:r w:rsidR="00A014BF">
        <w:rPr>
          <w:rFonts w:eastAsiaTheme="minorHAnsi" w:cstheme="minorBidi"/>
        </w:rPr>
        <w:fldChar w:fldCharType="separate"/>
      </w:r>
      <w:r w:rsidR="00B81273">
        <w:rPr>
          <w:rFonts w:eastAsiaTheme="minorHAnsi" w:cstheme="minorBidi"/>
        </w:rPr>
        <w:t>D.6</w:t>
      </w:r>
      <w:r w:rsidR="00A014BF">
        <w:rPr>
          <w:rFonts w:eastAsiaTheme="minorHAnsi" w:cstheme="minorBidi"/>
        </w:rPr>
        <w:fldChar w:fldCharType="end"/>
      </w:r>
      <w:r w:rsidR="00A014BF">
        <w:rPr>
          <w:rFonts w:eastAsiaTheme="minorHAnsi" w:cstheme="minorBidi"/>
        </w:rPr>
        <w:t xml:space="preserve"> </w:t>
      </w:r>
      <w:r w:rsidR="00A014BF">
        <w:rPr>
          <w:rFonts w:eastAsiaTheme="minorHAnsi" w:cstheme="minorBidi"/>
        </w:rPr>
        <w:fldChar w:fldCharType="begin"/>
      </w:r>
      <w:r w:rsidR="00A014BF">
        <w:rPr>
          <w:rFonts w:eastAsiaTheme="minorHAnsi" w:cstheme="minorBidi"/>
        </w:rPr>
        <w:instrText xml:space="preserve"> REF _Ref383162814 \h </w:instrText>
      </w:r>
      <w:r w:rsidR="00A014BF">
        <w:rPr>
          <w:rFonts w:eastAsiaTheme="minorHAnsi" w:cstheme="minorBidi"/>
        </w:rPr>
      </w:r>
      <w:r w:rsidR="00A014BF">
        <w:rPr>
          <w:rFonts w:eastAsiaTheme="minorHAnsi" w:cstheme="minorBidi"/>
        </w:rPr>
        <w:fldChar w:fldCharType="separate"/>
      </w:r>
      <w:r w:rsidR="00B81273" w:rsidRPr="008B2F8A">
        <w:rPr>
          <w:rFonts w:eastAsiaTheme="majorEastAsia"/>
        </w:rPr>
        <w:t>Sensitivity analyses</w:t>
      </w:r>
      <w:r w:rsidR="00A014BF">
        <w:rPr>
          <w:rFonts w:eastAsiaTheme="minorHAnsi" w:cstheme="minorBidi"/>
        </w:rPr>
        <w:fldChar w:fldCharType="end"/>
      </w:r>
      <w:r w:rsidR="00A014BF">
        <w:rPr>
          <w:rFonts w:eastAsiaTheme="minorHAnsi" w:cstheme="minorBidi"/>
        </w:rPr>
        <w:t>)</w:t>
      </w:r>
      <w:r w:rsidRPr="007C6E89">
        <w:rPr>
          <w:rFonts w:eastAsiaTheme="minorHAnsi" w:cstheme="minorBidi"/>
        </w:rPr>
        <w:t>.</w:t>
      </w:r>
    </w:p>
    <w:p w14:paraId="7B5F830F" w14:textId="7F71B990" w:rsidR="00E47AB8" w:rsidRPr="007C6E89" w:rsidRDefault="00E47AB8" w:rsidP="00422306">
      <w:pPr>
        <w:spacing w:after="200"/>
        <w:rPr>
          <w:rFonts w:eastAsiaTheme="minorHAnsi" w:cstheme="minorBidi"/>
        </w:rPr>
      </w:pPr>
      <w:r w:rsidRPr="007C6E89">
        <w:rPr>
          <w:rFonts w:eastAsiaTheme="minorHAnsi" w:cstheme="minorBidi"/>
        </w:rPr>
        <w:t>Unlike the NICE model, this model does not apply a utility decrement to women who received a false-negative diagnosis. These women do not know they have a false-negative diagnosis and are thus indistinguishable from the general population, and their utility value in the model reflects this until the tumour is detected (and the patient becomes a ‘true-positive’).</w:t>
      </w:r>
    </w:p>
    <w:p w14:paraId="1A33DC59" w14:textId="43ACD8F3" w:rsidR="00E47AB8" w:rsidRPr="007C6E89" w:rsidRDefault="00E47AB8" w:rsidP="00422306">
      <w:pPr>
        <w:spacing w:after="200"/>
        <w:rPr>
          <w:rFonts w:eastAsiaTheme="minorHAnsi" w:cstheme="minorBidi"/>
        </w:rPr>
      </w:pPr>
      <w:r w:rsidRPr="007C6E89">
        <w:rPr>
          <w:rFonts w:eastAsiaTheme="minorHAnsi" w:cstheme="minorBidi"/>
        </w:rPr>
        <w:t xml:space="preserve">The relative utility values were applied to age-specific utility values representing Australian population norms, as reported by </w:t>
      </w:r>
      <w:bookmarkStart w:id="1158" w:name="OLE_LINK890"/>
      <w:bookmarkStart w:id="1159" w:name="OLE_LINK891"/>
      <w:r w:rsidRPr="007C6E89">
        <w:rPr>
          <w:rFonts w:eastAsiaTheme="minorHAnsi" w:cstheme="minorBidi"/>
        </w:rPr>
        <w:t xml:space="preserve">Hawthorne and Osborne </w:t>
      </w:r>
      <w:r w:rsidRPr="007C6E89">
        <w:rPr>
          <w:rFonts w:eastAsiaTheme="minorHAnsi" w:cstheme="minorBidi"/>
          <w:noProof/>
        </w:rPr>
        <w:t>(2005</w:t>
      </w:r>
      <w:bookmarkEnd w:id="1158"/>
      <w:bookmarkEnd w:id="1159"/>
      <w:r w:rsidRPr="007C6E89">
        <w:rPr>
          <w:rFonts w:eastAsiaTheme="minorHAnsi" w:cstheme="minorBidi"/>
          <w:noProof/>
        </w:rPr>
        <w:t>)</w:t>
      </w:r>
      <w:r w:rsidRPr="007C6E89">
        <w:rPr>
          <w:rFonts w:eastAsiaTheme="minorHAnsi" w:cstheme="minorBidi"/>
        </w:rPr>
        <w:t xml:space="preserve">. These results were based on data from the 1998 South Australian Health Omnibus Survey, using the </w:t>
      </w:r>
      <w:bookmarkStart w:id="1160" w:name="OLE_LINK375"/>
      <w:bookmarkStart w:id="1161" w:name="OLE_LINK376"/>
      <w:r w:rsidRPr="007C6E89">
        <w:rPr>
          <w:rFonts w:eastAsiaTheme="minorHAnsi" w:cstheme="minorBidi"/>
        </w:rPr>
        <w:t xml:space="preserve">Assessment of Quality of Life </w:t>
      </w:r>
      <w:bookmarkEnd w:id="1160"/>
      <w:bookmarkEnd w:id="1161"/>
      <w:r w:rsidRPr="007C6E89">
        <w:rPr>
          <w:rFonts w:eastAsiaTheme="minorHAnsi" w:cstheme="minorBidi"/>
        </w:rPr>
        <w:t>instrument.</w:t>
      </w:r>
    </w:p>
    <w:p w14:paraId="52990C96" w14:textId="590BAE67" w:rsidR="00E47AB8" w:rsidRPr="008B2F8A" w:rsidRDefault="00E47AB8" w:rsidP="007B6507">
      <w:pPr>
        <w:pStyle w:val="Caption"/>
      </w:pPr>
      <w:bookmarkStart w:id="1162" w:name="_Ref375578113"/>
      <w:bookmarkStart w:id="1163" w:name="_Toc383424623"/>
      <w:r w:rsidRPr="008B2F8A">
        <w:lastRenderedPageBreak/>
        <w:t xml:space="preserve">Table </w:t>
      </w:r>
      <w:fldSimple w:instr=" STYLEREF 1 \s ">
        <w:r w:rsidR="00B81273">
          <w:rPr>
            <w:noProof/>
          </w:rPr>
          <w:t>D</w:t>
        </w:r>
      </w:fldSimple>
      <w:r w:rsidRPr="008B2F8A">
        <w:t>.</w:t>
      </w:r>
      <w:fldSimple w:instr=" SEQ Table \* ARABIC \s 1 ">
        <w:r w:rsidR="00B81273">
          <w:rPr>
            <w:noProof/>
          </w:rPr>
          <w:t>14</w:t>
        </w:r>
      </w:fldSimple>
      <w:bookmarkEnd w:id="1162"/>
      <w:r w:rsidRPr="008B2F8A">
        <w:tab/>
      </w:r>
      <w:bookmarkStart w:id="1164" w:name="OLE_LINK1101"/>
      <w:bookmarkStart w:id="1165" w:name="OLE_LINK1102"/>
      <w:r w:rsidRPr="008B2F8A">
        <w:t xml:space="preserve">Utility values for different health states in the model and Australian </w:t>
      </w:r>
      <w:r w:rsidRPr="00B57F1E">
        <w:t>Assessment of Quality of Life</w:t>
      </w:r>
      <w:r w:rsidRPr="00B57F1E" w:rsidDel="00B57F1E">
        <w:t xml:space="preserve"> </w:t>
      </w:r>
      <w:r w:rsidRPr="008B2F8A">
        <w:t>population norms</w:t>
      </w:r>
      <w:bookmarkEnd w:id="1164"/>
      <w:bookmarkEnd w:id="1165"/>
      <w:r w:rsidRPr="008B2F8A">
        <w:t>.</w:t>
      </w:r>
      <w:bookmarkEnd w:id="1163"/>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Utility values for different health states in the model and Australian Assessment of Quality of Life population norms"/>
      </w:tblPr>
      <w:tblGrid>
        <w:gridCol w:w="2555"/>
        <w:gridCol w:w="2170"/>
        <w:gridCol w:w="4345"/>
      </w:tblGrid>
      <w:tr w:rsidR="00E47AB8" w:rsidRPr="008B2F8A" w14:paraId="027B05E0" w14:textId="77777777" w:rsidTr="00E14AC4">
        <w:trPr>
          <w:tblHeader/>
        </w:trPr>
        <w:tc>
          <w:tcPr>
            <w:tcW w:w="1408" w:type="pct"/>
            <w:tcBorders>
              <w:bottom w:val="single" w:sz="4" w:space="0" w:color="auto"/>
            </w:tcBorders>
            <w:shd w:val="clear" w:color="auto" w:fill="EEECE1" w:themeFill="background2"/>
            <w:noWrap/>
            <w:vAlign w:val="bottom"/>
          </w:tcPr>
          <w:p w14:paraId="5484B08E" w14:textId="77777777" w:rsidR="00E47AB8" w:rsidRPr="008B2F8A" w:rsidRDefault="00E47AB8" w:rsidP="007B6507">
            <w:pPr>
              <w:keepNext/>
              <w:spacing w:before="40" w:after="80"/>
              <w:rPr>
                <w:rFonts w:ascii="Arial Narrow" w:hAnsi="Arial Narrow"/>
                <w:b/>
                <w:sz w:val="20"/>
                <w:szCs w:val="20"/>
                <w:lang w:eastAsia="en-AU"/>
              </w:rPr>
            </w:pPr>
            <w:r w:rsidRPr="008B2F8A">
              <w:rPr>
                <w:rFonts w:ascii="Arial Narrow" w:hAnsi="Arial Narrow"/>
                <w:b/>
                <w:sz w:val="20"/>
                <w:szCs w:val="20"/>
                <w:lang w:eastAsia="en-AU"/>
              </w:rPr>
              <w:t>Health state</w:t>
            </w:r>
          </w:p>
        </w:tc>
        <w:tc>
          <w:tcPr>
            <w:tcW w:w="1196" w:type="pct"/>
            <w:tcBorders>
              <w:bottom w:val="single" w:sz="4" w:space="0" w:color="auto"/>
            </w:tcBorders>
            <w:shd w:val="clear" w:color="auto" w:fill="EEECE1" w:themeFill="background2"/>
            <w:noWrap/>
            <w:vAlign w:val="bottom"/>
          </w:tcPr>
          <w:p w14:paraId="01761E2B" w14:textId="77777777" w:rsidR="00E47AB8" w:rsidRPr="008B2F8A" w:rsidRDefault="00E47AB8" w:rsidP="007B6507">
            <w:pPr>
              <w:keepNext/>
              <w:spacing w:before="40" w:after="80"/>
              <w:rPr>
                <w:rFonts w:ascii="Arial Narrow" w:hAnsi="Arial Narrow"/>
                <w:b/>
                <w:sz w:val="20"/>
                <w:szCs w:val="20"/>
                <w:lang w:eastAsia="en-AU"/>
              </w:rPr>
            </w:pPr>
            <w:r w:rsidRPr="008B2F8A">
              <w:rPr>
                <w:rFonts w:ascii="Arial Narrow" w:hAnsi="Arial Narrow"/>
                <w:b/>
                <w:sz w:val="20"/>
                <w:szCs w:val="20"/>
                <w:lang w:eastAsia="en-AU"/>
              </w:rPr>
              <w:t>Relative utility value</w:t>
            </w:r>
          </w:p>
        </w:tc>
        <w:tc>
          <w:tcPr>
            <w:tcW w:w="2395" w:type="pct"/>
            <w:tcBorders>
              <w:bottom w:val="single" w:sz="4" w:space="0" w:color="auto"/>
            </w:tcBorders>
            <w:shd w:val="clear" w:color="auto" w:fill="EEECE1" w:themeFill="background2"/>
            <w:noWrap/>
            <w:vAlign w:val="bottom"/>
          </w:tcPr>
          <w:p w14:paraId="2B6FFE49" w14:textId="77777777" w:rsidR="00E47AB8" w:rsidRPr="008B2F8A" w:rsidRDefault="00E47AB8" w:rsidP="007B6507">
            <w:pPr>
              <w:keepNext/>
              <w:spacing w:before="40" w:after="80"/>
              <w:rPr>
                <w:rFonts w:ascii="Arial Narrow" w:hAnsi="Arial Narrow"/>
                <w:b/>
                <w:sz w:val="20"/>
                <w:szCs w:val="20"/>
                <w:lang w:eastAsia="en-AU"/>
              </w:rPr>
            </w:pPr>
            <w:r w:rsidRPr="008B2F8A">
              <w:rPr>
                <w:rFonts w:ascii="Arial Narrow" w:hAnsi="Arial Narrow"/>
                <w:b/>
                <w:sz w:val="20"/>
                <w:szCs w:val="20"/>
                <w:lang w:eastAsia="en-AU"/>
              </w:rPr>
              <w:t>Source</w:t>
            </w:r>
          </w:p>
        </w:tc>
      </w:tr>
      <w:tr w:rsidR="00E47AB8" w:rsidRPr="008B2F8A" w14:paraId="219F05A3" w14:textId="77777777" w:rsidTr="00E14AC4">
        <w:tc>
          <w:tcPr>
            <w:tcW w:w="1408" w:type="pct"/>
            <w:tcBorders>
              <w:right w:val="nil"/>
            </w:tcBorders>
            <w:shd w:val="clear" w:color="auto" w:fill="auto"/>
            <w:noWrap/>
            <w:vAlign w:val="bottom"/>
          </w:tcPr>
          <w:p w14:paraId="449D08B3" w14:textId="77777777" w:rsidR="00E47AB8" w:rsidRPr="008B2F8A" w:rsidRDefault="00E47AB8" w:rsidP="007B6507">
            <w:pPr>
              <w:keepNext/>
              <w:spacing w:before="40" w:after="80"/>
              <w:rPr>
                <w:rFonts w:ascii="Arial Narrow" w:hAnsi="Arial Narrow"/>
                <w:i/>
                <w:sz w:val="20"/>
                <w:szCs w:val="20"/>
                <w:lang w:eastAsia="en-AU"/>
              </w:rPr>
            </w:pPr>
            <w:r w:rsidRPr="008B2F8A">
              <w:rPr>
                <w:rFonts w:ascii="Arial Narrow" w:hAnsi="Arial Narrow"/>
                <w:i/>
                <w:sz w:val="20"/>
                <w:szCs w:val="20"/>
                <w:lang w:eastAsia="en-AU"/>
              </w:rPr>
              <w:t>Relative utilities</w:t>
            </w:r>
          </w:p>
        </w:tc>
        <w:tc>
          <w:tcPr>
            <w:tcW w:w="1196" w:type="pct"/>
            <w:tcBorders>
              <w:left w:val="nil"/>
              <w:right w:val="nil"/>
            </w:tcBorders>
            <w:shd w:val="clear" w:color="auto" w:fill="auto"/>
            <w:noWrap/>
          </w:tcPr>
          <w:p w14:paraId="5763A491" w14:textId="77777777" w:rsidR="00E47AB8" w:rsidRPr="00BB3820" w:rsidRDefault="00E47AB8" w:rsidP="007B6507">
            <w:pPr>
              <w:keepNext/>
              <w:spacing w:before="40" w:after="80"/>
              <w:rPr>
                <w:rFonts w:ascii="Arial Narrow" w:hAnsi="Arial Narrow"/>
                <w:i/>
                <w:sz w:val="20"/>
                <w:szCs w:val="20"/>
                <w:lang w:eastAsia="en-AU"/>
              </w:rPr>
            </w:pPr>
            <w:r w:rsidRPr="00E14AC4">
              <w:rPr>
                <w:color w:val="FFFFFF" w:themeColor="background1"/>
              </w:rPr>
              <w:t>-</w:t>
            </w:r>
          </w:p>
        </w:tc>
        <w:tc>
          <w:tcPr>
            <w:tcW w:w="2395" w:type="pct"/>
            <w:tcBorders>
              <w:left w:val="nil"/>
            </w:tcBorders>
            <w:shd w:val="clear" w:color="auto" w:fill="auto"/>
            <w:noWrap/>
          </w:tcPr>
          <w:p w14:paraId="24AD2632" w14:textId="77777777" w:rsidR="00E47AB8" w:rsidRPr="00BB3820" w:rsidRDefault="00E47AB8" w:rsidP="007B6507">
            <w:pPr>
              <w:keepNext/>
              <w:spacing w:before="40" w:after="80"/>
              <w:rPr>
                <w:rFonts w:ascii="Arial Narrow" w:hAnsi="Arial Narrow"/>
                <w:i/>
                <w:sz w:val="20"/>
                <w:szCs w:val="20"/>
                <w:lang w:eastAsia="en-AU"/>
              </w:rPr>
            </w:pPr>
            <w:bookmarkStart w:id="1166" w:name="OLE_LINK952"/>
            <w:bookmarkStart w:id="1167" w:name="OLE_LINK953"/>
            <w:r w:rsidRPr="00E14AC4">
              <w:rPr>
                <w:rFonts w:ascii="Arial Narrow" w:hAnsi="Arial Narrow"/>
                <w:color w:val="FFFFFF" w:themeColor="background1"/>
                <w:sz w:val="20"/>
                <w:szCs w:val="20"/>
              </w:rPr>
              <w:t>-</w:t>
            </w:r>
            <w:bookmarkEnd w:id="1166"/>
            <w:bookmarkEnd w:id="1167"/>
          </w:p>
        </w:tc>
      </w:tr>
      <w:tr w:rsidR="00E47AB8" w:rsidRPr="008B2F8A" w14:paraId="44C42CFB" w14:textId="77777777" w:rsidTr="00E14AC4">
        <w:tc>
          <w:tcPr>
            <w:tcW w:w="1408" w:type="pct"/>
            <w:shd w:val="clear" w:color="auto" w:fill="auto"/>
            <w:noWrap/>
            <w:vAlign w:val="bottom"/>
            <w:hideMark/>
          </w:tcPr>
          <w:p w14:paraId="6CA7FDE7" w14:textId="77777777" w:rsidR="00E47AB8" w:rsidRPr="008B2F8A" w:rsidRDefault="00E47AB8" w:rsidP="007B6507">
            <w:pPr>
              <w:keepNext/>
              <w:spacing w:before="40" w:after="80"/>
              <w:rPr>
                <w:rFonts w:ascii="Arial Narrow" w:hAnsi="Arial Narrow"/>
                <w:sz w:val="20"/>
                <w:szCs w:val="20"/>
                <w:lang w:eastAsia="en-AU"/>
              </w:rPr>
            </w:pPr>
            <w:r w:rsidRPr="008B2F8A">
              <w:rPr>
                <w:rFonts w:ascii="Arial Narrow" w:hAnsi="Arial Narrow"/>
                <w:sz w:val="20"/>
                <w:szCs w:val="20"/>
                <w:lang w:eastAsia="en-AU"/>
              </w:rPr>
              <w:t>In treatment (true-positive)</w:t>
            </w:r>
          </w:p>
        </w:tc>
        <w:tc>
          <w:tcPr>
            <w:tcW w:w="1196" w:type="pct"/>
            <w:shd w:val="clear" w:color="auto" w:fill="auto"/>
            <w:noWrap/>
            <w:vAlign w:val="bottom"/>
            <w:hideMark/>
          </w:tcPr>
          <w:p w14:paraId="03C46FE6" w14:textId="77777777" w:rsidR="00E47AB8" w:rsidRPr="008B2F8A" w:rsidRDefault="00E47AB8" w:rsidP="007B6507">
            <w:pPr>
              <w:keepNext/>
              <w:spacing w:before="40" w:after="80"/>
              <w:rPr>
                <w:rFonts w:ascii="Arial Narrow" w:hAnsi="Arial Narrow"/>
                <w:sz w:val="20"/>
                <w:szCs w:val="20"/>
                <w:lang w:eastAsia="en-AU"/>
              </w:rPr>
            </w:pPr>
            <w:r w:rsidRPr="008B2F8A">
              <w:rPr>
                <w:rFonts w:ascii="Arial Narrow" w:hAnsi="Arial Narrow"/>
                <w:sz w:val="20"/>
                <w:szCs w:val="20"/>
                <w:lang w:eastAsia="en-AU"/>
              </w:rPr>
              <w:t>0.68</w:t>
            </w:r>
          </w:p>
        </w:tc>
        <w:tc>
          <w:tcPr>
            <w:tcW w:w="2395" w:type="pct"/>
            <w:shd w:val="clear" w:color="auto" w:fill="auto"/>
            <w:noWrap/>
            <w:vAlign w:val="bottom"/>
            <w:hideMark/>
          </w:tcPr>
          <w:p w14:paraId="22056A1A" w14:textId="302E943D" w:rsidR="00E47AB8" w:rsidRPr="008B2F8A" w:rsidRDefault="00E47AB8" w:rsidP="007B6507">
            <w:pPr>
              <w:keepNext/>
              <w:spacing w:before="40" w:after="80"/>
              <w:rPr>
                <w:rFonts w:ascii="Arial Narrow" w:hAnsi="Arial Narrow"/>
                <w:sz w:val="20"/>
                <w:szCs w:val="20"/>
                <w:lang w:eastAsia="en-AU"/>
              </w:rPr>
            </w:pPr>
            <w:r w:rsidRPr="008B2F8A">
              <w:rPr>
                <w:rFonts w:ascii="Arial Narrow" w:hAnsi="Arial Narrow"/>
                <w:sz w:val="20"/>
                <w:szCs w:val="20"/>
                <w:lang w:eastAsia="en-AU"/>
              </w:rPr>
              <w:t xml:space="preserve">NICE model; </w:t>
            </w:r>
            <w:bookmarkStart w:id="1168" w:name="OLE_LINK145"/>
            <w:bookmarkStart w:id="1169" w:name="OLE_LINK146"/>
            <w:r w:rsidRPr="008B2F8A">
              <w:rPr>
                <w:rFonts w:ascii="Arial Narrow" w:hAnsi="Arial Narrow"/>
                <w:sz w:val="20"/>
                <w:szCs w:val="20"/>
                <w:lang w:eastAsia="en-AU"/>
              </w:rPr>
              <w:t xml:space="preserve">Peasgood </w:t>
            </w:r>
            <w:bookmarkEnd w:id="1168"/>
            <w:bookmarkEnd w:id="1169"/>
            <w:r w:rsidRPr="008B2F8A">
              <w:rPr>
                <w:rFonts w:ascii="Arial Narrow" w:hAnsi="Arial Narrow"/>
                <w:sz w:val="20"/>
                <w:szCs w:val="20"/>
                <w:lang w:eastAsia="en-AU"/>
              </w:rPr>
              <w:t>et al, 2010</w:t>
            </w:r>
          </w:p>
        </w:tc>
      </w:tr>
      <w:tr w:rsidR="00E47AB8" w:rsidRPr="008B2F8A" w14:paraId="5C2DFD4C" w14:textId="77777777" w:rsidTr="00E14AC4">
        <w:tc>
          <w:tcPr>
            <w:tcW w:w="1408" w:type="pct"/>
            <w:shd w:val="clear" w:color="auto" w:fill="auto"/>
            <w:noWrap/>
            <w:vAlign w:val="bottom"/>
            <w:hideMark/>
          </w:tcPr>
          <w:p w14:paraId="34FE623D" w14:textId="77777777" w:rsidR="00E47AB8" w:rsidRPr="008B2F8A" w:rsidRDefault="00E47AB8" w:rsidP="007B6507">
            <w:pPr>
              <w:keepNext/>
              <w:spacing w:before="40" w:after="80"/>
              <w:rPr>
                <w:rFonts w:ascii="Arial Narrow" w:hAnsi="Arial Narrow"/>
                <w:sz w:val="20"/>
                <w:szCs w:val="20"/>
                <w:lang w:eastAsia="en-AU"/>
              </w:rPr>
            </w:pPr>
            <w:r w:rsidRPr="008B2F8A">
              <w:rPr>
                <w:rFonts w:ascii="Arial Narrow" w:hAnsi="Arial Narrow"/>
                <w:sz w:val="20"/>
                <w:szCs w:val="20"/>
                <w:lang w:eastAsia="en-AU"/>
              </w:rPr>
              <w:t xml:space="preserve">False-positives </w:t>
            </w:r>
          </w:p>
        </w:tc>
        <w:tc>
          <w:tcPr>
            <w:tcW w:w="1196" w:type="pct"/>
            <w:shd w:val="clear" w:color="auto" w:fill="auto"/>
            <w:noWrap/>
            <w:vAlign w:val="bottom"/>
            <w:hideMark/>
          </w:tcPr>
          <w:p w14:paraId="1E0B9BD3" w14:textId="77777777" w:rsidR="00E47AB8" w:rsidRPr="008B2F8A" w:rsidRDefault="00E47AB8" w:rsidP="007B6507">
            <w:pPr>
              <w:keepNext/>
              <w:spacing w:before="40" w:after="80"/>
              <w:rPr>
                <w:rFonts w:ascii="Arial Narrow" w:hAnsi="Arial Narrow"/>
                <w:sz w:val="20"/>
                <w:szCs w:val="20"/>
                <w:lang w:eastAsia="en-AU"/>
              </w:rPr>
            </w:pPr>
            <w:r w:rsidRPr="008B2F8A">
              <w:rPr>
                <w:rFonts w:ascii="Arial Narrow" w:hAnsi="Arial Narrow"/>
                <w:sz w:val="20"/>
                <w:szCs w:val="20"/>
                <w:lang w:eastAsia="en-AU"/>
              </w:rPr>
              <w:t>1.00</w:t>
            </w:r>
          </w:p>
        </w:tc>
        <w:tc>
          <w:tcPr>
            <w:tcW w:w="2395" w:type="pct"/>
            <w:shd w:val="clear" w:color="auto" w:fill="auto"/>
            <w:noWrap/>
            <w:vAlign w:val="bottom"/>
            <w:hideMark/>
          </w:tcPr>
          <w:p w14:paraId="3E65A314" w14:textId="77777777" w:rsidR="00E47AB8" w:rsidRPr="008B2F8A" w:rsidRDefault="00E47AB8" w:rsidP="007B6507">
            <w:pPr>
              <w:keepNext/>
              <w:spacing w:before="40" w:after="80"/>
              <w:rPr>
                <w:rFonts w:ascii="Arial Narrow" w:hAnsi="Arial Narrow"/>
                <w:sz w:val="20"/>
                <w:szCs w:val="20"/>
                <w:lang w:eastAsia="en-AU"/>
              </w:rPr>
            </w:pPr>
            <w:r w:rsidRPr="008B2F8A">
              <w:rPr>
                <w:rFonts w:ascii="Arial Narrow" w:hAnsi="Arial Narrow"/>
                <w:sz w:val="20"/>
                <w:szCs w:val="20"/>
                <w:lang w:eastAsia="en-AU"/>
              </w:rPr>
              <w:t xml:space="preserve">Assumption </w:t>
            </w:r>
          </w:p>
        </w:tc>
      </w:tr>
      <w:tr w:rsidR="00E47AB8" w:rsidRPr="008B2F8A" w14:paraId="039CE7DE" w14:textId="77777777" w:rsidTr="00E14AC4">
        <w:tc>
          <w:tcPr>
            <w:tcW w:w="1408" w:type="pct"/>
            <w:tcBorders>
              <w:bottom w:val="single" w:sz="4" w:space="0" w:color="auto"/>
            </w:tcBorders>
            <w:shd w:val="clear" w:color="auto" w:fill="auto"/>
            <w:noWrap/>
            <w:vAlign w:val="bottom"/>
            <w:hideMark/>
          </w:tcPr>
          <w:p w14:paraId="6B5B2DF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False-negatives</w:t>
            </w:r>
          </w:p>
        </w:tc>
        <w:tc>
          <w:tcPr>
            <w:tcW w:w="1196" w:type="pct"/>
            <w:tcBorders>
              <w:bottom w:val="single" w:sz="4" w:space="0" w:color="auto"/>
            </w:tcBorders>
            <w:shd w:val="clear" w:color="auto" w:fill="auto"/>
            <w:noWrap/>
            <w:vAlign w:val="bottom"/>
            <w:hideMark/>
          </w:tcPr>
          <w:p w14:paraId="23FE4E8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1.00</w:t>
            </w:r>
          </w:p>
        </w:tc>
        <w:tc>
          <w:tcPr>
            <w:tcW w:w="2395" w:type="pct"/>
            <w:tcBorders>
              <w:bottom w:val="single" w:sz="4" w:space="0" w:color="auto"/>
            </w:tcBorders>
            <w:shd w:val="clear" w:color="auto" w:fill="auto"/>
            <w:noWrap/>
            <w:vAlign w:val="bottom"/>
            <w:hideMark/>
          </w:tcPr>
          <w:p w14:paraId="6E170161"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Assumption </w:t>
            </w:r>
          </w:p>
        </w:tc>
      </w:tr>
      <w:tr w:rsidR="00E47AB8" w:rsidRPr="008B2F8A" w14:paraId="574C845E" w14:textId="77777777" w:rsidTr="00E14AC4">
        <w:tc>
          <w:tcPr>
            <w:tcW w:w="1408" w:type="pct"/>
            <w:tcBorders>
              <w:right w:val="nil"/>
            </w:tcBorders>
            <w:shd w:val="clear" w:color="auto" w:fill="auto"/>
            <w:noWrap/>
            <w:vAlign w:val="bottom"/>
          </w:tcPr>
          <w:p w14:paraId="3577EC6B" w14:textId="77777777" w:rsidR="00E47AB8" w:rsidRPr="008B2F8A" w:rsidRDefault="00E47AB8" w:rsidP="00422306">
            <w:pPr>
              <w:spacing w:before="40" w:after="80"/>
              <w:rPr>
                <w:rFonts w:ascii="Arial Narrow" w:hAnsi="Arial Narrow"/>
                <w:i/>
                <w:sz w:val="20"/>
                <w:szCs w:val="20"/>
                <w:lang w:eastAsia="en-AU"/>
              </w:rPr>
            </w:pPr>
            <w:r w:rsidRPr="008B2F8A">
              <w:rPr>
                <w:rFonts w:ascii="Arial Narrow" w:eastAsiaTheme="minorHAnsi" w:hAnsi="Arial Narrow" w:cstheme="minorBidi"/>
                <w:i/>
                <w:sz w:val="20"/>
                <w:szCs w:val="20"/>
              </w:rPr>
              <w:t>Australian AQoL population norms</w:t>
            </w:r>
          </w:p>
        </w:tc>
        <w:tc>
          <w:tcPr>
            <w:tcW w:w="1196" w:type="pct"/>
            <w:tcBorders>
              <w:left w:val="nil"/>
              <w:right w:val="nil"/>
            </w:tcBorders>
            <w:shd w:val="clear" w:color="auto" w:fill="auto"/>
            <w:noWrap/>
          </w:tcPr>
          <w:p w14:paraId="54B58442" w14:textId="77777777" w:rsidR="00E47AB8" w:rsidRPr="00BB3820" w:rsidRDefault="00E47AB8" w:rsidP="00422306">
            <w:pPr>
              <w:spacing w:before="40" w:after="80"/>
              <w:rPr>
                <w:rFonts w:ascii="Arial Narrow" w:hAnsi="Arial Narrow"/>
                <w:i/>
                <w:sz w:val="20"/>
                <w:szCs w:val="20"/>
                <w:lang w:eastAsia="en-AU"/>
              </w:rPr>
            </w:pPr>
            <w:r w:rsidRPr="00E14AC4">
              <w:rPr>
                <w:rFonts w:ascii="Arial Narrow" w:hAnsi="Arial Narrow"/>
                <w:color w:val="FFFFFF" w:themeColor="background1"/>
                <w:sz w:val="20"/>
                <w:szCs w:val="20"/>
              </w:rPr>
              <w:t>-</w:t>
            </w:r>
          </w:p>
        </w:tc>
        <w:tc>
          <w:tcPr>
            <w:tcW w:w="2395" w:type="pct"/>
            <w:tcBorders>
              <w:left w:val="nil"/>
            </w:tcBorders>
            <w:shd w:val="clear" w:color="auto" w:fill="auto"/>
            <w:noWrap/>
          </w:tcPr>
          <w:p w14:paraId="529FCB71" w14:textId="77777777" w:rsidR="00E47AB8" w:rsidRPr="00BB3820" w:rsidRDefault="00E47AB8" w:rsidP="00422306">
            <w:pPr>
              <w:spacing w:before="40" w:after="80"/>
              <w:rPr>
                <w:rFonts w:ascii="Arial Narrow" w:hAnsi="Arial Narrow"/>
                <w:i/>
                <w:sz w:val="20"/>
                <w:szCs w:val="20"/>
                <w:lang w:eastAsia="en-AU"/>
              </w:rPr>
            </w:pPr>
            <w:r w:rsidRPr="00E14AC4">
              <w:rPr>
                <w:rFonts w:ascii="Arial Narrow" w:hAnsi="Arial Narrow"/>
                <w:color w:val="FFFFFF" w:themeColor="background1"/>
                <w:sz w:val="20"/>
                <w:szCs w:val="20"/>
              </w:rPr>
              <w:t>-</w:t>
            </w:r>
          </w:p>
        </w:tc>
      </w:tr>
      <w:tr w:rsidR="00E47AB8" w:rsidRPr="008B2F8A" w14:paraId="47747192" w14:textId="77777777" w:rsidTr="00E14AC4">
        <w:tc>
          <w:tcPr>
            <w:tcW w:w="1408" w:type="pct"/>
            <w:shd w:val="clear" w:color="auto" w:fill="auto"/>
            <w:noWrap/>
            <w:vAlign w:val="bottom"/>
          </w:tcPr>
          <w:p w14:paraId="2D7EED94"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30–39 years</w:t>
            </w:r>
          </w:p>
        </w:tc>
        <w:tc>
          <w:tcPr>
            <w:tcW w:w="1196" w:type="pct"/>
            <w:shd w:val="clear" w:color="auto" w:fill="auto"/>
            <w:noWrap/>
            <w:vAlign w:val="bottom"/>
          </w:tcPr>
          <w:p w14:paraId="796D220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0.87</w:t>
            </w:r>
          </w:p>
        </w:tc>
        <w:tc>
          <w:tcPr>
            <w:tcW w:w="2395" w:type="pct"/>
            <w:shd w:val="clear" w:color="auto" w:fill="auto"/>
            <w:noWrap/>
            <w:vAlign w:val="bottom"/>
          </w:tcPr>
          <w:p w14:paraId="6ABF4985" w14:textId="578C0314" w:rsidR="00E47AB8" w:rsidRPr="008B2F8A" w:rsidRDefault="00E47AB8">
            <w:pPr>
              <w:spacing w:before="40" w:after="80"/>
              <w:rPr>
                <w:rFonts w:ascii="Arial Narrow" w:hAnsi="Arial Narrow"/>
                <w:sz w:val="20"/>
                <w:szCs w:val="20"/>
                <w:lang w:eastAsia="en-AU"/>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4FAB41D6" w14:textId="77777777" w:rsidTr="00E14AC4">
        <w:tc>
          <w:tcPr>
            <w:tcW w:w="1408" w:type="pct"/>
            <w:shd w:val="clear" w:color="auto" w:fill="auto"/>
            <w:noWrap/>
            <w:vAlign w:val="bottom"/>
          </w:tcPr>
          <w:p w14:paraId="5935CA59"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40–49 years</w:t>
            </w:r>
          </w:p>
        </w:tc>
        <w:tc>
          <w:tcPr>
            <w:tcW w:w="1196" w:type="pct"/>
            <w:shd w:val="clear" w:color="auto" w:fill="auto"/>
            <w:noWrap/>
            <w:vAlign w:val="bottom"/>
          </w:tcPr>
          <w:p w14:paraId="7FA0B024"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0.86</w:t>
            </w:r>
          </w:p>
        </w:tc>
        <w:tc>
          <w:tcPr>
            <w:tcW w:w="2395" w:type="pct"/>
            <w:shd w:val="clear" w:color="auto" w:fill="auto"/>
            <w:noWrap/>
            <w:vAlign w:val="bottom"/>
          </w:tcPr>
          <w:p w14:paraId="52923FED" w14:textId="24A950E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77D1DAEE" w14:textId="77777777" w:rsidTr="00E14AC4">
        <w:tc>
          <w:tcPr>
            <w:tcW w:w="1408" w:type="pct"/>
            <w:shd w:val="clear" w:color="auto" w:fill="auto"/>
            <w:noWrap/>
            <w:vAlign w:val="bottom"/>
          </w:tcPr>
          <w:p w14:paraId="7809874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50–59 years</w:t>
            </w:r>
          </w:p>
        </w:tc>
        <w:tc>
          <w:tcPr>
            <w:tcW w:w="1196" w:type="pct"/>
            <w:shd w:val="clear" w:color="auto" w:fill="auto"/>
            <w:noWrap/>
            <w:vAlign w:val="bottom"/>
          </w:tcPr>
          <w:p w14:paraId="2098B00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0.79</w:t>
            </w:r>
          </w:p>
        </w:tc>
        <w:tc>
          <w:tcPr>
            <w:tcW w:w="2395" w:type="pct"/>
            <w:shd w:val="clear" w:color="auto" w:fill="auto"/>
            <w:noWrap/>
            <w:vAlign w:val="bottom"/>
          </w:tcPr>
          <w:p w14:paraId="1CA4C2CC" w14:textId="7BBF40EF"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06008DBD" w14:textId="77777777" w:rsidTr="00E14AC4">
        <w:tc>
          <w:tcPr>
            <w:tcW w:w="1408" w:type="pct"/>
            <w:shd w:val="clear" w:color="auto" w:fill="auto"/>
            <w:noWrap/>
            <w:vAlign w:val="bottom"/>
          </w:tcPr>
          <w:p w14:paraId="48C8DFF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60–69 years</w:t>
            </w:r>
          </w:p>
        </w:tc>
        <w:tc>
          <w:tcPr>
            <w:tcW w:w="1196" w:type="pct"/>
            <w:shd w:val="clear" w:color="auto" w:fill="auto"/>
            <w:noWrap/>
            <w:vAlign w:val="bottom"/>
          </w:tcPr>
          <w:p w14:paraId="5D44B1D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0.77</w:t>
            </w:r>
          </w:p>
        </w:tc>
        <w:tc>
          <w:tcPr>
            <w:tcW w:w="2395" w:type="pct"/>
            <w:shd w:val="clear" w:color="auto" w:fill="auto"/>
            <w:noWrap/>
            <w:vAlign w:val="bottom"/>
          </w:tcPr>
          <w:p w14:paraId="2F666369" w14:textId="5835D453"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3F49361F" w14:textId="77777777" w:rsidTr="00E14AC4">
        <w:tc>
          <w:tcPr>
            <w:tcW w:w="1408" w:type="pct"/>
            <w:shd w:val="clear" w:color="auto" w:fill="auto"/>
            <w:noWrap/>
            <w:vAlign w:val="bottom"/>
          </w:tcPr>
          <w:p w14:paraId="5E4A2FE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70–79 years</w:t>
            </w:r>
          </w:p>
        </w:tc>
        <w:tc>
          <w:tcPr>
            <w:tcW w:w="1196" w:type="pct"/>
            <w:shd w:val="clear" w:color="auto" w:fill="auto"/>
            <w:noWrap/>
            <w:vAlign w:val="bottom"/>
          </w:tcPr>
          <w:p w14:paraId="5F1D6DA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0.72</w:t>
            </w:r>
          </w:p>
        </w:tc>
        <w:tc>
          <w:tcPr>
            <w:tcW w:w="2395" w:type="pct"/>
            <w:shd w:val="clear" w:color="auto" w:fill="auto"/>
            <w:noWrap/>
            <w:vAlign w:val="bottom"/>
          </w:tcPr>
          <w:p w14:paraId="0703FE8E" w14:textId="5FDD5C7F"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2697E8C2" w14:textId="77777777" w:rsidTr="00E14AC4">
        <w:tc>
          <w:tcPr>
            <w:tcW w:w="1408" w:type="pct"/>
            <w:shd w:val="clear" w:color="auto" w:fill="auto"/>
            <w:noWrap/>
            <w:vAlign w:val="bottom"/>
          </w:tcPr>
          <w:p w14:paraId="76AE275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80–89 years</w:t>
            </w:r>
          </w:p>
        </w:tc>
        <w:tc>
          <w:tcPr>
            <w:tcW w:w="1196" w:type="pct"/>
            <w:shd w:val="clear" w:color="auto" w:fill="auto"/>
            <w:noWrap/>
            <w:vAlign w:val="bottom"/>
          </w:tcPr>
          <w:p w14:paraId="12290E67"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0.63</w:t>
            </w:r>
          </w:p>
        </w:tc>
        <w:tc>
          <w:tcPr>
            <w:tcW w:w="2395" w:type="pct"/>
            <w:shd w:val="clear" w:color="auto" w:fill="auto"/>
            <w:noWrap/>
            <w:vAlign w:val="bottom"/>
          </w:tcPr>
          <w:p w14:paraId="4C1A4362" w14:textId="087E6F22"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7BFD63E8" w14:textId="77777777" w:rsidTr="00E14AC4">
        <w:tc>
          <w:tcPr>
            <w:tcW w:w="1408" w:type="pct"/>
            <w:shd w:val="clear" w:color="auto" w:fill="auto"/>
            <w:noWrap/>
            <w:vAlign w:val="bottom"/>
          </w:tcPr>
          <w:p w14:paraId="2CC9325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90–99 years</w:t>
            </w:r>
          </w:p>
        </w:tc>
        <w:tc>
          <w:tcPr>
            <w:tcW w:w="1196" w:type="pct"/>
            <w:shd w:val="clear" w:color="auto" w:fill="auto"/>
            <w:noWrap/>
            <w:vAlign w:val="bottom"/>
          </w:tcPr>
          <w:p w14:paraId="3D9E1C7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0.63</w:t>
            </w:r>
          </w:p>
        </w:tc>
        <w:tc>
          <w:tcPr>
            <w:tcW w:w="2395" w:type="pct"/>
            <w:shd w:val="clear" w:color="auto" w:fill="auto"/>
            <w:noWrap/>
            <w:vAlign w:val="bottom"/>
          </w:tcPr>
          <w:p w14:paraId="75B6AC50" w14:textId="67768E46"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bl>
    <w:p w14:paraId="42EEBC62" w14:textId="77777777" w:rsidR="00E47AB8" w:rsidRPr="008B2F8A" w:rsidRDefault="00E47AB8" w:rsidP="00E14AC4">
      <w:pPr>
        <w:pStyle w:val="TableNotesLast"/>
        <w:rPr>
          <w:rFonts w:eastAsiaTheme="minorHAnsi"/>
        </w:rPr>
      </w:pPr>
      <w:r w:rsidRPr="008B2F8A">
        <w:rPr>
          <w:rFonts w:eastAsiaTheme="minorHAnsi"/>
        </w:rPr>
        <w:t xml:space="preserve">AQoL = </w:t>
      </w:r>
      <w:bookmarkStart w:id="1170" w:name="OLE_LINK558"/>
      <w:bookmarkStart w:id="1171" w:name="OLE_LINK559"/>
      <w:r w:rsidRPr="008B2F8A">
        <w:rPr>
          <w:rFonts w:eastAsiaTheme="minorHAnsi"/>
        </w:rPr>
        <w:t>Assessment of Quality of Life</w:t>
      </w:r>
      <w:bookmarkEnd w:id="1170"/>
      <w:bookmarkEnd w:id="1171"/>
      <w:r w:rsidRPr="008B2F8A">
        <w:rPr>
          <w:rFonts w:eastAsiaTheme="minorHAnsi"/>
        </w:rPr>
        <w:t>.</w:t>
      </w:r>
    </w:p>
    <w:p w14:paraId="5BBDD43E" w14:textId="77777777" w:rsidR="00E47AB8" w:rsidRPr="008B2F8A" w:rsidRDefault="00E47AB8" w:rsidP="00E47AB8">
      <w:pPr>
        <w:pStyle w:val="Heading3"/>
        <w:numPr>
          <w:ilvl w:val="2"/>
          <w:numId w:val="42"/>
        </w:numPr>
      </w:pPr>
      <w:bookmarkStart w:id="1172" w:name="_Toc383424500"/>
      <w:r w:rsidRPr="008B2F8A">
        <w:t>Other model parameters</w:t>
      </w:r>
      <w:bookmarkEnd w:id="1172"/>
    </w:p>
    <w:p w14:paraId="1C8423CB" w14:textId="4A7C5B98" w:rsidR="00E47AB8" w:rsidRPr="007C6E89" w:rsidRDefault="00E47AB8" w:rsidP="00422306">
      <w:pPr>
        <w:spacing w:after="200"/>
        <w:rPr>
          <w:rFonts w:eastAsiaTheme="minorHAnsi" w:cstheme="minorBidi"/>
        </w:rPr>
      </w:pPr>
      <w:r w:rsidRPr="007C6E89">
        <w:rPr>
          <w:rFonts w:eastAsiaTheme="minorHAnsi" w:cstheme="minorBidi"/>
        </w:rPr>
        <w:t>The duration of the model is a lifetime horizon. Unlike the NICE model, which used a discount rate of 3.5%, this evaluation discounts costs and benefits at 5% per annum.</w:t>
      </w:r>
    </w:p>
    <w:p w14:paraId="145DF159" w14:textId="77777777" w:rsidR="00E47AB8" w:rsidRPr="008B2F8A" w:rsidRDefault="00E47AB8" w:rsidP="00E47AB8">
      <w:pPr>
        <w:pStyle w:val="Heading3"/>
        <w:numPr>
          <w:ilvl w:val="2"/>
          <w:numId w:val="42"/>
        </w:numPr>
      </w:pPr>
      <w:bookmarkStart w:id="1173" w:name="_Toc383424501"/>
      <w:r w:rsidRPr="008B2F8A">
        <w:t>Australian general population variables</w:t>
      </w:r>
      <w:bookmarkEnd w:id="1173"/>
    </w:p>
    <w:p w14:paraId="7300AB8F" w14:textId="6EEA35F1" w:rsidR="00E47AB8" w:rsidRPr="007C6E89" w:rsidRDefault="00E47AB8" w:rsidP="00422306">
      <w:pPr>
        <w:spacing w:after="200"/>
        <w:rPr>
          <w:rFonts w:eastAsiaTheme="minorHAnsi" w:cstheme="minorBidi"/>
        </w:rPr>
      </w:pPr>
      <w:r w:rsidRPr="007C6E89">
        <w:rPr>
          <w:rFonts w:eastAsiaTheme="minorHAnsi" w:cstheme="minorBidi"/>
        </w:rPr>
        <w:t>As discussed above, the NICE economic model did not incorporate the probability of death in patients for reasons other than breast cancer, as it was thought that non-disease-specific mortality would be balanced across the cohorts. Since the model has a lifetime horizon and measures the possibility of distant cancer and death, it was considered appropriate to include a background rate of mortality for the purposes of the current assessment report.</w:t>
      </w:r>
    </w:p>
    <w:p w14:paraId="7BC2910B" w14:textId="2A244342" w:rsidR="00E47AB8" w:rsidRPr="007C6E89" w:rsidRDefault="00E47AB8" w:rsidP="00422306">
      <w:pPr>
        <w:spacing w:after="200"/>
        <w:rPr>
          <w:rFonts w:eastAsiaTheme="minorHAnsi" w:cstheme="minorBidi"/>
        </w:rPr>
      </w:pPr>
      <w:r w:rsidRPr="007C6E89">
        <w:rPr>
          <w:rFonts w:eastAsiaTheme="minorHAnsi" w:cstheme="minorBidi"/>
        </w:rPr>
        <w:t xml:space="preserve">Age-specific Australian mortality rates were derived from life tables produced by the </w:t>
      </w:r>
      <w:bookmarkStart w:id="1174" w:name="OLE_LINK367"/>
      <w:bookmarkStart w:id="1175" w:name="OLE_LINK368"/>
      <w:r w:rsidRPr="007C6E89">
        <w:rPr>
          <w:rFonts w:eastAsiaTheme="minorHAnsi" w:cstheme="minorBidi"/>
        </w:rPr>
        <w:t xml:space="preserve">Australian Bureau of Statistics </w:t>
      </w:r>
      <w:bookmarkEnd w:id="1174"/>
      <w:bookmarkEnd w:id="1175"/>
      <w:r w:rsidRPr="007C6E89">
        <w:rPr>
          <w:rFonts w:eastAsiaTheme="minorHAnsi" w:cstheme="minorBidi"/>
          <w:noProof/>
        </w:rPr>
        <w:t>(</w:t>
      </w:r>
      <w:bookmarkStart w:id="1176" w:name="OLE_LINK892"/>
      <w:bookmarkStart w:id="1177" w:name="OLE_LINK893"/>
      <w:r w:rsidRPr="007C6E89">
        <w:rPr>
          <w:rFonts w:eastAsiaTheme="minorHAnsi" w:cstheme="minorBidi"/>
          <w:noProof/>
        </w:rPr>
        <w:t>ABS, 2013</w:t>
      </w:r>
      <w:bookmarkEnd w:id="1176"/>
      <w:bookmarkEnd w:id="1177"/>
      <w:r w:rsidRPr="007C6E89">
        <w:rPr>
          <w:rFonts w:eastAsiaTheme="minorHAnsi" w:cstheme="minorBidi"/>
          <w:noProof/>
        </w:rPr>
        <w:t>)</w:t>
      </w:r>
      <w:r w:rsidRPr="007C6E89">
        <w:rPr>
          <w:rFonts w:eastAsiaTheme="minorHAnsi" w:cstheme="minorBidi"/>
        </w:rPr>
        <w:t xml:space="preserve">. ABS data on causes of death </w:t>
      </w:r>
      <w:r w:rsidRPr="007C6E89">
        <w:rPr>
          <w:rFonts w:eastAsiaTheme="minorHAnsi" w:cstheme="minorBidi"/>
          <w:noProof/>
        </w:rPr>
        <w:t>(</w:t>
      </w:r>
      <w:bookmarkStart w:id="1178" w:name="OLE_LINK894"/>
      <w:bookmarkStart w:id="1179" w:name="OLE_LINK895"/>
      <w:r w:rsidRPr="007C6E89">
        <w:rPr>
          <w:rFonts w:eastAsiaTheme="minorHAnsi" w:cstheme="minorBidi"/>
          <w:noProof/>
        </w:rPr>
        <w:t>ABS, 2012</w:t>
      </w:r>
      <w:bookmarkEnd w:id="1178"/>
      <w:bookmarkEnd w:id="1179"/>
      <w:r w:rsidRPr="007C6E89">
        <w:rPr>
          <w:rFonts w:eastAsiaTheme="minorHAnsi" w:cstheme="minorBidi"/>
          <w:noProof/>
        </w:rPr>
        <w:t>)</w:t>
      </w:r>
      <w:r w:rsidRPr="007C6E89">
        <w:rPr>
          <w:rFonts w:eastAsiaTheme="minorHAnsi" w:cstheme="minorBidi"/>
        </w:rPr>
        <w:t xml:space="preserve"> were used to determine the proportion of deaths that are attributable to breast cancer in each age group, so that these deaths could be removed from the estimates of non-disease-specific mortality to avoid double counting of breast cancer deaths within the model.</w:t>
      </w:r>
    </w:p>
    <w:p w14:paraId="72435C30" w14:textId="77777777" w:rsidR="00E47AB8" w:rsidRPr="008B2F8A" w:rsidRDefault="00E47AB8" w:rsidP="00E47AB8">
      <w:pPr>
        <w:pStyle w:val="Heading3"/>
        <w:numPr>
          <w:ilvl w:val="2"/>
          <w:numId w:val="42"/>
        </w:numPr>
      </w:pPr>
      <w:bookmarkStart w:id="1180" w:name="_Toc383424502"/>
      <w:r w:rsidRPr="008B2F8A">
        <w:t>Summary of model inputs and assumptions</w:t>
      </w:r>
      <w:bookmarkEnd w:id="1180"/>
    </w:p>
    <w:p w14:paraId="1D348DC2" w14:textId="77777777" w:rsidR="00E47AB8" w:rsidRPr="007C6E89" w:rsidRDefault="00E47AB8" w:rsidP="00422306">
      <w:pPr>
        <w:spacing w:after="200"/>
        <w:rPr>
          <w:rFonts w:eastAsiaTheme="minorHAnsi" w:cstheme="minorBidi"/>
        </w:rPr>
      </w:pP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_Ref376161660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15</w:t>
      </w:r>
      <w:r w:rsidRPr="008B2F8A">
        <w:rPr>
          <w:rFonts w:asciiTheme="minorHAnsi" w:eastAsiaTheme="minorHAnsi" w:hAnsiTheme="minorHAnsi" w:cstheme="minorBidi"/>
        </w:rPr>
        <w:fldChar w:fldCharType="end"/>
      </w:r>
      <w:r w:rsidRPr="007C6E89">
        <w:rPr>
          <w:rFonts w:eastAsiaTheme="minorHAnsi" w:cstheme="minorBidi"/>
        </w:rPr>
        <w:t xml:space="preserve"> summarises all parameters used in the model for the included populations.</w:t>
      </w:r>
    </w:p>
    <w:p w14:paraId="042F09BF" w14:textId="77777777" w:rsidR="00E47AB8" w:rsidRPr="007C6E89" w:rsidRDefault="00E47AB8" w:rsidP="00422306">
      <w:pPr>
        <w:keepNext/>
        <w:keepLines/>
        <w:tabs>
          <w:tab w:val="left" w:pos="993"/>
        </w:tabs>
        <w:ind w:left="992" w:hanging="992"/>
        <w:rPr>
          <w:rFonts w:eastAsiaTheme="minorHAnsi" w:cstheme="minorBidi"/>
          <w:b/>
          <w:bCs/>
          <w:szCs w:val="18"/>
        </w:rPr>
        <w:sectPr w:rsidR="00E47AB8" w:rsidRPr="007C6E89" w:rsidSect="00422306">
          <w:headerReference w:type="default" r:id="rId49"/>
          <w:footerReference w:type="default" r:id="rId50"/>
          <w:endnotePr>
            <w:numFmt w:val="decimal"/>
          </w:endnotePr>
          <w:pgSz w:w="11906" w:h="16838"/>
          <w:pgMar w:top="1418" w:right="1418" w:bottom="1418" w:left="1418" w:header="708" w:footer="708" w:gutter="0"/>
          <w:cols w:space="708"/>
          <w:docGrid w:linePitch="360"/>
        </w:sectPr>
      </w:pPr>
      <w:bookmarkStart w:id="1181" w:name="_Ref358042509"/>
      <w:bookmarkStart w:id="1182" w:name="_Toc358810477"/>
    </w:p>
    <w:p w14:paraId="1B9595B1" w14:textId="77777777" w:rsidR="00E47AB8" w:rsidRPr="008B2F8A" w:rsidRDefault="00E47AB8" w:rsidP="00422306">
      <w:pPr>
        <w:pStyle w:val="Caption"/>
      </w:pPr>
      <w:bookmarkStart w:id="1183" w:name="_Ref376161660"/>
      <w:bookmarkStart w:id="1184" w:name="_Toc383424624"/>
      <w:r w:rsidRPr="008B2F8A">
        <w:lastRenderedPageBreak/>
        <w:t xml:space="preserve">Table </w:t>
      </w:r>
      <w:fldSimple w:instr=" STYLEREF 1 \s ">
        <w:r w:rsidR="00B81273">
          <w:rPr>
            <w:noProof/>
          </w:rPr>
          <w:t>D</w:t>
        </w:r>
      </w:fldSimple>
      <w:r w:rsidRPr="008B2F8A">
        <w:t>.</w:t>
      </w:r>
      <w:fldSimple w:instr=" SEQ Table \* ARABIC \s 1 ">
        <w:r w:rsidR="00B81273">
          <w:rPr>
            <w:noProof/>
          </w:rPr>
          <w:t>15</w:t>
        </w:r>
      </w:fldSimple>
      <w:bookmarkEnd w:id="1183"/>
      <w:r w:rsidRPr="008B2F8A">
        <w:tab/>
      </w:r>
      <w:bookmarkStart w:id="1185" w:name="OLE_LINK1103"/>
      <w:bookmarkStart w:id="1186" w:name="OLE_LINK1104"/>
      <w:r w:rsidRPr="008B2F8A">
        <w:t>Summary of model inputs</w:t>
      </w:r>
      <w:bookmarkEnd w:id="1185"/>
      <w:bookmarkEnd w:id="1186"/>
      <w:r w:rsidRPr="008B2F8A">
        <w:t>.</w:t>
      </w:r>
      <w:bookmarkEnd w:id="1184"/>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Caption w:val="Summary of model inputs"/>
      </w:tblPr>
      <w:tblGrid>
        <w:gridCol w:w="1308"/>
        <w:gridCol w:w="2576"/>
        <w:gridCol w:w="1599"/>
        <w:gridCol w:w="1602"/>
        <w:gridCol w:w="1602"/>
        <w:gridCol w:w="1602"/>
        <w:gridCol w:w="1602"/>
        <w:gridCol w:w="2164"/>
      </w:tblGrid>
      <w:tr w:rsidR="00E47AB8" w:rsidRPr="008B2F8A" w14:paraId="09B069AC" w14:textId="77777777" w:rsidTr="00422306">
        <w:trPr>
          <w:cantSplit/>
          <w:tblHeader/>
        </w:trPr>
        <w:tc>
          <w:tcPr>
            <w:tcW w:w="465" w:type="pct"/>
            <w:tcBorders>
              <w:bottom w:val="single" w:sz="4" w:space="0" w:color="auto"/>
            </w:tcBorders>
            <w:shd w:val="clear" w:color="auto" w:fill="EEECE1" w:themeFill="background2"/>
            <w:vAlign w:val="bottom"/>
          </w:tcPr>
          <w:bookmarkEnd w:id="1181"/>
          <w:bookmarkEnd w:id="1182"/>
          <w:p w14:paraId="549C6EB5"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Category</w:t>
            </w:r>
          </w:p>
        </w:tc>
        <w:tc>
          <w:tcPr>
            <w:tcW w:w="916" w:type="pct"/>
            <w:shd w:val="clear" w:color="auto" w:fill="EEECE1" w:themeFill="background2"/>
            <w:vAlign w:val="bottom"/>
          </w:tcPr>
          <w:p w14:paraId="104FF391"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Variable</w:t>
            </w:r>
          </w:p>
        </w:tc>
        <w:tc>
          <w:tcPr>
            <w:tcW w:w="569" w:type="pct"/>
            <w:shd w:val="clear" w:color="auto" w:fill="EEECE1" w:themeFill="background2"/>
            <w:vAlign w:val="bottom"/>
          </w:tcPr>
          <w:p w14:paraId="663FC509" w14:textId="77777777" w:rsidR="00E47AB8" w:rsidRPr="008B2F8A" w:rsidRDefault="00E47AB8" w:rsidP="00422306">
            <w:pPr>
              <w:spacing w:before="40" w:after="80"/>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 xml:space="preserve">High-risk based on breast cancer gene mutation </w:t>
            </w:r>
          </w:p>
        </w:tc>
        <w:tc>
          <w:tcPr>
            <w:tcW w:w="570" w:type="pct"/>
            <w:shd w:val="clear" w:color="auto" w:fill="EEECE1" w:themeFill="background2"/>
            <w:vAlign w:val="bottom"/>
          </w:tcPr>
          <w:p w14:paraId="3776CF6C" w14:textId="77777777" w:rsidR="00E47AB8" w:rsidRPr="008B2F8A" w:rsidRDefault="00E47AB8" w:rsidP="00422306">
            <w:pPr>
              <w:spacing w:before="40" w:after="80"/>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Familial high-risk</w:t>
            </w:r>
          </w:p>
        </w:tc>
        <w:tc>
          <w:tcPr>
            <w:tcW w:w="570" w:type="pct"/>
            <w:shd w:val="clear" w:color="auto" w:fill="EEECE1" w:themeFill="background2"/>
            <w:vAlign w:val="bottom"/>
          </w:tcPr>
          <w:p w14:paraId="64004450" w14:textId="77777777" w:rsidR="00E47AB8" w:rsidRPr="008B2F8A" w:rsidRDefault="00E47AB8" w:rsidP="00422306">
            <w:pPr>
              <w:spacing w:before="40" w:after="80"/>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Prior history of invasive breast cancer</w:t>
            </w:r>
          </w:p>
        </w:tc>
        <w:tc>
          <w:tcPr>
            <w:tcW w:w="570" w:type="pct"/>
            <w:shd w:val="clear" w:color="auto" w:fill="EEECE1" w:themeFill="background2"/>
            <w:vAlign w:val="bottom"/>
          </w:tcPr>
          <w:p w14:paraId="7949A858" w14:textId="77777777" w:rsidR="00E47AB8" w:rsidRPr="008B2F8A" w:rsidRDefault="00E47AB8" w:rsidP="00422306">
            <w:pPr>
              <w:spacing w:before="40" w:after="80"/>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Prior history of treatment for DCIS or LCIS</w:t>
            </w:r>
          </w:p>
        </w:tc>
        <w:tc>
          <w:tcPr>
            <w:tcW w:w="570" w:type="pct"/>
            <w:shd w:val="clear" w:color="auto" w:fill="EEECE1" w:themeFill="background2"/>
            <w:vAlign w:val="bottom"/>
          </w:tcPr>
          <w:p w14:paraId="19CC3EC4" w14:textId="2664A18A" w:rsidR="00E47AB8" w:rsidRPr="008B2F8A" w:rsidRDefault="00E47AB8" w:rsidP="00422306">
            <w:pPr>
              <w:spacing w:before="40" w:after="80"/>
              <w:rPr>
                <w:rFonts w:ascii="Arial Narrow" w:eastAsiaTheme="minorHAnsi" w:hAnsi="Arial Narrow" w:cstheme="minorBidi"/>
                <w:b/>
                <w:sz w:val="20"/>
                <w:szCs w:val="20"/>
              </w:rPr>
            </w:pPr>
            <w:r w:rsidRPr="008B2F8A">
              <w:rPr>
                <w:rFonts w:ascii="Arial Narrow" w:eastAsiaTheme="minorHAnsi" w:hAnsi="Arial Narrow" w:cstheme="minorBidi"/>
                <w:b/>
                <w:sz w:val="20"/>
                <w:szCs w:val="20"/>
              </w:rPr>
              <w:t>Women with chest radiotherapy at 10–35 years</w:t>
            </w:r>
          </w:p>
        </w:tc>
        <w:tc>
          <w:tcPr>
            <w:tcW w:w="770" w:type="pct"/>
            <w:shd w:val="clear" w:color="auto" w:fill="EEECE1" w:themeFill="background2"/>
            <w:vAlign w:val="bottom"/>
          </w:tcPr>
          <w:p w14:paraId="4B90B65A"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Reference</w:t>
            </w:r>
          </w:p>
        </w:tc>
      </w:tr>
      <w:tr w:rsidR="00E47AB8" w:rsidRPr="008B2F8A" w14:paraId="59308151" w14:textId="77777777" w:rsidTr="00422306">
        <w:trPr>
          <w:cantSplit/>
        </w:trPr>
        <w:tc>
          <w:tcPr>
            <w:tcW w:w="465" w:type="pct"/>
            <w:tcBorders>
              <w:top w:val="single" w:sz="4" w:space="0" w:color="auto"/>
              <w:left w:val="single" w:sz="4" w:space="0" w:color="auto"/>
              <w:bottom w:val="nil"/>
              <w:right w:val="single" w:sz="4" w:space="0" w:color="auto"/>
            </w:tcBorders>
          </w:tcPr>
          <w:p w14:paraId="4FD2B03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Population variables</w:t>
            </w:r>
          </w:p>
        </w:tc>
        <w:tc>
          <w:tcPr>
            <w:tcW w:w="916" w:type="pct"/>
            <w:tcBorders>
              <w:left w:val="single" w:sz="4" w:space="0" w:color="auto"/>
            </w:tcBorders>
          </w:tcPr>
          <w:p w14:paraId="60BE374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Age at baseline (years)</w:t>
            </w:r>
          </w:p>
        </w:tc>
        <w:tc>
          <w:tcPr>
            <w:tcW w:w="569" w:type="pct"/>
          </w:tcPr>
          <w:p w14:paraId="7C5C1CD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w:t>
            </w:r>
          </w:p>
        </w:tc>
        <w:tc>
          <w:tcPr>
            <w:tcW w:w="570" w:type="pct"/>
          </w:tcPr>
          <w:p w14:paraId="74CC950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w:t>
            </w:r>
          </w:p>
        </w:tc>
        <w:tc>
          <w:tcPr>
            <w:tcW w:w="570" w:type="pct"/>
          </w:tcPr>
          <w:p w14:paraId="677E8E8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44 </w:t>
            </w:r>
          </w:p>
        </w:tc>
        <w:tc>
          <w:tcPr>
            <w:tcW w:w="570" w:type="pct"/>
          </w:tcPr>
          <w:p w14:paraId="7D2FA3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44 </w:t>
            </w:r>
          </w:p>
        </w:tc>
        <w:tc>
          <w:tcPr>
            <w:tcW w:w="570" w:type="pct"/>
          </w:tcPr>
          <w:p w14:paraId="278EC57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w:t>
            </w:r>
          </w:p>
        </w:tc>
        <w:tc>
          <w:tcPr>
            <w:tcW w:w="770" w:type="pct"/>
          </w:tcPr>
          <w:p w14:paraId="2B39885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Assumption</w:t>
            </w:r>
          </w:p>
        </w:tc>
      </w:tr>
      <w:tr w:rsidR="00E47AB8" w:rsidRPr="008B2F8A" w14:paraId="53382529" w14:textId="77777777" w:rsidTr="00422306">
        <w:trPr>
          <w:cantSplit/>
        </w:trPr>
        <w:tc>
          <w:tcPr>
            <w:tcW w:w="465" w:type="pct"/>
            <w:tcBorders>
              <w:top w:val="nil"/>
              <w:left w:val="single" w:sz="4" w:space="0" w:color="auto"/>
              <w:bottom w:val="nil"/>
              <w:right w:val="single" w:sz="4" w:space="0" w:color="auto"/>
            </w:tcBorders>
          </w:tcPr>
          <w:p w14:paraId="34DDE91A"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40445AC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Age at which MRI screening ends (years)</w:t>
            </w:r>
          </w:p>
        </w:tc>
        <w:tc>
          <w:tcPr>
            <w:tcW w:w="569" w:type="pct"/>
          </w:tcPr>
          <w:p w14:paraId="195B069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50 </w:t>
            </w:r>
          </w:p>
        </w:tc>
        <w:tc>
          <w:tcPr>
            <w:tcW w:w="570" w:type="pct"/>
          </w:tcPr>
          <w:p w14:paraId="5419A71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50 </w:t>
            </w:r>
          </w:p>
        </w:tc>
        <w:tc>
          <w:tcPr>
            <w:tcW w:w="570" w:type="pct"/>
          </w:tcPr>
          <w:p w14:paraId="772B6F4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50 </w:t>
            </w:r>
          </w:p>
        </w:tc>
        <w:tc>
          <w:tcPr>
            <w:tcW w:w="570" w:type="pct"/>
          </w:tcPr>
          <w:p w14:paraId="5858B56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50 </w:t>
            </w:r>
          </w:p>
        </w:tc>
        <w:tc>
          <w:tcPr>
            <w:tcW w:w="570" w:type="pct"/>
          </w:tcPr>
          <w:p w14:paraId="5E35377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50 </w:t>
            </w:r>
          </w:p>
        </w:tc>
        <w:tc>
          <w:tcPr>
            <w:tcW w:w="770" w:type="pct"/>
          </w:tcPr>
          <w:p w14:paraId="3A9DCF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Assumption</w:t>
            </w:r>
          </w:p>
        </w:tc>
      </w:tr>
      <w:tr w:rsidR="00E47AB8" w:rsidRPr="008B2F8A" w14:paraId="74F1DBD3" w14:textId="77777777" w:rsidTr="00422306">
        <w:trPr>
          <w:cantSplit/>
        </w:trPr>
        <w:tc>
          <w:tcPr>
            <w:tcW w:w="465" w:type="pct"/>
            <w:tcBorders>
              <w:top w:val="nil"/>
              <w:left w:val="single" w:sz="4" w:space="0" w:color="auto"/>
              <w:bottom w:val="single" w:sz="4" w:space="0" w:color="auto"/>
              <w:right w:val="single" w:sz="4" w:space="0" w:color="auto"/>
            </w:tcBorders>
          </w:tcPr>
          <w:p w14:paraId="2BF66E03"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27E733F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Duration of screening (years)</w:t>
            </w:r>
          </w:p>
        </w:tc>
        <w:tc>
          <w:tcPr>
            <w:tcW w:w="569" w:type="pct"/>
          </w:tcPr>
          <w:p w14:paraId="6BC08FF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w:t>
            </w:r>
          </w:p>
        </w:tc>
        <w:tc>
          <w:tcPr>
            <w:tcW w:w="570" w:type="pct"/>
          </w:tcPr>
          <w:p w14:paraId="5561159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w:t>
            </w:r>
          </w:p>
        </w:tc>
        <w:tc>
          <w:tcPr>
            <w:tcW w:w="570" w:type="pct"/>
          </w:tcPr>
          <w:p w14:paraId="0886D1C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w:t>
            </w:r>
          </w:p>
        </w:tc>
        <w:tc>
          <w:tcPr>
            <w:tcW w:w="570" w:type="pct"/>
          </w:tcPr>
          <w:p w14:paraId="372A531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w:t>
            </w:r>
          </w:p>
        </w:tc>
        <w:tc>
          <w:tcPr>
            <w:tcW w:w="570" w:type="pct"/>
          </w:tcPr>
          <w:p w14:paraId="6DC1D7F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w:t>
            </w:r>
          </w:p>
        </w:tc>
        <w:tc>
          <w:tcPr>
            <w:tcW w:w="770" w:type="pct"/>
          </w:tcPr>
          <w:p w14:paraId="408622C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Assumption</w:t>
            </w:r>
          </w:p>
        </w:tc>
      </w:tr>
      <w:tr w:rsidR="00E47AB8" w:rsidRPr="008B2F8A" w14:paraId="60517905" w14:textId="77777777" w:rsidTr="00422306">
        <w:trPr>
          <w:cantSplit/>
        </w:trPr>
        <w:tc>
          <w:tcPr>
            <w:tcW w:w="465" w:type="pct"/>
            <w:tcBorders>
              <w:top w:val="single" w:sz="4" w:space="0" w:color="auto"/>
              <w:left w:val="single" w:sz="4" w:space="0" w:color="auto"/>
              <w:bottom w:val="nil"/>
              <w:right w:val="single" w:sz="4" w:space="0" w:color="auto"/>
            </w:tcBorders>
          </w:tcPr>
          <w:p w14:paraId="7D8B272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Natural history of breast cancer</w:t>
            </w:r>
          </w:p>
        </w:tc>
        <w:tc>
          <w:tcPr>
            <w:tcW w:w="916" w:type="pct"/>
            <w:tcBorders>
              <w:left w:val="single" w:sz="4" w:space="0" w:color="auto"/>
            </w:tcBorders>
          </w:tcPr>
          <w:p w14:paraId="5E6B27E4" w14:textId="36337B55"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5-year risk of breast cancer for 40-year-olds (44-year-olds for populations with prior breast cancer)</w:t>
            </w:r>
          </w:p>
        </w:tc>
        <w:tc>
          <w:tcPr>
            <w:tcW w:w="569" w:type="pct"/>
          </w:tcPr>
          <w:p w14:paraId="4FE62C5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13.77%</w:t>
            </w:r>
          </w:p>
        </w:tc>
        <w:tc>
          <w:tcPr>
            <w:tcW w:w="570" w:type="pct"/>
          </w:tcPr>
          <w:p w14:paraId="4C410A7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6.20%</w:t>
            </w:r>
          </w:p>
        </w:tc>
        <w:tc>
          <w:tcPr>
            <w:tcW w:w="570" w:type="pct"/>
          </w:tcPr>
          <w:p w14:paraId="763C05F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5.70%</w:t>
            </w:r>
            <w:bookmarkStart w:id="1187" w:name="OLE_LINK147"/>
            <w:bookmarkStart w:id="1188" w:name="OLE_LINK148"/>
            <w:r w:rsidRPr="008B2F8A">
              <w:rPr>
                <w:rFonts w:ascii="Arial Narrow" w:eastAsia="Times New Roman" w:hAnsi="Arial Narrow"/>
                <w:sz w:val="20"/>
                <w:szCs w:val="20"/>
              </w:rPr>
              <w:t>​</w:t>
            </w:r>
            <w:bookmarkEnd w:id="1187"/>
            <w:bookmarkEnd w:id="1188"/>
            <w:r w:rsidRPr="008B2F8A">
              <w:rPr>
                <w:rFonts w:ascii="Arial Narrow" w:eastAsia="Times New Roman" w:hAnsi="Arial Narrow"/>
                <w:sz w:val="20"/>
                <w:szCs w:val="20"/>
                <w:vertAlign w:val="superscript"/>
              </w:rPr>
              <w:t>a</w:t>
            </w:r>
          </w:p>
        </w:tc>
        <w:tc>
          <w:tcPr>
            <w:tcW w:w="570" w:type="pct"/>
          </w:tcPr>
          <w:p w14:paraId="77BCF90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5.70%​</w:t>
            </w:r>
            <w:r w:rsidRPr="008B2F8A">
              <w:rPr>
                <w:rFonts w:ascii="Arial Narrow" w:eastAsia="Times New Roman" w:hAnsi="Arial Narrow"/>
                <w:sz w:val="20"/>
                <w:szCs w:val="20"/>
                <w:vertAlign w:val="superscript"/>
              </w:rPr>
              <w:t>a</w:t>
            </w:r>
          </w:p>
        </w:tc>
        <w:tc>
          <w:tcPr>
            <w:tcW w:w="570" w:type="pct"/>
          </w:tcPr>
          <w:p w14:paraId="27AA021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2.67%</w:t>
            </w:r>
          </w:p>
        </w:tc>
        <w:tc>
          <w:tcPr>
            <w:tcW w:w="770" w:type="pct"/>
          </w:tcPr>
          <w:p w14:paraId="401E2A81" w14:textId="391B991D"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Antoniou et al, 2003; Claus et al, 1994; AIHW</w:t>
            </w:r>
            <w:r>
              <w:rPr>
                <w:rFonts w:ascii="Arial Narrow" w:eastAsia="Times New Roman" w:hAnsi="Arial Narrow"/>
                <w:sz w:val="20"/>
                <w:szCs w:val="20"/>
              </w:rPr>
              <w:t xml:space="preserve"> &amp; NBOCC</w:t>
            </w:r>
            <w:r w:rsidRPr="008B2F8A">
              <w:rPr>
                <w:rFonts w:ascii="Arial Narrow" w:eastAsia="Times New Roman" w:hAnsi="Arial Narrow"/>
                <w:sz w:val="20"/>
                <w:szCs w:val="20"/>
              </w:rPr>
              <w:t>, 2010; Henderson et al, 2010</w:t>
            </w:r>
          </w:p>
        </w:tc>
      </w:tr>
      <w:tr w:rsidR="00E47AB8" w:rsidRPr="008B2F8A" w14:paraId="2ECA822C" w14:textId="77777777" w:rsidTr="00422306">
        <w:trPr>
          <w:cantSplit/>
        </w:trPr>
        <w:tc>
          <w:tcPr>
            <w:tcW w:w="465" w:type="pct"/>
            <w:tcBorders>
              <w:top w:val="nil"/>
              <w:left w:val="single" w:sz="4" w:space="0" w:color="auto"/>
              <w:bottom w:val="nil"/>
              <w:right w:val="single" w:sz="4" w:space="0" w:color="auto"/>
            </w:tcBorders>
          </w:tcPr>
          <w:p w14:paraId="309C8CB5"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00CED812" w14:textId="72CDB7B6"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5-year survival for breast cancer identified in Year 1</w:t>
            </w:r>
          </w:p>
        </w:tc>
        <w:tc>
          <w:tcPr>
            <w:tcW w:w="569" w:type="pct"/>
          </w:tcPr>
          <w:p w14:paraId="1A43D5A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80.0%</w:t>
            </w:r>
          </w:p>
        </w:tc>
        <w:tc>
          <w:tcPr>
            <w:tcW w:w="570" w:type="pct"/>
          </w:tcPr>
          <w:p w14:paraId="37671F9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91.9%</w:t>
            </w:r>
          </w:p>
        </w:tc>
        <w:tc>
          <w:tcPr>
            <w:tcW w:w="570" w:type="pct"/>
          </w:tcPr>
          <w:p w14:paraId="0A3489C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91.9%</w:t>
            </w:r>
          </w:p>
        </w:tc>
        <w:tc>
          <w:tcPr>
            <w:tcW w:w="570" w:type="pct"/>
          </w:tcPr>
          <w:p w14:paraId="1C95D72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91.9%</w:t>
            </w:r>
          </w:p>
        </w:tc>
        <w:tc>
          <w:tcPr>
            <w:tcW w:w="570" w:type="pct"/>
          </w:tcPr>
          <w:p w14:paraId="3B6BE0C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91.9%</w:t>
            </w:r>
          </w:p>
        </w:tc>
        <w:tc>
          <w:tcPr>
            <w:tcW w:w="770" w:type="pct"/>
          </w:tcPr>
          <w:p w14:paraId="4AEE3094" w14:textId="590DBA93"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NICE, 2013; AIHW, 2013</w:t>
            </w:r>
          </w:p>
        </w:tc>
      </w:tr>
      <w:tr w:rsidR="00E47AB8" w:rsidRPr="008B2F8A" w14:paraId="58F76264" w14:textId="77777777" w:rsidTr="00422306">
        <w:trPr>
          <w:cantSplit/>
        </w:trPr>
        <w:tc>
          <w:tcPr>
            <w:tcW w:w="465" w:type="pct"/>
            <w:tcBorders>
              <w:top w:val="nil"/>
              <w:left w:val="single" w:sz="4" w:space="0" w:color="auto"/>
              <w:bottom w:val="single" w:sz="4" w:space="0" w:color="auto"/>
              <w:right w:val="single" w:sz="4" w:space="0" w:color="auto"/>
            </w:tcBorders>
          </w:tcPr>
          <w:p w14:paraId="29F094BF"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0D873729" w14:textId="7EBB842C"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Decrement in 5-year survival due to delayed diagnosis</w:t>
            </w:r>
          </w:p>
        </w:tc>
        <w:tc>
          <w:tcPr>
            <w:tcW w:w="569" w:type="pct"/>
          </w:tcPr>
          <w:p w14:paraId="175BD638" w14:textId="7ACA85F7" w:rsidR="00E47AB8" w:rsidRPr="008B2F8A" w:rsidRDefault="00E47AB8" w:rsidP="00422306">
            <w:pPr>
              <w:spacing w:before="40" w:after="80"/>
              <w:rPr>
                <w:rFonts w:ascii="Arial Narrow" w:eastAsia="Times New Roman" w:hAnsi="Arial Narrow"/>
                <w:sz w:val="20"/>
                <w:szCs w:val="20"/>
              </w:rPr>
            </w:pPr>
            <w:r>
              <w:rPr>
                <w:rFonts w:ascii="Arial Narrow" w:eastAsia="Times New Roman" w:hAnsi="Arial Narrow"/>
                <w:sz w:val="20"/>
                <w:szCs w:val="20"/>
              </w:rPr>
              <w:t>~</w:t>
            </w:r>
            <w:r w:rsidRPr="008B2F8A">
              <w:rPr>
                <w:rFonts w:ascii="Arial Narrow" w:eastAsia="Times New Roman" w:hAnsi="Arial Narrow"/>
                <w:sz w:val="20"/>
                <w:szCs w:val="20"/>
              </w:rPr>
              <w:t>25%</w:t>
            </w:r>
          </w:p>
        </w:tc>
        <w:tc>
          <w:tcPr>
            <w:tcW w:w="570" w:type="pct"/>
          </w:tcPr>
          <w:p w14:paraId="3935F04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18.8%</w:t>
            </w:r>
          </w:p>
        </w:tc>
        <w:tc>
          <w:tcPr>
            <w:tcW w:w="570" w:type="pct"/>
          </w:tcPr>
          <w:p w14:paraId="654F5D4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18.8%</w:t>
            </w:r>
          </w:p>
        </w:tc>
        <w:tc>
          <w:tcPr>
            <w:tcW w:w="570" w:type="pct"/>
          </w:tcPr>
          <w:p w14:paraId="30BB7C2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18.8%</w:t>
            </w:r>
          </w:p>
        </w:tc>
        <w:tc>
          <w:tcPr>
            <w:tcW w:w="570" w:type="pct"/>
          </w:tcPr>
          <w:p w14:paraId="2397104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18.8%</w:t>
            </w:r>
          </w:p>
        </w:tc>
        <w:tc>
          <w:tcPr>
            <w:tcW w:w="770" w:type="pct"/>
            <w:tcBorders>
              <w:bottom w:val="single" w:sz="4" w:space="0" w:color="000000"/>
            </w:tcBorders>
          </w:tcPr>
          <w:p w14:paraId="75585665" w14:textId="468249D8"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Weedon-</w:t>
            </w:r>
            <w:bookmarkStart w:id="1189" w:name="OLE_LINK149"/>
            <w:r w:rsidRPr="008B2F8A">
              <w:rPr>
                <w:rFonts w:ascii="Arial Narrow" w:eastAsia="Times New Roman" w:hAnsi="Arial Narrow"/>
                <w:sz w:val="20"/>
                <w:szCs w:val="20"/>
              </w:rPr>
              <w:t xml:space="preserve">Fekjær </w:t>
            </w:r>
            <w:bookmarkEnd w:id="1189"/>
            <w:r w:rsidRPr="008B2F8A">
              <w:rPr>
                <w:rFonts w:ascii="Arial Narrow" w:eastAsia="Times New Roman" w:hAnsi="Arial Narrow"/>
                <w:sz w:val="20"/>
                <w:szCs w:val="20"/>
              </w:rPr>
              <w:t>et al, 2008</w:t>
            </w:r>
          </w:p>
        </w:tc>
      </w:tr>
      <w:tr w:rsidR="00E47AB8" w:rsidRPr="008B2F8A" w14:paraId="38907BCD" w14:textId="77777777" w:rsidTr="00422306">
        <w:trPr>
          <w:cantSplit/>
        </w:trPr>
        <w:tc>
          <w:tcPr>
            <w:tcW w:w="465" w:type="pct"/>
            <w:tcBorders>
              <w:top w:val="single" w:sz="4" w:space="0" w:color="auto"/>
              <w:left w:val="single" w:sz="4" w:space="0" w:color="auto"/>
              <w:bottom w:val="nil"/>
              <w:right w:val="single" w:sz="4" w:space="0" w:color="auto"/>
            </w:tcBorders>
          </w:tcPr>
          <w:p w14:paraId="2586805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Diagnostic accuracy</w:t>
            </w:r>
          </w:p>
        </w:tc>
        <w:tc>
          <w:tcPr>
            <w:tcW w:w="916" w:type="pct"/>
            <w:tcBorders>
              <w:left w:val="single" w:sz="4" w:space="0" w:color="auto"/>
            </w:tcBorders>
          </w:tcPr>
          <w:p w14:paraId="33F6D75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Sensitivity: mammography</w:t>
            </w:r>
          </w:p>
        </w:tc>
        <w:tc>
          <w:tcPr>
            <w:tcW w:w="569" w:type="pct"/>
            <w:vAlign w:val="center"/>
          </w:tcPr>
          <w:p w14:paraId="1FB0B60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0.36 (0.17–0.59)</w:t>
            </w:r>
          </w:p>
        </w:tc>
        <w:tc>
          <w:tcPr>
            <w:tcW w:w="570" w:type="pct"/>
            <w:vAlign w:val="center"/>
          </w:tcPr>
          <w:p w14:paraId="5943B03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0.38 (0.26, 0.51)</w:t>
            </w:r>
          </w:p>
        </w:tc>
        <w:tc>
          <w:tcPr>
            <w:tcW w:w="570" w:type="pct"/>
            <w:vAlign w:val="center"/>
          </w:tcPr>
          <w:p w14:paraId="14CCE68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0.50 (0.07, 0.93)</w:t>
            </w:r>
          </w:p>
        </w:tc>
        <w:tc>
          <w:tcPr>
            <w:tcW w:w="570" w:type="pct"/>
            <w:vAlign w:val="center"/>
          </w:tcPr>
          <w:p w14:paraId="13B3D49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0.36 (0.13, 0.65)</w:t>
            </w:r>
          </w:p>
        </w:tc>
        <w:tc>
          <w:tcPr>
            <w:tcW w:w="570" w:type="pct"/>
            <w:vAlign w:val="center"/>
          </w:tcPr>
          <w:p w14:paraId="74F00DC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0.68 (0.43, 0.87)</w:t>
            </w:r>
          </w:p>
        </w:tc>
        <w:tc>
          <w:tcPr>
            <w:tcW w:w="770" w:type="pct"/>
            <w:tcBorders>
              <w:bottom w:val="nil"/>
            </w:tcBorders>
          </w:tcPr>
          <w:p w14:paraId="384E8D53" w14:textId="0F57B9B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Warner 2008</w:t>
            </w:r>
          </w:p>
        </w:tc>
      </w:tr>
      <w:tr w:rsidR="00E47AB8" w:rsidRPr="008B2F8A" w14:paraId="1C13446E" w14:textId="77777777" w:rsidTr="00422306">
        <w:trPr>
          <w:cantSplit/>
        </w:trPr>
        <w:tc>
          <w:tcPr>
            <w:tcW w:w="465" w:type="pct"/>
            <w:tcBorders>
              <w:top w:val="nil"/>
              <w:left w:val="single" w:sz="4" w:space="0" w:color="auto"/>
              <w:bottom w:val="nil"/>
              <w:right w:val="single" w:sz="4" w:space="0" w:color="auto"/>
            </w:tcBorders>
          </w:tcPr>
          <w:p w14:paraId="19EA285D"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471B36C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Specificity: mammography</w:t>
            </w:r>
          </w:p>
        </w:tc>
        <w:tc>
          <w:tcPr>
            <w:tcW w:w="569" w:type="pct"/>
            <w:vAlign w:val="center"/>
          </w:tcPr>
          <w:p w14:paraId="7A12271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 (0.99, 1.00)</w:t>
            </w:r>
          </w:p>
        </w:tc>
        <w:tc>
          <w:tcPr>
            <w:tcW w:w="570" w:type="pct"/>
            <w:vAlign w:val="center"/>
          </w:tcPr>
          <w:p w14:paraId="2572AEA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0.97 (0.87, 0.98)</w:t>
            </w:r>
          </w:p>
        </w:tc>
        <w:tc>
          <w:tcPr>
            <w:tcW w:w="570" w:type="pct"/>
            <w:vAlign w:val="center"/>
          </w:tcPr>
          <w:p w14:paraId="3BA2AB3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0.95 (0.92, 0.97)</w:t>
            </w:r>
          </w:p>
        </w:tc>
        <w:tc>
          <w:tcPr>
            <w:tcW w:w="570" w:type="pct"/>
            <w:vAlign w:val="center"/>
          </w:tcPr>
          <w:p w14:paraId="6A8F041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0.90 (0.85, 0.94)</w:t>
            </w:r>
          </w:p>
        </w:tc>
        <w:tc>
          <w:tcPr>
            <w:tcW w:w="570" w:type="pct"/>
            <w:vAlign w:val="center"/>
          </w:tcPr>
          <w:p w14:paraId="0B9CDF8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0.92 (0.89, 0.95)</w:t>
            </w:r>
          </w:p>
        </w:tc>
        <w:tc>
          <w:tcPr>
            <w:tcW w:w="770" w:type="pct"/>
            <w:tcBorders>
              <w:top w:val="nil"/>
              <w:bottom w:val="nil"/>
            </w:tcBorders>
          </w:tcPr>
          <w:p w14:paraId="1C3799C8" w14:textId="337C5794"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HIQA, 2013; Berg et al, 2012</w:t>
            </w:r>
          </w:p>
        </w:tc>
      </w:tr>
      <w:tr w:rsidR="00E47AB8" w:rsidRPr="008B2F8A" w14:paraId="33EE7733" w14:textId="77777777" w:rsidTr="00422306">
        <w:trPr>
          <w:cantSplit/>
        </w:trPr>
        <w:tc>
          <w:tcPr>
            <w:tcW w:w="465" w:type="pct"/>
            <w:tcBorders>
              <w:top w:val="nil"/>
              <w:left w:val="single" w:sz="4" w:space="0" w:color="auto"/>
              <w:bottom w:val="nil"/>
              <w:right w:val="single" w:sz="4" w:space="0" w:color="auto"/>
            </w:tcBorders>
          </w:tcPr>
          <w:p w14:paraId="2A350156"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4E80FD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Sensitivity: MRI </w:t>
            </w:r>
            <w:r w:rsidRPr="008B2F8A">
              <w:rPr>
                <w:rFonts w:ascii="Arial Narrow" w:hAnsi="Arial Narrow"/>
              </w:rPr>
              <w:t>​+​</w:t>
            </w:r>
            <w:r w:rsidRPr="008B2F8A">
              <w:rPr>
                <w:rFonts w:ascii="Arial Narrow" w:eastAsia="Times New Roman" w:hAnsi="Arial Narrow"/>
                <w:sz w:val="20"/>
                <w:szCs w:val="20"/>
              </w:rPr>
              <w:t xml:space="preserve"> mammography</w:t>
            </w:r>
          </w:p>
        </w:tc>
        <w:tc>
          <w:tcPr>
            <w:tcW w:w="569" w:type="pct"/>
            <w:vAlign w:val="center"/>
          </w:tcPr>
          <w:p w14:paraId="4593DA3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0.86 (0.64, 0.97)</w:t>
            </w:r>
          </w:p>
        </w:tc>
        <w:tc>
          <w:tcPr>
            <w:tcW w:w="570" w:type="pct"/>
            <w:vAlign w:val="center"/>
          </w:tcPr>
          <w:p w14:paraId="54262DB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0.88 (0.78, 0.93)</w:t>
            </w:r>
          </w:p>
        </w:tc>
        <w:tc>
          <w:tcPr>
            <w:tcW w:w="570" w:type="pct"/>
            <w:vAlign w:val="center"/>
          </w:tcPr>
          <w:p w14:paraId="57B3B95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 (0.40, 1.00)</w:t>
            </w:r>
          </w:p>
        </w:tc>
        <w:tc>
          <w:tcPr>
            <w:tcW w:w="570" w:type="pct"/>
            <w:vAlign w:val="center"/>
          </w:tcPr>
          <w:p w14:paraId="24DB0B5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0.71 (0.42, 0.92)</w:t>
            </w:r>
          </w:p>
        </w:tc>
        <w:tc>
          <w:tcPr>
            <w:tcW w:w="570" w:type="pct"/>
            <w:vAlign w:val="center"/>
          </w:tcPr>
          <w:p w14:paraId="024FBB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0.95 (0.74, 1.00)</w:t>
            </w:r>
          </w:p>
        </w:tc>
        <w:tc>
          <w:tcPr>
            <w:tcW w:w="770" w:type="pct"/>
            <w:tcBorders>
              <w:top w:val="nil"/>
              <w:bottom w:val="nil"/>
            </w:tcBorders>
          </w:tcPr>
          <w:p w14:paraId="47E4E9E9" w14:textId="4C979C69"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Sung et al, 2011; Ng et al, 2013</w:t>
            </w:r>
          </w:p>
        </w:tc>
      </w:tr>
      <w:tr w:rsidR="00E47AB8" w:rsidRPr="008B2F8A" w14:paraId="39A50CAD" w14:textId="77777777" w:rsidTr="00422306">
        <w:trPr>
          <w:cantSplit/>
        </w:trPr>
        <w:tc>
          <w:tcPr>
            <w:tcW w:w="465" w:type="pct"/>
            <w:tcBorders>
              <w:top w:val="nil"/>
              <w:left w:val="single" w:sz="4" w:space="0" w:color="auto"/>
              <w:bottom w:val="single" w:sz="4" w:space="0" w:color="auto"/>
              <w:right w:val="single" w:sz="4" w:space="0" w:color="auto"/>
            </w:tcBorders>
          </w:tcPr>
          <w:p w14:paraId="5E5FAB0E"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1732158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Specificity: MRI </w:t>
            </w:r>
            <w:r w:rsidRPr="008B2F8A">
              <w:rPr>
                <w:rFonts w:ascii="Arial Narrow" w:hAnsi="Arial Narrow"/>
              </w:rPr>
              <w:t>​+​</w:t>
            </w:r>
            <w:r w:rsidRPr="008B2F8A">
              <w:rPr>
                <w:rFonts w:ascii="Arial Narrow" w:eastAsia="Times New Roman" w:hAnsi="Arial Narrow"/>
                <w:sz w:val="20"/>
                <w:szCs w:val="20"/>
              </w:rPr>
              <w:t xml:space="preserve"> mammography</w:t>
            </w:r>
          </w:p>
        </w:tc>
        <w:tc>
          <w:tcPr>
            <w:tcW w:w="569" w:type="pct"/>
            <w:vAlign w:val="center"/>
          </w:tcPr>
          <w:p w14:paraId="77707C8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0.95 (0.94, 0.96)b</w:t>
            </w:r>
          </w:p>
        </w:tc>
        <w:tc>
          <w:tcPr>
            <w:tcW w:w="570" w:type="pct"/>
            <w:vAlign w:val="center"/>
          </w:tcPr>
          <w:p w14:paraId="316773B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0.88 (0.73, 0.93)</w:t>
            </w:r>
          </w:p>
        </w:tc>
        <w:tc>
          <w:tcPr>
            <w:tcW w:w="570" w:type="pct"/>
            <w:vAlign w:val="center"/>
          </w:tcPr>
          <w:p w14:paraId="68CEC70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0.79 (0.73, 0.83)</w:t>
            </w:r>
          </w:p>
        </w:tc>
        <w:tc>
          <w:tcPr>
            <w:tcW w:w="570" w:type="pct"/>
            <w:vAlign w:val="center"/>
          </w:tcPr>
          <w:p w14:paraId="5FB68DC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0.76 (0.70, 0.82)</w:t>
            </w:r>
          </w:p>
        </w:tc>
        <w:tc>
          <w:tcPr>
            <w:tcW w:w="570" w:type="pct"/>
            <w:vAlign w:val="center"/>
          </w:tcPr>
          <w:p w14:paraId="79698ED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0.86 (0.82, 0.90)</w:t>
            </w:r>
          </w:p>
        </w:tc>
        <w:tc>
          <w:tcPr>
            <w:tcW w:w="770" w:type="pct"/>
            <w:tcBorders>
              <w:top w:val="nil"/>
            </w:tcBorders>
          </w:tcPr>
          <w:p w14:paraId="6198B001" w14:textId="77777777" w:rsidR="00E47AB8" w:rsidRPr="008B2F8A" w:rsidRDefault="00E47AB8" w:rsidP="00422306">
            <w:pPr>
              <w:spacing w:before="40" w:after="80"/>
              <w:rPr>
                <w:rFonts w:ascii="Arial Narrow" w:eastAsia="Times New Roman" w:hAnsi="Arial Narrow"/>
                <w:sz w:val="20"/>
                <w:szCs w:val="20"/>
              </w:rPr>
            </w:pPr>
          </w:p>
        </w:tc>
      </w:tr>
      <w:tr w:rsidR="00E47AB8" w:rsidRPr="008B2F8A" w14:paraId="09C602BA" w14:textId="77777777" w:rsidTr="00422306">
        <w:trPr>
          <w:cantSplit/>
        </w:trPr>
        <w:tc>
          <w:tcPr>
            <w:tcW w:w="465" w:type="pct"/>
            <w:tcBorders>
              <w:top w:val="single" w:sz="4" w:space="0" w:color="auto"/>
              <w:left w:val="single" w:sz="4" w:space="0" w:color="auto"/>
              <w:bottom w:val="nil"/>
              <w:right w:val="single" w:sz="4" w:space="0" w:color="auto"/>
            </w:tcBorders>
          </w:tcPr>
          <w:p w14:paraId="0BE41B6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Costs</w:t>
            </w:r>
          </w:p>
        </w:tc>
        <w:tc>
          <w:tcPr>
            <w:tcW w:w="916" w:type="pct"/>
            <w:tcBorders>
              <w:left w:val="single" w:sz="4" w:space="0" w:color="auto"/>
            </w:tcBorders>
          </w:tcPr>
          <w:p w14:paraId="48FCB82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hAnsi="Arial Narrow"/>
                <w:sz w:val="20"/>
                <w:szCs w:val="20"/>
                <w:lang w:eastAsia="en-AU"/>
              </w:rPr>
              <w:t>MRI scan</w:t>
            </w:r>
          </w:p>
        </w:tc>
        <w:tc>
          <w:tcPr>
            <w:tcW w:w="569" w:type="pct"/>
          </w:tcPr>
          <w:p w14:paraId="223199AB"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$690.00</w:t>
            </w:r>
          </w:p>
        </w:tc>
        <w:tc>
          <w:tcPr>
            <w:tcW w:w="570" w:type="pct"/>
          </w:tcPr>
          <w:p w14:paraId="63E1055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$690.00</w:t>
            </w:r>
          </w:p>
        </w:tc>
        <w:tc>
          <w:tcPr>
            <w:tcW w:w="570" w:type="pct"/>
          </w:tcPr>
          <w:p w14:paraId="4A97D598"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$690.00</w:t>
            </w:r>
          </w:p>
        </w:tc>
        <w:tc>
          <w:tcPr>
            <w:tcW w:w="570" w:type="pct"/>
          </w:tcPr>
          <w:p w14:paraId="3DE9F80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$690.00</w:t>
            </w:r>
          </w:p>
        </w:tc>
        <w:tc>
          <w:tcPr>
            <w:tcW w:w="570" w:type="pct"/>
          </w:tcPr>
          <w:p w14:paraId="53DC9C7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$690.00</w:t>
            </w:r>
          </w:p>
        </w:tc>
        <w:tc>
          <w:tcPr>
            <w:tcW w:w="770" w:type="pct"/>
          </w:tcPr>
          <w:p w14:paraId="516AD04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63464</w:t>
            </w:r>
          </w:p>
        </w:tc>
      </w:tr>
      <w:tr w:rsidR="00E47AB8" w:rsidRPr="008B2F8A" w14:paraId="0F978296" w14:textId="77777777" w:rsidTr="00422306">
        <w:trPr>
          <w:cantSplit/>
        </w:trPr>
        <w:tc>
          <w:tcPr>
            <w:tcW w:w="465" w:type="pct"/>
            <w:tcBorders>
              <w:top w:val="nil"/>
              <w:left w:val="single" w:sz="4" w:space="0" w:color="auto"/>
              <w:bottom w:val="nil"/>
              <w:right w:val="single" w:sz="4" w:space="0" w:color="auto"/>
            </w:tcBorders>
          </w:tcPr>
          <w:p w14:paraId="0C634A81"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582DDB6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hAnsi="Arial Narrow"/>
                <w:sz w:val="20"/>
                <w:szCs w:val="20"/>
                <w:lang w:eastAsia="en-AU"/>
              </w:rPr>
              <w:t>Mammography</w:t>
            </w:r>
          </w:p>
        </w:tc>
        <w:tc>
          <w:tcPr>
            <w:tcW w:w="569" w:type="pct"/>
          </w:tcPr>
          <w:p w14:paraId="7247D70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$89.50</w:t>
            </w:r>
          </w:p>
        </w:tc>
        <w:tc>
          <w:tcPr>
            <w:tcW w:w="570" w:type="pct"/>
          </w:tcPr>
          <w:p w14:paraId="491075F1"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$89.50</w:t>
            </w:r>
          </w:p>
        </w:tc>
        <w:tc>
          <w:tcPr>
            <w:tcW w:w="570" w:type="pct"/>
          </w:tcPr>
          <w:p w14:paraId="17896F1A"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$89.50</w:t>
            </w:r>
          </w:p>
        </w:tc>
        <w:tc>
          <w:tcPr>
            <w:tcW w:w="570" w:type="pct"/>
          </w:tcPr>
          <w:p w14:paraId="0E77F60A"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$89.50</w:t>
            </w:r>
          </w:p>
        </w:tc>
        <w:tc>
          <w:tcPr>
            <w:tcW w:w="570" w:type="pct"/>
          </w:tcPr>
          <w:p w14:paraId="2B269CF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$89.50</w:t>
            </w:r>
          </w:p>
        </w:tc>
        <w:tc>
          <w:tcPr>
            <w:tcW w:w="770" w:type="pct"/>
          </w:tcPr>
          <w:p w14:paraId="035FDC6A"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59300</w:t>
            </w:r>
          </w:p>
        </w:tc>
      </w:tr>
      <w:tr w:rsidR="00E47AB8" w:rsidRPr="008B2F8A" w14:paraId="0DF8D088" w14:textId="77777777" w:rsidTr="00422306">
        <w:trPr>
          <w:cantSplit/>
        </w:trPr>
        <w:tc>
          <w:tcPr>
            <w:tcW w:w="465" w:type="pct"/>
            <w:tcBorders>
              <w:top w:val="nil"/>
              <w:left w:val="single" w:sz="4" w:space="0" w:color="auto"/>
              <w:bottom w:val="nil"/>
              <w:right w:val="single" w:sz="4" w:space="0" w:color="auto"/>
            </w:tcBorders>
          </w:tcPr>
          <w:p w14:paraId="4279712F"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lastRenderedPageBreak/>
              <w:t>-</w:t>
            </w:r>
          </w:p>
        </w:tc>
        <w:tc>
          <w:tcPr>
            <w:tcW w:w="916" w:type="pct"/>
            <w:tcBorders>
              <w:left w:val="single" w:sz="4" w:space="0" w:color="auto"/>
            </w:tcBorders>
          </w:tcPr>
          <w:p w14:paraId="47F7F6DC" w14:textId="6F58437B" w:rsidR="00E47AB8" w:rsidRPr="008B2F8A" w:rsidRDefault="00E47AB8" w:rsidP="00422306">
            <w:pPr>
              <w:spacing w:before="40" w:after="80"/>
              <w:rPr>
                <w:rFonts w:ascii="Arial Narrow" w:eastAsia="Times New Roman" w:hAnsi="Arial Narrow"/>
                <w:sz w:val="20"/>
                <w:szCs w:val="20"/>
              </w:rPr>
            </w:pPr>
            <w:r w:rsidRPr="008B2F8A">
              <w:rPr>
                <w:rFonts w:ascii="Arial Narrow" w:hAnsi="Arial Narrow"/>
                <w:sz w:val="20"/>
                <w:szCs w:val="20"/>
                <w:lang w:eastAsia="en-AU"/>
              </w:rPr>
              <w:t xml:space="preserve">MRI </w:t>
            </w:r>
            <w:r>
              <w:rPr>
                <w:rFonts w:ascii="Arial Narrow" w:hAnsi="Arial Narrow"/>
                <w:sz w:val="20"/>
                <w:szCs w:val="20"/>
                <w:lang w:eastAsia="en-AU"/>
              </w:rPr>
              <w:t>+</w:t>
            </w:r>
            <w:r w:rsidRPr="008B2F8A">
              <w:rPr>
                <w:rFonts w:ascii="Arial Narrow" w:hAnsi="Arial Narrow"/>
                <w:sz w:val="20"/>
                <w:szCs w:val="20"/>
                <w:lang w:eastAsia="en-AU"/>
              </w:rPr>
              <w:t xml:space="preserve"> mammography</w:t>
            </w:r>
          </w:p>
        </w:tc>
        <w:tc>
          <w:tcPr>
            <w:tcW w:w="569" w:type="pct"/>
          </w:tcPr>
          <w:p w14:paraId="0EC6272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$779.50</w:t>
            </w:r>
          </w:p>
        </w:tc>
        <w:tc>
          <w:tcPr>
            <w:tcW w:w="570" w:type="pct"/>
          </w:tcPr>
          <w:p w14:paraId="62D88C62"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$779.50</w:t>
            </w:r>
          </w:p>
        </w:tc>
        <w:tc>
          <w:tcPr>
            <w:tcW w:w="570" w:type="pct"/>
          </w:tcPr>
          <w:p w14:paraId="288E728E"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$779.50</w:t>
            </w:r>
          </w:p>
        </w:tc>
        <w:tc>
          <w:tcPr>
            <w:tcW w:w="570" w:type="pct"/>
          </w:tcPr>
          <w:p w14:paraId="7BCD7B16"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$779.50</w:t>
            </w:r>
          </w:p>
        </w:tc>
        <w:tc>
          <w:tcPr>
            <w:tcW w:w="570" w:type="pct"/>
          </w:tcPr>
          <w:p w14:paraId="14F80277"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$779.50</w:t>
            </w:r>
          </w:p>
        </w:tc>
        <w:tc>
          <w:tcPr>
            <w:tcW w:w="770" w:type="pct"/>
          </w:tcPr>
          <w:p w14:paraId="0983524C" w14:textId="2821AFA2"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w:t>
            </w:r>
            <w:r>
              <w:rPr>
                <w:rFonts w:ascii="Arial Narrow" w:hAnsi="Arial Narrow"/>
                <w:sz w:val="20"/>
                <w:szCs w:val="20"/>
                <w:lang w:eastAsia="en-AU"/>
              </w:rPr>
              <w:t>s</w:t>
            </w:r>
            <w:r w:rsidRPr="008B2F8A">
              <w:rPr>
                <w:rFonts w:ascii="Arial Narrow" w:hAnsi="Arial Narrow"/>
                <w:sz w:val="20"/>
                <w:szCs w:val="20"/>
                <w:lang w:eastAsia="en-AU"/>
              </w:rPr>
              <w:t xml:space="preserve"> 63464 and 59300</w:t>
            </w:r>
          </w:p>
        </w:tc>
      </w:tr>
      <w:tr w:rsidR="00E47AB8" w:rsidRPr="008B2F8A" w14:paraId="33FEA739" w14:textId="77777777" w:rsidTr="00422306">
        <w:trPr>
          <w:cantSplit/>
        </w:trPr>
        <w:tc>
          <w:tcPr>
            <w:tcW w:w="465" w:type="pct"/>
            <w:tcBorders>
              <w:top w:val="nil"/>
              <w:left w:val="single" w:sz="4" w:space="0" w:color="auto"/>
              <w:bottom w:val="nil"/>
              <w:right w:val="single" w:sz="4" w:space="0" w:color="auto"/>
            </w:tcBorders>
          </w:tcPr>
          <w:p w14:paraId="1D64973F"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370B1B5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Specialist consultation—Initial</w:t>
            </w:r>
          </w:p>
        </w:tc>
        <w:tc>
          <w:tcPr>
            <w:tcW w:w="569" w:type="pct"/>
          </w:tcPr>
          <w:p w14:paraId="40239438"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$85.55</w:t>
            </w:r>
          </w:p>
        </w:tc>
        <w:tc>
          <w:tcPr>
            <w:tcW w:w="570" w:type="pct"/>
          </w:tcPr>
          <w:p w14:paraId="2FF9FF1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$85.55</w:t>
            </w:r>
          </w:p>
        </w:tc>
        <w:tc>
          <w:tcPr>
            <w:tcW w:w="570" w:type="pct"/>
          </w:tcPr>
          <w:p w14:paraId="24BCBC0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$85.55</w:t>
            </w:r>
          </w:p>
        </w:tc>
        <w:tc>
          <w:tcPr>
            <w:tcW w:w="570" w:type="pct"/>
          </w:tcPr>
          <w:p w14:paraId="77870142"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$85.55</w:t>
            </w:r>
          </w:p>
        </w:tc>
        <w:tc>
          <w:tcPr>
            <w:tcW w:w="570" w:type="pct"/>
          </w:tcPr>
          <w:p w14:paraId="1148263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$85.55</w:t>
            </w:r>
          </w:p>
        </w:tc>
        <w:tc>
          <w:tcPr>
            <w:tcW w:w="770" w:type="pct"/>
          </w:tcPr>
          <w:p w14:paraId="17EE820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104</w:t>
            </w:r>
          </w:p>
        </w:tc>
      </w:tr>
      <w:tr w:rsidR="00E47AB8" w:rsidRPr="008B2F8A" w14:paraId="0D4AC7CB" w14:textId="77777777" w:rsidTr="00422306">
        <w:trPr>
          <w:cantSplit/>
        </w:trPr>
        <w:tc>
          <w:tcPr>
            <w:tcW w:w="465" w:type="pct"/>
            <w:tcBorders>
              <w:top w:val="nil"/>
              <w:left w:val="single" w:sz="4" w:space="0" w:color="auto"/>
              <w:bottom w:val="nil"/>
              <w:right w:val="single" w:sz="4" w:space="0" w:color="auto"/>
            </w:tcBorders>
          </w:tcPr>
          <w:p w14:paraId="4B621265"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0C687A9F"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Biopsy</w:t>
            </w:r>
          </w:p>
        </w:tc>
        <w:tc>
          <w:tcPr>
            <w:tcW w:w="569" w:type="pct"/>
          </w:tcPr>
          <w:p w14:paraId="1F34D5A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$137.90</w:t>
            </w:r>
          </w:p>
        </w:tc>
        <w:tc>
          <w:tcPr>
            <w:tcW w:w="570" w:type="pct"/>
          </w:tcPr>
          <w:p w14:paraId="48F4D10A"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$137.90</w:t>
            </w:r>
          </w:p>
        </w:tc>
        <w:tc>
          <w:tcPr>
            <w:tcW w:w="570" w:type="pct"/>
          </w:tcPr>
          <w:p w14:paraId="73044C04"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$137.90</w:t>
            </w:r>
          </w:p>
        </w:tc>
        <w:tc>
          <w:tcPr>
            <w:tcW w:w="570" w:type="pct"/>
          </w:tcPr>
          <w:p w14:paraId="06E5181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$137.90</w:t>
            </w:r>
          </w:p>
        </w:tc>
        <w:tc>
          <w:tcPr>
            <w:tcW w:w="570" w:type="pct"/>
          </w:tcPr>
          <w:p w14:paraId="1DD8D2CA"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$137.90</w:t>
            </w:r>
          </w:p>
        </w:tc>
        <w:tc>
          <w:tcPr>
            <w:tcW w:w="770" w:type="pct"/>
          </w:tcPr>
          <w:p w14:paraId="221B52F8"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31548</w:t>
            </w:r>
          </w:p>
        </w:tc>
      </w:tr>
      <w:tr w:rsidR="00E47AB8" w:rsidRPr="008B2F8A" w14:paraId="3475A893" w14:textId="77777777" w:rsidTr="00422306">
        <w:trPr>
          <w:cantSplit/>
        </w:trPr>
        <w:tc>
          <w:tcPr>
            <w:tcW w:w="465" w:type="pct"/>
            <w:tcBorders>
              <w:top w:val="nil"/>
              <w:left w:val="single" w:sz="4" w:space="0" w:color="auto"/>
              <w:bottom w:val="nil"/>
              <w:right w:val="single" w:sz="4" w:space="0" w:color="auto"/>
            </w:tcBorders>
          </w:tcPr>
          <w:p w14:paraId="08DF661B"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7D5CC57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Ultrasound</w:t>
            </w:r>
          </w:p>
        </w:tc>
        <w:tc>
          <w:tcPr>
            <w:tcW w:w="569" w:type="pct"/>
          </w:tcPr>
          <w:p w14:paraId="6B1148A4"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$98.25</w:t>
            </w:r>
          </w:p>
        </w:tc>
        <w:tc>
          <w:tcPr>
            <w:tcW w:w="570" w:type="pct"/>
          </w:tcPr>
          <w:p w14:paraId="111C9BB7"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$98.25</w:t>
            </w:r>
          </w:p>
        </w:tc>
        <w:tc>
          <w:tcPr>
            <w:tcW w:w="570" w:type="pct"/>
          </w:tcPr>
          <w:p w14:paraId="118E70C2"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$98.25</w:t>
            </w:r>
          </w:p>
        </w:tc>
        <w:tc>
          <w:tcPr>
            <w:tcW w:w="570" w:type="pct"/>
          </w:tcPr>
          <w:p w14:paraId="20887B9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$98.25</w:t>
            </w:r>
          </w:p>
        </w:tc>
        <w:tc>
          <w:tcPr>
            <w:tcW w:w="570" w:type="pct"/>
          </w:tcPr>
          <w:p w14:paraId="2EF9799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$98.25</w:t>
            </w:r>
          </w:p>
        </w:tc>
        <w:tc>
          <w:tcPr>
            <w:tcW w:w="770" w:type="pct"/>
          </w:tcPr>
          <w:p w14:paraId="33BB5341"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MBS item 55070</w:t>
            </w:r>
          </w:p>
        </w:tc>
      </w:tr>
      <w:tr w:rsidR="00E47AB8" w:rsidRPr="008B2F8A" w14:paraId="2E9BAFBD" w14:textId="77777777" w:rsidTr="00422306">
        <w:trPr>
          <w:cantSplit/>
        </w:trPr>
        <w:tc>
          <w:tcPr>
            <w:tcW w:w="465" w:type="pct"/>
            <w:tcBorders>
              <w:top w:val="nil"/>
              <w:left w:val="single" w:sz="4" w:space="0" w:color="auto"/>
              <w:bottom w:val="nil"/>
              <w:right w:val="single" w:sz="4" w:space="0" w:color="auto"/>
            </w:tcBorders>
          </w:tcPr>
          <w:p w14:paraId="20D0DF94"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081DF1E2"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Wide local excision / mastectomy</w:t>
            </w:r>
          </w:p>
        </w:tc>
        <w:tc>
          <w:tcPr>
            <w:tcW w:w="569" w:type="pct"/>
          </w:tcPr>
          <w:p w14:paraId="7FD518A8"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$7,958.00</w:t>
            </w:r>
          </w:p>
        </w:tc>
        <w:tc>
          <w:tcPr>
            <w:tcW w:w="570" w:type="pct"/>
          </w:tcPr>
          <w:p w14:paraId="2D1FCFA8"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$7,958.00</w:t>
            </w:r>
          </w:p>
        </w:tc>
        <w:tc>
          <w:tcPr>
            <w:tcW w:w="570" w:type="pct"/>
          </w:tcPr>
          <w:p w14:paraId="386E25CA"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$7,958.00</w:t>
            </w:r>
          </w:p>
        </w:tc>
        <w:tc>
          <w:tcPr>
            <w:tcW w:w="570" w:type="pct"/>
          </w:tcPr>
          <w:p w14:paraId="74AC9457"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$7,958.00</w:t>
            </w:r>
          </w:p>
        </w:tc>
        <w:tc>
          <w:tcPr>
            <w:tcW w:w="570" w:type="pct"/>
          </w:tcPr>
          <w:p w14:paraId="1BC3C54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$7,958.00</w:t>
            </w:r>
          </w:p>
        </w:tc>
        <w:tc>
          <w:tcPr>
            <w:tcW w:w="770" w:type="pct"/>
          </w:tcPr>
          <w:p w14:paraId="40739EB0"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ARDRG v6 Public. J06A </w:t>
            </w:r>
          </w:p>
        </w:tc>
      </w:tr>
      <w:tr w:rsidR="00E47AB8" w:rsidRPr="008B2F8A" w14:paraId="7002C6D7" w14:textId="77777777" w:rsidTr="00422306">
        <w:trPr>
          <w:cantSplit/>
        </w:trPr>
        <w:tc>
          <w:tcPr>
            <w:tcW w:w="465" w:type="pct"/>
            <w:tcBorders>
              <w:top w:val="nil"/>
              <w:left w:val="single" w:sz="4" w:space="0" w:color="auto"/>
              <w:bottom w:val="nil"/>
              <w:right w:val="single" w:sz="4" w:space="0" w:color="auto"/>
            </w:tcBorders>
          </w:tcPr>
          <w:p w14:paraId="25B1AB6C"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178E8DAE" w14:textId="2F5BAD8C"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Tamoxifen (1 year; 20 mg daily)</w:t>
            </w:r>
          </w:p>
        </w:tc>
        <w:tc>
          <w:tcPr>
            <w:tcW w:w="569" w:type="pct"/>
          </w:tcPr>
          <w:p w14:paraId="52DE02C2"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$257.93</w:t>
            </w:r>
          </w:p>
        </w:tc>
        <w:tc>
          <w:tcPr>
            <w:tcW w:w="570" w:type="pct"/>
          </w:tcPr>
          <w:p w14:paraId="2A1CAF4F"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$257.93</w:t>
            </w:r>
          </w:p>
        </w:tc>
        <w:tc>
          <w:tcPr>
            <w:tcW w:w="570" w:type="pct"/>
          </w:tcPr>
          <w:p w14:paraId="297E339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$257.93</w:t>
            </w:r>
          </w:p>
        </w:tc>
        <w:tc>
          <w:tcPr>
            <w:tcW w:w="570" w:type="pct"/>
          </w:tcPr>
          <w:p w14:paraId="698D9259"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$257.93</w:t>
            </w:r>
          </w:p>
        </w:tc>
        <w:tc>
          <w:tcPr>
            <w:tcW w:w="570" w:type="pct"/>
          </w:tcPr>
          <w:p w14:paraId="77345B83"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$257.93</w:t>
            </w:r>
          </w:p>
        </w:tc>
        <w:tc>
          <w:tcPr>
            <w:tcW w:w="770" w:type="pct"/>
          </w:tcPr>
          <w:p w14:paraId="2EA7A21C"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 xml:space="preserve">PBS </w:t>
            </w:r>
            <w:bookmarkStart w:id="1190" w:name="OLE_LINK204"/>
            <w:bookmarkStart w:id="1191" w:name="OLE_LINK205"/>
            <w:r w:rsidRPr="008B2F8A">
              <w:rPr>
                <w:rFonts w:ascii="Arial Narrow" w:hAnsi="Arial Narrow"/>
                <w:sz w:val="20"/>
                <w:szCs w:val="20"/>
                <w:lang w:eastAsia="en-AU"/>
              </w:rPr>
              <w:t>2110C</w:t>
            </w:r>
            <w:bookmarkEnd w:id="1190"/>
            <w:bookmarkEnd w:id="1191"/>
          </w:p>
        </w:tc>
      </w:tr>
      <w:tr w:rsidR="00E47AB8" w:rsidRPr="008B2F8A" w14:paraId="4239BB1A" w14:textId="77777777" w:rsidTr="00422306">
        <w:trPr>
          <w:cantSplit/>
        </w:trPr>
        <w:tc>
          <w:tcPr>
            <w:tcW w:w="465" w:type="pct"/>
            <w:tcBorders>
              <w:top w:val="nil"/>
              <w:left w:val="single" w:sz="4" w:space="0" w:color="auto"/>
              <w:bottom w:val="nil"/>
              <w:right w:val="single" w:sz="4" w:space="0" w:color="auto"/>
            </w:tcBorders>
          </w:tcPr>
          <w:p w14:paraId="35930890"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266A7D0D" w14:textId="6B1DA993"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Adjuvant chemo (course)</w:t>
            </w:r>
          </w:p>
        </w:tc>
        <w:tc>
          <w:tcPr>
            <w:tcW w:w="569" w:type="pct"/>
          </w:tcPr>
          <w:p w14:paraId="5E4C266D"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$16,043.72</w:t>
            </w:r>
          </w:p>
        </w:tc>
        <w:tc>
          <w:tcPr>
            <w:tcW w:w="570" w:type="pct"/>
          </w:tcPr>
          <w:p w14:paraId="2A6B011C"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$16,043.72</w:t>
            </w:r>
          </w:p>
        </w:tc>
        <w:tc>
          <w:tcPr>
            <w:tcW w:w="570" w:type="pct"/>
          </w:tcPr>
          <w:p w14:paraId="66165D0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$16,043.72</w:t>
            </w:r>
          </w:p>
        </w:tc>
        <w:tc>
          <w:tcPr>
            <w:tcW w:w="570" w:type="pct"/>
          </w:tcPr>
          <w:p w14:paraId="02FB7E75"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$16,043.72</w:t>
            </w:r>
          </w:p>
        </w:tc>
        <w:tc>
          <w:tcPr>
            <w:tcW w:w="570" w:type="pct"/>
          </w:tcPr>
          <w:p w14:paraId="052F08BA" w14:textId="77777777" w:rsidR="00E47AB8" w:rsidRPr="008B2F8A" w:rsidRDefault="00E47AB8" w:rsidP="00422306">
            <w:pPr>
              <w:spacing w:before="40" w:after="80"/>
              <w:rPr>
                <w:rFonts w:ascii="Arial Narrow" w:hAnsi="Arial Narrow"/>
                <w:sz w:val="20"/>
                <w:szCs w:val="20"/>
                <w:lang w:eastAsia="en-AU"/>
              </w:rPr>
            </w:pPr>
            <w:r w:rsidRPr="008B2F8A">
              <w:rPr>
                <w:rFonts w:ascii="Arial Narrow" w:hAnsi="Arial Narrow"/>
                <w:sz w:val="20"/>
                <w:szCs w:val="20"/>
                <w:lang w:eastAsia="en-AU"/>
              </w:rPr>
              <w:t>$16,043.72</w:t>
            </w:r>
          </w:p>
        </w:tc>
        <w:tc>
          <w:tcPr>
            <w:tcW w:w="770" w:type="pct"/>
          </w:tcPr>
          <w:p w14:paraId="786E8037" w14:textId="53B5D087" w:rsidR="00E47AB8" w:rsidRPr="008B2F8A" w:rsidRDefault="00E47AB8" w:rsidP="00BE187F">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Section </w:t>
            </w:r>
            <w:r w:rsidRPr="008B2F8A">
              <w:rPr>
                <w:rFonts w:ascii="Arial Narrow" w:eastAsia="Times New Roman" w:hAnsi="Arial Narrow"/>
                <w:noProof/>
                <w:sz w:val="20"/>
                <w:szCs w:val="20"/>
              </w:rPr>
              <w:t>D.</w:t>
            </w:r>
            <w:r w:rsidR="00BE187F">
              <w:rPr>
                <w:rFonts w:ascii="Arial Narrow" w:eastAsia="Times New Roman" w:hAnsi="Arial Narrow"/>
                <w:noProof/>
                <w:sz w:val="20"/>
                <w:szCs w:val="20"/>
              </w:rPr>
              <w:t>4</w:t>
            </w:r>
            <w:r w:rsidRPr="008B2F8A">
              <w:rPr>
                <w:rFonts w:ascii="Arial Narrow" w:eastAsia="Times New Roman" w:hAnsi="Arial Narrow"/>
                <w:noProof/>
                <w:sz w:val="20"/>
                <w:szCs w:val="20"/>
              </w:rPr>
              <w:t>.4</w:t>
            </w:r>
            <w:r w:rsidRPr="008B2F8A">
              <w:rPr>
                <w:rFonts w:ascii="Arial Narrow" w:eastAsia="Times New Roman" w:hAnsi="Arial Narrow"/>
                <w:sz w:val="20"/>
                <w:szCs w:val="20"/>
              </w:rPr>
              <w:t xml:space="preserve">, </w:t>
            </w:r>
            <w:r w:rsidRPr="008B2F8A">
              <w:rPr>
                <w:rFonts w:ascii="Arial Narrow" w:eastAsia="Times New Roman" w:hAnsi="Arial Narrow"/>
                <w:sz w:val="20"/>
                <w:szCs w:val="20"/>
              </w:rPr>
              <w:fldChar w:fldCharType="begin"/>
            </w:r>
            <w:r w:rsidRPr="008B2F8A">
              <w:rPr>
                <w:rFonts w:ascii="Arial Narrow" w:eastAsia="Times New Roman" w:hAnsi="Arial Narrow"/>
                <w:sz w:val="20"/>
                <w:szCs w:val="20"/>
              </w:rPr>
              <w:instrText xml:space="preserve"> REF _Ref355084959 \h  \* MERGEFORMAT </w:instrText>
            </w:r>
            <w:r w:rsidRPr="008B2F8A">
              <w:rPr>
                <w:rFonts w:ascii="Arial Narrow" w:eastAsia="Times New Roman" w:hAnsi="Arial Narrow"/>
                <w:sz w:val="20"/>
                <w:szCs w:val="20"/>
              </w:rPr>
            </w:r>
            <w:r w:rsidRPr="008B2F8A">
              <w:rPr>
                <w:rFonts w:ascii="Arial Narrow" w:eastAsia="Times New Roman" w:hAnsi="Arial Narrow"/>
                <w:sz w:val="20"/>
                <w:szCs w:val="20"/>
              </w:rPr>
              <w:fldChar w:fldCharType="separate"/>
            </w:r>
            <w:r w:rsidR="00B81273" w:rsidRPr="00B81273">
              <w:rPr>
                <w:rFonts w:ascii="Arial Narrow" w:eastAsia="Times New Roman" w:hAnsi="Arial Narrow"/>
                <w:sz w:val="20"/>
                <w:szCs w:val="20"/>
              </w:rPr>
              <w:t xml:space="preserve">Table </w:t>
            </w:r>
            <w:r w:rsidR="00B81273" w:rsidRPr="00B81273">
              <w:rPr>
                <w:rFonts w:ascii="Arial Narrow" w:eastAsia="Times New Roman" w:hAnsi="Arial Narrow"/>
                <w:noProof/>
                <w:sz w:val="20"/>
                <w:szCs w:val="20"/>
              </w:rPr>
              <w:t>D</w:t>
            </w:r>
            <w:r w:rsidR="00B81273" w:rsidRPr="00B81273">
              <w:rPr>
                <w:rFonts w:eastAsiaTheme="minorHAnsi" w:cstheme="minorBidi"/>
                <w:bCs/>
                <w:noProof/>
                <w:szCs w:val="18"/>
              </w:rPr>
              <w:t>.12</w:t>
            </w:r>
            <w:r w:rsidRPr="008B2F8A">
              <w:rPr>
                <w:rFonts w:ascii="Arial Narrow" w:eastAsia="Times New Roman" w:hAnsi="Arial Narrow"/>
                <w:sz w:val="20"/>
                <w:szCs w:val="20"/>
              </w:rPr>
              <w:fldChar w:fldCharType="end"/>
            </w:r>
          </w:p>
        </w:tc>
      </w:tr>
      <w:tr w:rsidR="00E47AB8" w:rsidRPr="008B2F8A" w14:paraId="04F5A9C8" w14:textId="77777777" w:rsidTr="00BE187F">
        <w:trPr>
          <w:cantSplit/>
        </w:trPr>
        <w:tc>
          <w:tcPr>
            <w:tcW w:w="465" w:type="pct"/>
            <w:tcBorders>
              <w:top w:val="nil"/>
              <w:left w:val="single" w:sz="4" w:space="0" w:color="auto"/>
              <w:bottom w:val="nil"/>
              <w:right w:val="single" w:sz="4" w:space="0" w:color="auto"/>
            </w:tcBorders>
          </w:tcPr>
          <w:p w14:paraId="3BCBAC30"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0F997B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hAnsi="Arial Narrow"/>
                <w:sz w:val="20"/>
                <w:szCs w:val="20"/>
                <w:lang w:eastAsia="en-AU"/>
              </w:rPr>
              <w:t>Total costs per first year of cancer</w:t>
            </w:r>
          </w:p>
        </w:tc>
        <w:tc>
          <w:tcPr>
            <w:tcW w:w="569" w:type="pct"/>
          </w:tcPr>
          <w:p w14:paraId="0E2FB441"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$24,510.10</w:t>
            </w:r>
          </w:p>
        </w:tc>
        <w:tc>
          <w:tcPr>
            <w:tcW w:w="570" w:type="pct"/>
          </w:tcPr>
          <w:p w14:paraId="5722E559"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$24,510.10</w:t>
            </w:r>
          </w:p>
        </w:tc>
        <w:tc>
          <w:tcPr>
            <w:tcW w:w="570" w:type="pct"/>
          </w:tcPr>
          <w:p w14:paraId="70C568F6"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$24,510.10</w:t>
            </w:r>
          </w:p>
        </w:tc>
        <w:tc>
          <w:tcPr>
            <w:tcW w:w="570" w:type="pct"/>
          </w:tcPr>
          <w:p w14:paraId="60589934"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$24,510.10</w:t>
            </w:r>
          </w:p>
        </w:tc>
        <w:tc>
          <w:tcPr>
            <w:tcW w:w="570" w:type="pct"/>
          </w:tcPr>
          <w:p w14:paraId="41FA5933"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$24,510.10</w:t>
            </w:r>
          </w:p>
        </w:tc>
        <w:tc>
          <w:tcPr>
            <w:tcW w:w="770" w:type="pct"/>
            <w:shd w:val="clear" w:color="auto" w:fill="auto"/>
          </w:tcPr>
          <w:p w14:paraId="3C3CD64A" w14:textId="0DE66AA6" w:rsidR="00E47AB8" w:rsidRPr="008B2F8A" w:rsidRDefault="00E47AB8" w:rsidP="00BE187F">
            <w:pPr>
              <w:spacing w:before="40" w:after="80"/>
              <w:rPr>
                <w:rFonts w:ascii="Arial Narrow" w:eastAsia="Times New Roman" w:hAnsi="Arial Narrow"/>
                <w:sz w:val="20"/>
                <w:szCs w:val="20"/>
              </w:rPr>
            </w:pPr>
            <w:r w:rsidRPr="00BE187F">
              <w:rPr>
                <w:rFonts w:ascii="Arial Narrow" w:eastAsia="Times New Roman" w:hAnsi="Arial Narrow"/>
                <w:sz w:val="20"/>
                <w:szCs w:val="20"/>
              </w:rPr>
              <w:t xml:space="preserve">Section </w:t>
            </w:r>
            <w:r w:rsidRPr="00BE187F">
              <w:rPr>
                <w:rFonts w:ascii="Arial Narrow" w:eastAsia="Times New Roman" w:hAnsi="Arial Narrow"/>
                <w:noProof/>
                <w:sz w:val="20"/>
                <w:szCs w:val="20"/>
              </w:rPr>
              <w:t>D.</w:t>
            </w:r>
            <w:r w:rsidR="00BE187F" w:rsidRPr="00BE187F">
              <w:rPr>
                <w:rFonts w:ascii="Arial Narrow" w:eastAsia="Times New Roman" w:hAnsi="Arial Narrow"/>
                <w:noProof/>
                <w:sz w:val="20"/>
                <w:szCs w:val="20"/>
              </w:rPr>
              <w:t>4</w:t>
            </w:r>
            <w:r w:rsidRPr="00BE187F">
              <w:rPr>
                <w:rFonts w:ascii="Arial Narrow" w:eastAsia="Times New Roman" w:hAnsi="Arial Narrow"/>
                <w:noProof/>
                <w:sz w:val="20"/>
                <w:szCs w:val="20"/>
              </w:rPr>
              <w:t>.4</w:t>
            </w:r>
          </w:p>
        </w:tc>
      </w:tr>
      <w:tr w:rsidR="00E47AB8" w:rsidRPr="008B2F8A" w14:paraId="67212F85" w14:textId="77777777" w:rsidTr="00422306">
        <w:trPr>
          <w:cantSplit/>
        </w:trPr>
        <w:tc>
          <w:tcPr>
            <w:tcW w:w="465" w:type="pct"/>
            <w:tcBorders>
              <w:top w:val="nil"/>
              <w:left w:val="single" w:sz="4" w:space="0" w:color="auto"/>
              <w:bottom w:val="single" w:sz="4" w:space="0" w:color="auto"/>
              <w:right w:val="single" w:sz="4" w:space="0" w:color="auto"/>
            </w:tcBorders>
          </w:tcPr>
          <w:p w14:paraId="5F7F096A"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2799045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Cost of follow-up in false-positive patients</w:t>
            </w:r>
          </w:p>
        </w:tc>
        <w:tc>
          <w:tcPr>
            <w:tcW w:w="569" w:type="pct"/>
          </w:tcPr>
          <w:p w14:paraId="34487FD5"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$223.45</w:t>
            </w:r>
          </w:p>
        </w:tc>
        <w:tc>
          <w:tcPr>
            <w:tcW w:w="570" w:type="pct"/>
          </w:tcPr>
          <w:p w14:paraId="5C5CDC61"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$223.45</w:t>
            </w:r>
          </w:p>
        </w:tc>
        <w:tc>
          <w:tcPr>
            <w:tcW w:w="570" w:type="pct"/>
          </w:tcPr>
          <w:p w14:paraId="717F5272"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$223.45</w:t>
            </w:r>
          </w:p>
        </w:tc>
        <w:tc>
          <w:tcPr>
            <w:tcW w:w="570" w:type="pct"/>
          </w:tcPr>
          <w:p w14:paraId="3C8ADE1E"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$223.45</w:t>
            </w:r>
          </w:p>
        </w:tc>
        <w:tc>
          <w:tcPr>
            <w:tcW w:w="570" w:type="pct"/>
          </w:tcPr>
          <w:p w14:paraId="367804BC"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$223.45</w:t>
            </w:r>
          </w:p>
        </w:tc>
        <w:tc>
          <w:tcPr>
            <w:tcW w:w="770" w:type="pct"/>
          </w:tcPr>
          <w:p w14:paraId="355A5FFD" w14:textId="6BFF64CF" w:rsidR="00E47AB8" w:rsidRPr="008B2F8A" w:rsidRDefault="00E47AB8" w:rsidP="00422306">
            <w:pPr>
              <w:spacing w:before="40" w:after="80"/>
              <w:rPr>
                <w:rFonts w:ascii="Arial Narrow" w:eastAsia="Times New Roman" w:hAnsi="Arial Narrow"/>
                <w:sz w:val="20"/>
                <w:szCs w:val="20"/>
              </w:rPr>
            </w:pPr>
            <w:r w:rsidRPr="008B2F8A">
              <w:rPr>
                <w:rFonts w:ascii="Arial Narrow" w:hAnsi="Arial Narrow"/>
                <w:sz w:val="20"/>
                <w:szCs w:val="20"/>
                <w:lang w:eastAsia="en-AU"/>
              </w:rPr>
              <w:t>MBS item</w:t>
            </w:r>
            <w:r>
              <w:rPr>
                <w:rFonts w:ascii="Arial Narrow" w:hAnsi="Arial Narrow"/>
                <w:sz w:val="20"/>
                <w:szCs w:val="20"/>
                <w:lang w:eastAsia="en-AU"/>
              </w:rPr>
              <w:t>s</w:t>
            </w:r>
            <w:r w:rsidRPr="008B2F8A">
              <w:rPr>
                <w:rFonts w:ascii="Arial Narrow" w:hAnsi="Arial Narrow"/>
                <w:sz w:val="20"/>
                <w:szCs w:val="20"/>
                <w:lang w:eastAsia="en-AU"/>
              </w:rPr>
              <w:t xml:space="preserve"> 31548 and 104</w:t>
            </w:r>
          </w:p>
        </w:tc>
      </w:tr>
      <w:tr w:rsidR="00E47AB8" w:rsidRPr="008B2F8A" w14:paraId="348B10AB" w14:textId="77777777" w:rsidTr="00422306">
        <w:trPr>
          <w:cantSplit/>
        </w:trPr>
        <w:tc>
          <w:tcPr>
            <w:tcW w:w="465" w:type="pct"/>
            <w:tcBorders>
              <w:top w:val="single" w:sz="4" w:space="0" w:color="auto"/>
              <w:left w:val="single" w:sz="4" w:space="0" w:color="auto"/>
              <w:bottom w:val="nil"/>
              <w:right w:val="single" w:sz="4" w:space="0" w:color="auto"/>
            </w:tcBorders>
          </w:tcPr>
          <w:p w14:paraId="7F28ED8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Utility values</w:t>
            </w:r>
          </w:p>
        </w:tc>
        <w:tc>
          <w:tcPr>
            <w:tcW w:w="916" w:type="pct"/>
            <w:tcBorders>
              <w:left w:val="single" w:sz="4" w:space="0" w:color="auto"/>
            </w:tcBorders>
          </w:tcPr>
          <w:p w14:paraId="602C9F8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Relative utility: in treatment</w:t>
            </w:r>
          </w:p>
        </w:tc>
        <w:tc>
          <w:tcPr>
            <w:tcW w:w="569" w:type="pct"/>
          </w:tcPr>
          <w:p w14:paraId="2AF07E92"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0.68</w:t>
            </w:r>
          </w:p>
        </w:tc>
        <w:tc>
          <w:tcPr>
            <w:tcW w:w="570" w:type="pct"/>
          </w:tcPr>
          <w:p w14:paraId="673464EE"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0.68</w:t>
            </w:r>
          </w:p>
        </w:tc>
        <w:tc>
          <w:tcPr>
            <w:tcW w:w="570" w:type="pct"/>
          </w:tcPr>
          <w:p w14:paraId="6010D9A6"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0.68</w:t>
            </w:r>
          </w:p>
        </w:tc>
        <w:tc>
          <w:tcPr>
            <w:tcW w:w="570" w:type="pct"/>
          </w:tcPr>
          <w:p w14:paraId="017A9152"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0.68</w:t>
            </w:r>
          </w:p>
        </w:tc>
        <w:tc>
          <w:tcPr>
            <w:tcW w:w="570" w:type="pct"/>
          </w:tcPr>
          <w:p w14:paraId="5625AC5D" w14:textId="77777777"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0.68</w:t>
            </w:r>
          </w:p>
        </w:tc>
        <w:tc>
          <w:tcPr>
            <w:tcW w:w="770" w:type="pct"/>
          </w:tcPr>
          <w:p w14:paraId="7E5240C0" w14:textId="3FCB5581" w:rsidR="00E47AB8" w:rsidRPr="008B2F8A" w:rsidRDefault="00E47AB8" w:rsidP="00422306">
            <w:pPr>
              <w:spacing w:before="40" w:after="80"/>
              <w:rPr>
                <w:rFonts w:ascii="Arial Narrow" w:eastAsia="Times New Roman" w:hAnsi="Arial Narrow"/>
                <w:sz w:val="20"/>
                <w:szCs w:val="20"/>
              </w:rPr>
            </w:pPr>
            <w:r w:rsidRPr="008B2F8A">
              <w:rPr>
                <w:rFonts w:ascii="Arial Narrow" w:hAnsi="Arial Narrow"/>
                <w:sz w:val="20"/>
                <w:szCs w:val="20"/>
                <w:lang w:eastAsia="en-AU"/>
              </w:rPr>
              <w:t>NICE model; Peasgood et al, 2010</w:t>
            </w:r>
          </w:p>
        </w:tc>
      </w:tr>
      <w:tr w:rsidR="00E47AB8" w:rsidRPr="008B2F8A" w14:paraId="26862066" w14:textId="77777777" w:rsidTr="00422306">
        <w:trPr>
          <w:cantSplit/>
        </w:trPr>
        <w:tc>
          <w:tcPr>
            <w:tcW w:w="465" w:type="pct"/>
            <w:tcBorders>
              <w:top w:val="nil"/>
              <w:left w:val="single" w:sz="4" w:space="0" w:color="auto"/>
              <w:bottom w:val="nil"/>
              <w:right w:val="single" w:sz="4" w:space="0" w:color="auto"/>
            </w:tcBorders>
          </w:tcPr>
          <w:p w14:paraId="560B40F8"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08C8439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Relative utility: false-positive</w:t>
            </w:r>
          </w:p>
        </w:tc>
        <w:tc>
          <w:tcPr>
            <w:tcW w:w="569" w:type="pct"/>
          </w:tcPr>
          <w:p w14:paraId="05D49A2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570" w:type="pct"/>
          </w:tcPr>
          <w:p w14:paraId="482A451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570" w:type="pct"/>
          </w:tcPr>
          <w:p w14:paraId="18A8B64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570" w:type="pct"/>
          </w:tcPr>
          <w:p w14:paraId="1B64B8F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570" w:type="pct"/>
          </w:tcPr>
          <w:p w14:paraId="02190EB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770" w:type="pct"/>
          </w:tcPr>
          <w:p w14:paraId="165719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Assumption</w:t>
            </w:r>
          </w:p>
        </w:tc>
      </w:tr>
      <w:tr w:rsidR="00E47AB8" w:rsidRPr="008B2F8A" w14:paraId="3AAD1737" w14:textId="77777777" w:rsidTr="00422306">
        <w:trPr>
          <w:cantSplit/>
        </w:trPr>
        <w:tc>
          <w:tcPr>
            <w:tcW w:w="465" w:type="pct"/>
            <w:tcBorders>
              <w:top w:val="nil"/>
              <w:left w:val="single" w:sz="4" w:space="0" w:color="auto"/>
              <w:bottom w:val="nil"/>
              <w:right w:val="single" w:sz="4" w:space="0" w:color="auto"/>
            </w:tcBorders>
          </w:tcPr>
          <w:p w14:paraId="0295BFC0"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45E9E24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Relative utility: false-negative</w:t>
            </w:r>
          </w:p>
        </w:tc>
        <w:tc>
          <w:tcPr>
            <w:tcW w:w="569" w:type="pct"/>
          </w:tcPr>
          <w:p w14:paraId="389B444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570" w:type="pct"/>
          </w:tcPr>
          <w:p w14:paraId="3796E08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570" w:type="pct"/>
          </w:tcPr>
          <w:p w14:paraId="3231B17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570" w:type="pct"/>
          </w:tcPr>
          <w:p w14:paraId="3771915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570" w:type="pct"/>
          </w:tcPr>
          <w:p w14:paraId="1AE2C86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1.00</w:t>
            </w:r>
          </w:p>
        </w:tc>
        <w:tc>
          <w:tcPr>
            <w:tcW w:w="770" w:type="pct"/>
          </w:tcPr>
          <w:p w14:paraId="092DBCB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Assumption</w:t>
            </w:r>
          </w:p>
        </w:tc>
      </w:tr>
      <w:tr w:rsidR="00E47AB8" w:rsidRPr="008B2F8A" w14:paraId="0C6875D2" w14:textId="77777777" w:rsidTr="00422306">
        <w:trPr>
          <w:cantSplit/>
        </w:trPr>
        <w:tc>
          <w:tcPr>
            <w:tcW w:w="465" w:type="pct"/>
            <w:tcBorders>
              <w:top w:val="nil"/>
              <w:left w:val="single" w:sz="4" w:space="0" w:color="auto"/>
              <w:bottom w:val="nil"/>
              <w:right w:val="single" w:sz="4" w:space="0" w:color="auto"/>
            </w:tcBorders>
          </w:tcPr>
          <w:p w14:paraId="1D6059F2"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14675EE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Aust. population norms 30–39</w:t>
            </w:r>
          </w:p>
        </w:tc>
        <w:tc>
          <w:tcPr>
            <w:tcW w:w="569" w:type="pct"/>
          </w:tcPr>
          <w:p w14:paraId="5CB06A0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0.87</w:t>
            </w:r>
          </w:p>
        </w:tc>
        <w:tc>
          <w:tcPr>
            <w:tcW w:w="570" w:type="pct"/>
          </w:tcPr>
          <w:p w14:paraId="76E1866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0.87</w:t>
            </w:r>
          </w:p>
        </w:tc>
        <w:tc>
          <w:tcPr>
            <w:tcW w:w="570" w:type="pct"/>
          </w:tcPr>
          <w:p w14:paraId="44ED3BA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0.87</w:t>
            </w:r>
          </w:p>
        </w:tc>
        <w:tc>
          <w:tcPr>
            <w:tcW w:w="570" w:type="pct"/>
          </w:tcPr>
          <w:p w14:paraId="5C15B48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0.87</w:t>
            </w:r>
          </w:p>
        </w:tc>
        <w:tc>
          <w:tcPr>
            <w:tcW w:w="570" w:type="pct"/>
          </w:tcPr>
          <w:p w14:paraId="47BC8B5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0.87</w:t>
            </w:r>
          </w:p>
        </w:tc>
        <w:tc>
          <w:tcPr>
            <w:tcW w:w="770" w:type="pct"/>
          </w:tcPr>
          <w:p w14:paraId="273A8E0E" w14:textId="5E0D274D"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2DE5379B" w14:textId="77777777" w:rsidTr="00422306">
        <w:trPr>
          <w:cantSplit/>
        </w:trPr>
        <w:tc>
          <w:tcPr>
            <w:tcW w:w="465" w:type="pct"/>
            <w:tcBorders>
              <w:top w:val="nil"/>
              <w:left w:val="single" w:sz="4" w:space="0" w:color="auto"/>
              <w:bottom w:val="nil"/>
              <w:right w:val="single" w:sz="4" w:space="0" w:color="auto"/>
            </w:tcBorders>
          </w:tcPr>
          <w:p w14:paraId="1E7CBEC0"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32AE8DD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Aust. population norms 40–49</w:t>
            </w:r>
          </w:p>
        </w:tc>
        <w:tc>
          <w:tcPr>
            <w:tcW w:w="569" w:type="pct"/>
          </w:tcPr>
          <w:p w14:paraId="6D842C8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0.86</w:t>
            </w:r>
          </w:p>
        </w:tc>
        <w:tc>
          <w:tcPr>
            <w:tcW w:w="570" w:type="pct"/>
          </w:tcPr>
          <w:p w14:paraId="02ACEC1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0.86</w:t>
            </w:r>
          </w:p>
        </w:tc>
        <w:tc>
          <w:tcPr>
            <w:tcW w:w="570" w:type="pct"/>
          </w:tcPr>
          <w:p w14:paraId="3EEA1F4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0.86</w:t>
            </w:r>
          </w:p>
        </w:tc>
        <w:tc>
          <w:tcPr>
            <w:tcW w:w="570" w:type="pct"/>
          </w:tcPr>
          <w:p w14:paraId="36BE900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0.86</w:t>
            </w:r>
          </w:p>
        </w:tc>
        <w:tc>
          <w:tcPr>
            <w:tcW w:w="570" w:type="pct"/>
          </w:tcPr>
          <w:p w14:paraId="47A7637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0.86</w:t>
            </w:r>
          </w:p>
        </w:tc>
        <w:tc>
          <w:tcPr>
            <w:tcW w:w="770" w:type="pct"/>
          </w:tcPr>
          <w:p w14:paraId="7B9F6B53" w14:textId="39514DCE"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37EAB500" w14:textId="77777777" w:rsidTr="00422306">
        <w:trPr>
          <w:cantSplit/>
        </w:trPr>
        <w:tc>
          <w:tcPr>
            <w:tcW w:w="465" w:type="pct"/>
            <w:tcBorders>
              <w:top w:val="nil"/>
              <w:left w:val="single" w:sz="4" w:space="0" w:color="auto"/>
              <w:bottom w:val="nil"/>
              <w:right w:val="single" w:sz="4" w:space="0" w:color="auto"/>
            </w:tcBorders>
          </w:tcPr>
          <w:p w14:paraId="4D92F0E0"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192FAABA" w14:textId="7F229D9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Aust. population norms 50–59</w:t>
            </w:r>
          </w:p>
        </w:tc>
        <w:tc>
          <w:tcPr>
            <w:tcW w:w="569" w:type="pct"/>
          </w:tcPr>
          <w:p w14:paraId="54B563E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0.79</w:t>
            </w:r>
          </w:p>
        </w:tc>
        <w:tc>
          <w:tcPr>
            <w:tcW w:w="570" w:type="pct"/>
          </w:tcPr>
          <w:p w14:paraId="4DC5A56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0.79</w:t>
            </w:r>
          </w:p>
        </w:tc>
        <w:tc>
          <w:tcPr>
            <w:tcW w:w="570" w:type="pct"/>
          </w:tcPr>
          <w:p w14:paraId="326815A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0.79</w:t>
            </w:r>
          </w:p>
        </w:tc>
        <w:tc>
          <w:tcPr>
            <w:tcW w:w="570" w:type="pct"/>
          </w:tcPr>
          <w:p w14:paraId="5E134CF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0.79</w:t>
            </w:r>
          </w:p>
        </w:tc>
        <w:tc>
          <w:tcPr>
            <w:tcW w:w="570" w:type="pct"/>
          </w:tcPr>
          <w:p w14:paraId="257D248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0.79</w:t>
            </w:r>
          </w:p>
        </w:tc>
        <w:tc>
          <w:tcPr>
            <w:tcW w:w="770" w:type="pct"/>
          </w:tcPr>
          <w:p w14:paraId="4CF04097" w14:textId="449AEC02"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627A7988" w14:textId="77777777" w:rsidTr="00422306">
        <w:trPr>
          <w:cantSplit/>
        </w:trPr>
        <w:tc>
          <w:tcPr>
            <w:tcW w:w="465" w:type="pct"/>
            <w:tcBorders>
              <w:top w:val="nil"/>
              <w:left w:val="single" w:sz="4" w:space="0" w:color="auto"/>
              <w:bottom w:val="nil"/>
              <w:right w:val="single" w:sz="4" w:space="0" w:color="auto"/>
            </w:tcBorders>
          </w:tcPr>
          <w:p w14:paraId="422E9A2A"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lastRenderedPageBreak/>
              <w:t>-</w:t>
            </w:r>
          </w:p>
        </w:tc>
        <w:tc>
          <w:tcPr>
            <w:tcW w:w="916" w:type="pct"/>
            <w:tcBorders>
              <w:left w:val="single" w:sz="4" w:space="0" w:color="auto"/>
            </w:tcBorders>
          </w:tcPr>
          <w:p w14:paraId="10DD1CF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Aust. population norms 60–69</w:t>
            </w:r>
          </w:p>
        </w:tc>
        <w:tc>
          <w:tcPr>
            <w:tcW w:w="569" w:type="pct"/>
          </w:tcPr>
          <w:p w14:paraId="0DAC21A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0.77</w:t>
            </w:r>
          </w:p>
        </w:tc>
        <w:tc>
          <w:tcPr>
            <w:tcW w:w="570" w:type="pct"/>
          </w:tcPr>
          <w:p w14:paraId="1F9467F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0.77</w:t>
            </w:r>
          </w:p>
        </w:tc>
        <w:tc>
          <w:tcPr>
            <w:tcW w:w="570" w:type="pct"/>
          </w:tcPr>
          <w:p w14:paraId="1B65A6E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0.77</w:t>
            </w:r>
          </w:p>
        </w:tc>
        <w:tc>
          <w:tcPr>
            <w:tcW w:w="570" w:type="pct"/>
          </w:tcPr>
          <w:p w14:paraId="25C0D7E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0.77</w:t>
            </w:r>
          </w:p>
        </w:tc>
        <w:tc>
          <w:tcPr>
            <w:tcW w:w="570" w:type="pct"/>
          </w:tcPr>
          <w:p w14:paraId="722715D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0.77</w:t>
            </w:r>
          </w:p>
        </w:tc>
        <w:tc>
          <w:tcPr>
            <w:tcW w:w="770" w:type="pct"/>
          </w:tcPr>
          <w:p w14:paraId="607E25BC" w14:textId="34E560EB"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39E1D7FB" w14:textId="77777777" w:rsidTr="00422306">
        <w:trPr>
          <w:cantSplit/>
        </w:trPr>
        <w:tc>
          <w:tcPr>
            <w:tcW w:w="465" w:type="pct"/>
            <w:tcBorders>
              <w:top w:val="nil"/>
              <w:left w:val="single" w:sz="4" w:space="0" w:color="auto"/>
              <w:bottom w:val="single" w:sz="4" w:space="0" w:color="auto"/>
              <w:right w:val="single" w:sz="4" w:space="0" w:color="auto"/>
            </w:tcBorders>
          </w:tcPr>
          <w:p w14:paraId="0F954740"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6CDB2AD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Aust. population norms 70–79</w:t>
            </w:r>
          </w:p>
        </w:tc>
        <w:tc>
          <w:tcPr>
            <w:tcW w:w="569" w:type="pct"/>
          </w:tcPr>
          <w:p w14:paraId="2F07EDC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0.72</w:t>
            </w:r>
          </w:p>
        </w:tc>
        <w:tc>
          <w:tcPr>
            <w:tcW w:w="570" w:type="pct"/>
          </w:tcPr>
          <w:p w14:paraId="5E39931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0.72</w:t>
            </w:r>
          </w:p>
        </w:tc>
        <w:tc>
          <w:tcPr>
            <w:tcW w:w="570" w:type="pct"/>
          </w:tcPr>
          <w:p w14:paraId="61CC516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0.72</w:t>
            </w:r>
          </w:p>
        </w:tc>
        <w:tc>
          <w:tcPr>
            <w:tcW w:w="570" w:type="pct"/>
          </w:tcPr>
          <w:p w14:paraId="765C1F9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0.72</w:t>
            </w:r>
          </w:p>
        </w:tc>
        <w:tc>
          <w:tcPr>
            <w:tcW w:w="570" w:type="pct"/>
          </w:tcPr>
          <w:p w14:paraId="47355D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0.72</w:t>
            </w:r>
          </w:p>
        </w:tc>
        <w:tc>
          <w:tcPr>
            <w:tcW w:w="770" w:type="pct"/>
          </w:tcPr>
          <w:p w14:paraId="655CF2F7" w14:textId="1B0718F3"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642D9154" w14:textId="77777777" w:rsidTr="00422306">
        <w:trPr>
          <w:cantSplit/>
        </w:trPr>
        <w:tc>
          <w:tcPr>
            <w:tcW w:w="465" w:type="pct"/>
            <w:tcBorders>
              <w:top w:val="single" w:sz="4" w:space="0" w:color="auto"/>
              <w:left w:val="single" w:sz="4" w:space="0" w:color="auto"/>
              <w:bottom w:val="nil"/>
              <w:right w:val="single" w:sz="4" w:space="0" w:color="auto"/>
            </w:tcBorders>
          </w:tcPr>
          <w:p w14:paraId="28278164"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0E9B9E9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Aust. population norms 80–89</w:t>
            </w:r>
          </w:p>
        </w:tc>
        <w:tc>
          <w:tcPr>
            <w:tcW w:w="569" w:type="pct"/>
          </w:tcPr>
          <w:p w14:paraId="031ECDD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570" w:type="pct"/>
          </w:tcPr>
          <w:p w14:paraId="4FCC38B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570" w:type="pct"/>
          </w:tcPr>
          <w:p w14:paraId="68A82BA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570" w:type="pct"/>
          </w:tcPr>
          <w:p w14:paraId="16A09E5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570" w:type="pct"/>
          </w:tcPr>
          <w:p w14:paraId="2AE700D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770" w:type="pct"/>
          </w:tcPr>
          <w:p w14:paraId="7B180966" w14:textId="28112B51"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635DBA64" w14:textId="77777777" w:rsidTr="00422306">
        <w:trPr>
          <w:cantSplit/>
        </w:trPr>
        <w:tc>
          <w:tcPr>
            <w:tcW w:w="465" w:type="pct"/>
            <w:tcBorders>
              <w:top w:val="nil"/>
              <w:left w:val="single" w:sz="4" w:space="0" w:color="auto"/>
              <w:bottom w:val="nil"/>
              <w:right w:val="single" w:sz="4" w:space="0" w:color="auto"/>
            </w:tcBorders>
          </w:tcPr>
          <w:p w14:paraId="432D2659"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3624EE3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Aust. population norms 90–99</w:t>
            </w:r>
          </w:p>
        </w:tc>
        <w:tc>
          <w:tcPr>
            <w:tcW w:w="569" w:type="pct"/>
          </w:tcPr>
          <w:p w14:paraId="41D36B3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570" w:type="pct"/>
          </w:tcPr>
          <w:p w14:paraId="66C47EB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570" w:type="pct"/>
          </w:tcPr>
          <w:p w14:paraId="1B3DD74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570" w:type="pct"/>
          </w:tcPr>
          <w:p w14:paraId="2E78530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570" w:type="pct"/>
          </w:tcPr>
          <w:p w14:paraId="5915E8A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0.63</w:t>
            </w:r>
          </w:p>
        </w:tc>
        <w:tc>
          <w:tcPr>
            <w:tcW w:w="770" w:type="pct"/>
          </w:tcPr>
          <w:p w14:paraId="388BB9A5" w14:textId="5B8BE112" w:rsidR="00E47AB8" w:rsidRPr="007C6E89" w:rsidRDefault="00E47AB8" w:rsidP="00422306">
            <w:pPr>
              <w:spacing w:before="40" w:after="80"/>
              <w:rPr>
                <w:rFonts w:eastAsiaTheme="minorHAnsi" w:cstheme="minorBidi"/>
              </w:rPr>
            </w:pPr>
            <w:r w:rsidRPr="008B2F8A">
              <w:rPr>
                <w:rFonts w:ascii="Arial Narrow" w:hAnsi="Arial Narrow"/>
                <w:sz w:val="20"/>
                <w:szCs w:val="20"/>
                <w:lang w:eastAsia="en-AU"/>
              </w:rPr>
              <w:t xml:space="preserve">Hawthorne </w:t>
            </w:r>
            <w:r>
              <w:rPr>
                <w:rFonts w:ascii="Arial Narrow" w:hAnsi="Arial Narrow"/>
                <w:sz w:val="20"/>
                <w:szCs w:val="20"/>
                <w:lang w:eastAsia="en-AU"/>
              </w:rPr>
              <w:t>and Osborne</w:t>
            </w:r>
            <w:r w:rsidRPr="008B2F8A">
              <w:rPr>
                <w:rFonts w:ascii="Arial Narrow" w:hAnsi="Arial Narrow"/>
                <w:sz w:val="20"/>
                <w:szCs w:val="20"/>
                <w:lang w:eastAsia="en-AU"/>
              </w:rPr>
              <w:t>, 2005</w:t>
            </w:r>
          </w:p>
        </w:tc>
      </w:tr>
      <w:tr w:rsidR="00E47AB8" w:rsidRPr="008B2F8A" w14:paraId="42827A4B" w14:textId="77777777" w:rsidTr="00422306">
        <w:trPr>
          <w:cantSplit/>
        </w:trPr>
        <w:tc>
          <w:tcPr>
            <w:tcW w:w="465" w:type="pct"/>
            <w:tcBorders>
              <w:top w:val="single" w:sz="4" w:space="0" w:color="auto"/>
              <w:left w:val="single" w:sz="4" w:space="0" w:color="auto"/>
              <w:bottom w:val="nil"/>
              <w:right w:val="single" w:sz="4" w:space="0" w:color="auto"/>
            </w:tcBorders>
          </w:tcPr>
          <w:p w14:paraId="1DC48B2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Discount rate</w:t>
            </w:r>
          </w:p>
        </w:tc>
        <w:tc>
          <w:tcPr>
            <w:tcW w:w="916" w:type="pct"/>
            <w:tcBorders>
              <w:left w:val="single" w:sz="4" w:space="0" w:color="auto"/>
            </w:tcBorders>
          </w:tcPr>
          <w:p w14:paraId="181B6EE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Costs</w:t>
            </w:r>
          </w:p>
        </w:tc>
        <w:tc>
          <w:tcPr>
            <w:tcW w:w="569" w:type="pct"/>
          </w:tcPr>
          <w:p w14:paraId="6F7A409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70" w:type="pct"/>
          </w:tcPr>
          <w:p w14:paraId="400C2B2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70" w:type="pct"/>
          </w:tcPr>
          <w:p w14:paraId="2DDF88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70" w:type="pct"/>
          </w:tcPr>
          <w:p w14:paraId="7378E5F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70" w:type="pct"/>
          </w:tcPr>
          <w:p w14:paraId="001C167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770" w:type="pct"/>
          </w:tcPr>
          <w:p w14:paraId="5096C14D" w14:textId="3706D4BE" w:rsidR="00E47AB8" w:rsidRPr="008B2F8A" w:rsidRDefault="00E47AB8" w:rsidP="00BE187F">
            <w:pPr>
              <w:spacing w:before="40" w:after="80"/>
              <w:rPr>
                <w:rFonts w:ascii="Arial Narrow" w:eastAsia="Times New Roman" w:hAnsi="Arial Narrow"/>
                <w:sz w:val="20"/>
                <w:szCs w:val="20"/>
              </w:rPr>
            </w:pPr>
            <w:r w:rsidRPr="008B2F8A">
              <w:rPr>
                <w:rFonts w:ascii="Arial Narrow" w:eastAsia="Times New Roman" w:hAnsi="Arial Narrow"/>
                <w:sz w:val="20"/>
                <w:szCs w:val="20"/>
              </w:rPr>
              <w:t xml:space="preserve">Section </w:t>
            </w:r>
            <w:r w:rsidRPr="008B2F8A">
              <w:rPr>
                <w:rFonts w:ascii="Arial Narrow" w:eastAsia="Times New Roman" w:hAnsi="Arial Narrow"/>
                <w:noProof/>
                <w:sz w:val="20"/>
                <w:szCs w:val="20"/>
              </w:rPr>
              <w:t>D.</w:t>
            </w:r>
            <w:r w:rsidR="00BE187F">
              <w:rPr>
                <w:rFonts w:ascii="Arial Narrow" w:eastAsia="Times New Roman" w:hAnsi="Arial Narrow"/>
                <w:noProof/>
                <w:sz w:val="20"/>
                <w:szCs w:val="20"/>
              </w:rPr>
              <w:t>4</w:t>
            </w:r>
            <w:r w:rsidRPr="008B2F8A">
              <w:rPr>
                <w:rFonts w:ascii="Arial Narrow" w:eastAsia="Times New Roman" w:hAnsi="Arial Narrow"/>
                <w:noProof/>
                <w:sz w:val="20"/>
                <w:szCs w:val="20"/>
              </w:rPr>
              <w:t>.6</w:t>
            </w:r>
          </w:p>
        </w:tc>
      </w:tr>
      <w:tr w:rsidR="00E47AB8" w:rsidRPr="008B2F8A" w14:paraId="32AF0E5C" w14:textId="77777777" w:rsidTr="00422306">
        <w:trPr>
          <w:cantSplit/>
        </w:trPr>
        <w:tc>
          <w:tcPr>
            <w:tcW w:w="465" w:type="pct"/>
            <w:tcBorders>
              <w:top w:val="nil"/>
              <w:left w:val="single" w:sz="4" w:space="0" w:color="auto"/>
              <w:right w:val="single" w:sz="4" w:space="0" w:color="auto"/>
            </w:tcBorders>
          </w:tcPr>
          <w:p w14:paraId="229A76E0" w14:textId="77777777" w:rsidR="00E47AB8" w:rsidRPr="008B2F8A" w:rsidRDefault="00E47AB8" w:rsidP="00422306">
            <w:pPr>
              <w:spacing w:before="40" w:after="80"/>
              <w:rPr>
                <w:rFonts w:ascii="Arial Narrow" w:eastAsia="Times New Roman" w:hAnsi="Arial Narrow"/>
                <w:sz w:val="20"/>
                <w:szCs w:val="20"/>
              </w:rPr>
            </w:pPr>
            <w:r w:rsidRPr="00E14AC4">
              <w:rPr>
                <w:rFonts w:ascii="Arial Narrow" w:hAnsi="Arial Narrow"/>
                <w:color w:val="FFFFFF" w:themeColor="background1"/>
                <w:sz w:val="20"/>
                <w:szCs w:val="20"/>
              </w:rPr>
              <w:t>-</w:t>
            </w:r>
          </w:p>
        </w:tc>
        <w:tc>
          <w:tcPr>
            <w:tcW w:w="916" w:type="pct"/>
            <w:tcBorders>
              <w:left w:val="single" w:sz="4" w:space="0" w:color="auto"/>
            </w:tcBorders>
          </w:tcPr>
          <w:p w14:paraId="1ACF2AD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Outcomes</w:t>
            </w:r>
          </w:p>
        </w:tc>
        <w:tc>
          <w:tcPr>
            <w:tcW w:w="569" w:type="pct"/>
          </w:tcPr>
          <w:p w14:paraId="18AC690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70" w:type="pct"/>
          </w:tcPr>
          <w:p w14:paraId="29461E5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70" w:type="pct"/>
          </w:tcPr>
          <w:p w14:paraId="0206BF8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70" w:type="pct"/>
          </w:tcPr>
          <w:p w14:paraId="57EF7D2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70" w:type="pct"/>
          </w:tcPr>
          <w:p w14:paraId="19A147D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770" w:type="pct"/>
            <w:tcBorders>
              <w:bottom w:val="single" w:sz="4" w:space="0" w:color="auto"/>
            </w:tcBorders>
          </w:tcPr>
          <w:p w14:paraId="5B4CF710" w14:textId="35B6EE1D" w:rsidR="00E47AB8" w:rsidRPr="008B2F8A" w:rsidRDefault="00E47AB8" w:rsidP="00BE187F">
            <w:pPr>
              <w:spacing w:before="40" w:after="80"/>
              <w:rPr>
                <w:rFonts w:ascii="Arial Narrow" w:eastAsia="Times New Roman" w:hAnsi="Arial Narrow"/>
                <w:sz w:val="20"/>
                <w:szCs w:val="20"/>
              </w:rPr>
            </w:pPr>
            <w:r w:rsidRPr="00BE187F">
              <w:rPr>
                <w:rFonts w:ascii="Arial Narrow" w:eastAsia="Times New Roman" w:hAnsi="Arial Narrow"/>
                <w:sz w:val="20"/>
                <w:szCs w:val="20"/>
              </w:rPr>
              <w:t xml:space="preserve">Section </w:t>
            </w:r>
            <w:r w:rsidRPr="00BE187F">
              <w:rPr>
                <w:rFonts w:ascii="Arial Narrow" w:eastAsia="Times New Roman" w:hAnsi="Arial Narrow"/>
                <w:noProof/>
                <w:sz w:val="20"/>
                <w:szCs w:val="20"/>
              </w:rPr>
              <w:t>D.</w:t>
            </w:r>
            <w:r w:rsidR="00BE187F" w:rsidRPr="00BE187F">
              <w:rPr>
                <w:rFonts w:ascii="Arial Narrow" w:eastAsia="Times New Roman" w:hAnsi="Arial Narrow"/>
                <w:noProof/>
                <w:sz w:val="20"/>
                <w:szCs w:val="20"/>
              </w:rPr>
              <w:t>4</w:t>
            </w:r>
            <w:r w:rsidRPr="00BE187F">
              <w:rPr>
                <w:rFonts w:ascii="Arial Narrow" w:eastAsia="Times New Roman" w:hAnsi="Arial Narrow"/>
                <w:noProof/>
                <w:sz w:val="20"/>
                <w:szCs w:val="20"/>
              </w:rPr>
              <w:t>.6</w:t>
            </w:r>
          </w:p>
        </w:tc>
      </w:tr>
    </w:tbl>
    <w:bookmarkEnd w:id="1030"/>
    <w:p w14:paraId="00C6A855" w14:textId="77777777" w:rsidR="00E47AB8" w:rsidRPr="008B2F8A" w:rsidRDefault="00E47AB8" w:rsidP="00E14AC4">
      <w:pPr>
        <w:pStyle w:val="TableNotesFirst"/>
      </w:pPr>
      <w:r w:rsidRPr="008B2F8A">
        <w:rPr>
          <w:vertAlign w:val="superscript"/>
        </w:rPr>
        <w:t xml:space="preserve">a </w:t>
      </w:r>
      <w:r w:rsidRPr="008B2F8A">
        <w:t>The 5-year risk of breast cancer in populations with prior invasive breast cancer or DCIS/LCIS is reported for women at the average age of screening, which is assumed to be 44 years.</w:t>
      </w:r>
    </w:p>
    <w:p w14:paraId="60346E3D" w14:textId="77777777" w:rsidR="00E47AB8" w:rsidRPr="008B2F8A" w:rsidRDefault="00E47AB8" w:rsidP="00E14AC4">
      <w:pPr>
        <w:pStyle w:val="TableNotesLast"/>
      </w:pPr>
      <w:r w:rsidRPr="008B2F8A">
        <w:t>DCIS = ductal carcinoma in situ; LCIS = lobular carcinoma in situ; MRI = magnetic resonance imaging; MBS = Medicare Benefits Schedule; PBS = Pharmaceutical Benefits Scheme.</w:t>
      </w:r>
    </w:p>
    <w:p w14:paraId="5675FE31" w14:textId="77777777" w:rsidR="00E47AB8" w:rsidRPr="008B2F8A" w:rsidRDefault="00E47AB8" w:rsidP="00422306">
      <w:pPr>
        <w:keepNext/>
        <w:keepLines/>
        <w:spacing w:after="0"/>
        <w:rPr>
          <w:rFonts w:ascii="Arial Narrow" w:hAnsi="Arial Narrow"/>
          <w:sz w:val="16"/>
          <w:szCs w:val="18"/>
        </w:rPr>
        <w:sectPr w:rsidR="00E47AB8" w:rsidRPr="008B2F8A" w:rsidSect="00422306">
          <w:headerReference w:type="default" r:id="rId51"/>
          <w:footerReference w:type="default" r:id="rId52"/>
          <w:endnotePr>
            <w:numFmt w:val="decimal"/>
          </w:endnotePr>
          <w:pgSz w:w="16838" w:h="11906" w:orient="landscape"/>
          <w:pgMar w:top="1418" w:right="1418" w:bottom="1418" w:left="1418" w:header="709" w:footer="709" w:gutter="0"/>
          <w:cols w:space="708"/>
          <w:docGrid w:linePitch="360"/>
        </w:sectPr>
      </w:pPr>
    </w:p>
    <w:p w14:paraId="07A56F8D" w14:textId="77777777" w:rsidR="00E47AB8" w:rsidRPr="008B2F8A" w:rsidRDefault="00E47AB8" w:rsidP="00E47AB8">
      <w:pPr>
        <w:pStyle w:val="Heading2"/>
        <w:rPr>
          <w:rFonts w:eastAsiaTheme="majorEastAsia"/>
        </w:rPr>
      </w:pPr>
      <w:bookmarkStart w:id="1192" w:name="_Toc383424503"/>
      <w:r w:rsidRPr="008B2F8A">
        <w:rPr>
          <w:rFonts w:eastAsiaTheme="majorEastAsia"/>
        </w:rPr>
        <w:lastRenderedPageBreak/>
        <w:t>Results of the economic evaluation</w:t>
      </w:r>
      <w:bookmarkEnd w:id="1192"/>
    </w:p>
    <w:p w14:paraId="70B52E37" w14:textId="77777777" w:rsidR="00E47AB8" w:rsidRPr="008B2F8A" w:rsidRDefault="00E47AB8" w:rsidP="00E47AB8">
      <w:pPr>
        <w:pStyle w:val="Heading3"/>
        <w:numPr>
          <w:ilvl w:val="2"/>
          <w:numId w:val="42"/>
        </w:numPr>
      </w:pPr>
      <w:bookmarkStart w:id="1193" w:name="_Toc358810413"/>
      <w:bookmarkStart w:id="1194" w:name="_Toc383424504"/>
      <w:r w:rsidRPr="008B2F8A">
        <w:t>Disaggregated costs</w:t>
      </w:r>
      <w:bookmarkEnd w:id="1193"/>
      <w:bookmarkEnd w:id="1194"/>
    </w:p>
    <w:p w14:paraId="71BAE472" w14:textId="01383122" w:rsidR="00E47AB8" w:rsidRPr="007C6E89" w:rsidRDefault="00E47AB8" w:rsidP="00422306">
      <w:pPr>
        <w:spacing w:after="200"/>
        <w:rPr>
          <w:rFonts w:eastAsiaTheme="minorHAnsi" w:cstheme="minorBidi"/>
        </w:rPr>
      </w:pPr>
      <w:r w:rsidRPr="007C6E89">
        <w:rPr>
          <w:rFonts w:eastAsiaTheme="minorHAnsi" w:cstheme="minorBidi"/>
        </w:rPr>
        <w:t xml:space="preserve">Disaggregated costs per patient are presented in </w:t>
      </w:r>
      <w:r w:rsidRPr="007C6E89">
        <w:rPr>
          <w:rFonts w:eastAsiaTheme="minorHAnsi" w:cstheme="minorBidi"/>
        </w:rPr>
        <w:fldChar w:fldCharType="begin"/>
      </w:r>
      <w:r w:rsidRPr="007C6E89">
        <w:rPr>
          <w:rFonts w:eastAsiaTheme="minorHAnsi" w:cstheme="minorBidi"/>
        </w:rPr>
        <w:instrText xml:space="preserve"> REF _Ref375909056 \h  \* MERGEFORMAT </w:instrText>
      </w:r>
      <w:r w:rsidRPr="007C6E89">
        <w:rPr>
          <w:rFonts w:eastAsiaTheme="minorHAnsi" w:cstheme="minorBidi"/>
        </w:rPr>
      </w:r>
      <w:r w:rsidRPr="007C6E89">
        <w:rPr>
          <w:rFonts w:eastAsiaTheme="minorHAnsi" w:cstheme="minorBidi"/>
        </w:rPr>
        <w:fldChar w:fldCharType="separate"/>
      </w:r>
      <w:r w:rsidR="00B81273" w:rsidRPr="00B81273">
        <w:rPr>
          <w:rFonts w:eastAsiaTheme="minorHAnsi" w:cstheme="minorBidi"/>
        </w:rPr>
        <w:t xml:space="preserve">Table </w:t>
      </w:r>
      <w:r w:rsidR="00B81273" w:rsidRPr="00B81273">
        <w:rPr>
          <w:rFonts w:eastAsiaTheme="minorHAnsi" w:cstheme="minorBidi"/>
          <w:noProof/>
        </w:rPr>
        <w:t>D</w:t>
      </w:r>
      <w:r w:rsidR="00B81273" w:rsidRPr="00B81273">
        <w:rPr>
          <w:rFonts w:eastAsiaTheme="minorHAnsi" w:cstheme="minorBidi"/>
          <w:bCs/>
          <w:noProof/>
          <w:szCs w:val="18"/>
        </w:rPr>
        <w:t>.16</w:t>
      </w:r>
      <w:r w:rsidRPr="007C6E89">
        <w:rPr>
          <w:rFonts w:eastAsiaTheme="minorHAnsi" w:cstheme="minorBidi"/>
        </w:rPr>
        <w:fldChar w:fldCharType="end"/>
      </w:r>
      <w:r w:rsidRPr="007C6E89">
        <w:rPr>
          <w:rFonts w:eastAsiaTheme="minorHAnsi" w:cstheme="minorBidi"/>
        </w:rPr>
        <w:t>. In all populations, costs were higher for people in the MRI + mammography study arm than for those receiving mammography alone. This generally reflects the incremental cost of annual MRI surveillance. Costs were generally higher in populations that began screening earlier (those without prior breast cancer), owing to the longer period in which to accrue costs. Populations that started screening earlier also had a greater incremental difference between the two study arms because mammography is assumed to continue even when MRI screening stops. In addition, groups with a higher baseline risk of breast cancer had higher per-patient treatment costs.</w:t>
      </w:r>
    </w:p>
    <w:p w14:paraId="29DADBFB" w14:textId="77777777" w:rsidR="00E47AB8" w:rsidRPr="007C6E89" w:rsidRDefault="00E47AB8" w:rsidP="00422306">
      <w:pPr>
        <w:spacing w:after="200"/>
        <w:rPr>
          <w:rFonts w:eastAsiaTheme="minorHAnsi" w:cstheme="minorBidi"/>
        </w:rPr>
      </w:pPr>
      <w:r w:rsidRPr="007C6E89">
        <w:rPr>
          <w:rFonts w:eastAsiaTheme="minorHAnsi" w:cstheme="minorBidi"/>
        </w:rPr>
        <w:t>The overall incremental cost per patient screened with MRI in addition to mammography in the currently reimbursed population was $9,326</w:t>
      </w:r>
      <w:r w:rsidRPr="008B2F8A">
        <w:rPr>
          <w:rFonts w:ascii="Arial Narrow" w:eastAsiaTheme="minorHAnsi" w:hAnsi="Arial Narrow" w:cstheme="minorBidi"/>
          <w:b/>
          <w:bCs/>
          <w:color w:val="000000"/>
          <w:sz w:val="20"/>
          <w:szCs w:val="20"/>
        </w:rPr>
        <w:t>.</w:t>
      </w:r>
    </w:p>
    <w:p w14:paraId="4C35FBAF" w14:textId="77777777" w:rsidR="00E47AB8" w:rsidRPr="008B2F8A" w:rsidRDefault="00E47AB8" w:rsidP="00422306">
      <w:pPr>
        <w:pStyle w:val="Caption"/>
      </w:pPr>
      <w:bookmarkStart w:id="1195" w:name="_Ref375909056"/>
      <w:bookmarkStart w:id="1196" w:name="_Toc383424625"/>
      <w:r w:rsidRPr="008B2F8A">
        <w:t xml:space="preserve">Table </w:t>
      </w:r>
      <w:fldSimple w:instr=" STYLEREF 1 \s ">
        <w:r w:rsidR="00B81273">
          <w:rPr>
            <w:noProof/>
          </w:rPr>
          <w:t>D</w:t>
        </w:r>
      </w:fldSimple>
      <w:r w:rsidRPr="008B2F8A">
        <w:t>.</w:t>
      </w:r>
      <w:fldSimple w:instr=" SEQ Table \* ARABIC \s 1 ">
        <w:r w:rsidR="00B81273">
          <w:rPr>
            <w:noProof/>
          </w:rPr>
          <w:t>16</w:t>
        </w:r>
      </w:fldSimple>
      <w:bookmarkEnd w:id="1195"/>
      <w:r w:rsidRPr="008B2F8A">
        <w:tab/>
      </w:r>
      <w:bookmarkStart w:id="1197" w:name="OLE_LINK1105"/>
      <w:bookmarkStart w:id="1198" w:name="OLE_LINK1106"/>
      <w:r w:rsidRPr="008B2F8A">
        <w:t>Disaggregated costs</w:t>
      </w:r>
      <w:bookmarkEnd w:id="1197"/>
      <w:bookmarkEnd w:id="1198"/>
      <w:r w:rsidRPr="008B2F8A">
        <w:t>.</w:t>
      </w:r>
      <w:bookmarkEnd w:id="1196"/>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Disaggregated costs"/>
      </w:tblPr>
      <w:tblGrid>
        <w:gridCol w:w="3720"/>
        <w:gridCol w:w="1988"/>
        <w:gridCol w:w="1281"/>
        <w:gridCol w:w="1223"/>
        <w:gridCol w:w="858"/>
      </w:tblGrid>
      <w:tr w:rsidR="00E47AB8" w:rsidRPr="008B2F8A" w14:paraId="11EFC964" w14:textId="77777777" w:rsidTr="00E14AC4">
        <w:trPr>
          <w:tblHeader/>
        </w:trPr>
        <w:tc>
          <w:tcPr>
            <w:tcW w:w="2051" w:type="pct"/>
            <w:tcBorders>
              <w:bottom w:val="single" w:sz="4" w:space="0" w:color="auto"/>
              <w:right w:val="nil"/>
            </w:tcBorders>
            <w:shd w:val="clear" w:color="auto" w:fill="EEECE1" w:themeFill="background2"/>
            <w:noWrap/>
            <w:hideMark/>
          </w:tcPr>
          <w:p w14:paraId="4E0537B3"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Population</w:t>
            </w:r>
          </w:p>
        </w:tc>
        <w:tc>
          <w:tcPr>
            <w:tcW w:w="1096" w:type="pct"/>
            <w:tcBorders>
              <w:bottom w:val="single" w:sz="4" w:space="0" w:color="auto"/>
              <w:right w:val="single" w:sz="4" w:space="0" w:color="auto"/>
            </w:tcBorders>
            <w:shd w:val="clear" w:color="auto" w:fill="EEECE1" w:themeFill="background2"/>
          </w:tcPr>
          <w:p w14:paraId="3936A0AD"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Result</w:t>
            </w:r>
          </w:p>
        </w:tc>
        <w:tc>
          <w:tcPr>
            <w:tcW w:w="706" w:type="pct"/>
            <w:tcBorders>
              <w:left w:val="single" w:sz="4" w:space="0" w:color="auto"/>
              <w:bottom w:val="single" w:sz="4" w:space="0" w:color="auto"/>
              <w:right w:val="single" w:sz="4" w:space="0" w:color="auto"/>
            </w:tcBorders>
            <w:shd w:val="clear" w:color="auto" w:fill="EEECE1" w:themeFill="background2"/>
            <w:noWrap/>
            <w:vAlign w:val="center"/>
            <w:hideMark/>
          </w:tcPr>
          <w:p w14:paraId="7FBECDBB" w14:textId="77777777" w:rsidR="00E47AB8" w:rsidRPr="008B2F8A" w:rsidRDefault="00E47AB8" w:rsidP="00422306">
            <w:pPr>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 xml:space="preserve">MRI </w:t>
            </w:r>
            <w:r w:rsidRPr="008B2F8A">
              <w:rPr>
                <w:rFonts w:ascii="Arial Narrow" w:hAnsi="Arial Narrow"/>
              </w:rPr>
              <w:t>​+​</w:t>
            </w:r>
            <w:r w:rsidRPr="008B2F8A">
              <w:rPr>
                <w:rFonts w:ascii="Arial Narrow" w:eastAsiaTheme="minorHAnsi" w:hAnsi="Arial Narrow" w:cstheme="minorBidi"/>
                <w:b/>
                <w:color w:val="000000"/>
                <w:sz w:val="20"/>
                <w:szCs w:val="20"/>
              </w:rPr>
              <w:t xml:space="preserve"> mammography</w:t>
            </w:r>
          </w:p>
        </w:tc>
        <w:tc>
          <w:tcPr>
            <w:tcW w:w="674" w:type="pct"/>
            <w:tcBorders>
              <w:left w:val="single" w:sz="4" w:space="0" w:color="auto"/>
              <w:bottom w:val="single" w:sz="4" w:space="0" w:color="auto"/>
              <w:right w:val="single" w:sz="4" w:space="0" w:color="auto"/>
            </w:tcBorders>
            <w:shd w:val="clear" w:color="auto" w:fill="EEECE1" w:themeFill="background2"/>
            <w:noWrap/>
            <w:vAlign w:val="center"/>
            <w:hideMark/>
          </w:tcPr>
          <w:p w14:paraId="55E78AAD" w14:textId="77777777" w:rsidR="00E47AB8" w:rsidRPr="008B2F8A" w:rsidRDefault="00E47AB8" w:rsidP="00422306">
            <w:pPr>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Mammography</w:t>
            </w:r>
          </w:p>
        </w:tc>
        <w:tc>
          <w:tcPr>
            <w:tcW w:w="473" w:type="pct"/>
            <w:tcBorders>
              <w:left w:val="single" w:sz="4" w:space="0" w:color="auto"/>
              <w:bottom w:val="single" w:sz="4" w:space="0" w:color="auto"/>
              <w:right w:val="single" w:sz="4" w:space="0" w:color="auto"/>
            </w:tcBorders>
            <w:shd w:val="clear" w:color="auto" w:fill="EEECE1" w:themeFill="background2"/>
            <w:noWrap/>
            <w:vAlign w:val="center"/>
            <w:hideMark/>
          </w:tcPr>
          <w:p w14:paraId="2EBFDF8C" w14:textId="77777777" w:rsidR="00E47AB8" w:rsidRPr="008B2F8A" w:rsidRDefault="00E47AB8" w:rsidP="00422306">
            <w:pPr>
              <w:spacing w:before="40" w:after="80"/>
              <w:rPr>
                <w:rFonts w:ascii="Arial Narrow" w:eastAsiaTheme="minorHAnsi" w:hAnsi="Arial Narrow" w:cstheme="minorBidi"/>
                <w:b/>
                <w:bCs/>
                <w:color w:val="000000"/>
                <w:sz w:val="20"/>
                <w:szCs w:val="20"/>
              </w:rPr>
            </w:pPr>
            <w:r w:rsidRPr="008B2F8A">
              <w:rPr>
                <w:rFonts w:ascii="Arial Narrow" w:eastAsiaTheme="minorHAnsi" w:hAnsi="Arial Narrow" w:cstheme="minorBidi"/>
                <w:b/>
                <w:bCs/>
                <w:color w:val="000000"/>
                <w:sz w:val="20"/>
                <w:szCs w:val="20"/>
              </w:rPr>
              <w:t>Difference</w:t>
            </w:r>
          </w:p>
        </w:tc>
      </w:tr>
      <w:tr w:rsidR="00E47AB8" w:rsidRPr="008B2F8A" w14:paraId="2B042B4D" w14:textId="77777777" w:rsidTr="00E14AC4">
        <w:tc>
          <w:tcPr>
            <w:tcW w:w="2051" w:type="pct"/>
            <w:tcBorders>
              <w:top w:val="single" w:sz="4" w:space="0" w:color="auto"/>
              <w:bottom w:val="nil"/>
              <w:right w:val="nil"/>
            </w:tcBorders>
            <w:shd w:val="clear" w:color="auto" w:fill="auto"/>
            <w:noWrap/>
            <w:hideMark/>
          </w:tcPr>
          <w:p w14:paraId="370DB86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High-risk based on breast cancer gene mutation</w:t>
            </w:r>
          </w:p>
        </w:tc>
        <w:tc>
          <w:tcPr>
            <w:tcW w:w="1096" w:type="pct"/>
            <w:tcBorders>
              <w:top w:val="single" w:sz="4" w:space="0" w:color="auto"/>
              <w:bottom w:val="single" w:sz="4" w:space="0" w:color="auto"/>
              <w:right w:val="single" w:sz="4" w:space="0" w:color="auto"/>
            </w:tcBorders>
          </w:tcPr>
          <w:p w14:paraId="24680E4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screening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46F9735E"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$9,898</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6ACBBD5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$1,486</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252C2E9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$8,412</w:t>
            </w:r>
          </w:p>
        </w:tc>
      </w:tr>
      <w:tr w:rsidR="00E47AB8" w:rsidRPr="008B2F8A" w14:paraId="4D706A02" w14:textId="77777777" w:rsidTr="00E14AC4">
        <w:tc>
          <w:tcPr>
            <w:tcW w:w="2051" w:type="pct"/>
            <w:tcBorders>
              <w:top w:val="nil"/>
              <w:bottom w:val="nil"/>
              <w:right w:val="nil"/>
            </w:tcBorders>
            <w:shd w:val="clear" w:color="auto" w:fill="auto"/>
            <w:noWrap/>
          </w:tcPr>
          <w:p w14:paraId="59FDF7A5" w14:textId="77777777" w:rsidR="00E47AB8" w:rsidRPr="008B2F8A" w:rsidRDefault="00E47AB8" w:rsidP="00422306">
            <w:pPr>
              <w:spacing w:before="40" w:after="80"/>
              <w:rPr>
                <w:rFonts w:ascii="Arial Narrow" w:eastAsia="Times New Roman" w:hAnsi="Arial Narrow"/>
                <w:sz w:val="20"/>
                <w:szCs w:val="20"/>
              </w:rPr>
            </w:pPr>
            <w:bookmarkStart w:id="1199" w:name="OLE_LINK954"/>
            <w:bookmarkStart w:id="1200" w:name="OLE_LINK955"/>
            <w:r w:rsidRPr="00D7152B">
              <w:rPr>
                <w:rFonts w:ascii="Arial Narrow" w:hAnsi="Arial Narrow"/>
                <w:color w:val="FFFFFF" w:themeColor="background1"/>
                <w:sz w:val="20"/>
                <w:szCs w:val="20"/>
              </w:rPr>
              <w:t>-</w:t>
            </w:r>
            <w:bookmarkEnd w:id="1199"/>
            <w:bookmarkEnd w:id="1200"/>
          </w:p>
        </w:tc>
        <w:tc>
          <w:tcPr>
            <w:tcW w:w="1096" w:type="pct"/>
            <w:tcBorders>
              <w:top w:val="single" w:sz="4" w:space="0" w:color="auto"/>
              <w:bottom w:val="single" w:sz="4" w:space="0" w:color="auto"/>
              <w:right w:val="single" w:sz="4" w:space="0" w:color="auto"/>
            </w:tcBorders>
          </w:tcPr>
          <w:p w14:paraId="7F126A8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false-positive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008CB07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$192</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305B1B74"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3238F088"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$192</w:t>
            </w:r>
          </w:p>
        </w:tc>
      </w:tr>
      <w:tr w:rsidR="00E47AB8" w:rsidRPr="008B2F8A" w14:paraId="0C84E32B" w14:textId="77777777" w:rsidTr="00E14AC4">
        <w:tc>
          <w:tcPr>
            <w:tcW w:w="2051" w:type="pct"/>
            <w:tcBorders>
              <w:top w:val="nil"/>
              <w:bottom w:val="nil"/>
              <w:right w:val="nil"/>
            </w:tcBorders>
            <w:shd w:val="clear" w:color="auto" w:fill="auto"/>
            <w:noWrap/>
          </w:tcPr>
          <w:p w14:paraId="6C9FB3B1" w14:textId="77777777" w:rsidR="00E47AB8" w:rsidRPr="008B2F8A" w:rsidRDefault="00E47AB8" w:rsidP="00422306">
            <w:pPr>
              <w:spacing w:before="40" w:after="80"/>
              <w:rPr>
                <w:rFonts w:ascii="Arial Narrow" w:eastAsia="Times New Roman" w:hAnsi="Arial Narrow"/>
                <w:b/>
                <w:sz w:val="20"/>
                <w:szCs w:val="20"/>
              </w:rPr>
            </w:pPr>
            <w:r w:rsidRPr="003B2421">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45BD711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treatment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0FA8F08E"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$8,866</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5F211F9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$8,096</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14C60A4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$770</w:t>
            </w:r>
          </w:p>
        </w:tc>
      </w:tr>
      <w:tr w:rsidR="00E47AB8" w:rsidRPr="008B2F8A" w14:paraId="1747027F" w14:textId="77777777" w:rsidTr="00E14AC4">
        <w:tc>
          <w:tcPr>
            <w:tcW w:w="2051" w:type="pct"/>
            <w:tcBorders>
              <w:top w:val="nil"/>
              <w:bottom w:val="single" w:sz="4" w:space="0" w:color="auto"/>
              <w:right w:val="nil"/>
            </w:tcBorders>
            <w:shd w:val="clear" w:color="auto" w:fill="auto"/>
            <w:noWrap/>
          </w:tcPr>
          <w:p w14:paraId="610BA3E3" w14:textId="77777777" w:rsidR="00E47AB8" w:rsidRPr="008B2F8A" w:rsidRDefault="00E47AB8" w:rsidP="00422306">
            <w:pPr>
              <w:spacing w:before="40" w:after="80"/>
              <w:rPr>
                <w:rFonts w:ascii="Arial Narrow" w:eastAsia="Times New Roman" w:hAnsi="Arial Narrow"/>
                <w:b/>
                <w:sz w:val="20"/>
                <w:szCs w:val="20"/>
              </w:rPr>
            </w:pPr>
            <w:r w:rsidRPr="003B2421">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169B2F4F"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Total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5A729621"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$18,957</w:t>
            </w:r>
          </w:p>
        </w:tc>
        <w:tc>
          <w:tcPr>
            <w:tcW w:w="674" w:type="pct"/>
            <w:tcBorders>
              <w:top w:val="single" w:sz="4" w:space="0" w:color="auto"/>
              <w:left w:val="single" w:sz="4" w:space="0" w:color="auto"/>
              <w:bottom w:val="single" w:sz="4" w:space="0" w:color="auto"/>
              <w:right w:val="single" w:sz="4" w:space="0" w:color="auto"/>
            </w:tcBorders>
            <w:shd w:val="clear" w:color="auto" w:fill="auto"/>
            <w:noWrap/>
          </w:tcPr>
          <w:p w14:paraId="78F6652C"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$9,582</w:t>
            </w:r>
          </w:p>
        </w:tc>
        <w:tc>
          <w:tcPr>
            <w:tcW w:w="473" w:type="pct"/>
            <w:tcBorders>
              <w:top w:val="single" w:sz="4" w:space="0" w:color="auto"/>
              <w:left w:val="single" w:sz="4" w:space="0" w:color="auto"/>
              <w:bottom w:val="single" w:sz="4" w:space="0" w:color="auto"/>
              <w:right w:val="single" w:sz="4" w:space="0" w:color="auto"/>
            </w:tcBorders>
            <w:shd w:val="clear" w:color="auto" w:fill="auto"/>
            <w:noWrap/>
          </w:tcPr>
          <w:p w14:paraId="1F944C7C"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$9,375</w:t>
            </w:r>
          </w:p>
        </w:tc>
      </w:tr>
      <w:tr w:rsidR="00E47AB8" w:rsidRPr="008B2F8A" w14:paraId="5D7956FC" w14:textId="77777777" w:rsidTr="00E14AC4">
        <w:tc>
          <w:tcPr>
            <w:tcW w:w="2051" w:type="pct"/>
            <w:tcBorders>
              <w:top w:val="single" w:sz="4" w:space="0" w:color="auto"/>
              <w:bottom w:val="nil"/>
              <w:right w:val="nil"/>
            </w:tcBorders>
            <w:shd w:val="clear" w:color="auto" w:fill="auto"/>
            <w:noWrap/>
            <w:hideMark/>
          </w:tcPr>
          <w:p w14:paraId="1A3786A0" w14:textId="77777777" w:rsidR="00E47AB8" w:rsidRPr="008B2F8A" w:rsidRDefault="00E47AB8" w:rsidP="00422306">
            <w:pPr>
              <w:spacing w:before="40" w:after="80"/>
              <w:rPr>
                <w:rFonts w:ascii="Arial Narrow" w:eastAsia="Times New Roman" w:hAnsi="Arial Narrow"/>
                <w:i/>
                <w:sz w:val="20"/>
                <w:szCs w:val="20"/>
              </w:rPr>
            </w:pPr>
            <w:r w:rsidRPr="008B2F8A">
              <w:rPr>
                <w:rFonts w:ascii="Arial Narrow" w:eastAsia="Times New Roman" w:hAnsi="Arial Narrow"/>
                <w:i/>
                <w:sz w:val="20"/>
                <w:szCs w:val="20"/>
              </w:rPr>
              <w:t>Familial high-risk</w:t>
            </w:r>
          </w:p>
        </w:tc>
        <w:tc>
          <w:tcPr>
            <w:tcW w:w="1096" w:type="pct"/>
            <w:tcBorders>
              <w:top w:val="single" w:sz="4" w:space="0" w:color="auto"/>
              <w:bottom w:val="single" w:sz="4" w:space="0" w:color="auto"/>
              <w:right w:val="single" w:sz="4" w:space="0" w:color="auto"/>
            </w:tcBorders>
          </w:tcPr>
          <w:p w14:paraId="5F345C5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screening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76C7B352"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$10,343</w:t>
            </w:r>
          </w:p>
        </w:tc>
        <w:tc>
          <w:tcPr>
            <w:tcW w:w="674" w:type="pct"/>
            <w:tcBorders>
              <w:top w:val="single" w:sz="4" w:space="0" w:color="auto"/>
              <w:left w:val="single" w:sz="4" w:space="0" w:color="auto"/>
              <w:bottom w:val="single" w:sz="4" w:space="0" w:color="auto"/>
              <w:right w:val="single" w:sz="4" w:space="0" w:color="auto"/>
            </w:tcBorders>
            <w:shd w:val="clear" w:color="auto" w:fill="auto"/>
            <w:noWrap/>
          </w:tcPr>
          <w:p w14:paraId="66374DB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$1,619</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72AC77B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$8,724</w:t>
            </w:r>
          </w:p>
        </w:tc>
      </w:tr>
      <w:tr w:rsidR="00E47AB8" w:rsidRPr="008B2F8A" w14:paraId="795DB7CB" w14:textId="77777777" w:rsidTr="00E14AC4">
        <w:tc>
          <w:tcPr>
            <w:tcW w:w="2051" w:type="pct"/>
            <w:tcBorders>
              <w:top w:val="nil"/>
              <w:bottom w:val="nil"/>
              <w:right w:val="nil"/>
            </w:tcBorders>
            <w:shd w:val="clear" w:color="auto" w:fill="auto"/>
            <w:noWrap/>
          </w:tcPr>
          <w:p w14:paraId="130AE1AF" w14:textId="77777777" w:rsidR="00E47AB8" w:rsidRPr="008B2F8A" w:rsidRDefault="00E47AB8" w:rsidP="00422306">
            <w:pPr>
              <w:spacing w:before="40" w:after="80"/>
              <w:rPr>
                <w:rFonts w:ascii="Arial Narrow" w:eastAsia="Times New Roman" w:hAnsi="Arial Narrow"/>
                <w:sz w:val="20"/>
                <w:szCs w:val="20"/>
              </w:rPr>
            </w:pPr>
            <w:r w:rsidRPr="00AD5A72">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2380ABC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false-positive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1A4AA36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$536</w:t>
            </w:r>
          </w:p>
        </w:tc>
        <w:tc>
          <w:tcPr>
            <w:tcW w:w="674" w:type="pct"/>
            <w:tcBorders>
              <w:top w:val="single" w:sz="4" w:space="0" w:color="auto"/>
              <w:left w:val="single" w:sz="4" w:space="0" w:color="auto"/>
              <w:bottom w:val="single" w:sz="4" w:space="0" w:color="auto"/>
              <w:right w:val="single" w:sz="4" w:space="0" w:color="auto"/>
            </w:tcBorders>
            <w:shd w:val="clear" w:color="auto" w:fill="auto"/>
            <w:noWrap/>
          </w:tcPr>
          <w:p w14:paraId="3C6C2D9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$173</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1D1CEA8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$364</w:t>
            </w:r>
          </w:p>
        </w:tc>
      </w:tr>
      <w:tr w:rsidR="00E47AB8" w:rsidRPr="008B2F8A" w14:paraId="5CC937AD" w14:textId="77777777" w:rsidTr="00E14AC4">
        <w:tc>
          <w:tcPr>
            <w:tcW w:w="2051" w:type="pct"/>
            <w:tcBorders>
              <w:top w:val="nil"/>
              <w:bottom w:val="nil"/>
              <w:right w:val="nil"/>
            </w:tcBorders>
            <w:shd w:val="clear" w:color="auto" w:fill="auto"/>
            <w:noWrap/>
          </w:tcPr>
          <w:p w14:paraId="1B60F1E4" w14:textId="77777777" w:rsidR="00E47AB8" w:rsidRPr="008B2F8A" w:rsidRDefault="00E47AB8" w:rsidP="00422306">
            <w:pPr>
              <w:spacing w:before="40" w:after="80"/>
              <w:rPr>
                <w:rFonts w:ascii="Arial Narrow" w:eastAsia="Times New Roman" w:hAnsi="Arial Narrow"/>
                <w:b/>
                <w:sz w:val="20"/>
                <w:szCs w:val="20"/>
              </w:rPr>
            </w:pPr>
            <w:r w:rsidRPr="00AD5A72">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712C772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treatment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51E38C9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$5,143</w:t>
            </w:r>
          </w:p>
        </w:tc>
        <w:tc>
          <w:tcPr>
            <w:tcW w:w="674" w:type="pct"/>
            <w:tcBorders>
              <w:top w:val="single" w:sz="4" w:space="0" w:color="auto"/>
              <w:left w:val="single" w:sz="4" w:space="0" w:color="auto"/>
              <w:bottom w:val="single" w:sz="4" w:space="0" w:color="auto"/>
              <w:right w:val="single" w:sz="4" w:space="0" w:color="auto"/>
            </w:tcBorders>
            <w:shd w:val="clear" w:color="auto" w:fill="auto"/>
            <w:noWrap/>
          </w:tcPr>
          <w:p w14:paraId="2194BDD8"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$4,904</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6243C42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$238</w:t>
            </w:r>
          </w:p>
        </w:tc>
      </w:tr>
      <w:tr w:rsidR="00E47AB8" w:rsidRPr="008B2F8A" w14:paraId="1BB746CD" w14:textId="77777777" w:rsidTr="00E14AC4">
        <w:tc>
          <w:tcPr>
            <w:tcW w:w="2051" w:type="pct"/>
            <w:tcBorders>
              <w:top w:val="nil"/>
              <w:bottom w:val="single" w:sz="4" w:space="0" w:color="auto"/>
              <w:right w:val="nil"/>
            </w:tcBorders>
            <w:shd w:val="clear" w:color="auto" w:fill="auto"/>
            <w:noWrap/>
          </w:tcPr>
          <w:p w14:paraId="2E69DF6F" w14:textId="77777777" w:rsidR="00E47AB8" w:rsidRPr="008B2F8A" w:rsidRDefault="00E47AB8" w:rsidP="00422306">
            <w:pPr>
              <w:spacing w:before="40" w:after="80"/>
              <w:rPr>
                <w:rFonts w:ascii="Arial Narrow" w:eastAsia="Times New Roman" w:hAnsi="Arial Narrow"/>
                <w:b/>
                <w:sz w:val="20"/>
                <w:szCs w:val="20"/>
              </w:rPr>
            </w:pPr>
            <w:r w:rsidRPr="00AD5A72">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2EAD7B45"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Total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505EC6A7"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$16,022</w:t>
            </w:r>
          </w:p>
        </w:tc>
        <w:tc>
          <w:tcPr>
            <w:tcW w:w="674" w:type="pct"/>
            <w:tcBorders>
              <w:top w:val="single" w:sz="4" w:space="0" w:color="auto"/>
              <w:left w:val="single" w:sz="4" w:space="0" w:color="auto"/>
              <w:bottom w:val="single" w:sz="4" w:space="0" w:color="auto"/>
              <w:right w:val="single" w:sz="4" w:space="0" w:color="auto"/>
            </w:tcBorders>
            <w:shd w:val="clear" w:color="auto" w:fill="auto"/>
            <w:noWrap/>
          </w:tcPr>
          <w:p w14:paraId="5EF7E489"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$6,696</w:t>
            </w:r>
          </w:p>
        </w:tc>
        <w:tc>
          <w:tcPr>
            <w:tcW w:w="473" w:type="pct"/>
            <w:tcBorders>
              <w:top w:val="single" w:sz="4" w:space="0" w:color="auto"/>
              <w:left w:val="single" w:sz="4" w:space="0" w:color="auto"/>
              <w:bottom w:val="single" w:sz="4" w:space="0" w:color="auto"/>
              <w:right w:val="single" w:sz="4" w:space="0" w:color="auto"/>
            </w:tcBorders>
            <w:shd w:val="clear" w:color="auto" w:fill="auto"/>
            <w:noWrap/>
          </w:tcPr>
          <w:p w14:paraId="67073CE0"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$9,326</w:t>
            </w:r>
          </w:p>
        </w:tc>
      </w:tr>
      <w:tr w:rsidR="00E47AB8" w:rsidRPr="008B2F8A" w14:paraId="42033CBE" w14:textId="77777777" w:rsidTr="00E14AC4">
        <w:tc>
          <w:tcPr>
            <w:tcW w:w="2051" w:type="pct"/>
            <w:tcBorders>
              <w:top w:val="single" w:sz="4" w:space="0" w:color="auto"/>
              <w:bottom w:val="nil"/>
              <w:right w:val="nil"/>
            </w:tcBorders>
            <w:shd w:val="clear" w:color="auto" w:fill="auto"/>
            <w:noWrap/>
            <w:hideMark/>
          </w:tcPr>
          <w:p w14:paraId="6123EFC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Prior history of invasive breast cancer</w:t>
            </w:r>
          </w:p>
        </w:tc>
        <w:tc>
          <w:tcPr>
            <w:tcW w:w="1096" w:type="pct"/>
            <w:tcBorders>
              <w:top w:val="single" w:sz="4" w:space="0" w:color="auto"/>
              <w:bottom w:val="single" w:sz="4" w:space="0" w:color="auto"/>
              <w:right w:val="single" w:sz="4" w:space="0" w:color="auto"/>
            </w:tcBorders>
          </w:tcPr>
          <w:p w14:paraId="3AB18B5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screening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483A71D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$5,117</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052E805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$1,533</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63FED37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$3,584</w:t>
            </w:r>
          </w:p>
        </w:tc>
      </w:tr>
      <w:tr w:rsidR="00E47AB8" w:rsidRPr="008B2F8A" w14:paraId="62095BCC" w14:textId="77777777" w:rsidTr="00E14AC4">
        <w:tc>
          <w:tcPr>
            <w:tcW w:w="2051" w:type="pct"/>
            <w:tcBorders>
              <w:top w:val="nil"/>
              <w:bottom w:val="nil"/>
              <w:right w:val="nil"/>
            </w:tcBorders>
            <w:shd w:val="clear" w:color="auto" w:fill="auto"/>
            <w:noWrap/>
          </w:tcPr>
          <w:p w14:paraId="113E2DED" w14:textId="77777777" w:rsidR="00E47AB8" w:rsidRPr="008B2F8A" w:rsidRDefault="00E47AB8" w:rsidP="00422306">
            <w:pPr>
              <w:spacing w:before="40" w:after="80"/>
              <w:rPr>
                <w:rFonts w:ascii="Arial Narrow" w:eastAsia="Times New Roman" w:hAnsi="Arial Narrow"/>
                <w:sz w:val="20"/>
                <w:szCs w:val="20"/>
              </w:rPr>
            </w:pPr>
            <w:r w:rsidRPr="004869F2">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19749BF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false-positive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2990156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$539</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179276AD"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$274</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68DF854A"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$265</w:t>
            </w:r>
          </w:p>
        </w:tc>
      </w:tr>
      <w:tr w:rsidR="00E47AB8" w:rsidRPr="008B2F8A" w14:paraId="2572F911" w14:textId="77777777" w:rsidTr="00E14AC4">
        <w:tc>
          <w:tcPr>
            <w:tcW w:w="2051" w:type="pct"/>
            <w:tcBorders>
              <w:top w:val="nil"/>
              <w:bottom w:val="nil"/>
              <w:right w:val="nil"/>
            </w:tcBorders>
            <w:shd w:val="clear" w:color="auto" w:fill="auto"/>
            <w:noWrap/>
          </w:tcPr>
          <w:p w14:paraId="1C137AE0" w14:textId="77777777" w:rsidR="00E47AB8" w:rsidRPr="008B2F8A" w:rsidRDefault="00E47AB8" w:rsidP="00422306">
            <w:pPr>
              <w:spacing w:before="40" w:after="80"/>
              <w:rPr>
                <w:rFonts w:ascii="Arial Narrow" w:eastAsia="Times New Roman" w:hAnsi="Arial Narrow"/>
                <w:b/>
                <w:sz w:val="20"/>
                <w:szCs w:val="20"/>
              </w:rPr>
            </w:pPr>
            <w:r w:rsidRPr="004869F2">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325DAE1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treatment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4EEC12C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$3,005</w:t>
            </w:r>
          </w:p>
        </w:tc>
        <w:tc>
          <w:tcPr>
            <w:tcW w:w="674" w:type="pct"/>
            <w:tcBorders>
              <w:top w:val="single" w:sz="4" w:space="0" w:color="auto"/>
              <w:left w:val="single" w:sz="4" w:space="0" w:color="auto"/>
              <w:bottom w:val="single" w:sz="4" w:space="0" w:color="auto"/>
              <w:right w:val="single" w:sz="4" w:space="0" w:color="auto"/>
            </w:tcBorders>
            <w:shd w:val="clear" w:color="auto" w:fill="auto"/>
            <w:noWrap/>
          </w:tcPr>
          <w:p w14:paraId="51992A2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$2,919</w:t>
            </w:r>
          </w:p>
        </w:tc>
        <w:tc>
          <w:tcPr>
            <w:tcW w:w="473" w:type="pct"/>
            <w:tcBorders>
              <w:top w:val="single" w:sz="4" w:space="0" w:color="auto"/>
              <w:left w:val="single" w:sz="4" w:space="0" w:color="auto"/>
              <w:bottom w:val="single" w:sz="4" w:space="0" w:color="auto"/>
              <w:right w:val="single" w:sz="4" w:space="0" w:color="auto"/>
            </w:tcBorders>
            <w:shd w:val="clear" w:color="auto" w:fill="auto"/>
            <w:noWrap/>
          </w:tcPr>
          <w:p w14:paraId="7BF29CB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$86</w:t>
            </w:r>
          </w:p>
        </w:tc>
      </w:tr>
      <w:tr w:rsidR="00E47AB8" w:rsidRPr="008B2F8A" w14:paraId="033B2324" w14:textId="77777777" w:rsidTr="00E14AC4">
        <w:tc>
          <w:tcPr>
            <w:tcW w:w="2051" w:type="pct"/>
            <w:tcBorders>
              <w:top w:val="nil"/>
              <w:bottom w:val="single" w:sz="4" w:space="0" w:color="auto"/>
              <w:right w:val="nil"/>
            </w:tcBorders>
            <w:shd w:val="clear" w:color="auto" w:fill="auto"/>
            <w:noWrap/>
          </w:tcPr>
          <w:p w14:paraId="46C9B9E5" w14:textId="77777777" w:rsidR="00E47AB8" w:rsidRPr="008B2F8A" w:rsidRDefault="00E47AB8" w:rsidP="00422306">
            <w:pPr>
              <w:spacing w:before="40" w:after="80"/>
              <w:rPr>
                <w:rFonts w:ascii="Arial Narrow" w:eastAsia="Times New Roman" w:hAnsi="Arial Narrow"/>
                <w:b/>
                <w:sz w:val="20"/>
                <w:szCs w:val="20"/>
              </w:rPr>
            </w:pPr>
            <w:r w:rsidRPr="004869F2">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43ED7349"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Total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076CA358"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$8,661</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6DC3290E"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$4,725</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730ADFDD"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$3,935</w:t>
            </w:r>
          </w:p>
        </w:tc>
      </w:tr>
      <w:tr w:rsidR="00E47AB8" w:rsidRPr="008B2F8A" w14:paraId="36FFA5CA" w14:textId="77777777" w:rsidTr="00E14AC4">
        <w:tc>
          <w:tcPr>
            <w:tcW w:w="2051" w:type="pct"/>
            <w:tcBorders>
              <w:top w:val="single" w:sz="4" w:space="0" w:color="auto"/>
              <w:bottom w:val="nil"/>
              <w:right w:val="nil"/>
            </w:tcBorders>
            <w:shd w:val="clear" w:color="auto" w:fill="auto"/>
            <w:noWrap/>
            <w:hideMark/>
          </w:tcPr>
          <w:p w14:paraId="0EBFC75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Prior history of treatment for DCIS or LCIS</w:t>
            </w:r>
          </w:p>
        </w:tc>
        <w:tc>
          <w:tcPr>
            <w:tcW w:w="1096" w:type="pct"/>
            <w:tcBorders>
              <w:top w:val="single" w:sz="4" w:space="0" w:color="auto"/>
              <w:bottom w:val="single" w:sz="4" w:space="0" w:color="auto"/>
              <w:right w:val="single" w:sz="4" w:space="0" w:color="auto"/>
            </w:tcBorders>
          </w:tcPr>
          <w:p w14:paraId="6E4E1A7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screening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455AF06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$5,113</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4CC53B84"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$1,531</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4589153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$3,582</w:t>
            </w:r>
          </w:p>
        </w:tc>
      </w:tr>
      <w:tr w:rsidR="00E47AB8" w:rsidRPr="008B2F8A" w14:paraId="0F7A0D86" w14:textId="77777777" w:rsidTr="00E14AC4">
        <w:tc>
          <w:tcPr>
            <w:tcW w:w="2051" w:type="pct"/>
            <w:tcBorders>
              <w:top w:val="nil"/>
              <w:bottom w:val="nil"/>
              <w:right w:val="nil"/>
            </w:tcBorders>
            <w:shd w:val="clear" w:color="auto" w:fill="auto"/>
            <w:noWrap/>
          </w:tcPr>
          <w:p w14:paraId="088802D0" w14:textId="77777777" w:rsidR="00E47AB8" w:rsidRPr="008B2F8A" w:rsidRDefault="00E47AB8" w:rsidP="00422306">
            <w:pPr>
              <w:spacing w:before="40" w:after="80"/>
              <w:rPr>
                <w:rFonts w:ascii="Arial Narrow" w:eastAsia="Times New Roman" w:hAnsi="Arial Narrow"/>
                <w:sz w:val="20"/>
                <w:szCs w:val="20"/>
              </w:rPr>
            </w:pPr>
            <w:r w:rsidRPr="00487E20">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64E0A38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false-positive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18EE5434"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$779</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0A21006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$546</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2F19E52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$233</w:t>
            </w:r>
          </w:p>
        </w:tc>
      </w:tr>
      <w:tr w:rsidR="00E47AB8" w:rsidRPr="008B2F8A" w14:paraId="620B3ACC" w14:textId="77777777" w:rsidTr="00E14AC4">
        <w:tc>
          <w:tcPr>
            <w:tcW w:w="2051" w:type="pct"/>
            <w:tcBorders>
              <w:top w:val="nil"/>
              <w:bottom w:val="nil"/>
              <w:right w:val="nil"/>
            </w:tcBorders>
            <w:shd w:val="clear" w:color="auto" w:fill="auto"/>
            <w:noWrap/>
          </w:tcPr>
          <w:p w14:paraId="5865922A" w14:textId="77777777" w:rsidR="00E47AB8" w:rsidRPr="008B2F8A" w:rsidRDefault="00E47AB8" w:rsidP="00422306">
            <w:pPr>
              <w:spacing w:before="40" w:after="80"/>
              <w:rPr>
                <w:rFonts w:ascii="Arial Narrow" w:eastAsia="Times New Roman" w:hAnsi="Arial Narrow"/>
                <w:b/>
                <w:sz w:val="20"/>
                <w:szCs w:val="20"/>
              </w:rPr>
            </w:pPr>
            <w:r w:rsidRPr="00487E20">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4BA52FD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treatment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1B29627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$2,936</w:t>
            </w:r>
          </w:p>
        </w:tc>
        <w:tc>
          <w:tcPr>
            <w:tcW w:w="674" w:type="pct"/>
            <w:tcBorders>
              <w:top w:val="single" w:sz="4" w:space="0" w:color="auto"/>
              <w:left w:val="single" w:sz="4" w:space="0" w:color="auto"/>
              <w:bottom w:val="single" w:sz="4" w:space="0" w:color="auto"/>
              <w:right w:val="single" w:sz="4" w:space="0" w:color="auto"/>
            </w:tcBorders>
            <w:shd w:val="clear" w:color="auto" w:fill="auto"/>
            <w:noWrap/>
          </w:tcPr>
          <w:p w14:paraId="1DB31F6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$2,848</w:t>
            </w:r>
          </w:p>
        </w:tc>
        <w:tc>
          <w:tcPr>
            <w:tcW w:w="473" w:type="pct"/>
            <w:tcBorders>
              <w:top w:val="single" w:sz="4" w:space="0" w:color="auto"/>
              <w:left w:val="single" w:sz="4" w:space="0" w:color="auto"/>
              <w:bottom w:val="single" w:sz="4" w:space="0" w:color="auto"/>
              <w:right w:val="single" w:sz="4" w:space="0" w:color="auto"/>
            </w:tcBorders>
            <w:shd w:val="clear" w:color="auto" w:fill="auto"/>
            <w:noWrap/>
          </w:tcPr>
          <w:p w14:paraId="7BC8D11D"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$89</w:t>
            </w:r>
          </w:p>
        </w:tc>
      </w:tr>
      <w:tr w:rsidR="00E47AB8" w:rsidRPr="008B2F8A" w14:paraId="43A15DD2" w14:textId="77777777" w:rsidTr="00E14AC4">
        <w:tc>
          <w:tcPr>
            <w:tcW w:w="2051" w:type="pct"/>
            <w:tcBorders>
              <w:top w:val="nil"/>
              <w:bottom w:val="single" w:sz="4" w:space="0" w:color="auto"/>
              <w:right w:val="nil"/>
            </w:tcBorders>
            <w:shd w:val="clear" w:color="auto" w:fill="auto"/>
            <w:noWrap/>
          </w:tcPr>
          <w:p w14:paraId="63DB8849" w14:textId="77777777" w:rsidR="00E47AB8" w:rsidRPr="008B2F8A" w:rsidRDefault="00E47AB8" w:rsidP="00422306">
            <w:pPr>
              <w:spacing w:before="40" w:after="80"/>
              <w:rPr>
                <w:rFonts w:ascii="Arial Narrow" w:eastAsia="Times New Roman" w:hAnsi="Arial Narrow"/>
                <w:b/>
                <w:sz w:val="20"/>
                <w:szCs w:val="20"/>
              </w:rPr>
            </w:pPr>
            <w:r w:rsidRPr="00487E20">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78085319"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Total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7268EC93"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$8,828</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3E48C567"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$4,924</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08C9DFF5"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$3,904</w:t>
            </w:r>
          </w:p>
        </w:tc>
      </w:tr>
      <w:tr w:rsidR="00E47AB8" w:rsidRPr="008B2F8A" w14:paraId="5880C8F9" w14:textId="77777777" w:rsidTr="00E14AC4">
        <w:tc>
          <w:tcPr>
            <w:tcW w:w="2051" w:type="pct"/>
            <w:tcBorders>
              <w:top w:val="nil"/>
              <w:bottom w:val="nil"/>
              <w:right w:val="nil"/>
            </w:tcBorders>
            <w:shd w:val="clear" w:color="auto" w:fill="auto"/>
            <w:noWrap/>
          </w:tcPr>
          <w:p w14:paraId="2099146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Chest radiotherapy between 10 and 35 years</w:t>
            </w:r>
          </w:p>
        </w:tc>
        <w:tc>
          <w:tcPr>
            <w:tcW w:w="1096" w:type="pct"/>
            <w:tcBorders>
              <w:top w:val="single" w:sz="4" w:space="0" w:color="auto"/>
              <w:bottom w:val="single" w:sz="4" w:space="0" w:color="auto"/>
              <w:right w:val="single" w:sz="4" w:space="0" w:color="auto"/>
            </w:tcBorders>
          </w:tcPr>
          <w:p w14:paraId="2BAFDE4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screening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14EFFCA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$10,469</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55BB58F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$1,676</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0F52046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$8,794</w:t>
            </w:r>
          </w:p>
        </w:tc>
      </w:tr>
      <w:tr w:rsidR="00E47AB8" w:rsidRPr="008B2F8A" w14:paraId="5DFA0B91" w14:textId="77777777" w:rsidTr="00E14AC4">
        <w:tc>
          <w:tcPr>
            <w:tcW w:w="2051" w:type="pct"/>
            <w:tcBorders>
              <w:top w:val="nil"/>
              <w:bottom w:val="nil"/>
              <w:right w:val="nil"/>
            </w:tcBorders>
            <w:shd w:val="clear" w:color="auto" w:fill="auto"/>
            <w:noWrap/>
          </w:tcPr>
          <w:p w14:paraId="5FAAF091" w14:textId="77777777" w:rsidR="00E47AB8" w:rsidRPr="008B2F8A" w:rsidRDefault="00E47AB8" w:rsidP="00422306">
            <w:pPr>
              <w:spacing w:before="40" w:after="80"/>
              <w:rPr>
                <w:rFonts w:ascii="Arial Narrow" w:eastAsia="Times New Roman" w:hAnsi="Arial Narrow"/>
                <w:sz w:val="20"/>
                <w:szCs w:val="20"/>
              </w:rPr>
            </w:pPr>
            <w:r w:rsidRPr="004429B2">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3BDBCB0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false-positive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7A08E25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$725</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41E1490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$479</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7ABA73D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$246</w:t>
            </w:r>
          </w:p>
        </w:tc>
      </w:tr>
      <w:tr w:rsidR="00E47AB8" w:rsidRPr="008B2F8A" w14:paraId="72EFF652" w14:textId="77777777" w:rsidTr="00E14AC4">
        <w:tc>
          <w:tcPr>
            <w:tcW w:w="2051" w:type="pct"/>
            <w:tcBorders>
              <w:top w:val="nil"/>
              <w:bottom w:val="nil"/>
              <w:right w:val="nil"/>
            </w:tcBorders>
            <w:shd w:val="clear" w:color="auto" w:fill="auto"/>
            <w:noWrap/>
          </w:tcPr>
          <w:p w14:paraId="5C9A9037" w14:textId="77777777" w:rsidR="00E47AB8" w:rsidRPr="008B2F8A" w:rsidRDefault="00E47AB8" w:rsidP="00422306">
            <w:pPr>
              <w:spacing w:before="40" w:after="80"/>
              <w:rPr>
                <w:rFonts w:ascii="Arial Narrow" w:eastAsia="Times New Roman" w:hAnsi="Arial Narrow"/>
                <w:b/>
                <w:sz w:val="20"/>
                <w:szCs w:val="20"/>
              </w:rPr>
            </w:pPr>
            <w:r w:rsidRPr="004429B2">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309B865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treatment costs</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597CA05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$2,593</w:t>
            </w:r>
          </w:p>
        </w:tc>
        <w:tc>
          <w:tcPr>
            <w:tcW w:w="674" w:type="pct"/>
            <w:tcBorders>
              <w:top w:val="single" w:sz="4" w:space="0" w:color="auto"/>
              <w:left w:val="single" w:sz="4" w:space="0" w:color="auto"/>
              <w:bottom w:val="single" w:sz="4" w:space="0" w:color="auto"/>
              <w:right w:val="single" w:sz="4" w:space="0" w:color="auto"/>
            </w:tcBorders>
            <w:shd w:val="clear" w:color="auto" w:fill="auto"/>
            <w:noWrap/>
            <w:hideMark/>
          </w:tcPr>
          <w:p w14:paraId="1D1F7442"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$2,527</w:t>
            </w:r>
          </w:p>
        </w:tc>
        <w:tc>
          <w:tcPr>
            <w:tcW w:w="473" w:type="pct"/>
            <w:tcBorders>
              <w:top w:val="single" w:sz="4" w:space="0" w:color="auto"/>
              <w:left w:val="single" w:sz="4" w:space="0" w:color="auto"/>
              <w:bottom w:val="single" w:sz="4" w:space="0" w:color="auto"/>
              <w:right w:val="single" w:sz="4" w:space="0" w:color="auto"/>
            </w:tcBorders>
            <w:shd w:val="clear" w:color="auto" w:fill="auto"/>
            <w:noWrap/>
            <w:hideMark/>
          </w:tcPr>
          <w:p w14:paraId="5ABBD53A"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$66</w:t>
            </w:r>
          </w:p>
        </w:tc>
      </w:tr>
      <w:tr w:rsidR="00E47AB8" w:rsidRPr="008B2F8A" w14:paraId="6F2CDF0A" w14:textId="77777777" w:rsidTr="00E14AC4">
        <w:tc>
          <w:tcPr>
            <w:tcW w:w="2051" w:type="pct"/>
            <w:tcBorders>
              <w:top w:val="nil"/>
              <w:right w:val="nil"/>
            </w:tcBorders>
            <w:shd w:val="clear" w:color="auto" w:fill="auto"/>
            <w:noWrap/>
          </w:tcPr>
          <w:p w14:paraId="7AC9A956" w14:textId="77777777" w:rsidR="00E47AB8" w:rsidRPr="008B2F8A" w:rsidRDefault="00E47AB8" w:rsidP="00422306">
            <w:pPr>
              <w:spacing w:before="40" w:after="80"/>
              <w:rPr>
                <w:rFonts w:ascii="Arial Narrow" w:eastAsia="Times New Roman" w:hAnsi="Arial Narrow"/>
                <w:b/>
                <w:sz w:val="20"/>
                <w:szCs w:val="20"/>
              </w:rPr>
            </w:pPr>
            <w:r w:rsidRPr="004429B2">
              <w:rPr>
                <w:rFonts w:ascii="Arial Narrow" w:hAnsi="Arial Narrow"/>
                <w:color w:val="FFFFFF" w:themeColor="background1"/>
                <w:sz w:val="20"/>
                <w:szCs w:val="20"/>
              </w:rPr>
              <w:t>-</w:t>
            </w:r>
          </w:p>
        </w:tc>
        <w:tc>
          <w:tcPr>
            <w:tcW w:w="1096" w:type="pct"/>
            <w:tcBorders>
              <w:top w:val="single" w:sz="4" w:space="0" w:color="auto"/>
              <w:right w:val="single" w:sz="4" w:space="0" w:color="auto"/>
            </w:tcBorders>
          </w:tcPr>
          <w:p w14:paraId="25724AB2"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Total costs</w:t>
            </w:r>
          </w:p>
        </w:tc>
        <w:tc>
          <w:tcPr>
            <w:tcW w:w="706" w:type="pct"/>
            <w:tcBorders>
              <w:top w:val="single" w:sz="4" w:space="0" w:color="auto"/>
              <w:left w:val="single" w:sz="4" w:space="0" w:color="auto"/>
              <w:right w:val="single" w:sz="4" w:space="0" w:color="auto"/>
            </w:tcBorders>
            <w:shd w:val="clear" w:color="auto" w:fill="auto"/>
            <w:noWrap/>
          </w:tcPr>
          <w:p w14:paraId="2CA84B48"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$13,788</w:t>
            </w:r>
          </w:p>
        </w:tc>
        <w:tc>
          <w:tcPr>
            <w:tcW w:w="674" w:type="pct"/>
            <w:tcBorders>
              <w:top w:val="single" w:sz="4" w:space="0" w:color="auto"/>
              <w:left w:val="single" w:sz="4" w:space="0" w:color="auto"/>
              <w:right w:val="single" w:sz="4" w:space="0" w:color="auto"/>
            </w:tcBorders>
            <w:shd w:val="clear" w:color="auto" w:fill="auto"/>
            <w:noWrap/>
          </w:tcPr>
          <w:p w14:paraId="4F5CE0F9"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$4,682</w:t>
            </w:r>
          </w:p>
        </w:tc>
        <w:tc>
          <w:tcPr>
            <w:tcW w:w="473" w:type="pct"/>
            <w:tcBorders>
              <w:top w:val="single" w:sz="4" w:space="0" w:color="auto"/>
              <w:left w:val="single" w:sz="4" w:space="0" w:color="auto"/>
              <w:right w:val="single" w:sz="4" w:space="0" w:color="auto"/>
            </w:tcBorders>
            <w:shd w:val="clear" w:color="auto" w:fill="auto"/>
            <w:noWrap/>
          </w:tcPr>
          <w:p w14:paraId="392F85CD"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$9,105</w:t>
            </w:r>
          </w:p>
        </w:tc>
      </w:tr>
    </w:tbl>
    <w:p w14:paraId="27756D1C" w14:textId="77777777" w:rsidR="00E47AB8" w:rsidRPr="008B2F8A" w:rsidRDefault="00E47AB8" w:rsidP="00E14AC4">
      <w:pPr>
        <w:pStyle w:val="TableNotesLast"/>
      </w:pPr>
      <w:bookmarkStart w:id="1201" w:name="_Toc358810414"/>
      <w:r w:rsidRPr="008B2F8A">
        <w:t xml:space="preserve">DCIS = ductal carcinoma in situ; LCIS = lobular carcinoma in situ; MRI = </w:t>
      </w:r>
      <w:r w:rsidRPr="008B2F8A">
        <w:rPr>
          <w:rFonts w:eastAsiaTheme="minorHAnsi"/>
        </w:rPr>
        <w:t>magnetic resonance imaging</w:t>
      </w:r>
      <w:r w:rsidRPr="008B2F8A">
        <w:t>.</w:t>
      </w:r>
    </w:p>
    <w:p w14:paraId="5EE782FE" w14:textId="77777777" w:rsidR="00E47AB8" w:rsidRPr="008B2F8A" w:rsidRDefault="00E47AB8" w:rsidP="00E47AB8">
      <w:pPr>
        <w:pStyle w:val="Heading3"/>
        <w:numPr>
          <w:ilvl w:val="2"/>
          <w:numId w:val="42"/>
        </w:numPr>
      </w:pPr>
      <w:bookmarkStart w:id="1202" w:name="_Toc383424505"/>
      <w:r w:rsidRPr="008B2F8A">
        <w:lastRenderedPageBreak/>
        <w:t>Disaggregated outcomes</w:t>
      </w:r>
      <w:bookmarkEnd w:id="1201"/>
      <w:bookmarkEnd w:id="1202"/>
    </w:p>
    <w:p w14:paraId="72993079" w14:textId="77777777" w:rsidR="00E47AB8" w:rsidRPr="007C6E89" w:rsidRDefault="00E47AB8" w:rsidP="00422306">
      <w:pPr>
        <w:spacing w:after="200"/>
        <w:rPr>
          <w:rFonts w:eastAsiaTheme="minorHAnsi" w:cstheme="minorBidi"/>
        </w:rPr>
      </w:pPr>
      <w:r w:rsidRPr="007C6E89">
        <w:rPr>
          <w:rFonts w:eastAsiaTheme="minorHAnsi" w:cstheme="minorBidi"/>
        </w:rPr>
        <w:t xml:space="preserve">In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_Ref375914118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17</w:t>
      </w:r>
      <w:r w:rsidRPr="008B2F8A">
        <w:rPr>
          <w:rFonts w:asciiTheme="minorHAnsi" w:eastAsiaTheme="minorHAnsi" w:hAnsiTheme="minorHAnsi" w:cstheme="minorBidi"/>
        </w:rPr>
        <w:fldChar w:fldCharType="end"/>
      </w:r>
      <w:r w:rsidRPr="007C6E89">
        <w:rPr>
          <w:rFonts w:eastAsiaTheme="minorHAnsi" w:cstheme="minorBidi"/>
        </w:rPr>
        <w:t>, life years (discounted and undiscounted) and QALYs (discounted and undiscounted) are presented for each of the study arms. In all of the included populations, the use of MRI screening in addition to mammography was associated with an increase in life years and QALYs as a result of improved overall survival. In the currently reimbursed population with high familial risk for breast cancer, MRI screening in addition to mammography was associated with greater life years (0.1313) and QALYs (0.1019) per patient. QALY gains were greatest in the population with the highest risk of breast cancer—that is, women with a confirmed breast cancer gene mutation.</w:t>
      </w:r>
    </w:p>
    <w:p w14:paraId="79E588DD" w14:textId="11CB103B" w:rsidR="00E47AB8" w:rsidRPr="007C6E89" w:rsidRDefault="00E47AB8" w:rsidP="00422306">
      <w:pPr>
        <w:spacing w:after="200"/>
        <w:rPr>
          <w:rFonts w:eastAsiaTheme="minorHAnsi" w:cstheme="minorBidi"/>
        </w:rPr>
      </w:pPr>
      <w:r w:rsidRPr="007C6E89">
        <w:rPr>
          <w:rFonts w:eastAsiaTheme="minorHAnsi" w:cstheme="minorBidi"/>
        </w:rPr>
        <w:t>There is a substantial difference between the discounted and undiscounted life years and QALYs. This reflects the fact that the clinical benefits (improved survival) of surveillance using MRI with or without mammography accrue over the long term, as the risk of breast cancer increases with age.</w:t>
      </w:r>
    </w:p>
    <w:p w14:paraId="75C090AD" w14:textId="77777777" w:rsidR="00E47AB8" w:rsidRPr="008B2F8A" w:rsidRDefault="00E47AB8" w:rsidP="00422306">
      <w:pPr>
        <w:pStyle w:val="Caption"/>
      </w:pPr>
      <w:bookmarkStart w:id="1203" w:name="_Ref375914118"/>
      <w:bookmarkStart w:id="1204" w:name="_Toc383424626"/>
      <w:r w:rsidRPr="008B2F8A">
        <w:t xml:space="preserve">Table </w:t>
      </w:r>
      <w:fldSimple w:instr=" STYLEREF 1 \s ">
        <w:r w:rsidR="00B81273">
          <w:rPr>
            <w:noProof/>
          </w:rPr>
          <w:t>D</w:t>
        </w:r>
      </w:fldSimple>
      <w:r w:rsidRPr="008B2F8A">
        <w:t>.</w:t>
      </w:r>
      <w:fldSimple w:instr=" SEQ Table \* ARABIC \s 1 ">
        <w:r w:rsidR="00B81273">
          <w:rPr>
            <w:noProof/>
          </w:rPr>
          <w:t>17</w:t>
        </w:r>
      </w:fldSimple>
      <w:bookmarkEnd w:id="1203"/>
      <w:r w:rsidRPr="008B2F8A">
        <w:tab/>
      </w:r>
      <w:bookmarkStart w:id="1205" w:name="OLE_LINK1107"/>
      <w:bookmarkStart w:id="1206" w:name="OLE_LINK1108"/>
      <w:r w:rsidRPr="008B2F8A">
        <w:t>Disaggregated outcomes</w:t>
      </w:r>
      <w:bookmarkEnd w:id="1205"/>
      <w:bookmarkEnd w:id="1206"/>
      <w:r w:rsidRPr="008B2F8A">
        <w:t>.</w:t>
      </w:r>
      <w:bookmarkEnd w:id="1204"/>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Disaggregated outcomes"/>
      </w:tblPr>
      <w:tblGrid>
        <w:gridCol w:w="3720"/>
        <w:gridCol w:w="1988"/>
        <w:gridCol w:w="1281"/>
        <w:gridCol w:w="1223"/>
        <w:gridCol w:w="858"/>
      </w:tblGrid>
      <w:tr w:rsidR="00E47AB8" w:rsidRPr="008B2F8A" w14:paraId="4935F9C1" w14:textId="77777777" w:rsidTr="00E14AC4">
        <w:trPr>
          <w:tblHeader/>
        </w:trPr>
        <w:tc>
          <w:tcPr>
            <w:tcW w:w="2051" w:type="pct"/>
            <w:tcBorders>
              <w:bottom w:val="single" w:sz="4" w:space="0" w:color="auto"/>
              <w:right w:val="nil"/>
            </w:tcBorders>
            <w:shd w:val="clear" w:color="auto" w:fill="EEECE1" w:themeFill="background2"/>
            <w:noWrap/>
            <w:vAlign w:val="bottom"/>
            <w:hideMark/>
          </w:tcPr>
          <w:p w14:paraId="777B2991"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Population</w:t>
            </w:r>
          </w:p>
        </w:tc>
        <w:tc>
          <w:tcPr>
            <w:tcW w:w="1096" w:type="pct"/>
            <w:tcBorders>
              <w:bottom w:val="single" w:sz="4" w:space="0" w:color="auto"/>
              <w:right w:val="single" w:sz="4" w:space="0" w:color="auto"/>
            </w:tcBorders>
            <w:shd w:val="clear" w:color="auto" w:fill="EEECE1" w:themeFill="background2"/>
            <w:vAlign w:val="bottom"/>
          </w:tcPr>
          <w:p w14:paraId="4AF68F18"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Result</w:t>
            </w:r>
          </w:p>
        </w:tc>
        <w:tc>
          <w:tcPr>
            <w:tcW w:w="706" w:type="pct"/>
            <w:tcBorders>
              <w:left w:val="single" w:sz="4" w:space="0" w:color="auto"/>
              <w:bottom w:val="single" w:sz="4" w:space="0" w:color="auto"/>
              <w:right w:val="single" w:sz="4" w:space="0" w:color="auto"/>
            </w:tcBorders>
            <w:shd w:val="clear" w:color="auto" w:fill="EEECE1" w:themeFill="background2"/>
            <w:noWrap/>
            <w:vAlign w:val="bottom"/>
            <w:hideMark/>
          </w:tcPr>
          <w:p w14:paraId="6FDC6974" w14:textId="77777777" w:rsidR="00E47AB8" w:rsidRPr="008B2F8A" w:rsidRDefault="00E47AB8" w:rsidP="00422306">
            <w:pPr>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 xml:space="preserve">MRI </w:t>
            </w:r>
            <w:r w:rsidRPr="008B2F8A">
              <w:rPr>
                <w:rFonts w:ascii="Arial Narrow" w:hAnsi="Arial Narrow"/>
              </w:rPr>
              <w:t>​+​</w:t>
            </w:r>
            <w:r w:rsidRPr="008B2F8A">
              <w:rPr>
                <w:rFonts w:ascii="Arial Narrow" w:eastAsiaTheme="minorHAnsi" w:hAnsi="Arial Narrow" w:cstheme="minorBidi"/>
                <w:b/>
                <w:color w:val="000000"/>
                <w:sz w:val="20"/>
                <w:szCs w:val="20"/>
              </w:rPr>
              <w:t xml:space="preserve"> mammography</w:t>
            </w:r>
          </w:p>
        </w:tc>
        <w:tc>
          <w:tcPr>
            <w:tcW w:w="674" w:type="pct"/>
            <w:tcBorders>
              <w:left w:val="single" w:sz="4" w:space="0" w:color="auto"/>
              <w:bottom w:val="single" w:sz="4" w:space="0" w:color="auto"/>
              <w:right w:val="single" w:sz="4" w:space="0" w:color="auto"/>
            </w:tcBorders>
            <w:shd w:val="clear" w:color="auto" w:fill="EEECE1" w:themeFill="background2"/>
            <w:vAlign w:val="bottom"/>
          </w:tcPr>
          <w:p w14:paraId="75C669E5" w14:textId="77777777" w:rsidR="00E47AB8" w:rsidRPr="008B2F8A" w:rsidRDefault="00E47AB8" w:rsidP="00422306">
            <w:pPr>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Mammography</w:t>
            </w:r>
          </w:p>
        </w:tc>
        <w:tc>
          <w:tcPr>
            <w:tcW w:w="473" w:type="pct"/>
            <w:tcBorders>
              <w:left w:val="single" w:sz="4" w:space="0" w:color="auto"/>
              <w:bottom w:val="single" w:sz="4" w:space="0" w:color="auto"/>
              <w:right w:val="single" w:sz="4" w:space="0" w:color="auto"/>
            </w:tcBorders>
            <w:shd w:val="clear" w:color="auto" w:fill="EEECE1" w:themeFill="background2"/>
            <w:vAlign w:val="bottom"/>
          </w:tcPr>
          <w:p w14:paraId="57D95F9D" w14:textId="77777777" w:rsidR="00E47AB8" w:rsidRPr="008B2F8A" w:rsidRDefault="00E47AB8" w:rsidP="00422306">
            <w:pPr>
              <w:spacing w:before="40" w:after="80"/>
              <w:rPr>
                <w:rFonts w:ascii="Arial Narrow" w:eastAsiaTheme="minorHAnsi" w:hAnsi="Arial Narrow" w:cstheme="minorBidi"/>
                <w:b/>
                <w:bCs/>
                <w:color w:val="000000"/>
                <w:sz w:val="20"/>
                <w:szCs w:val="20"/>
              </w:rPr>
            </w:pPr>
            <w:r w:rsidRPr="008B2F8A">
              <w:rPr>
                <w:rFonts w:ascii="Arial Narrow" w:eastAsiaTheme="minorHAnsi" w:hAnsi="Arial Narrow" w:cstheme="minorBidi"/>
                <w:b/>
                <w:bCs/>
                <w:color w:val="000000"/>
                <w:sz w:val="20"/>
                <w:szCs w:val="20"/>
              </w:rPr>
              <w:t>Difference</w:t>
            </w:r>
          </w:p>
        </w:tc>
      </w:tr>
      <w:tr w:rsidR="00E47AB8" w:rsidRPr="008B2F8A" w14:paraId="624A5617" w14:textId="77777777" w:rsidTr="00E14AC4">
        <w:tc>
          <w:tcPr>
            <w:tcW w:w="2051" w:type="pct"/>
            <w:tcBorders>
              <w:top w:val="single" w:sz="4" w:space="0" w:color="auto"/>
              <w:bottom w:val="nil"/>
              <w:right w:val="nil"/>
            </w:tcBorders>
            <w:shd w:val="clear" w:color="auto" w:fill="auto"/>
            <w:noWrap/>
            <w:hideMark/>
          </w:tcPr>
          <w:p w14:paraId="36BB344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High-risk based on breast cancer gene mutation</w:t>
            </w:r>
          </w:p>
        </w:tc>
        <w:tc>
          <w:tcPr>
            <w:tcW w:w="1096" w:type="pct"/>
            <w:tcBorders>
              <w:top w:val="single" w:sz="4" w:space="0" w:color="auto"/>
              <w:bottom w:val="single" w:sz="4" w:space="0" w:color="auto"/>
              <w:right w:val="single" w:sz="4" w:space="0" w:color="auto"/>
            </w:tcBorders>
          </w:tcPr>
          <w:p w14:paraId="46D19FD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72ED2A2E"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48.4311</w:t>
            </w:r>
          </w:p>
        </w:tc>
        <w:tc>
          <w:tcPr>
            <w:tcW w:w="674" w:type="pct"/>
            <w:tcBorders>
              <w:top w:val="single" w:sz="4" w:space="0" w:color="auto"/>
              <w:left w:val="single" w:sz="4" w:space="0" w:color="auto"/>
              <w:bottom w:val="single" w:sz="4" w:space="0" w:color="auto"/>
              <w:right w:val="single" w:sz="4" w:space="0" w:color="auto"/>
            </w:tcBorders>
          </w:tcPr>
          <w:p w14:paraId="0F78205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46.8635</w:t>
            </w:r>
          </w:p>
        </w:tc>
        <w:tc>
          <w:tcPr>
            <w:tcW w:w="473" w:type="pct"/>
            <w:tcBorders>
              <w:top w:val="single" w:sz="4" w:space="0" w:color="auto"/>
              <w:left w:val="single" w:sz="4" w:space="0" w:color="auto"/>
              <w:bottom w:val="single" w:sz="4" w:space="0" w:color="auto"/>
              <w:right w:val="single" w:sz="4" w:space="0" w:color="auto"/>
            </w:tcBorders>
          </w:tcPr>
          <w:p w14:paraId="0E7CBC2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1.5676</w:t>
            </w:r>
          </w:p>
        </w:tc>
      </w:tr>
      <w:tr w:rsidR="00E47AB8" w:rsidRPr="008B2F8A" w14:paraId="51F11C1E" w14:textId="77777777" w:rsidTr="00E14AC4">
        <w:tc>
          <w:tcPr>
            <w:tcW w:w="2051" w:type="pct"/>
            <w:tcBorders>
              <w:top w:val="nil"/>
              <w:bottom w:val="nil"/>
              <w:right w:val="nil"/>
            </w:tcBorders>
            <w:shd w:val="clear" w:color="auto" w:fill="auto"/>
            <w:noWrap/>
          </w:tcPr>
          <w:p w14:paraId="58D5A637" w14:textId="77777777" w:rsidR="00E47AB8" w:rsidRPr="008B2F8A" w:rsidRDefault="00E47AB8" w:rsidP="00422306">
            <w:pPr>
              <w:spacing w:before="40" w:after="80"/>
              <w:rPr>
                <w:rFonts w:ascii="Arial Narrow" w:eastAsia="Times New Roman" w:hAnsi="Arial Narrow"/>
                <w:sz w:val="20"/>
                <w:szCs w:val="20"/>
              </w:rPr>
            </w:pPr>
            <w:r w:rsidRPr="009514A8">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1756817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6CB1AB3D"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17.6901</w:t>
            </w:r>
          </w:p>
        </w:tc>
        <w:tc>
          <w:tcPr>
            <w:tcW w:w="674" w:type="pct"/>
            <w:tcBorders>
              <w:top w:val="single" w:sz="4" w:space="0" w:color="auto"/>
              <w:left w:val="single" w:sz="4" w:space="0" w:color="auto"/>
              <w:bottom w:val="single" w:sz="4" w:space="0" w:color="auto"/>
              <w:right w:val="single" w:sz="4" w:space="0" w:color="auto"/>
            </w:tcBorders>
          </w:tcPr>
          <w:p w14:paraId="77032A6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17.3461</w:t>
            </w:r>
          </w:p>
        </w:tc>
        <w:tc>
          <w:tcPr>
            <w:tcW w:w="473" w:type="pct"/>
            <w:tcBorders>
              <w:top w:val="single" w:sz="4" w:space="0" w:color="auto"/>
              <w:left w:val="single" w:sz="4" w:space="0" w:color="auto"/>
              <w:bottom w:val="single" w:sz="4" w:space="0" w:color="auto"/>
              <w:right w:val="single" w:sz="4" w:space="0" w:color="auto"/>
            </w:tcBorders>
          </w:tcPr>
          <w:p w14:paraId="4F7EE3A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0.3441</w:t>
            </w:r>
          </w:p>
        </w:tc>
      </w:tr>
      <w:tr w:rsidR="00E47AB8" w:rsidRPr="008B2F8A" w14:paraId="16A0C93D" w14:textId="77777777" w:rsidTr="00E14AC4">
        <w:tc>
          <w:tcPr>
            <w:tcW w:w="2051" w:type="pct"/>
            <w:tcBorders>
              <w:top w:val="nil"/>
              <w:bottom w:val="nil"/>
              <w:right w:val="nil"/>
            </w:tcBorders>
            <w:shd w:val="clear" w:color="auto" w:fill="auto"/>
            <w:noWrap/>
          </w:tcPr>
          <w:p w14:paraId="29D0948D" w14:textId="77777777" w:rsidR="00E47AB8" w:rsidRPr="008B2F8A" w:rsidRDefault="00E47AB8" w:rsidP="00422306">
            <w:pPr>
              <w:spacing w:before="40" w:after="80"/>
              <w:rPr>
                <w:rFonts w:ascii="Arial Narrow" w:eastAsia="Times New Roman" w:hAnsi="Arial Narrow"/>
                <w:b/>
                <w:sz w:val="20"/>
                <w:szCs w:val="20"/>
              </w:rPr>
            </w:pPr>
            <w:r w:rsidRPr="009514A8">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41DF9D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QALYs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3A98953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37.8137</w:t>
            </w:r>
          </w:p>
        </w:tc>
        <w:tc>
          <w:tcPr>
            <w:tcW w:w="674" w:type="pct"/>
            <w:tcBorders>
              <w:top w:val="single" w:sz="4" w:space="0" w:color="auto"/>
              <w:left w:val="single" w:sz="4" w:space="0" w:color="auto"/>
              <w:bottom w:val="single" w:sz="4" w:space="0" w:color="auto"/>
              <w:right w:val="single" w:sz="4" w:space="0" w:color="auto"/>
            </w:tcBorders>
          </w:tcPr>
          <w:p w14:paraId="0AA09614"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36.6518</w:t>
            </w:r>
          </w:p>
        </w:tc>
        <w:tc>
          <w:tcPr>
            <w:tcW w:w="473" w:type="pct"/>
            <w:tcBorders>
              <w:top w:val="single" w:sz="4" w:space="0" w:color="auto"/>
              <w:left w:val="single" w:sz="4" w:space="0" w:color="auto"/>
              <w:bottom w:val="single" w:sz="4" w:space="0" w:color="auto"/>
              <w:right w:val="single" w:sz="4" w:space="0" w:color="auto"/>
            </w:tcBorders>
          </w:tcPr>
          <w:p w14:paraId="4DAA3AD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1.1619</w:t>
            </w:r>
          </w:p>
        </w:tc>
      </w:tr>
      <w:tr w:rsidR="00E47AB8" w:rsidRPr="008B2F8A" w14:paraId="2034FF9D" w14:textId="77777777" w:rsidTr="00E14AC4">
        <w:tc>
          <w:tcPr>
            <w:tcW w:w="2051" w:type="pct"/>
            <w:tcBorders>
              <w:top w:val="nil"/>
              <w:bottom w:val="single" w:sz="4" w:space="0" w:color="auto"/>
              <w:right w:val="nil"/>
            </w:tcBorders>
            <w:shd w:val="clear" w:color="auto" w:fill="auto"/>
            <w:noWrap/>
          </w:tcPr>
          <w:p w14:paraId="3154EF4B" w14:textId="77777777" w:rsidR="00E47AB8" w:rsidRPr="008B2F8A" w:rsidRDefault="00E47AB8" w:rsidP="00422306">
            <w:pPr>
              <w:spacing w:before="40" w:after="80"/>
              <w:rPr>
                <w:rFonts w:ascii="Arial Narrow" w:eastAsia="Times New Roman" w:hAnsi="Arial Narrow"/>
                <w:b/>
                <w:sz w:val="20"/>
                <w:szCs w:val="20"/>
              </w:rPr>
            </w:pPr>
            <w:r w:rsidRPr="009514A8">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226CEAB0"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QALYs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47741EA1"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14.6762</w:t>
            </w:r>
          </w:p>
        </w:tc>
        <w:tc>
          <w:tcPr>
            <w:tcW w:w="674" w:type="pct"/>
            <w:tcBorders>
              <w:top w:val="single" w:sz="4" w:space="0" w:color="auto"/>
              <w:left w:val="single" w:sz="4" w:space="0" w:color="auto"/>
              <w:bottom w:val="single" w:sz="4" w:space="0" w:color="auto"/>
              <w:right w:val="single" w:sz="4" w:space="0" w:color="auto"/>
            </w:tcBorders>
          </w:tcPr>
          <w:p w14:paraId="4CC7E546"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14.4118</w:t>
            </w:r>
          </w:p>
        </w:tc>
        <w:tc>
          <w:tcPr>
            <w:tcW w:w="473" w:type="pct"/>
            <w:tcBorders>
              <w:top w:val="single" w:sz="4" w:space="0" w:color="auto"/>
              <w:left w:val="single" w:sz="4" w:space="0" w:color="auto"/>
              <w:bottom w:val="single" w:sz="4" w:space="0" w:color="auto"/>
              <w:right w:val="single" w:sz="4" w:space="0" w:color="auto"/>
            </w:tcBorders>
          </w:tcPr>
          <w:p w14:paraId="2BB37FA7"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0.2644</w:t>
            </w:r>
          </w:p>
        </w:tc>
      </w:tr>
      <w:tr w:rsidR="00E47AB8" w:rsidRPr="008B2F8A" w14:paraId="4E2CF7E9" w14:textId="77777777" w:rsidTr="00E14AC4">
        <w:tc>
          <w:tcPr>
            <w:tcW w:w="2051" w:type="pct"/>
            <w:tcBorders>
              <w:top w:val="single" w:sz="4" w:space="0" w:color="auto"/>
              <w:bottom w:val="nil"/>
              <w:right w:val="nil"/>
            </w:tcBorders>
            <w:shd w:val="clear" w:color="auto" w:fill="auto"/>
            <w:noWrap/>
            <w:hideMark/>
          </w:tcPr>
          <w:p w14:paraId="2C3EEAA0" w14:textId="77777777" w:rsidR="00E47AB8" w:rsidRPr="008B2F8A" w:rsidRDefault="00E47AB8" w:rsidP="00422306">
            <w:pPr>
              <w:spacing w:before="40" w:after="80"/>
              <w:rPr>
                <w:rFonts w:ascii="Arial Narrow" w:eastAsia="Times New Roman" w:hAnsi="Arial Narrow"/>
                <w:i/>
                <w:sz w:val="20"/>
                <w:szCs w:val="20"/>
              </w:rPr>
            </w:pPr>
            <w:r w:rsidRPr="008B2F8A">
              <w:rPr>
                <w:rFonts w:ascii="Arial Narrow" w:eastAsia="Times New Roman" w:hAnsi="Arial Narrow"/>
                <w:i/>
                <w:sz w:val="20"/>
                <w:szCs w:val="20"/>
              </w:rPr>
              <w:t>Familial high-risk</w:t>
            </w:r>
          </w:p>
        </w:tc>
        <w:tc>
          <w:tcPr>
            <w:tcW w:w="1096" w:type="pct"/>
            <w:tcBorders>
              <w:top w:val="single" w:sz="4" w:space="0" w:color="auto"/>
              <w:bottom w:val="single" w:sz="4" w:space="0" w:color="auto"/>
              <w:right w:val="single" w:sz="4" w:space="0" w:color="auto"/>
            </w:tcBorders>
          </w:tcPr>
          <w:p w14:paraId="04BBC5A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3299929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53.3475</w:t>
            </w:r>
          </w:p>
        </w:tc>
        <w:tc>
          <w:tcPr>
            <w:tcW w:w="674" w:type="pct"/>
            <w:tcBorders>
              <w:top w:val="single" w:sz="4" w:space="0" w:color="auto"/>
              <w:left w:val="single" w:sz="4" w:space="0" w:color="auto"/>
              <w:bottom w:val="single" w:sz="4" w:space="0" w:color="auto"/>
              <w:right w:val="single" w:sz="4" w:space="0" w:color="auto"/>
            </w:tcBorders>
          </w:tcPr>
          <w:p w14:paraId="4899BAA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52.7576</w:t>
            </w:r>
          </w:p>
        </w:tc>
        <w:tc>
          <w:tcPr>
            <w:tcW w:w="473" w:type="pct"/>
            <w:tcBorders>
              <w:top w:val="single" w:sz="4" w:space="0" w:color="auto"/>
              <w:left w:val="single" w:sz="4" w:space="0" w:color="auto"/>
              <w:bottom w:val="single" w:sz="4" w:space="0" w:color="auto"/>
              <w:right w:val="single" w:sz="4" w:space="0" w:color="auto"/>
            </w:tcBorders>
          </w:tcPr>
          <w:p w14:paraId="4C9A153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0.5898</w:t>
            </w:r>
          </w:p>
        </w:tc>
      </w:tr>
      <w:tr w:rsidR="00E47AB8" w:rsidRPr="008B2F8A" w14:paraId="30428ABD" w14:textId="77777777" w:rsidTr="00E14AC4">
        <w:tc>
          <w:tcPr>
            <w:tcW w:w="2051" w:type="pct"/>
            <w:tcBorders>
              <w:top w:val="nil"/>
              <w:bottom w:val="nil"/>
              <w:right w:val="nil"/>
            </w:tcBorders>
            <w:shd w:val="clear" w:color="auto" w:fill="auto"/>
            <w:noWrap/>
          </w:tcPr>
          <w:p w14:paraId="2E2F7512" w14:textId="77777777" w:rsidR="00E47AB8" w:rsidRPr="008B2F8A" w:rsidRDefault="00E47AB8" w:rsidP="00422306">
            <w:pPr>
              <w:spacing w:before="40" w:after="80"/>
              <w:rPr>
                <w:rFonts w:ascii="Arial Narrow" w:eastAsia="Times New Roman" w:hAnsi="Arial Narrow"/>
                <w:sz w:val="20"/>
                <w:szCs w:val="20"/>
              </w:rPr>
            </w:pPr>
            <w:r w:rsidRPr="0090686E">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6DAAFBB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5386B26E"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18.5163</w:t>
            </w:r>
          </w:p>
        </w:tc>
        <w:tc>
          <w:tcPr>
            <w:tcW w:w="674" w:type="pct"/>
            <w:tcBorders>
              <w:top w:val="single" w:sz="4" w:space="0" w:color="auto"/>
              <w:left w:val="single" w:sz="4" w:space="0" w:color="auto"/>
              <w:bottom w:val="single" w:sz="4" w:space="0" w:color="auto"/>
              <w:right w:val="single" w:sz="4" w:space="0" w:color="auto"/>
            </w:tcBorders>
          </w:tcPr>
          <w:p w14:paraId="71780CF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18.3849</w:t>
            </w:r>
          </w:p>
        </w:tc>
        <w:tc>
          <w:tcPr>
            <w:tcW w:w="473" w:type="pct"/>
            <w:tcBorders>
              <w:top w:val="single" w:sz="4" w:space="0" w:color="auto"/>
              <w:left w:val="single" w:sz="4" w:space="0" w:color="auto"/>
              <w:bottom w:val="single" w:sz="4" w:space="0" w:color="auto"/>
              <w:right w:val="single" w:sz="4" w:space="0" w:color="auto"/>
            </w:tcBorders>
          </w:tcPr>
          <w:p w14:paraId="2597166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0.1313</w:t>
            </w:r>
          </w:p>
        </w:tc>
      </w:tr>
      <w:tr w:rsidR="00E47AB8" w:rsidRPr="008B2F8A" w14:paraId="01A41915" w14:textId="77777777" w:rsidTr="00E14AC4">
        <w:tc>
          <w:tcPr>
            <w:tcW w:w="2051" w:type="pct"/>
            <w:tcBorders>
              <w:top w:val="nil"/>
              <w:bottom w:val="nil"/>
              <w:right w:val="nil"/>
            </w:tcBorders>
            <w:shd w:val="clear" w:color="auto" w:fill="auto"/>
            <w:noWrap/>
          </w:tcPr>
          <w:p w14:paraId="03D14609" w14:textId="77777777" w:rsidR="00E47AB8" w:rsidRPr="008B2F8A" w:rsidRDefault="00E47AB8" w:rsidP="00422306">
            <w:pPr>
              <w:spacing w:before="40" w:after="80"/>
              <w:rPr>
                <w:rFonts w:ascii="Arial Narrow" w:eastAsia="Times New Roman" w:hAnsi="Arial Narrow"/>
                <w:b/>
                <w:sz w:val="20"/>
                <w:szCs w:val="20"/>
              </w:rPr>
            </w:pPr>
            <w:r w:rsidRPr="0090686E">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0E7884C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QALYs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408AF1B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41.4666</w:t>
            </w:r>
          </w:p>
        </w:tc>
        <w:tc>
          <w:tcPr>
            <w:tcW w:w="674" w:type="pct"/>
            <w:tcBorders>
              <w:top w:val="single" w:sz="4" w:space="0" w:color="auto"/>
              <w:left w:val="single" w:sz="4" w:space="0" w:color="auto"/>
              <w:bottom w:val="single" w:sz="4" w:space="0" w:color="auto"/>
              <w:right w:val="single" w:sz="4" w:space="0" w:color="auto"/>
            </w:tcBorders>
          </w:tcPr>
          <w:p w14:paraId="2D685D30"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41.0275</w:t>
            </w:r>
          </w:p>
        </w:tc>
        <w:tc>
          <w:tcPr>
            <w:tcW w:w="473" w:type="pct"/>
            <w:tcBorders>
              <w:top w:val="single" w:sz="4" w:space="0" w:color="auto"/>
              <w:left w:val="single" w:sz="4" w:space="0" w:color="auto"/>
              <w:bottom w:val="single" w:sz="4" w:space="0" w:color="auto"/>
              <w:right w:val="single" w:sz="4" w:space="0" w:color="auto"/>
            </w:tcBorders>
          </w:tcPr>
          <w:p w14:paraId="17CBD48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0.4391</w:t>
            </w:r>
          </w:p>
        </w:tc>
      </w:tr>
      <w:tr w:rsidR="00E47AB8" w:rsidRPr="008B2F8A" w14:paraId="1AF8692E" w14:textId="77777777" w:rsidTr="00E14AC4">
        <w:tc>
          <w:tcPr>
            <w:tcW w:w="2051" w:type="pct"/>
            <w:tcBorders>
              <w:top w:val="nil"/>
              <w:bottom w:val="single" w:sz="4" w:space="0" w:color="auto"/>
              <w:right w:val="nil"/>
            </w:tcBorders>
            <w:shd w:val="clear" w:color="auto" w:fill="auto"/>
            <w:noWrap/>
          </w:tcPr>
          <w:p w14:paraId="0F62E14C" w14:textId="77777777" w:rsidR="00E47AB8" w:rsidRPr="008B2F8A" w:rsidRDefault="00E47AB8" w:rsidP="00422306">
            <w:pPr>
              <w:spacing w:before="40" w:after="80"/>
              <w:rPr>
                <w:rFonts w:ascii="Arial Narrow" w:eastAsia="Times New Roman" w:hAnsi="Arial Narrow"/>
                <w:b/>
                <w:sz w:val="20"/>
                <w:szCs w:val="20"/>
              </w:rPr>
            </w:pPr>
            <w:r w:rsidRPr="0090686E">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5F69C998"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QALYs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7867BF45"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15.3484</w:t>
            </w:r>
          </w:p>
        </w:tc>
        <w:tc>
          <w:tcPr>
            <w:tcW w:w="674" w:type="pct"/>
            <w:tcBorders>
              <w:top w:val="single" w:sz="4" w:space="0" w:color="auto"/>
              <w:left w:val="single" w:sz="4" w:space="0" w:color="auto"/>
              <w:bottom w:val="single" w:sz="4" w:space="0" w:color="auto"/>
              <w:right w:val="single" w:sz="4" w:space="0" w:color="auto"/>
            </w:tcBorders>
          </w:tcPr>
          <w:p w14:paraId="3F21A391"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15.2465</w:t>
            </w:r>
          </w:p>
        </w:tc>
        <w:tc>
          <w:tcPr>
            <w:tcW w:w="473" w:type="pct"/>
            <w:tcBorders>
              <w:top w:val="single" w:sz="4" w:space="0" w:color="auto"/>
              <w:left w:val="single" w:sz="4" w:space="0" w:color="auto"/>
              <w:bottom w:val="single" w:sz="4" w:space="0" w:color="auto"/>
              <w:right w:val="single" w:sz="4" w:space="0" w:color="auto"/>
            </w:tcBorders>
          </w:tcPr>
          <w:p w14:paraId="088CC1ED"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0.1019</w:t>
            </w:r>
          </w:p>
        </w:tc>
      </w:tr>
      <w:tr w:rsidR="00E47AB8" w:rsidRPr="008B2F8A" w14:paraId="5E743C14" w14:textId="77777777" w:rsidTr="00E14AC4">
        <w:tc>
          <w:tcPr>
            <w:tcW w:w="2051" w:type="pct"/>
            <w:tcBorders>
              <w:top w:val="single" w:sz="4" w:space="0" w:color="auto"/>
              <w:bottom w:val="nil"/>
              <w:right w:val="nil"/>
            </w:tcBorders>
            <w:shd w:val="clear" w:color="auto" w:fill="auto"/>
            <w:noWrap/>
            <w:hideMark/>
          </w:tcPr>
          <w:p w14:paraId="46E7D98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Prior history of invasive breast cancer</w:t>
            </w:r>
          </w:p>
        </w:tc>
        <w:tc>
          <w:tcPr>
            <w:tcW w:w="1096" w:type="pct"/>
            <w:tcBorders>
              <w:top w:val="single" w:sz="4" w:space="0" w:color="auto"/>
              <w:bottom w:val="single" w:sz="4" w:space="0" w:color="auto"/>
              <w:right w:val="single" w:sz="4" w:space="0" w:color="auto"/>
            </w:tcBorders>
          </w:tcPr>
          <w:p w14:paraId="47903B3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033CE23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41.0079</w:t>
            </w:r>
          </w:p>
        </w:tc>
        <w:tc>
          <w:tcPr>
            <w:tcW w:w="674" w:type="pct"/>
            <w:tcBorders>
              <w:top w:val="single" w:sz="4" w:space="0" w:color="auto"/>
              <w:left w:val="single" w:sz="4" w:space="0" w:color="auto"/>
              <w:bottom w:val="single" w:sz="4" w:space="0" w:color="auto"/>
              <w:right w:val="single" w:sz="4" w:space="0" w:color="auto"/>
            </w:tcBorders>
          </w:tcPr>
          <w:p w14:paraId="51BFDA2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40.7469</w:t>
            </w:r>
          </w:p>
        </w:tc>
        <w:tc>
          <w:tcPr>
            <w:tcW w:w="473" w:type="pct"/>
            <w:tcBorders>
              <w:top w:val="single" w:sz="4" w:space="0" w:color="auto"/>
              <w:left w:val="single" w:sz="4" w:space="0" w:color="auto"/>
              <w:bottom w:val="single" w:sz="4" w:space="0" w:color="auto"/>
              <w:right w:val="single" w:sz="4" w:space="0" w:color="auto"/>
            </w:tcBorders>
          </w:tcPr>
          <w:p w14:paraId="4822145E"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0.2610</w:t>
            </w:r>
          </w:p>
        </w:tc>
      </w:tr>
      <w:tr w:rsidR="00E47AB8" w:rsidRPr="008B2F8A" w14:paraId="5A9BBCA2" w14:textId="77777777" w:rsidTr="00E14AC4">
        <w:tc>
          <w:tcPr>
            <w:tcW w:w="2051" w:type="pct"/>
            <w:tcBorders>
              <w:top w:val="nil"/>
              <w:bottom w:val="nil"/>
              <w:right w:val="nil"/>
            </w:tcBorders>
            <w:shd w:val="clear" w:color="auto" w:fill="auto"/>
            <w:noWrap/>
          </w:tcPr>
          <w:p w14:paraId="2C31B49E" w14:textId="77777777" w:rsidR="00E47AB8" w:rsidRPr="008B2F8A" w:rsidRDefault="00E47AB8" w:rsidP="00422306">
            <w:pPr>
              <w:spacing w:before="40" w:after="80"/>
              <w:rPr>
                <w:rFonts w:ascii="Arial Narrow" w:eastAsia="Times New Roman" w:hAnsi="Arial Narrow"/>
                <w:sz w:val="20"/>
                <w:szCs w:val="20"/>
              </w:rPr>
            </w:pPr>
            <w:r w:rsidRPr="00525C2F">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09EAD3B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10C8BD72"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17.1947</w:t>
            </w:r>
          </w:p>
        </w:tc>
        <w:tc>
          <w:tcPr>
            <w:tcW w:w="674" w:type="pct"/>
            <w:tcBorders>
              <w:top w:val="single" w:sz="4" w:space="0" w:color="auto"/>
              <w:left w:val="single" w:sz="4" w:space="0" w:color="auto"/>
              <w:bottom w:val="single" w:sz="4" w:space="0" w:color="auto"/>
              <w:right w:val="single" w:sz="4" w:space="0" w:color="auto"/>
            </w:tcBorders>
          </w:tcPr>
          <w:p w14:paraId="0018671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17.1050</w:t>
            </w:r>
          </w:p>
        </w:tc>
        <w:tc>
          <w:tcPr>
            <w:tcW w:w="473" w:type="pct"/>
            <w:tcBorders>
              <w:top w:val="single" w:sz="4" w:space="0" w:color="auto"/>
              <w:left w:val="single" w:sz="4" w:space="0" w:color="auto"/>
              <w:bottom w:val="single" w:sz="4" w:space="0" w:color="auto"/>
              <w:right w:val="single" w:sz="4" w:space="0" w:color="auto"/>
            </w:tcBorders>
          </w:tcPr>
          <w:p w14:paraId="43381C1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0.0897</w:t>
            </w:r>
          </w:p>
        </w:tc>
      </w:tr>
      <w:tr w:rsidR="00E47AB8" w:rsidRPr="008B2F8A" w14:paraId="163912E8" w14:textId="77777777" w:rsidTr="00E14AC4">
        <w:tc>
          <w:tcPr>
            <w:tcW w:w="2051" w:type="pct"/>
            <w:tcBorders>
              <w:top w:val="nil"/>
              <w:bottom w:val="nil"/>
              <w:right w:val="nil"/>
            </w:tcBorders>
            <w:shd w:val="clear" w:color="auto" w:fill="auto"/>
            <w:noWrap/>
          </w:tcPr>
          <w:p w14:paraId="23A0857E" w14:textId="77777777" w:rsidR="00E47AB8" w:rsidRPr="008B2F8A" w:rsidRDefault="00E47AB8" w:rsidP="00422306">
            <w:pPr>
              <w:spacing w:before="40" w:after="80"/>
              <w:rPr>
                <w:rFonts w:ascii="Arial Narrow" w:eastAsia="Times New Roman" w:hAnsi="Arial Narrow"/>
                <w:b/>
                <w:sz w:val="20"/>
                <w:szCs w:val="20"/>
              </w:rPr>
            </w:pPr>
            <w:r w:rsidRPr="00525C2F">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602E092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QALYs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61227AA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30.6773</w:t>
            </w:r>
          </w:p>
        </w:tc>
        <w:tc>
          <w:tcPr>
            <w:tcW w:w="674" w:type="pct"/>
            <w:tcBorders>
              <w:top w:val="single" w:sz="4" w:space="0" w:color="auto"/>
              <w:left w:val="single" w:sz="4" w:space="0" w:color="auto"/>
              <w:bottom w:val="single" w:sz="4" w:space="0" w:color="auto"/>
              <w:right w:val="single" w:sz="4" w:space="0" w:color="auto"/>
            </w:tcBorders>
          </w:tcPr>
          <w:p w14:paraId="02C8562D"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30.4864</w:t>
            </w:r>
          </w:p>
        </w:tc>
        <w:tc>
          <w:tcPr>
            <w:tcW w:w="473" w:type="pct"/>
            <w:tcBorders>
              <w:top w:val="single" w:sz="4" w:space="0" w:color="auto"/>
              <w:left w:val="single" w:sz="4" w:space="0" w:color="auto"/>
              <w:bottom w:val="single" w:sz="4" w:space="0" w:color="auto"/>
              <w:right w:val="single" w:sz="4" w:space="0" w:color="auto"/>
            </w:tcBorders>
          </w:tcPr>
          <w:p w14:paraId="5A9EB95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0.1909</w:t>
            </w:r>
          </w:p>
        </w:tc>
      </w:tr>
      <w:tr w:rsidR="00E47AB8" w:rsidRPr="008B2F8A" w14:paraId="051FBC3B" w14:textId="77777777" w:rsidTr="00E14AC4">
        <w:tc>
          <w:tcPr>
            <w:tcW w:w="2051" w:type="pct"/>
            <w:tcBorders>
              <w:top w:val="nil"/>
              <w:bottom w:val="single" w:sz="4" w:space="0" w:color="auto"/>
              <w:right w:val="nil"/>
            </w:tcBorders>
            <w:shd w:val="clear" w:color="auto" w:fill="auto"/>
            <w:noWrap/>
          </w:tcPr>
          <w:p w14:paraId="2696FFA9" w14:textId="77777777" w:rsidR="00E47AB8" w:rsidRPr="008B2F8A" w:rsidRDefault="00E47AB8" w:rsidP="00422306">
            <w:pPr>
              <w:spacing w:before="40" w:after="80"/>
              <w:rPr>
                <w:rFonts w:ascii="Arial Narrow" w:eastAsia="Times New Roman" w:hAnsi="Arial Narrow"/>
                <w:b/>
                <w:sz w:val="20"/>
                <w:szCs w:val="20"/>
              </w:rPr>
            </w:pPr>
            <w:r w:rsidRPr="00525C2F">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09DAC4C6"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QALYs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28BB9342"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13.5186</w:t>
            </w:r>
          </w:p>
        </w:tc>
        <w:tc>
          <w:tcPr>
            <w:tcW w:w="674" w:type="pct"/>
            <w:tcBorders>
              <w:top w:val="single" w:sz="4" w:space="0" w:color="auto"/>
              <w:left w:val="single" w:sz="4" w:space="0" w:color="auto"/>
              <w:bottom w:val="single" w:sz="4" w:space="0" w:color="auto"/>
              <w:right w:val="single" w:sz="4" w:space="0" w:color="auto"/>
            </w:tcBorders>
          </w:tcPr>
          <w:p w14:paraId="3F0D0EB6"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13.4511</w:t>
            </w:r>
          </w:p>
        </w:tc>
        <w:tc>
          <w:tcPr>
            <w:tcW w:w="473" w:type="pct"/>
            <w:tcBorders>
              <w:top w:val="single" w:sz="4" w:space="0" w:color="auto"/>
              <w:left w:val="single" w:sz="4" w:space="0" w:color="auto"/>
              <w:bottom w:val="single" w:sz="4" w:space="0" w:color="auto"/>
              <w:right w:val="single" w:sz="4" w:space="0" w:color="auto"/>
            </w:tcBorders>
          </w:tcPr>
          <w:p w14:paraId="72FA3DBF"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0.0676</w:t>
            </w:r>
          </w:p>
        </w:tc>
      </w:tr>
      <w:tr w:rsidR="00E47AB8" w:rsidRPr="008B2F8A" w14:paraId="45C7FB52" w14:textId="77777777" w:rsidTr="00E14AC4">
        <w:tc>
          <w:tcPr>
            <w:tcW w:w="2051" w:type="pct"/>
            <w:tcBorders>
              <w:top w:val="single" w:sz="4" w:space="0" w:color="auto"/>
              <w:bottom w:val="nil"/>
              <w:right w:val="nil"/>
            </w:tcBorders>
            <w:shd w:val="clear" w:color="auto" w:fill="auto"/>
            <w:noWrap/>
            <w:hideMark/>
          </w:tcPr>
          <w:p w14:paraId="2D84D00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Prior history of treatment for DCIS or LCIS</w:t>
            </w:r>
          </w:p>
        </w:tc>
        <w:tc>
          <w:tcPr>
            <w:tcW w:w="1096" w:type="pct"/>
            <w:tcBorders>
              <w:top w:val="single" w:sz="4" w:space="0" w:color="auto"/>
              <w:bottom w:val="single" w:sz="4" w:space="0" w:color="auto"/>
              <w:right w:val="single" w:sz="4" w:space="0" w:color="auto"/>
            </w:tcBorders>
          </w:tcPr>
          <w:p w14:paraId="5B2D063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695440D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40.8250</w:t>
            </w:r>
          </w:p>
        </w:tc>
        <w:tc>
          <w:tcPr>
            <w:tcW w:w="674" w:type="pct"/>
            <w:tcBorders>
              <w:top w:val="single" w:sz="4" w:space="0" w:color="auto"/>
              <w:left w:val="single" w:sz="4" w:space="0" w:color="auto"/>
              <w:bottom w:val="single" w:sz="4" w:space="0" w:color="auto"/>
              <w:right w:val="single" w:sz="4" w:space="0" w:color="auto"/>
            </w:tcBorders>
          </w:tcPr>
          <w:p w14:paraId="6049A37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40.6418</w:t>
            </w:r>
          </w:p>
        </w:tc>
        <w:tc>
          <w:tcPr>
            <w:tcW w:w="473" w:type="pct"/>
            <w:tcBorders>
              <w:top w:val="single" w:sz="4" w:space="0" w:color="auto"/>
              <w:left w:val="single" w:sz="4" w:space="0" w:color="auto"/>
              <w:bottom w:val="single" w:sz="4" w:space="0" w:color="auto"/>
              <w:right w:val="single" w:sz="4" w:space="0" w:color="auto"/>
            </w:tcBorders>
          </w:tcPr>
          <w:p w14:paraId="04121BFA"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0.1832</w:t>
            </w:r>
          </w:p>
        </w:tc>
      </w:tr>
      <w:tr w:rsidR="00E47AB8" w:rsidRPr="008B2F8A" w14:paraId="069464D7" w14:textId="77777777" w:rsidTr="00E14AC4">
        <w:tc>
          <w:tcPr>
            <w:tcW w:w="2051" w:type="pct"/>
            <w:tcBorders>
              <w:top w:val="nil"/>
              <w:bottom w:val="nil"/>
              <w:right w:val="nil"/>
            </w:tcBorders>
            <w:shd w:val="clear" w:color="auto" w:fill="auto"/>
            <w:noWrap/>
          </w:tcPr>
          <w:p w14:paraId="240146CB" w14:textId="77777777" w:rsidR="00E47AB8" w:rsidRPr="008B2F8A" w:rsidRDefault="00E47AB8" w:rsidP="00422306">
            <w:pPr>
              <w:spacing w:before="40" w:after="80"/>
              <w:rPr>
                <w:rFonts w:ascii="Arial Narrow" w:eastAsia="Times New Roman" w:hAnsi="Arial Narrow"/>
                <w:sz w:val="20"/>
                <w:szCs w:val="20"/>
              </w:rPr>
            </w:pPr>
            <w:r w:rsidRPr="009F3609">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6005909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5088EF8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17.1380</w:t>
            </w:r>
          </w:p>
        </w:tc>
        <w:tc>
          <w:tcPr>
            <w:tcW w:w="674" w:type="pct"/>
            <w:tcBorders>
              <w:top w:val="single" w:sz="4" w:space="0" w:color="auto"/>
              <w:left w:val="single" w:sz="4" w:space="0" w:color="auto"/>
              <w:bottom w:val="single" w:sz="4" w:space="0" w:color="auto"/>
              <w:right w:val="single" w:sz="4" w:space="0" w:color="auto"/>
            </w:tcBorders>
          </w:tcPr>
          <w:p w14:paraId="305B20B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17.0750</w:t>
            </w:r>
          </w:p>
        </w:tc>
        <w:tc>
          <w:tcPr>
            <w:tcW w:w="473" w:type="pct"/>
            <w:tcBorders>
              <w:top w:val="single" w:sz="4" w:space="0" w:color="auto"/>
              <w:left w:val="single" w:sz="4" w:space="0" w:color="auto"/>
              <w:bottom w:val="single" w:sz="4" w:space="0" w:color="auto"/>
              <w:right w:val="single" w:sz="4" w:space="0" w:color="auto"/>
            </w:tcBorders>
          </w:tcPr>
          <w:p w14:paraId="33029ED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0.0630</w:t>
            </w:r>
          </w:p>
        </w:tc>
      </w:tr>
      <w:tr w:rsidR="00E47AB8" w:rsidRPr="008B2F8A" w14:paraId="6F1C6161" w14:textId="77777777" w:rsidTr="00E14AC4">
        <w:tc>
          <w:tcPr>
            <w:tcW w:w="2051" w:type="pct"/>
            <w:tcBorders>
              <w:top w:val="nil"/>
              <w:bottom w:val="nil"/>
              <w:right w:val="nil"/>
            </w:tcBorders>
            <w:shd w:val="clear" w:color="auto" w:fill="auto"/>
            <w:noWrap/>
          </w:tcPr>
          <w:p w14:paraId="05ED5191" w14:textId="77777777" w:rsidR="00E47AB8" w:rsidRPr="008B2F8A" w:rsidRDefault="00E47AB8" w:rsidP="00422306">
            <w:pPr>
              <w:spacing w:before="40" w:after="80"/>
              <w:rPr>
                <w:rFonts w:ascii="Arial Narrow" w:eastAsia="Times New Roman" w:hAnsi="Arial Narrow"/>
                <w:b/>
                <w:sz w:val="20"/>
                <w:szCs w:val="20"/>
              </w:rPr>
            </w:pPr>
            <w:r w:rsidRPr="009F3609">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7C5EE9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QALYs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603ABF9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30.5458</w:t>
            </w:r>
          </w:p>
        </w:tc>
        <w:tc>
          <w:tcPr>
            <w:tcW w:w="674" w:type="pct"/>
            <w:tcBorders>
              <w:top w:val="single" w:sz="4" w:space="0" w:color="auto"/>
              <w:left w:val="single" w:sz="4" w:space="0" w:color="auto"/>
              <w:bottom w:val="single" w:sz="4" w:space="0" w:color="auto"/>
              <w:right w:val="single" w:sz="4" w:space="0" w:color="auto"/>
            </w:tcBorders>
          </w:tcPr>
          <w:p w14:paraId="48D61240"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30.4121</w:t>
            </w:r>
          </w:p>
        </w:tc>
        <w:tc>
          <w:tcPr>
            <w:tcW w:w="473" w:type="pct"/>
            <w:tcBorders>
              <w:top w:val="single" w:sz="4" w:space="0" w:color="auto"/>
              <w:left w:val="single" w:sz="4" w:space="0" w:color="auto"/>
              <w:bottom w:val="single" w:sz="4" w:space="0" w:color="auto"/>
              <w:right w:val="single" w:sz="4" w:space="0" w:color="auto"/>
            </w:tcBorders>
          </w:tcPr>
          <w:p w14:paraId="5786F2C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0.1338</w:t>
            </w:r>
          </w:p>
        </w:tc>
      </w:tr>
      <w:tr w:rsidR="00E47AB8" w:rsidRPr="008B2F8A" w14:paraId="6B749390" w14:textId="77777777" w:rsidTr="00E14AC4">
        <w:tc>
          <w:tcPr>
            <w:tcW w:w="2051" w:type="pct"/>
            <w:tcBorders>
              <w:top w:val="nil"/>
              <w:bottom w:val="single" w:sz="4" w:space="0" w:color="auto"/>
              <w:right w:val="nil"/>
            </w:tcBorders>
            <w:shd w:val="clear" w:color="auto" w:fill="auto"/>
            <w:noWrap/>
          </w:tcPr>
          <w:p w14:paraId="2ED0C312" w14:textId="77777777" w:rsidR="00E47AB8" w:rsidRPr="008B2F8A" w:rsidRDefault="00E47AB8" w:rsidP="00422306">
            <w:pPr>
              <w:spacing w:before="40" w:after="80"/>
              <w:rPr>
                <w:rFonts w:ascii="Arial Narrow" w:eastAsia="Times New Roman" w:hAnsi="Arial Narrow"/>
                <w:b/>
                <w:sz w:val="20"/>
                <w:szCs w:val="20"/>
              </w:rPr>
            </w:pPr>
            <w:r w:rsidRPr="009F3609">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19D854B2"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QALYs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1B35EB43"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13.4765</w:t>
            </w:r>
          </w:p>
        </w:tc>
        <w:tc>
          <w:tcPr>
            <w:tcW w:w="674" w:type="pct"/>
            <w:tcBorders>
              <w:top w:val="single" w:sz="4" w:space="0" w:color="auto"/>
              <w:left w:val="single" w:sz="4" w:space="0" w:color="auto"/>
              <w:bottom w:val="single" w:sz="4" w:space="0" w:color="auto"/>
              <w:right w:val="single" w:sz="4" w:space="0" w:color="auto"/>
            </w:tcBorders>
          </w:tcPr>
          <w:p w14:paraId="7E8F1E76"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13.4293</w:t>
            </w:r>
          </w:p>
        </w:tc>
        <w:tc>
          <w:tcPr>
            <w:tcW w:w="473" w:type="pct"/>
            <w:tcBorders>
              <w:top w:val="single" w:sz="4" w:space="0" w:color="auto"/>
              <w:left w:val="single" w:sz="4" w:space="0" w:color="auto"/>
              <w:bottom w:val="single" w:sz="4" w:space="0" w:color="auto"/>
              <w:right w:val="single" w:sz="4" w:space="0" w:color="auto"/>
            </w:tcBorders>
          </w:tcPr>
          <w:p w14:paraId="53908CC0"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0.0471</w:t>
            </w:r>
          </w:p>
        </w:tc>
      </w:tr>
      <w:tr w:rsidR="00E47AB8" w:rsidRPr="008B2F8A" w14:paraId="428F05D3" w14:textId="77777777" w:rsidTr="00E14AC4">
        <w:tc>
          <w:tcPr>
            <w:tcW w:w="2051" w:type="pct"/>
            <w:tcBorders>
              <w:top w:val="single" w:sz="4" w:space="0" w:color="auto"/>
              <w:bottom w:val="nil"/>
              <w:right w:val="nil"/>
            </w:tcBorders>
            <w:shd w:val="clear" w:color="auto" w:fill="auto"/>
            <w:noWrap/>
          </w:tcPr>
          <w:p w14:paraId="724DF82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Chest radiotherapy between 10 and 35 years</w:t>
            </w:r>
          </w:p>
        </w:tc>
        <w:tc>
          <w:tcPr>
            <w:tcW w:w="1096" w:type="pct"/>
            <w:tcBorders>
              <w:top w:val="single" w:sz="4" w:space="0" w:color="auto"/>
              <w:bottom w:val="single" w:sz="4" w:space="0" w:color="auto"/>
              <w:right w:val="single" w:sz="4" w:space="0" w:color="auto"/>
            </w:tcBorders>
          </w:tcPr>
          <w:p w14:paraId="34356E9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(undiscounted)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00E09E4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54.5964</w:t>
            </w:r>
          </w:p>
        </w:tc>
        <w:tc>
          <w:tcPr>
            <w:tcW w:w="674" w:type="pct"/>
            <w:tcBorders>
              <w:top w:val="single" w:sz="4" w:space="0" w:color="auto"/>
              <w:left w:val="single" w:sz="4" w:space="0" w:color="auto"/>
              <w:bottom w:val="single" w:sz="4" w:space="0" w:color="auto"/>
              <w:right w:val="single" w:sz="4" w:space="0" w:color="auto"/>
            </w:tcBorders>
          </w:tcPr>
          <w:p w14:paraId="4423DFB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54.3285</w:t>
            </w:r>
          </w:p>
        </w:tc>
        <w:tc>
          <w:tcPr>
            <w:tcW w:w="473" w:type="pct"/>
            <w:tcBorders>
              <w:top w:val="single" w:sz="4" w:space="0" w:color="auto"/>
              <w:left w:val="single" w:sz="4" w:space="0" w:color="auto"/>
              <w:bottom w:val="single" w:sz="4" w:space="0" w:color="auto"/>
              <w:right w:val="single" w:sz="4" w:space="0" w:color="auto"/>
            </w:tcBorders>
          </w:tcPr>
          <w:p w14:paraId="2F49F028"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0.2679</w:t>
            </w:r>
          </w:p>
        </w:tc>
      </w:tr>
      <w:tr w:rsidR="00E47AB8" w:rsidRPr="008B2F8A" w14:paraId="17318446" w14:textId="77777777" w:rsidTr="00E14AC4">
        <w:tc>
          <w:tcPr>
            <w:tcW w:w="2051" w:type="pct"/>
            <w:tcBorders>
              <w:top w:val="nil"/>
              <w:bottom w:val="nil"/>
              <w:right w:val="nil"/>
            </w:tcBorders>
            <w:shd w:val="clear" w:color="auto" w:fill="auto"/>
            <w:noWrap/>
          </w:tcPr>
          <w:p w14:paraId="03DF3A96" w14:textId="77777777" w:rsidR="00E47AB8" w:rsidRPr="008B2F8A" w:rsidRDefault="00E47AB8" w:rsidP="00422306">
            <w:pPr>
              <w:spacing w:before="40" w:after="80"/>
              <w:rPr>
                <w:rFonts w:ascii="Arial Narrow" w:eastAsia="Times New Roman" w:hAnsi="Arial Narrow"/>
                <w:sz w:val="20"/>
                <w:szCs w:val="20"/>
              </w:rPr>
            </w:pPr>
            <w:r w:rsidRPr="00CE0421">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tcPr>
          <w:p w14:paraId="25D7322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Life years (discounted)</w:t>
            </w:r>
          </w:p>
        </w:tc>
        <w:tc>
          <w:tcPr>
            <w:tcW w:w="706" w:type="pct"/>
            <w:tcBorders>
              <w:top w:val="single" w:sz="4" w:space="0" w:color="auto"/>
              <w:left w:val="single" w:sz="4" w:space="0" w:color="auto"/>
              <w:bottom w:val="single" w:sz="4" w:space="0" w:color="auto"/>
              <w:right w:val="single" w:sz="4" w:space="0" w:color="auto"/>
            </w:tcBorders>
            <w:shd w:val="clear" w:color="auto" w:fill="auto"/>
            <w:noWrap/>
            <w:hideMark/>
          </w:tcPr>
          <w:p w14:paraId="4BACF690"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18.6936</w:t>
            </w:r>
          </w:p>
        </w:tc>
        <w:tc>
          <w:tcPr>
            <w:tcW w:w="674" w:type="pct"/>
            <w:tcBorders>
              <w:top w:val="single" w:sz="4" w:space="0" w:color="auto"/>
              <w:left w:val="single" w:sz="4" w:space="0" w:color="auto"/>
              <w:bottom w:val="single" w:sz="4" w:space="0" w:color="auto"/>
              <w:right w:val="single" w:sz="4" w:space="0" w:color="auto"/>
            </w:tcBorders>
          </w:tcPr>
          <w:p w14:paraId="457BC2B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18.6286</w:t>
            </w:r>
          </w:p>
        </w:tc>
        <w:tc>
          <w:tcPr>
            <w:tcW w:w="473" w:type="pct"/>
            <w:tcBorders>
              <w:top w:val="single" w:sz="4" w:space="0" w:color="auto"/>
              <w:left w:val="single" w:sz="4" w:space="0" w:color="auto"/>
              <w:bottom w:val="single" w:sz="4" w:space="0" w:color="auto"/>
              <w:right w:val="single" w:sz="4" w:space="0" w:color="auto"/>
            </w:tcBorders>
          </w:tcPr>
          <w:p w14:paraId="37E9962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0.0650</w:t>
            </w:r>
          </w:p>
        </w:tc>
      </w:tr>
      <w:tr w:rsidR="00E47AB8" w:rsidRPr="008B2F8A" w14:paraId="49FCF66D" w14:textId="77777777" w:rsidTr="00E14AC4">
        <w:tc>
          <w:tcPr>
            <w:tcW w:w="2051" w:type="pct"/>
            <w:tcBorders>
              <w:top w:val="nil"/>
              <w:bottom w:val="nil"/>
              <w:right w:val="nil"/>
            </w:tcBorders>
            <w:shd w:val="clear" w:color="auto" w:fill="auto"/>
            <w:noWrap/>
          </w:tcPr>
          <w:p w14:paraId="61AC36D0" w14:textId="77777777" w:rsidR="00E47AB8" w:rsidRPr="008B2F8A" w:rsidRDefault="00E47AB8" w:rsidP="00422306">
            <w:pPr>
              <w:spacing w:before="40" w:after="80"/>
              <w:rPr>
                <w:rFonts w:ascii="Arial Narrow" w:eastAsia="Times New Roman" w:hAnsi="Arial Narrow"/>
                <w:b/>
                <w:sz w:val="20"/>
                <w:szCs w:val="20"/>
              </w:rPr>
            </w:pPr>
            <w:r w:rsidRPr="00CE0421">
              <w:rPr>
                <w:rFonts w:ascii="Arial Narrow" w:hAnsi="Arial Narrow"/>
                <w:color w:val="FFFFFF" w:themeColor="background1"/>
                <w:sz w:val="20"/>
                <w:szCs w:val="20"/>
              </w:rPr>
              <w:t>-</w:t>
            </w:r>
          </w:p>
        </w:tc>
        <w:tc>
          <w:tcPr>
            <w:tcW w:w="1096" w:type="pct"/>
            <w:tcBorders>
              <w:top w:val="single" w:sz="4" w:space="0" w:color="auto"/>
              <w:right w:val="single" w:sz="4" w:space="0" w:color="auto"/>
            </w:tcBorders>
          </w:tcPr>
          <w:p w14:paraId="26BFAB0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QALYs (undiscounted)</w:t>
            </w:r>
          </w:p>
        </w:tc>
        <w:tc>
          <w:tcPr>
            <w:tcW w:w="706" w:type="pct"/>
            <w:tcBorders>
              <w:top w:val="single" w:sz="4" w:space="0" w:color="auto"/>
              <w:left w:val="single" w:sz="4" w:space="0" w:color="auto"/>
              <w:right w:val="single" w:sz="4" w:space="0" w:color="auto"/>
            </w:tcBorders>
            <w:shd w:val="clear" w:color="auto" w:fill="auto"/>
            <w:noWrap/>
          </w:tcPr>
          <w:p w14:paraId="2211AAE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42.4651</w:t>
            </w:r>
          </w:p>
        </w:tc>
        <w:tc>
          <w:tcPr>
            <w:tcW w:w="674" w:type="pct"/>
            <w:tcBorders>
              <w:top w:val="single" w:sz="4" w:space="0" w:color="auto"/>
              <w:left w:val="single" w:sz="4" w:space="0" w:color="auto"/>
              <w:right w:val="single" w:sz="4" w:space="0" w:color="auto"/>
            </w:tcBorders>
          </w:tcPr>
          <w:p w14:paraId="1AD61498"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42.2629</w:t>
            </w:r>
          </w:p>
        </w:tc>
        <w:tc>
          <w:tcPr>
            <w:tcW w:w="473" w:type="pct"/>
            <w:tcBorders>
              <w:top w:val="single" w:sz="4" w:space="0" w:color="auto"/>
              <w:left w:val="single" w:sz="4" w:space="0" w:color="auto"/>
              <w:right w:val="single" w:sz="4" w:space="0" w:color="auto"/>
            </w:tcBorders>
          </w:tcPr>
          <w:p w14:paraId="21E0D94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0.2022</w:t>
            </w:r>
          </w:p>
        </w:tc>
      </w:tr>
      <w:tr w:rsidR="00E47AB8" w:rsidRPr="008B2F8A" w14:paraId="6DF58BB5" w14:textId="77777777" w:rsidTr="00E14AC4">
        <w:tc>
          <w:tcPr>
            <w:tcW w:w="2051" w:type="pct"/>
            <w:tcBorders>
              <w:top w:val="nil"/>
              <w:right w:val="nil"/>
            </w:tcBorders>
            <w:shd w:val="clear" w:color="auto" w:fill="auto"/>
            <w:noWrap/>
          </w:tcPr>
          <w:p w14:paraId="088687D2" w14:textId="77777777" w:rsidR="00E47AB8" w:rsidRPr="008B2F8A" w:rsidRDefault="00E47AB8" w:rsidP="00422306">
            <w:pPr>
              <w:spacing w:before="40" w:after="80"/>
              <w:rPr>
                <w:rFonts w:ascii="Arial Narrow" w:eastAsia="Times New Roman" w:hAnsi="Arial Narrow"/>
                <w:b/>
                <w:sz w:val="20"/>
                <w:szCs w:val="20"/>
              </w:rPr>
            </w:pPr>
            <w:r w:rsidRPr="00CE0421">
              <w:rPr>
                <w:rFonts w:ascii="Arial Narrow" w:hAnsi="Arial Narrow"/>
                <w:color w:val="FFFFFF" w:themeColor="background1"/>
                <w:sz w:val="20"/>
                <w:szCs w:val="20"/>
              </w:rPr>
              <w:t>-</w:t>
            </w:r>
          </w:p>
        </w:tc>
        <w:tc>
          <w:tcPr>
            <w:tcW w:w="1096" w:type="pct"/>
            <w:tcBorders>
              <w:top w:val="single" w:sz="4" w:space="0" w:color="auto"/>
              <w:right w:val="single" w:sz="4" w:space="0" w:color="auto"/>
            </w:tcBorders>
          </w:tcPr>
          <w:p w14:paraId="2C153D0F"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QALYs (discounted)</w:t>
            </w:r>
          </w:p>
        </w:tc>
        <w:tc>
          <w:tcPr>
            <w:tcW w:w="706" w:type="pct"/>
            <w:tcBorders>
              <w:top w:val="single" w:sz="4" w:space="0" w:color="auto"/>
              <w:left w:val="single" w:sz="4" w:space="0" w:color="auto"/>
              <w:right w:val="single" w:sz="4" w:space="0" w:color="auto"/>
            </w:tcBorders>
            <w:shd w:val="clear" w:color="auto" w:fill="auto"/>
            <w:noWrap/>
            <w:hideMark/>
          </w:tcPr>
          <w:p w14:paraId="45D44403"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15.5053</w:t>
            </w:r>
          </w:p>
        </w:tc>
        <w:tc>
          <w:tcPr>
            <w:tcW w:w="674" w:type="pct"/>
            <w:tcBorders>
              <w:top w:val="single" w:sz="4" w:space="0" w:color="auto"/>
              <w:left w:val="single" w:sz="4" w:space="0" w:color="auto"/>
              <w:right w:val="single" w:sz="4" w:space="0" w:color="auto"/>
            </w:tcBorders>
          </w:tcPr>
          <w:p w14:paraId="7B41FF94"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15.4537</w:t>
            </w:r>
          </w:p>
        </w:tc>
        <w:tc>
          <w:tcPr>
            <w:tcW w:w="473" w:type="pct"/>
            <w:tcBorders>
              <w:top w:val="single" w:sz="4" w:space="0" w:color="auto"/>
              <w:left w:val="single" w:sz="4" w:space="0" w:color="auto"/>
              <w:right w:val="single" w:sz="4" w:space="0" w:color="auto"/>
            </w:tcBorders>
          </w:tcPr>
          <w:p w14:paraId="2DF6BE76"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0.0516</w:t>
            </w:r>
          </w:p>
        </w:tc>
      </w:tr>
    </w:tbl>
    <w:p w14:paraId="7FFD8C98" w14:textId="77777777" w:rsidR="00E47AB8" w:rsidRPr="008B2F8A" w:rsidRDefault="00E47AB8" w:rsidP="00E14AC4">
      <w:pPr>
        <w:pStyle w:val="TableNotesLast"/>
        <w:rPr>
          <w:rFonts w:eastAsiaTheme="minorHAnsi"/>
        </w:rPr>
      </w:pPr>
      <w:r w:rsidRPr="008B2F8A">
        <w:rPr>
          <w:rFonts w:eastAsiaTheme="minorHAnsi"/>
        </w:rPr>
        <w:t xml:space="preserve">DCIS = ductal carcinoma in situ; LCIS = lobular carcinoma in situ; MRI = </w:t>
      </w:r>
      <w:bookmarkStart w:id="1207" w:name="OLE_LINK443"/>
      <w:bookmarkStart w:id="1208" w:name="OLE_LINK444"/>
      <w:r w:rsidRPr="008B2F8A">
        <w:rPr>
          <w:rFonts w:eastAsiaTheme="minorHAnsi"/>
        </w:rPr>
        <w:t>magnetic resonance imaging</w:t>
      </w:r>
      <w:bookmarkEnd w:id="1207"/>
      <w:bookmarkEnd w:id="1208"/>
      <w:r w:rsidRPr="008B2F8A">
        <w:rPr>
          <w:rFonts w:eastAsiaTheme="minorHAnsi"/>
        </w:rPr>
        <w:t>; QALY = quality-adjusted life year.</w:t>
      </w:r>
    </w:p>
    <w:p w14:paraId="3D07AE83" w14:textId="715488EC" w:rsidR="00E47AB8" w:rsidRPr="007C6E89" w:rsidRDefault="00E47AB8" w:rsidP="00422306">
      <w:pPr>
        <w:rPr>
          <w:rFonts w:eastAsiaTheme="minorHAnsi" w:cstheme="minorBidi"/>
        </w:rPr>
      </w:pPr>
      <w:r w:rsidRPr="008B2F8A">
        <w:fldChar w:fldCharType="begin"/>
      </w:r>
      <w:r w:rsidRPr="008B2F8A">
        <w:instrText xml:space="preserve"> REF _Ref375916225 \h </w:instrText>
      </w:r>
      <w:r w:rsidRPr="008B2F8A">
        <w:fldChar w:fldCharType="separate"/>
      </w:r>
      <w:r w:rsidR="00B81273" w:rsidRPr="008B2F8A">
        <w:t xml:space="preserve">Table </w:t>
      </w:r>
      <w:r w:rsidR="00B81273">
        <w:rPr>
          <w:noProof/>
        </w:rPr>
        <w:t>D</w:t>
      </w:r>
      <w:r w:rsidR="00B81273" w:rsidRPr="008B2F8A">
        <w:t>.</w:t>
      </w:r>
      <w:r w:rsidR="00B81273">
        <w:rPr>
          <w:noProof/>
        </w:rPr>
        <w:t>18</w:t>
      </w:r>
      <w:r w:rsidRPr="008B2F8A">
        <w:fldChar w:fldCharType="end"/>
      </w:r>
      <w:r w:rsidRPr="008B2F8A">
        <w:t xml:space="preserve"> presents the time (undiscounted years) that the average patient will spend in each health state for the lifetime of the model. In </w:t>
      </w:r>
      <w:r>
        <w:t>the model</w:t>
      </w:r>
      <w:r w:rsidRPr="008B2F8A">
        <w:t xml:space="preserve">, patients that receive MRI in addition to </w:t>
      </w:r>
      <w:r w:rsidRPr="008B2F8A">
        <w:lastRenderedPageBreak/>
        <w:t xml:space="preserve">mammography spend fewer years in the dead health state, leading to the life year and QALY gains described above. Consistent with the QALY gains reported in </w:t>
      </w:r>
      <w:r w:rsidRPr="008B2F8A">
        <w:fldChar w:fldCharType="begin"/>
      </w:r>
      <w:r w:rsidRPr="008B2F8A">
        <w:instrText xml:space="preserve"> REF _Ref375914118 \h </w:instrText>
      </w:r>
      <w:r w:rsidRPr="008B2F8A">
        <w:fldChar w:fldCharType="separate"/>
      </w:r>
      <w:r w:rsidR="00B81273" w:rsidRPr="008B2F8A">
        <w:t xml:space="preserve">Table </w:t>
      </w:r>
      <w:r w:rsidR="00B81273">
        <w:rPr>
          <w:noProof/>
        </w:rPr>
        <w:t>D</w:t>
      </w:r>
      <w:r w:rsidR="00B81273" w:rsidRPr="008B2F8A">
        <w:t>.</w:t>
      </w:r>
      <w:r w:rsidR="00B81273">
        <w:rPr>
          <w:noProof/>
        </w:rPr>
        <w:t>17</w:t>
      </w:r>
      <w:r w:rsidRPr="008B2F8A">
        <w:fldChar w:fldCharType="end"/>
      </w:r>
      <w:r w:rsidRPr="008B2F8A">
        <w:t>, the greatest reduction in time spent in the dead health state occurs in those women with the highest cumulative risk of breast cancer, that is</w:t>
      </w:r>
      <w:r>
        <w:t>,</w:t>
      </w:r>
      <w:r w:rsidRPr="008B2F8A">
        <w:t xml:space="preserve"> women with a confirmed gene mutation for breast cancer followed by those with a high familial risk.</w:t>
      </w:r>
      <w:r>
        <w:t xml:space="preserve"> </w:t>
      </w:r>
      <w:r>
        <w:fldChar w:fldCharType="begin"/>
      </w:r>
      <w:r>
        <w:instrText xml:space="preserve"> REF _Ref256171758 \h </w:instrText>
      </w:r>
      <w:r>
        <w:fldChar w:fldCharType="separate"/>
      </w:r>
      <w:r w:rsidR="00B81273" w:rsidRPr="008B2F8A">
        <w:t xml:space="preserve">Figure </w:t>
      </w:r>
      <w:r w:rsidR="00B81273">
        <w:rPr>
          <w:noProof/>
        </w:rPr>
        <w:t>D</w:t>
      </w:r>
      <w:r w:rsidR="00B81273" w:rsidRPr="008B2F8A">
        <w:t>.</w:t>
      </w:r>
      <w:r w:rsidR="00B81273">
        <w:rPr>
          <w:noProof/>
        </w:rPr>
        <w:t>4</w:t>
      </w:r>
      <w:r>
        <w:fldChar w:fldCharType="end"/>
      </w:r>
      <w:r w:rsidRPr="007C6E89">
        <w:rPr>
          <w:rFonts w:eastAsiaTheme="minorHAnsi" w:cstheme="minorBidi"/>
        </w:rPr>
        <w:t xml:space="preserve"> presents the proportion of women alive at each age in the population with a high risk of breast cancer based on family history (ie, the currently reimbursed population).</w:t>
      </w:r>
    </w:p>
    <w:p w14:paraId="6ABEA4D7" w14:textId="038B6EA1" w:rsidR="00E47AB8" w:rsidRPr="007C6E89" w:rsidRDefault="00E47AB8" w:rsidP="00422306">
      <w:pPr>
        <w:spacing w:after="200"/>
        <w:rPr>
          <w:rFonts w:eastAsiaTheme="minorHAnsi" w:cstheme="minorBidi"/>
        </w:rPr>
      </w:pPr>
      <w:r w:rsidRPr="007C6E89">
        <w:rPr>
          <w:rFonts w:eastAsiaTheme="minorHAnsi" w:cstheme="minorBidi"/>
        </w:rPr>
        <w:t>Owing to higher sensitivity, individuals undergoing surveillance using MRI in addition to mammography also spend more time in the healthy (true-negative) state and less time in the false-negative health state. Owing to poorer specificity, patients that receive MRI screening in addition to mammography also spend more time in the healthy (false-positive) health state.</w:t>
      </w:r>
    </w:p>
    <w:p w14:paraId="2EC6B05C" w14:textId="77777777" w:rsidR="00E47AB8" w:rsidRPr="008B2F8A" w:rsidRDefault="00E47AB8" w:rsidP="00422306">
      <w:pPr>
        <w:pStyle w:val="Caption"/>
      </w:pPr>
      <w:bookmarkStart w:id="1209" w:name="_Ref375916225"/>
      <w:bookmarkStart w:id="1210" w:name="_Toc383424627"/>
      <w:r w:rsidRPr="008B2F8A">
        <w:t xml:space="preserve">Table </w:t>
      </w:r>
      <w:fldSimple w:instr=" STYLEREF 1 \s ">
        <w:r w:rsidR="00B81273">
          <w:rPr>
            <w:noProof/>
          </w:rPr>
          <w:t>D</w:t>
        </w:r>
      </w:fldSimple>
      <w:r w:rsidRPr="008B2F8A">
        <w:t>.</w:t>
      </w:r>
      <w:fldSimple w:instr=" SEQ Table \* ARABIC \s 1 ">
        <w:r w:rsidR="00B81273">
          <w:rPr>
            <w:noProof/>
          </w:rPr>
          <w:t>18</w:t>
        </w:r>
      </w:fldSimple>
      <w:bookmarkEnd w:id="1209"/>
      <w:r w:rsidRPr="008B2F8A">
        <w:tab/>
      </w:r>
      <w:bookmarkStart w:id="1211" w:name="OLE_LINK1109"/>
      <w:bookmarkStart w:id="1212" w:name="OLE_LINK1110"/>
      <w:r w:rsidRPr="008B2F8A">
        <w:t>Time (undiscounted years) in each health state</w:t>
      </w:r>
      <w:bookmarkEnd w:id="1211"/>
      <w:bookmarkEnd w:id="1212"/>
      <w:r w:rsidRPr="008B2F8A">
        <w:t>.</w:t>
      </w:r>
      <w:bookmarkEnd w:id="1210"/>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ime (undiscounted years) in each health state"/>
      </w:tblPr>
      <w:tblGrid>
        <w:gridCol w:w="3578"/>
        <w:gridCol w:w="1988"/>
        <w:gridCol w:w="1420"/>
        <w:gridCol w:w="1279"/>
        <w:gridCol w:w="805"/>
      </w:tblGrid>
      <w:tr w:rsidR="00E47AB8" w:rsidRPr="008B2F8A" w14:paraId="070C325A" w14:textId="77777777" w:rsidTr="00E14AC4">
        <w:trPr>
          <w:tblHeader/>
        </w:trPr>
        <w:tc>
          <w:tcPr>
            <w:tcW w:w="1972" w:type="pct"/>
            <w:tcBorders>
              <w:bottom w:val="single" w:sz="4" w:space="0" w:color="auto"/>
              <w:right w:val="nil"/>
            </w:tcBorders>
            <w:shd w:val="clear" w:color="auto" w:fill="EEECE1" w:themeFill="background2"/>
            <w:noWrap/>
            <w:vAlign w:val="bottom"/>
            <w:hideMark/>
          </w:tcPr>
          <w:p w14:paraId="1768949D"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Population</w:t>
            </w:r>
          </w:p>
        </w:tc>
        <w:tc>
          <w:tcPr>
            <w:tcW w:w="1096" w:type="pct"/>
            <w:tcBorders>
              <w:bottom w:val="single" w:sz="4" w:space="0" w:color="auto"/>
              <w:right w:val="single" w:sz="4" w:space="0" w:color="auto"/>
            </w:tcBorders>
            <w:shd w:val="clear" w:color="auto" w:fill="EEECE1" w:themeFill="background2"/>
            <w:vAlign w:val="bottom"/>
          </w:tcPr>
          <w:p w14:paraId="221A00B0"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Result</w:t>
            </w:r>
          </w:p>
        </w:tc>
        <w:tc>
          <w:tcPr>
            <w:tcW w:w="783" w:type="pct"/>
            <w:tcBorders>
              <w:left w:val="single" w:sz="4" w:space="0" w:color="auto"/>
              <w:bottom w:val="single" w:sz="4" w:space="0" w:color="auto"/>
              <w:right w:val="single" w:sz="4" w:space="0" w:color="auto"/>
            </w:tcBorders>
            <w:shd w:val="clear" w:color="auto" w:fill="EEECE1" w:themeFill="background2"/>
            <w:noWrap/>
            <w:vAlign w:val="bottom"/>
            <w:hideMark/>
          </w:tcPr>
          <w:p w14:paraId="5A991583" w14:textId="171FD7AE" w:rsidR="00E47AB8" w:rsidRPr="008B2F8A" w:rsidRDefault="00E47AB8" w:rsidP="00162264">
            <w:pPr>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 xml:space="preserve">MRI </w:t>
            </w:r>
            <w:r w:rsidRPr="008B2F8A">
              <w:rPr>
                <w:rFonts w:ascii="Arial Narrow" w:hAnsi="Arial Narrow"/>
              </w:rPr>
              <w:t>​+​</w:t>
            </w:r>
            <w:r w:rsidRPr="008B2F8A">
              <w:rPr>
                <w:rFonts w:ascii="Arial Narrow" w:eastAsiaTheme="minorHAnsi" w:hAnsi="Arial Narrow" w:cstheme="minorBidi"/>
                <w:b/>
                <w:color w:val="000000"/>
                <w:sz w:val="20"/>
                <w:szCs w:val="20"/>
              </w:rPr>
              <w:t xml:space="preserve"> mammogr</w:t>
            </w:r>
            <w:r w:rsidR="00162264">
              <w:rPr>
                <w:rFonts w:ascii="Arial Narrow" w:eastAsiaTheme="minorHAnsi" w:hAnsi="Arial Narrow" w:cstheme="minorBidi"/>
                <w:b/>
                <w:color w:val="000000"/>
                <w:sz w:val="20"/>
                <w:szCs w:val="20"/>
              </w:rPr>
              <w:t>aphy</w:t>
            </w:r>
          </w:p>
        </w:tc>
        <w:tc>
          <w:tcPr>
            <w:tcW w:w="705" w:type="pct"/>
            <w:tcBorders>
              <w:left w:val="single" w:sz="4" w:space="0" w:color="auto"/>
              <w:bottom w:val="single" w:sz="4" w:space="0" w:color="auto"/>
              <w:right w:val="single" w:sz="4" w:space="0" w:color="auto"/>
            </w:tcBorders>
            <w:shd w:val="clear" w:color="auto" w:fill="EEECE1" w:themeFill="background2"/>
            <w:vAlign w:val="bottom"/>
          </w:tcPr>
          <w:p w14:paraId="3DDB178F" w14:textId="77777777" w:rsidR="00E47AB8" w:rsidRPr="008B2F8A" w:rsidRDefault="00E47AB8" w:rsidP="00422306">
            <w:pPr>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Mammography</w:t>
            </w:r>
          </w:p>
        </w:tc>
        <w:tc>
          <w:tcPr>
            <w:tcW w:w="444" w:type="pct"/>
            <w:tcBorders>
              <w:left w:val="single" w:sz="4" w:space="0" w:color="auto"/>
              <w:bottom w:val="single" w:sz="4" w:space="0" w:color="auto"/>
              <w:right w:val="single" w:sz="4" w:space="0" w:color="auto"/>
            </w:tcBorders>
            <w:shd w:val="clear" w:color="auto" w:fill="EEECE1" w:themeFill="background2"/>
            <w:vAlign w:val="bottom"/>
          </w:tcPr>
          <w:p w14:paraId="1923A20B" w14:textId="3BA1E2BC" w:rsidR="00E47AB8" w:rsidRPr="008B2F8A" w:rsidRDefault="00E47AB8" w:rsidP="00422306">
            <w:pPr>
              <w:spacing w:before="40" w:after="80"/>
              <w:rPr>
                <w:rFonts w:ascii="Arial Narrow" w:eastAsiaTheme="minorHAnsi" w:hAnsi="Arial Narrow" w:cstheme="minorBidi"/>
                <w:b/>
                <w:bCs/>
                <w:color w:val="000000"/>
                <w:sz w:val="20"/>
                <w:szCs w:val="20"/>
              </w:rPr>
            </w:pPr>
            <w:r w:rsidRPr="008B2F8A">
              <w:rPr>
                <w:rFonts w:ascii="Arial Narrow" w:eastAsiaTheme="minorHAnsi" w:hAnsi="Arial Narrow" w:cstheme="minorBidi"/>
                <w:b/>
                <w:bCs/>
                <w:color w:val="000000"/>
                <w:sz w:val="20"/>
                <w:szCs w:val="20"/>
              </w:rPr>
              <w:t>Diff</w:t>
            </w:r>
            <w:r>
              <w:rPr>
                <w:rFonts w:ascii="Arial Narrow" w:eastAsiaTheme="minorHAnsi" w:hAnsi="Arial Narrow" w:cstheme="minorBidi"/>
                <w:b/>
                <w:bCs/>
                <w:color w:val="000000"/>
                <w:sz w:val="20"/>
                <w:szCs w:val="20"/>
              </w:rPr>
              <w:t>.</w:t>
            </w:r>
          </w:p>
        </w:tc>
      </w:tr>
      <w:tr w:rsidR="00E47AB8" w:rsidRPr="008B2F8A" w14:paraId="4014BD27" w14:textId="77777777" w:rsidTr="00E14AC4">
        <w:tc>
          <w:tcPr>
            <w:tcW w:w="1972" w:type="pct"/>
            <w:tcBorders>
              <w:top w:val="single" w:sz="4" w:space="0" w:color="auto"/>
              <w:bottom w:val="nil"/>
              <w:right w:val="nil"/>
            </w:tcBorders>
            <w:shd w:val="clear" w:color="auto" w:fill="auto"/>
            <w:noWrap/>
            <w:hideMark/>
          </w:tcPr>
          <w:p w14:paraId="79F45C91" w14:textId="77777777" w:rsidR="00E47AB8" w:rsidRPr="008B2F8A" w:rsidRDefault="00E47AB8" w:rsidP="00E14AC4">
            <w:pPr>
              <w:spacing w:before="40" w:after="40"/>
              <w:rPr>
                <w:rFonts w:ascii="Arial Narrow" w:eastAsia="Times New Roman" w:hAnsi="Arial Narrow"/>
                <w:sz w:val="20"/>
                <w:szCs w:val="20"/>
              </w:rPr>
            </w:pPr>
            <w:r w:rsidRPr="008B2F8A">
              <w:rPr>
                <w:rFonts w:ascii="Arial Narrow" w:eastAsia="Times New Roman" w:hAnsi="Arial Narrow"/>
                <w:i/>
                <w:sz w:val="20"/>
                <w:szCs w:val="20"/>
              </w:rPr>
              <w:t>High-risk based on breast cancer gene mutation</w:t>
            </w:r>
          </w:p>
        </w:tc>
        <w:tc>
          <w:tcPr>
            <w:tcW w:w="1096" w:type="pct"/>
            <w:tcBorders>
              <w:top w:val="single" w:sz="4" w:space="0" w:color="auto"/>
              <w:bottom w:val="single" w:sz="4" w:space="0" w:color="auto"/>
              <w:right w:val="single" w:sz="4" w:space="0" w:color="auto"/>
            </w:tcBorders>
            <w:vAlign w:val="center"/>
          </w:tcPr>
          <w:p w14:paraId="2E901785"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(true-negative)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31212"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42.4391</w:t>
            </w:r>
          </w:p>
        </w:tc>
        <w:tc>
          <w:tcPr>
            <w:tcW w:w="705" w:type="pct"/>
            <w:tcBorders>
              <w:top w:val="single" w:sz="4" w:space="0" w:color="auto"/>
              <w:left w:val="single" w:sz="4" w:space="0" w:color="auto"/>
              <w:bottom w:val="single" w:sz="4" w:space="0" w:color="auto"/>
              <w:right w:val="single" w:sz="4" w:space="0" w:color="auto"/>
            </w:tcBorders>
            <w:vAlign w:val="center"/>
          </w:tcPr>
          <w:p w14:paraId="6A3924B0"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41.2491</w:t>
            </w:r>
          </w:p>
        </w:tc>
        <w:tc>
          <w:tcPr>
            <w:tcW w:w="444" w:type="pct"/>
            <w:tcBorders>
              <w:top w:val="single" w:sz="4" w:space="0" w:color="auto"/>
              <w:left w:val="single" w:sz="4" w:space="0" w:color="auto"/>
              <w:bottom w:val="single" w:sz="4" w:space="0" w:color="auto"/>
              <w:right w:val="single" w:sz="4" w:space="0" w:color="auto"/>
            </w:tcBorders>
            <w:vAlign w:val="center"/>
          </w:tcPr>
          <w:p w14:paraId="2D416036"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1.19</w:t>
            </w:r>
          </w:p>
        </w:tc>
      </w:tr>
      <w:tr w:rsidR="00E47AB8" w:rsidRPr="008B2F8A" w14:paraId="217A82F6" w14:textId="77777777" w:rsidTr="00E14AC4">
        <w:tc>
          <w:tcPr>
            <w:tcW w:w="1972" w:type="pct"/>
            <w:tcBorders>
              <w:top w:val="nil"/>
              <w:bottom w:val="nil"/>
              <w:right w:val="nil"/>
            </w:tcBorders>
            <w:shd w:val="clear" w:color="auto" w:fill="auto"/>
            <w:noWrap/>
          </w:tcPr>
          <w:p w14:paraId="76A94A38" w14:textId="77777777" w:rsidR="00E47AB8" w:rsidRPr="008B2F8A" w:rsidRDefault="00E47AB8" w:rsidP="00E14AC4">
            <w:pPr>
              <w:spacing w:before="40" w:after="40"/>
              <w:rPr>
                <w:rFonts w:ascii="Arial Narrow" w:eastAsia="Times New Roman" w:hAnsi="Arial Narrow"/>
                <w:sz w:val="20"/>
                <w:szCs w:val="20"/>
              </w:rPr>
            </w:pPr>
            <w:r w:rsidRPr="001D5864">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57914A5E"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(false-positive)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ED415"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0.0723</w:t>
            </w:r>
          </w:p>
        </w:tc>
        <w:tc>
          <w:tcPr>
            <w:tcW w:w="705" w:type="pct"/>
            <w:tcBorders>
              <w:top w:val="single" w:sz="4" w:space="0" w:color="auto"/>
              <w:left w:val="single" w:sz="4" w:space="0" w:color="auto"/>
              <w:bottom w:val="single" w:sz="4" w:space="0" w:color="auto"/>
              <w:right w:val="single" w:sz="4" w:space="0" w:color="auto"/>
            </w:tcBorders>
            <w:vAlign w:val="center"/>
          </w:tcPr>
          <w:p w14:paraId="2E7B24F6"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w:t>
            </w:r>
          </w:p>
        </w:tc>
        <w:tc>
          <w:tcPr>
            <w:tcW w:w="444" w:type="pct"/>
            <w:tcBorders>
              <w:top w:val="single" w:sz="4" w:space="0" w:color="auto"/>
              <w:left w:val="single" w:sz="4" w:space="0" w:color="auto"/>
              <w:bottom w:val="single" w:sz="4" w:space="0" w:color="auto"/>
              <w:right w:val="single" w:sz="4" w:space="0" w:color="auto"/>
            </w:tcBorders>
            <w:vAlign w:val="center"/>
          </w:tcPr>
          <w:p w14:paraId="4545CA9B"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0.0723</w:t>
            </w:r>
          </w:p>
        </w:tc>
      </w:tr>
      <w:tr w:rsidR="00E47AB8" w:rsidRPr="008B2F8A" w14:paraId="5161CC5E" w14:textId="77777777" w:rsidTr="00E14AC4">
        <w:tc>
          <w:tcPr>
            <w:tcW w:w="1972" w:type="pct"/>
            <w:tcBorders>
              <w:top w:val="nil"/>
              <w:bottom w:val="nil"/>
              <w:right w:val="nil"/>
            </w:tcBorders>
            <w:shd w:val="clear" w:color="auto" w:fill="auto"/>
            <w:noWrap/>
          </w:tcPr>
          <w:p w14:paraId="73FEEB5C" w14:textId="77777777" w:rsidR="00E47AB8" w:rsidRPr="008B2F8A" w:rsidRDefault="00E47AB8" w:rsidP="00E14AC4">
            <w:pPr>
              <w:spacing w:before="40" w:after="40"/>
              <w:rPr>
                <w:rFonts w:ascii="Arial Narrow" w:eastAsia="Times New Roman" w:hAnsi="Arial Narrow"/>
                <w:b/>
                <w:sz w:val="20"/>
                <w:szCs w:val="20"/>
              </w:rPr>
            </w:pPr>
            <w:r w:rsidRPr="001D5864">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15981A04"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False-negative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ACD05"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0.7166</w:t>
            </w:r>
          </w:p>
        </w:tc>
        <w:tc>
          <w:tcPr>
            <w:tcW w:w="705" w:type="pct"/>
            <w:tcBorders>
              <w:top w:val="single" w:sz="4" w:space="0" w:color="auto"/>
              <w:left w:val="single" w:sz="4" w:space="0" w:color="auto"/>
              <w:bottom w:val="single" w:sz="4" w:space="0" w:color="auto"/>
              <w:right w:val="single" w:sz="4" w:space="0" w:color="auto"/>
            </w:tcBorders>
            <w:vAlign w:val="center"/>
          </w:tcPr>
          <w:p w14:paraId="1007E9D3"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1.0635</w:t>
            </w:r>
          </w:p>
        </w:tc>
        <w:tc>
          <w:tcPr>
            <w:tcW w:w="444" w:type="pct"/>
            <w:tcBorders>
              <w:top w:val="single" w:sz="4" w:space="0" w:color="auto"/>
              <w:left w:val="single" w:sz="4" w:space="0" w:color="auto"/>
              <w:bottom w:val="single" w:sz="4" w:space="0" w:color="auto"/>
              <w:right w:val="single" w:sz="4" w:space="0" w:color="auto"/>
            </w:tcBorders>
            <w:vAlign w:val="center"/>
          </w:tcPr>
          <w:p w14:paraId="1AA1EF30" w14:textId="4C842CCC"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–0.3469</w:t>
            </w:r>
          </w:p>
        </w:tc>
      </w:tr>
      <w:tr w:rsidR="00E47AB8" w:rsidRPr="008B2F8A" w14:paraId="497F0843" w14:textId="77777777" w:rsidTr="00E14AC4">
        <w:tc>
          <w:tcPr>
            <w:tcW w:w="1972" w:type="pct"/>
            <w:tcBorders>
              <w:top w:val="nil"/>
              <w:bottom w:val="nil"/>
              <w:right w:val="nil"/>
            </w:tcBorders>
            <w:shd w:val="clear" w:color="auto" w:fill="auto"/>
            <w:noWrap/>
          </w:tcPr>
          <w:p w14:paraId="2FEA1A60" w14:textId="77777777" w:rsidR="00E47AB8" w:rsidRPr="008B2F8A" w:rsidRDefault="00E47AB8" w:rsidP="00E14AC4">
            <w:pPr>
              <w:spacing w:before="40" w:after="40"/>
              <w:rPr>
                <w:rFonts w:ascii="Arial Narrow" w:eastAsia="Times New Roman" w:hAnsi="Arial Narrow"/>
                <w:b/>
                <w:sz w:val="20"/>
                <w:szCs w:val="20"/>
              </w:rPr>
            </w:pPr>
            <w:r w:rsidRPr="001D5864">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4302A1C0"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In treatment (true-positive)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42A86"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5.2031</w:t>
            </w:r>
          </w:p>
        </w:tc>
        <w:tc>
          <w:tcPr>
            <w:tcW w:w="705" w:type="pct"/>
            <w:tcBorders>
              <w:top w:val="single" w:sz="4" w:space="0" w:color="auto"/>
              <w:left w:val="single" w:sz="4" w:space="0" w:color="auto"/>
              <w:bottom w:val="single" w:sz="4" w:space="0" w:color="auto"/>
              <w:right w:val="single" w:sz="4" w:space="0" w:color="auto"/>
            </w:tcBorders>
            <w:vAlign w:val="center"/>
          </w:tcPr>
          <w:p w14:paraId="55E04679"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4.5509</w:t>
            </w:r>
          </w:p>
        </w:tc>
        <w:tc>
          <w:tcPr>
            <w:tcW w:w="444" w:type="pct"/>
            <w:tcBorders>
              <w:top w:val="single" w:sz="4" w:space="0" w:color="auto"/>
              <w:left w:val="single" w:sz="4" w:space="0" w:color="auto"/>
              <w:bottom w:val="single" w:sz="4" w:space="0" w:color="auto"/>
              <w:right w:val="single" w:sz="4" w:space="0" w:color="auto"/>
            </w:tcBorders>
            <w:vAlign w:val="center"/>
          </w:tcPr>
          <w:p w14:paraId="17FC6A19"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0.6522</w:t>
            </w:r>
          </w:p>
        </w:tc>
      </w:tr>
      <w:tr w:rsidR="00E47AB8" w:rsidRPr="008B2F8A" w14:paraId="748982D4" w14:textId="77777777" w:rsidTr="00E14AC4">
        <w:tc>
          <w:tcPr>
            <w:tcW w:w="1972" w:type="pct"/>
            <w:tcBorders>
              <w:top w:val="nil"/>
              <w:bottom w:val="single" w:sz="4" w:space="0" w:color="auto"/>
              <w:right w:val="nil"/>
            </w:tcBorders>
            <w:shd w:val="clear" w:color="auto" w:fill="auto"/>
            <w:noWrap/>
          </w:tcPr>
          <w:p w14:paraId="296CE19C" w14:textId="77777777" w:rsidR="00E47AB8" w:rsidRPr="008B2F8A" w:rsidRDefault="00E47AB8" w:rsidP="00E14AC4">
            <w:pPr>
              <w:spacing w:before="40" w:after="40"/>
              <w:rPr>
                <w:rFonts w:ascii="Arial Narrow" w:eastAsia="Times New Roman" w:hAnsi="Arial Narrow"/>
                <w:b/>
                <w:sz w:val="20"/>
                <w:szCs w:val="20"/>
              </w:rPr>
            </w:pPr>
            <w:r w:rsidRPr="001D5864">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5117ED65"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Dead</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B1FB9"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20.5689</w:t>
            </w:r>
          </w:p>
        </w:tc>
        <w:tc>
          <w:tcPr>
            <w:tcW w:w="705" w:type="pct"/>
            <w:tcBorders>
              <w:top w:val="single" w:sz="4" w:space="0" w:color="auto"/>
              <w:left w:val="single" w:sz="4" w:space="0" w:color="auto"/>
              <w:bottom w:val="single" w:sz="4" w:space="0" w:color="auto"/>
              <w:right w:val="single" w:sz="4" w:space="0" w:color="auto"/>
            </w:tcBorders>
            <w:vAlign w:val="center"/>
          </w:tcPr>
          <w:p w14:paraId="45FCC27D"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22.1365</w:t>
            </w:r>
          </w:p>
        </w:tc>
        <w:tc>
          <w:tcPr>
            <w:tcW w:w="444" w:type="pct"/>
            <w:tcBorders>
              <w:top w:val="single" w:sz="4" w:space="0" w:color="auto"/>
              <w:left w:val="single" w:sz="4" w:space="0" w:color="auto"/>
              <w:bottom w:val="single" w:sz="4" w:space="0" w:color="auto"/>
              <w:right w:val="single" w:sz="4" w:space="0" w:color="auto"/>
            </w:tcBorders>
            <w:vAlign w:val="center"/>
          </w:tcPr>
          <w:p w14:paraId="0CBE1DCA" w14:textId="05B77A89"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–1.5676</w:t>
            </w:r>
          </w:p>
        </w:tc>
      </w:tr>
      <w:tr w:rsidR="00E47AB8" w:rsidRPr="008B2F8A" w14:paraId="54BE101B" w14:textId="77777777" w:rsidTr="00E14AC4">
        <w:tc>
          <w:tcPr>
            <w:tcW w:w="1972" w:type="pct"/>
            <w:tcBorders>
              <w:top w:val="single" w:sz="4" w:space="0" w:color="auto"/>
              <w:bottom w:val="nil"/>
              <w:right w:val="nil"/>
            </w:tcBorders>
            <w:shd w:val="clear" w:color="auto" w:fill="auto"/>
            <w:noWrap/>
            <w:hideMark/>
          </w:tcPr>
          <w:p w14:paraId="5A6D04E9" w14:textId="77777777" w:rsidR="00E47AB8" w:rsidRPr="008B2F8A" w:rsidRDefault="00E47AB8" w:rsidP="00E14AC4">
            <w:pPr>
              <w:spacing w:before="40" w:after="40"/>
              <w:rPr>
                <w:rFonts w:ascii="Arial Narrow" w:eastAsia="Times New Roman" w:hAnsi="Arial Narrow"/>
                <w:i/>
                <w:sz w:val="20"/>
                <w:szCs w:val="20"/>
              </w:rPr>
            </w:pPr>
            <w:r w:rsidRPr="008B2F8A">
              <w:rPr>
                <w:rFonts w:ascii="Arial Narrow" w:eastAsia="Times New Roman" w:hAnsi="Arial Narrow"/>
                <w:i/>
                <w:sz w:val="20"/>
                <w:szCs w:val="20"/>
              </w:rPr>
              <w:t>Familial high-risk</w:t>
            </w:r>
          </w:p>
        </w:tc>
        <w:tc>
          <w:tcPr>
            <w:tcW w:w="1096" w:type="pct"/>
            <w:tcBorders>
              <w:top w:val="single" w:sz="4" w:space="0" w:color="auto"/>
              <w:bottom w:val="single" w:sz="4" w:space="0" w:color="auto"/>
              <w:right w:val="single" w:sz="4" w:space="0" w:color="auto"/>
            </w:tcBorders>
            <w:vAlign w:val="center"/>
          </w:tcPr>
          <w:p w14:paraId="23624F44"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(true-negative)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79768"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48.958</w:t>
            </w:r>
          </w:p>
        </w:tc>
        <w:tc>
          <w:tcPr>
            <w:tcW w:w="705" w:type="pct"/>
            <w:tcBorders>
              <w:top w:val="single" w:sz="4" w:space="0" w:color="auto"/>
              <w:left w:val="single" w:sz="4" w:space="0" w:color="auto"/>
              <w:bottom w:val="single" w:sz="4" w:space="0" w:color="auto"/>
              <w:right w:val="single" w:sz="4" w:space="0" w:color="auto"/>
            </w:tcBorders>
            <w:vAlign w:val="center"/>
          </w:tcPr>
          <w:p w14:paraId="25C830FF"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48.5964</w:t>
            </w:r>
          </w:p>
        </w:tc>
        <w:tc>
          <w:tcPr>
            <w:tcW w:w="444" w:type="pct"/>
            <w:tcBorders>
              <w:top w:val="single" w:sz="4" w:space="0" w:color="auto"/>
              <w:left w:val="single" w:sz="4" w:space="0" w:color="auto"/>
              <w:bottom w:val="single" w:sz="4" w:space="0" w:color="auto"/>
              <w:right w:val="single" w:sz="4" w:space="0" w:color="auto"/>
            </w:tcBorders>
            <w:vAlign w:val="center"/>
          </w:tcPr>
          <w:p w14:paraId="0C0C73AB"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0.3616</w:t>
            </w:r>
          </w:p>
        </w:tc>
      </w:tr>
      <w:tr w:rsidR="00E47AB8" w:rsidRPr="008B2F8A" w14:paraId="5623DB90" w14:textId="77777777" w:rsidTr="00E14AC4">
        <w:tc>
          <w:tcPr>
            <w:tcW w:w="1972" w:type="pct"/>
            <w:tcBorders>
              <w:top w:val="nil"/>
              <w:bottom w:val="nil"/>
              <w:right w:val="nil"/>
            </w:tcBorders>
            <w:shd w:val="clear" w:color="auto" w:fill="auto"/>
            <w:noWrap/>
          </w:tcPr>
          <w:p w14:paraId="1A7CC35D" w14:textId="77777777" w:rsidR="00E47AB8" w:rsidRPr="008B2F8A" w:rsidRDefault="00E47AB8" w:rsidP="00E14AC4">
            <w:pPr>
              <w:spacing w:before="40" w:after="40"/>
              <w:rPr>
                <w:rFonts w:ascii="Arial Narrow" w:eastAsia="Times New Roman" w:hAnsi="Arial Narrow"/>
                <w:sz w:val="20"/>
                <w:szCs w:val="20"/>
              </w:rPr>
            </w:pPr>
            <w:r w:rsidRPr="003975E5">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3F5F7B4F"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(false-positive)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A6C33"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0.2619</w:t>
            </w:r>
          </w:p>
        </w:tc>
        <w:tc>
          <w:tcPr>
            <w:tcW w:w="705" w:type="pct"/>
            <w:tcBorders>
              <w:top w:val="single" w:sz="4" w:space="0" w:color="auto"/>
              <w:left w:val="single" w:sz="4" w:space="0" w:color="auto"/>
              <w:bottom w:val="single" w:sz="4" w:space="0" w:color="auto"/>
              <w:right w:val="single" w:sz="4" w:space="0" w:color="auto"/>
            </w:tcBorders>
            <w:vAlign w:val="center"/>
          </w:tcPr>
          <w:p w14:paraId="23E5CCF3"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0.1218</w:t>
            </w:r>
          </w:p>
        </w:tc>
        <w:tc>
          <w:tcPr>
            <w:tcW w:w="444" w:type="pct"/>
            <w:tcBorders>
              <w:top w:val="single" w:sz="4" w:space="0" w:color="auto"/>
              <w:left w:val="single" w:sz="4" w:space="0" w:color="auto"/>
              <w:bottom w:val="single" w:sz="4" w:space="0" w:color="auto"/>
              <w:right w:val="single" w:sz="4" w:space="0" w:color="auto"/>
            </w:tcBorders>
            <w:vAlign w:val="center"/>
          </w:tcPr>
          <w:p w14:paraId="41F459BF"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0.1401</w:t>
            </w:r>
          </w:p>
        </w:tc>
      </w:tr>
      <w:tr w:rsidR="00E47AB8" w:rsidRPr="008B2F8A" w14:paraId="1D73C747" w14:textId="77777777" w:rsidTr="00E14AC4">
        <w:tc>
          <w:tcPr>
            <w:tcW w:w="1972" w:type="pct"/>
            <w:tcBorders>
              <w:top w:val="nil"/>
              <w:bottom w:val="nil"/>
              <w:right w:val="nil"/>
            </w:tcBorders>
            <w:shd w:val="clear" w:color="auto" w:fill="auto"/>
            <w:noWrap/>
          </w:tcPr>
          <w:p w14:paraId="38AB01B9" w14:textId="77777777" w:rsidR="00E47AB8" w:rsidRPr="008B2F8A" w:rsidRDefault="00E47AB8" w:rsidP="00E14AC4">
            <w:pPr>
              <w:spacing w:before="40" w:after="40"/>
              <w:rPr>
                <w:rFonts w:ascii="Arial Narrow" w:eastAsia="Times New Roman" w:hAnsi="Arial Narrow"/>
                <w:b/>
                <w:sz w:val="20"/>
                <w:szCs w:val="20"/>
              </w:rPr>
            </w:pPr>
            <w:r w:rsidRPr="003975E5">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136DEAF4"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False-negative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B56D2"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0.5059</w:t>
            </w:r>
          </w:p>
        </w:tc>
        <w:tc>
          <w:tcPr>
            <w:tcW w:w="705" w:type="pct"/>
            <w:tcBorders>
              <w:top w:val="single" w:sz="4" w:space="0" w:color="auto"/>
              <w:left w:val="single" w:sz="4" w:space="0" w:color="auto"/>
              <w:bottom w:val="single" w:sz="4" w:space="0" w:color="auto"/>
              <w:right w:val="single" w:sz="4" w:space="0" w:color="auto"/>
            </w:tcBorders>
            <w:vAlign w:val="center"/>
          </w:tcPr>
          <w:p w14:paraId="4B9EC1BB"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0.6641</w:t>
            </w:r>
          </w:p>
        </w:tc>
        <w:tc>
          <w:tcPr>
            <w:tcW w:w="444" w:type="pct"/>
            <w:tcBorders>
              <w:top w:val="single" w:sz="4" w:space="0" w:color="auto"/>
              <w:left w:val="single" w:sz="4" w:space="0" w:color="auto"/>
              <w:bottom w:val="single" w:sz="4" w:space="0" w:color="auto"/>
              <w:right w:val="single" w:sz="4" w:space="0" w:color="auto"/>
            </w:tcBorders>
            <w:vAlign w:val="center"/>
          </w:tcPr>
          <w:p w14:paraId="247AFE20" w14:textId="6AE486E0"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–0.1581</w:t>
            </w:r>
          </w:p>
        </w:tc>
      </w:tr>
      <w:tr w:rsidR="00E47AB8" w:rsidRPr="008B2F8A" w14:paraId="21013690" w14:textId="77777777" w:rsidTr="00E14AC4">
        <w:tc>
          <w:tcPr>
            <w:tcW w:w="1972" w:type="pct"/>
            <w:tcBorders>
              <w:top w:val="nil"/>
              <w:bottom w:val="nil"/>
              <w:right w:val="nil"/>
            </w:tcBorders>
            <w:shd w:val="clear" w:color="auto" w:fill="auto"/>
            <w:noWrap/>
          </w:tcPr>
          <w:p w14:paraId="7DB0A45D" w14:textId="77777777" w:rsidR="00E47AB8" w:rsidRPr="008B2F8A" w:rsidRDefault="00E47AB8" w:rsidP="00E14AC4">
            <w:pPr>
              <w:spacing w:before="40" w:after="40"/>
              <w:rPr>
                <w:rFonts w:ascii="Arial Narrow" w:eastAsia="Times New Roman" w:hAnsi="Arial Narrow"/>
                <w:b/>
                <w:sz w:val="20"/>
                <w:szCs w:val="20"/>
              </w:rPr>
            </w:pPr>
            <w:r w:rsidRPr="003975E5">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7C9E7F1D"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In treatment (true-positive)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F7B23"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3.6217</w:t>
            </w:r>
          </w:p>
        </w:tc>
        <w:tc>
          <w:tcPr>
            <w:tcW w:w="705" w:type="pct"/>
            <w:tcBorders>
              <w:top w:val="single" w:sz="4" w:space="0" w:color="auto"/>
              <w:left w:val="single" w:sz="4" w:space="0" w:color="auto"/>
              <w:bottom w:val="single" w:sz="4" w:space="0" w:color="auto"/>
              <w:right w:val="single" w:sz="4" w:space="0" w:color="auto"/>
            </w:tcBorders>
            <w:vAlign w:val="center"/>
          </w:tcPr>
          <w:p w14:paraId="20A3D472"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3.3754</w:t>
            </w:r>
          </w:p>
        </w:tc>
        <w:tc>
          <w:tcPr>
            <w:tcW w:w="444" w:type="pct"/>
            <w:tcBorders>
              <w:top w:val="single" w:sz="4" w:space="0" w:color="auto"/>
              <w:left w:val="single" w:sz="4" w:space="0" w:color="auto"/>
              <w:bottom w:val="single" w:sz="4" w:space="0" w:color="auto"/>
              <w:right w:val="single" w:sz="4" w:space="0" w:color="auto"/>
            </w:tcBorders>
            <w:vAlign w:val="center"/>
          </w:tcPr>
          <w:p w14:paraId="4819CE03"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0.2463</w:t>
            </w:r>
          </w:p>
        </w:tc>
      </w:tr>
      <w:tr w:rsidR="00E47AB8" w:rsidRPr="008B2F8A" w14:paraId="163379F5" w14:textId="77777777" w:rsidTr="00E14AC4">
        <w:tc>
          <w:tcPr>
            <w:tcW w:w="1972" w:type="pct"/>
            <w:tcBorders>
              <w:top w:val="nil"/>
              <w:bottom w:val="single" w:sz="4" w:space="0" w:color="auto"/>
              <w:right w:val="nil"/>
            </w:tcBorders>
            <w:shd w:val="clear" w:color="auto" w:fill="auto"/>
            <w:noWrap/>
          </w:tcPr>
          <w:p w14:paraId="4696F440" w14:textId="77777777" w:rsidR="00E47AB8" w:rsidRPr="008B2F8A" w:rsidRDefault="00E47AB8" w:rsidP="00E14AC4">
            <w:pPr>
              <w:spacing w:before="40" w:after="40"/>
              <w:rPr>
                <w:rFonts w:ascii="Arial Narrow" w:eastAsia="Times New Roman" w:hAnsi="Arial Narrow"/>
                <w:b/>
                <w:sz w:val="20"/>
                <w:szCs w:val="20"/>
              </w:rPr>
            </w:pPr>
            <w:r w:rsidRPr="003975E5">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28250F19"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Dead</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0EF60"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15.6525</w:t>
            </w:r>
          </w:p>
        </w:tc>
        <w:tc>
          <w:tcPr>
            <w:tcW w:w="705" w:type="pct"/>
            <w:tcBorders>
              <w:top w:val="single" w:sz="4" w:space="0" w:color="auto"/>
              <w:left w:val="single" w:sz="4" w:space="0" w:color="auto"/>
              <w:bottom w:val="single" w:sz="4" w:space="0" w:color="auto"/>
              <w:right w:val="single" w:sz="4" w:space="0" w:color="auto"/>
            </w:tcBorders>
            <w:vAlign w:val="center"/>
          </w:tcPr>
          <w:p w14:paraId="74ABFFAD"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16.2424</w:t>
            </w:r>
          </w:p>
        </w:tc>
        <w:tc>
          <w:tcPr>
            <w:tcW w:w="444" w:type="pct"/>
            <w:tcBorders>
              <w:top w:val="single" w:sz="4" w:space="0" w:color="auto"/>
              <w:left w:val="single" w:sz="4" w:space="0" w:color="auto"/>
              <w:bottom w:val="single" w:sz="4" w:space="0" w:color="auto"/>
              <w:right w:val="single" w:sz="4" w:space="0" w:color="auto"/>
            </w:tcBorders>
            <w:vAlign w:val="center"/>
          </w:tcPr>
          <w:p w14:paraId="057C8CD5" w14:textId="5C17268D"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–0.5898</w:t>
            </w:r>
          </w:p>
        </w:tc>
      </w:tr>
      <w:tr w:rsidR="00E47AB8" w:rsidRPr="008B2F8A" w14:paraId="3D79F5EE" w14:textId="77777777" w:rsidTr="00E14AC4">
        <w:tc>
          <w:tcPr>
            <w:tcW w:w="1972" w:type="pct"/>
            <w:tcBorders>
              <w:top w:val="single" w:sz="4" w:space="0" w:color="auto"/>
              <w:bottom w:val="nil"/>
              <w:right w:val="nil"/>
            </w:tcBorders>
            <w:shd w:val="clear" w:color="auto" w:fill="auto"/>
            <w:noWrap/>
            <w:hideMark/>
          </w:tcPr>
          <w:p w14:paraId="4FDA76C8" w14:textId="77777777" w:rsidR="00E47AB8" w:rsidRPr="008B2F8A" w:rsidRDefault="00E47AB8" w:rsidP="00E14AC4">
            <w:pPr>
              <w:spacing w:before="40" w:after="40"/>
              <w:rPr>
                <w:rFonts w:ascii="Arial Narrow" w:eastAsia="Times New Roman" w:hAnsi="Arial Narrow"/>
                <w:sz w:val="20"/>
                <w:szCs w:val="20"/>
              </w:rPr>
            </w:pPr>
            <w:r w:rsidRPr="008B2F8A">
              <w:rPr>
                <w:rFonts w:ascii="Arial Narrow" w:eastAsia="Times New Roman" w:hAnsi="Arial Narrow"/>
                <w:i/>
                <w:sz w:val="20"/>
                <w:szCs w:val="20"/>
              </w:rPr>
              <w:t>Prior history of invasive breast cancer</w:t>
            </w:r>
          </w:p>
        </w:tc>
        <w:tc>
          <w:tcPr>
            <w:tcW w:w="1096" w:type="pct"/>
            <w:tcBorders>
              <w:top w:val="single" w:sz="4" w:space="0" w:color="auto"/>
              <w:bottom w:val="single" w:sz="4" w:space="0" w:color="auto"/>
              <w:right w:val="single" w:sz="4" w:space="0" w:color="auto"/>
            </w:tcBorders>
            <w:vAlign w:val="center"/>
          </w:tcPr>
          <w:p w14:paraId="0B0BBB23"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(true-negative)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6F771"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39.5742</w:t>
            </w:r>
          </w:p>
        </w:tc>
        <w:tc>
          <w:tcPr>
            <w:tcW w:w="705" w:type="pct"/>
            <w:tcBorders>
              <w:top w:val="single" w:sz="4" w:space="0" w:color="auto"/>
              <w:left w:val="single" w:sz="4" w:space="0" w:color="auto"/>
              <w:bottom w:val="single" w:sz="4" w:space="0" w:color="auto"/>
              <w:right w:val="single" w:sz="4" w:space="0" w:color="auto"/>
            </w:tcBorders>
            <w:vAlign w:val="bottom"/>
          </w:tcPr>
          <w:p w14:paraId="781FA00F"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39.4082</w:t>
            </w:r>
          </w:p>
        </w:tc>
        <w:tc>
          <w:tcPr>
            <w:tcW w:w="444" w:type="pct"/>
            <w:tcBorders>
              <w:top w:val="single" w:sz="4" w:space="0" w:color="auto"/>
              <w:left w:val="single" w:sz="4" w:space="0" w:color="auto"/>
              <w:bottom w:val="single" w:sz="4" w:space="0" w:color="auto"/>
              <w:right w:val="single" w:sz="4" w:space="0" w:color="auto"/>
            </w:tcBorders>
            <w:vAlign w:val="bottom"/>
          </w:tcPr>
          <w:p w14:paraId="704C62DF"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0.1660</w:t>
            </w:r>
          </w:p>
        </w:tc>
      </w:tr>
      <w:tr w:rsidR="00E47AB8" w:rsidRPr="008B2F8A" w14:paraId="0E6A5E04" w14:textId="77777777" w:rsidTr="00E14AC4">
        <w:tc>
          <w:tcPr>
            <w:tcW w:w="1972" w:type="pct"/>
            <w:tcBorders>
              <w:top w:val="nil"/>
              <w:bottom w:val="nil"/>
              <w:right w:val="nil"/>
            </w:tcBorders>
            <w:shd w:val="clear" w:color="auto" w:fill="auto"/>
            <w:noWrap/>
          </w:tcPr>
          <w:p w14:paraId="0ADC7B1D" w14:textId="77777777" w:rsidR="00E47AB8" w:rsidRPr="008B2F8A" w:rsidRDefault="00E47AB8" w:rsidP="00E14AC4">
            <w:pPr>
              <w:spacing w:before="40" w:after="40"/>
              <w:rPr>
                <w:rFonts w:ascii="Arial Narrow" w:eastAsia="Times New Roman" w:hAnsi="Arial Narrow"/>
                <w:sz w:val="20"/>
                <w:szCs w:val="20"/>
              </w:rPr>
            </w:pPr>
            <w:r w:rsidRPr="00087890">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476BBE3C"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(false-positive)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DCE34"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0.2361</w:t>
            </w:r>
          </w:p>
        </w:tc>
        <w:tc>
          <w:tcPr>
            <w:tcW w:w="705" w:type="pct"/>
            <w:tcBorders>
              <w:top w:val="single" w:sz="4" w:space="0" w:color="auto"/>
              <w:left w:val="single" w:sz="4" w:space="0" w:color="auto"/>
              <w:bottom w:val="single" w:sz="4" w:space="0" w:color="auto"/>
              <w:right w:val="single" w:sz="4" w:space="0" w:color="auto"/>
            </w:tcBorders>
            <w:vAlign w:val="bottom"/>
          </w:tcPr>
          <w:p w14:paraId="0E8C6288"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0.1649</w:t>
            </w:r>
          </w:p>
        </w:tc>
        <w:tc>
          <w:tcPr>
            <w:tcW w:w="444" w:type="pct"/>
            <w:tcBorders>
              <w:top w:val="single" w:sz="4" w:space="0" w:color="auto"/>
              <w:left w:val="single" w:sz="4" w:space="0" w:color="auto"/>
              <w:bottom w:val="single" w:sz="4" w:space="0" w:color="auto"/>
              <w:right w:val="single" w:sz="4" w:space="0" w:color="auto"/>
            </w:tcBorders>
            <w:vAlign w:val="bottom"/>
          </w:tcPr>
          <w:p w14:paraId="3AACB361"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0.0712</w:t>
            </w:r>
          </w:p>
        </w:tc>
      </w:tr>
      <w:tr w:rsidR="00E47AB8" w:rsidRPr="008B2F8A" w14:paraId="2EBECB55" w14:textId="77777777" w:rsidTr="00E14AC4">
        <w:tc>
          <w:tcPr>
            <w:tcW w:w="1972" w:type="pct"/>
            <w:tcBorders>
              <w:top w:val="nil"/>
              <w:bottom w:val="nil"/>
              <w:right w:val="nil"/>
            </w:tcBorders>
            <w:shd w:val="clear" w:color="auto" w:fill="auto"/>
            <w:noWrap/>
          </w:tcPr>
          <w:p w14:paraId="21A587C3" w14:textId="77777777" w:rsidR="00E47AB8" w:rsidRPr="008B2F8A" w:rsidRDefault="00E47AB8" w:rsidP="00E14AC4">
            <w:pPr>
              <w:spacing w:before="40" w:after="40"/>
              <w:rPr>
                <w:rFonts w:ascii="Arial Narrow" w:eastAsia="Times New Roman" w:hAnsi="Arial Narrow"/>
                <w:b/>
                <w:sz w:val="20"/>
                <w:szCs w:val="20"/>
              </w:rPr>
            </w:pPr>
            <w:r w:rsidRPr="00087890">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6656022E"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False-negative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9E7D59"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0.1053</w:t>
            </w:r>
          </w:p>
        </w:tc>
        <w:tc>
          <w:tcPr>
            <w:tcW w:w="705" w:type="pct"/>
            <w:tcBorders>
              <w:top w:val="single" w:sz="4" w:space="0" w:color="auto"/>
              <w:left w:val="single" w:sz="4" w:space="0" w:color="auto"/>
              <w:bottom w:val="single" w:sz="4" w:space="0" w:color="auto"/>
              <w:right w:val="single" w:sz="4" w:space="0" w:color="auto"/>
            </w:tcBorders>
            <w:vAlign w:val="bottom"/>
          </w:tcPr>
          <w:p w14:paraId="373B829E"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0.1765</w:t>
            </w:r>
          </w:p>
        </w:tc>
        <w:tc>
          <w:tcPr>
            <w:tcW w:w="444" w:type="pct"/>
            <w:tcBorders>
              <w:top w:val="single" w:sz="4" w:space="0" w:color="auto"/>
              <w:left w:val="single" w:sz="4" w:space="0" w:color="auto"/>
              <w:bottom w:val="single" w:sz="4" w:space="0" w:color="auto"/>
              <w:right w:val="single" w:sz="4" w:space="0" w:color="auto"/>
            </w:tcBorders>
            <w:vAlign w:val="bottom"/>
          </w:tcPr>
          <w:p w14:paraId="010EC596" w14:textId="7F2ECDB4"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–0.0712</w:t>
            </w:r>
          </w:p>
        </w:tc>
      </w:tr>
      <w:tr w:rsidR="00E47AB8" w:rsidRPr="008B2F8A" w14:paraId="1AA2E2DD" w14:textId="77777777" w:rsidTr="00E14AC4">
        <w:tc>
          <w:tcPr>
            <w:tcW w:w="1972" w:type="pct"/>
            <w:tcBorders>
              <w:top w:val="nil"/>
              <w:bottom w:val="nil"/>
              <w:right w:val="nil"/>
            </w:tcBorders>
            <w:shd w:val="clear" w:color="auto" w:fill="auto"/>
            <w:noWrap/>
          </w:tcPr>
          <w:p w14:paraId="688B4C6D" w14:textId="77777777" w:rsidR="00E47AB8" w:rsidRPr="008B2F8A" w:rsidRDefault="00E47AB8" w:rsidP="00E14AC4">
            <w:pPr>
              <w:spacing w:before="40" w:after="40"/>
              <w:rPr>
                <w:rFonts w:ascii="Arial Narrow" w:eastAsia="Times New Roman" w:hAnsi="Arial Narrow"/>
                <w:b/>
                <w:sz w:val="20"/>
                <w:szCs w:val="20"/>
              </w:rPr>
            </w:pPr>
            <w:r w:rsidRPr="00087890">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42FFE10E"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In treatment (true-positive)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69A402"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1.0923</w:t>
            </w:r>
          </w:p>
        </w:tc>
        <w:tc>
          <w:tcPr>
            <w:tcW w:w="705" w:type="pct"/>
            <w:tcBorders>
              <w:top w:val="single" w:sz="4" w:space="0" w:color="auto"/>
              <w:left w:val="single" w:sz="4" w:space="0" w:color="auto"/>
              <w:bottom w:val="single" w:sz="4" w:space="0" w:color="auto"/>
              <w:right w:val="single" w:sz="4" w:space="0" w:color="auto"/>
            </w:tcBorders>
            <w:vAlign w:val="bottom"/>
          </w:tcPr>
          <w:p w14:paraId="08C5DD56"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0.9973</w:t>
            </w:r>
          </w:p>
        </w:tc>
        <w:tc>
          <w:tcPr>
            <w:tcW w:w="444" w:type="pct"/>
            <w:tcBorders>
              <w:top w:val="single" w:sz="4" w:space="0" w:color="auto"/>
              <w:left w:val="single" w:sz="4" w:space="0" w:color="auto"/>
              <w:bottom w:val="single" w:sz="4" w:space="0" w:color="auto"/>
              <w:right w:val="single" w:sz="4" w:space="0" w:color="auto"/>
            </w:tcBorders>
            <w:vAlign w:val="bottom"/>
          </w:tcPr>
          <w:p w14:paraId="29C8E26B"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0.0950</w:t>
            </w:r>
          </w:p>
        </w:tc>
      </w:tr>
      <w:tr w:rsidR="00E47AB8" w:rsidRPr="008B2F8A" w14:paraId="26A8A0BC" w14:textId="77777777" w:rsidTr="00E14AC4">
        <w:tc>
          <w:tcPr>
            <w:tcW w:w="1972" w:type="pct"/>
            <w:tcBorders>
              <w:top w:val="nil"/>
              <w:bottom w:val="single" w:sz="4" w:space="0" w:color="auto"/>
              <w:right w:val="nil"/>
            </w:tcBorders>
            <w:shd w:val="clear" w:color="auto" w:fill="auto"/>
            <w:noWrap/>
          </w:tcPr>
          <w:p w14:paraId="75E5F067" w14:textId="77777777" w:rsidR="00E47AB8" w:rsidRPr="008B2F8A" w:rsidRDefault="00E47AB8" w:rsidP="00E14AC4">
            <w:pPr>
              <w:spacing w:before="40" w:after="40"/>
              <w:rPr>
                <w:rFonts w:ascii="Arial Narrow" w:eastAsia="Times New Roman" w:hAnsi="Arial Narrow"/>
                <w:b/>
                <w:sz w:val="20"/>
                <w:szCs w:val="20"/>
              </w:rPr>
            </w:pPr>
            <w:r w:rsidRPr="00087890">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1144A17F"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Dead</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44534"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13.9921</w:t>
            </w:r>
          </w:p>
        </w:tc>
        <w:tc>
          <w:tcPr>
            <w:tcW w:w="705" w:type="pct"/>
            <w:tcBorders>
              <w:top w:val="single" w:sz="4" w:space="0" w:color="auto"/>
              <w:left w:val="single" w:sz="4" w:space="0" w:color="auto"/>
              <w:bottom w:val="single" w:sz="4" w:space="0" w:color="auto"/>
              <w:right w:val="single" w:sz="4" w:space="0" w:color="auto"/>
            </w:tcBorders>
            <w:vAlign w:val="bottom"/>
          </w:tcPr>
          <w:p w14:paraId="060F9AFC"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14.2531</w:t>
            </w:r>
          </w:p>
        </w:tc>
        <w:tc>
          <w:tcPr>
            <w:tcW w:w="444" w:type="pct"/>
            <w:tcBorders>
              <w:top w:val="single" w:sz="4" w:space="0" w:color="auto"/>
              <w:left w:val="single" w:sz="4" w:space="0" w:color="auto"/>
              <w:bottom w:val="single" w:sz="4" w:space="0" w:color="auto"/>
              <w:right w:val="single" w:sz="4" w:space="0" w:color="auto"/>
            </w:tcBorders>
            <w:vAlign w:val="bottom"/>
          </w:tcPr>
          <w:p w14:paraId="1FB966C7" w14:textId="419674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–0.2610</w:t>
            </w:r>
          </w:p>
        </w:tc>
      </w:tr>
      <w:tr w:rsidR="00E47AB8" w:rsidRPr="008B2F8A" w14:paraId="58B86134" w14:textId="77777777" w:rsidTr="00E14AC4">
        <w:tc>
          <w:tcPr>
            <w:tcW w:w="1972" w:type="pct"/>
            <w:tcBorders>
              <w:top w:val="single" w:sz="4" w:space="0" w:color="auto"/>
              <w:bottom w:val="nil"/>
              <w:right w:val="nil"/>
            </w:tcBorders>
            <w:shd w:val="clear" w:color="auto" w:fill="auto"/>
            <w:noWrap/>
            <w:hideMark/>
          </w:tcPr>
          <w:p w14:paraId="2E2B07DE" w14:textId="77777777" w:rsidR="00E47AB8" w:rsidRPr="008B2F8A" w:rsidRDefault="00E47AB8" w:rsidP="00E14AC4">
            <w:pPr>
              <w:spacing w:before="40" w:after="40"/>
              <w:rPr>
                <w:rFonts w:ascii="Arial Narrow" w:eastAsia="Times New Roman" w:hAnsi="Arial Narrow"/>
                <w:sz w:val="20"/>
                <w:szCs w:val="20"/>
              </w:rPr>
            </w:pPr>
            <w:r w:rsidRPr="008B2F8A">
              <w:rPr>
                <w:rFonts w:ascii="Arial Narrow" w:eastAsia="Times New Roman" w:hAnsi="Arial Narrow"/>
                <w:i/>
                <w:sz w:val="20"/>
                <w:szCs w:val="20"/>
              </w:rPr>
              <w:t>Prior history of treatment for DCIS or LCIS</w:t>
            </w:r>
          </w:p>
        </w:tc>
        <w:tc>
          <w:tcPr>
            <w:tcW w:w="1096" w:type="pct"/>
            <w:tcBorders>
              <w:top w:val="single" w:sz="4" w:space="0" w:color="auto"/>
              <w:bottom w:val="single" w:sz="4" w:space="0" w:color="auto"/>
              <w:right w:val="single" w:sz="4" w:space="0" w:color="auto"/>
            </w:tcBorders>
            <w:vAlign w:val="center"/>
          </w:tcPr>
          <w:p w14:paraId="43D992A2"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(true-negative)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B3988"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39.2552</w:t>
            </w:r>
          </w:p>
        </w:tc>
        <w:tc>
          <w:tcPr>
            <w:tcW w:w="705" w:type="pct"/>
            <w:tcBorders>
              <w:top w:val="single" w:sz="4" w:space="0" w:color="auto"/>
              <w:left w:val="single" w:sz="4" w:space="0" w:color="auto"/>
              <w:bottom w:val="single" w:sz="4" w:space="0" w:color="auto"/>
              <w:right w:val="single" w:sz="4" w:space="0" w:color="auto"/>
            </w:tcBorders>
            <w:vAlign w:val="bottom"/>
          </w:tcPr>
          <w:p w14:paraId="513AC05E"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39.1516</w:t>
            </w:r>
          </w:p>
        </w:tc>
        <w:tc>
          <w:tcPr>
            <w:tcW w:w="444" w:type="pct"/>
            <w:tcBorders>
              <w:top w:val="single" w:sz="4" w:space="0" w:color="auto"/>
              <w:left w:val="single" w:sz="4" w:space="0" w:color="auto"/>
              <w:bottom w:val="single" w:sz="4" w:space="0" w:color="auto"/>
              <w:right w:val="single" w:sz="4" w:space="0" w:color="auto"/>
            </w:tcBorders>
            <w:vAlign w:val="bottom"/>
          </w:tcPr>
          <w:p w14:paraId="55F2A532"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0.1037</w:t>
            </w:r>
          </w:p>
        </w:tc>
      </w:tr>
      <w:tr w:rsidR="00E47AB8" w:rsidRPr="008B2F8A" w14:paraId="15DC2AFA" w14:textId="77777777" w:rsidTr="00E14AC4">
        <w:tc>
          <w:tcPr>
            <w:tcW w:w="1972" w:type="pct"/>
            <w:tcBorders>
              <w:top w:val="nil"/>
              <w:bottom w:val="nil"/>
              <w:right w:val="nil"/>
            </w:tcBorders>
            <w:shd w:val="clear" w:color="auto" w:fill="auto"/>
            <w:noWrap/>
          </w:tcPr>
          <w:p w14:paraId="3475F344" w14:textId="77777777" w:rsidR="00E47AB8" w:rsidRPr="008B2F8A" w:rsidRDefault="00E47AB8" w:rsidP="00E14AC4">
            <w:pPr>
              <w:spacing w:before="40" w:after="40"/>
              <w:rPr>
                <w:rFonts w:ascii="Arial Narrow" w:eastAsia="Times New Roman" w:hAnsi="Arial Narrow"/>
                <w:sz w:val="20"/>
                <w:szCs w:val="20"/>
              </w:rPr>
            </w:pPr>
            <w:r w:rsidRPr="00B871FB">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2C023658"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(false-positive)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BA21C"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0.3918</w:t>
            </w:r>
          </w:p>
        </w:tc>
        <w:tc>
          <w:tcPr>
            <w:tcW w:w="705" w:type="pct"/>
            <w:tcBorders>
              <w:top w:val="single" w:sz="4" w:space="0" w:color="auto"/>
              <w:left w:val="single" w:sz="4" w:space="0" w:color="auto"/>
              <w:bottom w:val="single" w:sz="4" w:space="0" w:color="auto"/>
              <w:right w:val="single" w:sz="4" w:space="0" w:color="auto"/>
            </w:tcBorders>
            <w:vAlign w:val="bottom"/>
          </w:tcPr>
          <w:p w14:paraId="49B70BB3"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0.3290</w:t>
            </w:r>
          </w:p>
        </w:tc>
        <w:tc>
          <w:tcPr>
            <w:tcW w:w="444" w:type="pct"/>
            <w:tcBorders>
              <w:top w:val="single" w:sz="4" w:space="0" w:color="auto"/>
              <w:left w:val="single" w:sz="4" w:space="0" w:color="auto"/>
              <w:bottom w:val="single" w:sz="4" w:space="0" w:color="auto"/>
              <w:right w:val="single" w:sz="4" w:space="0" w:color="auto"/>
            </w:tcBorders>
            <w:vAlign w:val="bottom"/>
          </w:tcPr>
          <w:p w14:paraId="0E48B1DD"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0.0628</w:t>
            </w:r>
          </w:p>
        </w:tc>
      </w:tr>
      <w:tr w:rsidR="00E47AB8" w:rsidRPr="008B2F8A" w14:paraId="531C3C5B" w14:textId="77777777" w:rsidTr="00E14AC4">
        <w:tc>
          <w:tcPr>
            <w:tcW w:w="1972" w:type="pct"/>
            <w:tcBorders>
              <w:top w:val="nil"/>
              <w:bottom w:val="nil"/>
              <w:right w:val="nil"/>
            </w:tcBorders>
            <w:shd w:val="clear" w:color="auto" w:fill="auto"/>
            <w:noWrap/>
          </w:tcPr>
          <w:p w14:paraId="3A697B6F" w14:textId="77777777" w:rsidR="00E47AB8" w:rsidRPr="008B2F8A" w:rsidRDefault="00E47AB8" w:rsidP="00E14AC4">
            <w:pPr>
              <w:spacing w:before="40" w:after="40"/>
              <w:rPr>
                <w:rFonts w:ascii="Arial Narrow" w:eastAsia="Times New Roman" w:hAnsi="Arial Narrow"/>
                <w:b/>
                <w:sz w:val="20"/>
                <w:szCs w:val="20"/>
              </w:rPr>
            </w:pPr>
            <w:r w:rsidRPr="00B871FB">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7BB11727"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False-negative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D23E75"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0.1739</w:t>
            </w:r>
          </w:p>
        </w:tc>
        <w:tc>
          <w:tcPr>
            <w:tcW w:w="705" w:type="pct"/>
            <w:tcBorders>
              <w:top w:val="single" w:sz="4" w:space="0" w:color="auto"/>
              <w:left w:val="single" w:sz="4" w:space="0" w:color="auto"/>
              <w:bottom w:val="single" w:sz="4" w:space="0" w:color="auto"/>
              <w:right w:val="single" w:sz="4" w:space="0" w:color="auto"/>
            </w:tcBorders>
            <w:vAlign w:val="bottom"/>
          </w:tcPr>
          <w:p w14:paraId="43B3021E"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0.2352</w:t>
            </w:r>
          </w:p>
        </w:tc>
        <w:tc>
          <w:tcPr>
            <w:tcW w:w="444" w:type="pct"/>
            <w:tcBorders>
              <w:top w:val="single" w:sz="4" w:space="0" w:color="auto"/>
              <w:left w:val="single" w:sz="4" w:space="0" w:color="auto"/>
              <w:bottom w:val="single" w:sz="4" w:space="0" w:color="auto"/>
              <w:right w:val="single" w:sz="4" w:space="0" w:color="auto"/>
            </w:tcBorders>
            <w:vAlign w:val="bottom"/>
          </w:tcPr>
          <w:p w14:paraId="45651D27" w14:textId="43FEDFA8"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–0.0614</w:t>
            </w:r>
          </w:p>
        </w:tc>
      </w:tr>
      <w:tr w:rsidR="00E47AB8" w:rsidRPr="008B2F8A" w14:paraId="2457FE2B" w14:textId="77777777" w:rsidTr="00E14AC4">
        <w:tc>
          <w:tcPr>
            <w:tcW w:w="1972" w:type="pct"/>
            <w:tcBorders>
              <w:top w:val="nil"/>
              <w:bottom w:val="nil"/>
              <w:right w:val="nil"/>
            </w:tcBorders>
            <w:shd w:val="clear" w:color="auto" w:fill="auto"/>
            <w:noWrap/>
          </w:tcPr>
          <w:p w14:paraId="7D444B11" w14:textId="77777777" w:rsidR="00E47AB8" w:rsidRPr="008B2F8A" w:rsidRDefault="00E47AB8" w:rsidP="00E14AC4">
            <w:pPr>
              <w:spacing w:before="40" w:after="40"/>
              <w:rPr>
                <w:rFonts w:ascii="Arial Narrow" w:eastAsia="Times New Roman" w:hAnsi="Arial Narrow"/>
                <w:b/>
                <w:sz w:val="20"/>
                <w:szCs w:val="20"/>
              </w:rPr>
            </w:pPr>
            <w:r w:rsidRPr="00B871FB">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4000CD7A"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In treatment (true-positive)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7965C"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1.0041</w:t>
            </w:r>
          </w:p>
        </w:tc>
        <w:tc>
          <w:tcPr>
            <w:tcW w:w="705" w:type="pct"/>
            <w:tcBorders>
              <w:top w:val="single" w:sz="4" w:space="0" w:color="auto"/>
              <w:left w:val="single" w:sz="4" w:space="0" w:color="auto"/>
              <w:bottom w:val="single" w:sz="4" w:space="0" w:color="auto"/>
              <w:right w:val="single" w:sz="4" w:space="0" w:color="auto"/>
            </w:tcBorders>
            <w:vAlign w:val="bottom"/>
          </w:tcPr>
          <w:p w14:paraId="5EB04DD7"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0.9260</w:t>
            </w:r>
          </w:p>
        </w:tc>
        <w:tc>
          <w:tcPr>
            <w:tcW w:w="444" w:type="pct"/>
            <w:tcBorders>
              <w:top w:val="single" w:sz="4" w:space="0" w:color="auto"/>
              <w:left w:val="single" w:sz="4" w:space="0" w:color="auto"/>
              <w:bottom w:val="single" w:sz="4" w:space="0" w:color="auto"/>
              <w:right w:val="single" w:sz="4" w:space="0" w:color="auto"/>
            </w:tcBorders>
            <w:vAlign w:val="bottom"/>
          </w:tcPr>
          <w:p w14:paraId="2CA72C37"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0.0781</w:t>
            </w:r>
          </w:p>
        </w:tc>
      </w:tr>
      <w:tr w:rsidR="00E47AB8" w:rsidRPr="008B2F8A" w14:paraId="7A34AB1D" w14:textId="77777777" w:rsidTr="00E14AC4">
        <w:tc>
          <w:tcPr>
            <w:tcW w:w="1972" w:type="pct"/>
            <w:tcBorders>
              <w:top w:val="nil"/>
              <w:bottom w:val="single" w:sz="4" w:space="0" w:color="auto"/>
              <w:right w:val="nil"/>
            </w:tcBorders>
            <w:shd w:val="clear" w:color="auto" w:fill="auto"/>
            <w:noWrap/>
          </w:tcPr>
          <w:p w14:paraId="5EBE7656" w14:textId="77777777" w:rsidR="00E47AB8" w:rsidRPr="008B2F8A" w:rsidRDefault="00E47AB8" w:rsidP="00E14AC4">
            <w:pPr>
              <w:spacing w:before="40" w:after="40"/>
              <w:rPr>
                <w:rFonts w:ascii="Arial Narrow" w:eastAsia="Times New Roman" w:hAnsi="Arial Narrow"/>
                <w:b/>
                <w:sz w:val="20"/>
                <w:szCs w:val="20"/>
              </w:rPr>
            </w:pPr>
            <w:r w:rsidRPr="00B871FB">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4BCE9C5B"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Dead</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1241A"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14.1750</w:t>
            </w:r>
          </w:p>
        </w:tc>
        <w:tc>
          <w:tcPr>
            <w:tcW w:w="705" w:type="pct"/>
            <w:tcBorders>
              <w:top w:val="single" w:sz="4" w:space="0" w:color="auto"/>
              <w:left w:val="single" w:sz="4" w:space="0" w:color="auto"/>
              <w:bottom w:val="single" w:sz="4" w:space="0" w:color="auto"/>
              <w:right w:val="single" w:sz="4" w:space="0" w:color="auto"/>
            </w:tcBorders>
            <w:vAlign w:val="bottom"/>
          </w:tcPr>
          <w:p w14:paraId="53E2D981"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14.3582</w:t>
            </w:r>
          </w:p>
        </w:tc>
        <w:tc>
          <w:tcPr>
            <w:tcW w:w="444" w:type="pct"/>
            <w:tcBorders>
              <w:top w:val="single" w:sz="4" w:space="0" w:color="auto"/>
              <w:left w:val="single" w:sz="4" w:space="0" w:color="auto"/>
              <w:bottom w:val="single" w:sz="4" w:space="0" w:color="auto"/>
              <w:right w:val="single" w:sz="4" w:space="0" w:color="auto"/>
            </w:tcBorders>
            <w:vAlign w:val="bottom"/>
          </w:tcPr>
          <w:p w14:paraId="40BEFE75" w14:textId="23D7157C"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–0.1832</w:t>
            </w:r>
          </w:p>
        </w:tc>
      </w:tr>
      <w:tr w:rsidR="00E47AB8" w:rsidRPr="008B2F8A" w14:paraId="26A469DB" w14:textId="77777777" w:rsidTr="00E14AC4">
        <w:tc>
          <w:tcPr>
            <w:tcW w:w="1972" w:type="pct"/>
            <w:tcBorders>
              <w:top w:val="single" w:sz="4" w:space="0" w:color="auto"/>
              <w:bottom w:val="nil"/>
              <w:right w:val="nil"/>
            </w:tcBorders>
            <w:shd w:val="clear" w:color="auto" w:fill="auto"/>
            <w:noWrap/>
          </w:tcPr>
          <w:p w14:paraId="519564DB" w14:textId="77777777" w:rsidR="00E47AB8" w:rsidRPr="008B2F8A" w:rsidRDefault="00E47AB8" w:rsidP="00E14AC4">
            <w:pPr>
              <w:spacing w:before="40" w:after="40"/>
              <w:rPr>
                <w:rFonts w:ascii="Arial Narrow" w:eastAsia="Times New Roman" w:hAnsi="Arial Narrow"/>
                <w:sz w:val="20"/>
                <w:szCs w:val="20"/>
              </w:rPr>
            </w:pPr>
            <w:r w:rsidRPr="008B2F8A">
              <w:rPr>
                <w:rFonts w:ascii="Arial Narrow" w:eastAsia="Times New Roman" w:hAnsi="Arial Narrow"/>
                <w:i/>
                <w:sz w:val="20"/>
                <w:szCs w:val="20"/>
              </w:rPr>
              <w:t>Chest radiotherapy between 10 and 35 years</w:t>
            </w:r>
          </w:p>
        </w:tc>
        <w:tc>
          <w:tcPr>
            <w:tcW w:w="1096" w:type="pct"/>
            <w:tcBorders>
              <w:top w:val="single" w:sz="4" w:space="0" w:color="auto"/>
              <w:bottom w:val="single" w:sz="4" w:space="0" w:color="auto"/>
              <w:right w:val="single" w:sz="4" w:space="0" w:color="auto"/>
            </w:tcBorders>
            <w:vAlign w:val="center"/>
          </w:tcPr>
          <w:p w14:paraId="6B4AFFFF"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(true-negative)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BBCB1"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52.5059</w:t>
            </w:r>
          </w:p>
        </w:tc>
        <w:tc>
          <w:tcPr>
            <w:tcW w:w="705" w:type="pct"/>
            <w:tcBorders>
              <w:top w:val="single" w:sz="4" w:space="0" w:color="auto"/>
              <w:left w:val="single" w:sz="4" w:space="0" w:color="auto"/>
              <w:bottom w:val="single" w:sz="4" w:space="0" w:color="auto"/>
              <w:right w:val="single" w:sz="4" w:space="0" w:color="auto"/>
            </w:tcBorders>
            <w:vAlign w:val="center"/>
          </w:tcPr>
          <w:p w14:paraId="6F92B13B"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52.357</w:t>
            </w:r>
          </w:p>
        </w:tc>
        <w:tc>
          <w:tcPr>
            <w:tcW w:w="444" w:type="pct"/>
            <w:tcBorders>
              <w:top w:val="single" w:sz="4" w:space="0" w:color="auto"/>
              <w:left w:val="single" w:sz="4" w:space="0" w:color="auto"/>
              <w:bottom w:val="single" w:sz="4" w:space="0" w:color="auto"/>
              <w:right w:val="single" w:sz="4" w:space="0" w:color="auto"/>
            </w:tcBorders>
            <w:vAlign w:val="center"/>
          </w:tcPr>
          <w:p w14:paraId="69A629F4"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0.1489</w:t>
            </w:r>
          </w:p>
        </w:tc>
      </w:tr>
      <w:tr w:rsidR="00E47AB8" w:rsidRPr="008B2F8A" w14:paraId="7DE1F19F" w14:textId="77777777" w:rsidTr="00E14AC4">
        <w:tc>
          <w:tcPr>
            <w:tcW w:w="1972" w:type="pct"/>
            <w:tcBorders>
              <w:top w:val="nil"/>
              <w:bottom w:val="nil"/>
              <w:right w:val="nil"/>
            </w:tcBorders>
            <w:shd w:val="clear" w:color="auto" w:fill="auto"/>
            <w:noWrap/>
          </w:tcPr>
          <w:p w14:paraId="0C7DC5D6" w14:textId="77777777" w:rsidR="00E47AB8" w:rsidRPr="008B2F8A" w:rsidRDefault="00E47AB8" w:rsidP="00E14AC4">
            <w:pPr>
              <w:spacing w:before="40" w:after="40"/>
              <w:rPr>
                <w:rFonts w:ascii="Arial Narrow" w:eastAsia="Times New Roman" w:hAnsi="Arial Narrow"/>
                <w:sz w:val="20"/>
                <w:szCs w:val="20"/>
              </w:rPr>
            </w:pPr>
            <w:r w:rsidRPr="00746510">
              <w:rPr>
                <w:rFonts w:ascii="Arial Narrow" w:hAnsi="Arial Narrow"/>
                <w:color w:val="FFFFFF" w:themeColor="background1"/>
                <w:sz w:val="20"/>
                <w:szCs w:val="20"/>
              </w:rPr>
              <w:t>-</w:t>
            </w:r>
          </w:p>
        </w:tc>
        <w:tc>
          <w:tcPr>
            <w:tcW w:w="1096" w:type="pct"/>
            <w:tcBorders>
              <w:top w:val="single" w:sz="4" w:space="0" w:color="auto"/>
              <w:bottom w:val="single" w:sz="4" w:space="0" w:color="auto"/>
              <w:right w:val="single" w:sz="4" w:space="0" w:color="auto"/>
            </w:tcBorders>
            <w:vAlign w:val="center"/>
          </w:tcPr>
          <w:p w14:paraId="501B5CF6"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Healthy (false-positive)</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A2860"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0.447</w:t>
            </w:r>
          </w:p>
        </w:tc>
        <w:tc>
          <w:tcPr>
            <w:tcW w:w="705" w:type="pct"/>
            <w:tcBorders>
              <w:top w:val="single" w:sz="4" w:space="0" w:color="auto"/>
              <w:left w:val="single" w:sz="4" w:space="0" w:color="auto"/>
              <w:bottom w:val="single" w:sz="4" w:space="0" w:color="auto"/>
              <w:right w:val="single" w:sz="4" w:space="0" w:color="auto"/>
            </w:tcBorders>
            <w:vAlign w:val="center"/>
          </w:tcPr>
          <w:p w14:paraId="1A7BD101"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0.3514</w:t>
            </w:r>
          </w:p>
        </w:tc>
        <w:tc>
          <w:tcPr>
            <w:tcW w:w="444" w:type="pct"/>
            <w:tcBorders>
              <w:top w:val="single" w:sz="4" w:space="0" w:color="auto"/>
              <w:left w:val="single" w:sz="4" w:space="0" w:color="auto"/>
              <w:bottom w:val="single" w:sz="4" w:space="0" w:color="auto"/>
              <w:right w:val="single" w:sz="4" w:space="0" w:color="auto"/>
            </w:tcBorders>
            <w:vAlign w:val="center"/>
          </w:tcPr>
          <w:p w14:paraId="1B0DDCF2"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0.0956</w:t>
            </w:r>
          </w:p>
        </w:tc>
      </w:tr>
      <w:tr w:rsidR="00E47AB8" w:rsidRPr="008B2F8A" w14:paraId="2BFE1A5C" w14:textId="77777777" w:rsidTr="00E14AC4">
        <w:tc>
          <w:tcPr>
            <w:tcW w:w="1972" w:type="pct"/>
            <w:tcBorders>
              <w:top w:val="nil"/>
              <w:bottom w:val="nil"/>
              <w:right w:val="nil"/>
            </w:tcBorders>
            <w:shd w:val="clear" w:color="auto" w:fill="auto"/>
            <w:noWrap/>
          </w:tcPr>
          <w:p w14:paraId="5FFF6C6D" w14:textId="77777777" w:rsidR="00E47AB8" w:rsidRPr="008B2F8A" w:rsidRDefault="00E47AB8" w:rsidP="00E14AC4">
            <w:pPr>
              <w:spacing w:before="40" w:after="40"/>
              <w:rPr>
                <w:rFonts w:ascii="Arial Narrow" w:eastAsia="Times New Roman" w:hAnsi="Arial Narrow"/>
                <w:b/>
                <w:sz w:val="20"/>
                <w:szCs w:val="20"/>
              </w:rPr>
            </w:pPr>
            <w:r w:rsidRPr="00746510">
              <w:rPr>
                <w:rFonts w:ascii="Arial Narrow" w:hAnsi="Arial Narrow"/>
                <w:color w:val="FFFFFF" w:themeColor="background1"/>
                <w:sz w:val="20"/>
                <w:szCs w:val="20"/>
              </w:rPr>
              <w:t>-</w:t>
            </w:r>
          </w:p>
        </w:tc>
        <w:tc>
          <w:tcPr>
            <w:tcW w:w="1096" w:type="pct"/>
            <w:tcBorders>
              <w:top w:val="single" w:sz="4" w:space="0" w:color="auto"/>
              <w:right w:val="single" w:sz="4" w:space="0" w:color="auto"/>
            </w:tcBorders>
            <w:vAlign w:val="center"/>
          </w:tcPr>
          <w:p w14:paraId="64EF819D"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False-negative</w:t>
            </w:r>
          </w:p>
        </w:tc>
        <w:tc>
          <w:tcPr>
            <w:tcW w:w="783" w:type="pct"/>
            <w:tcBorders>
              <w:top w:val="single" w:sz="4" w:space="0" w:color="auto"/>
              <w:left w:val="single" w:sz="4" w:space="0" w:color="auto"/>
              <w:right w:val="single" w:sz="4" w:space="0" w:color="auto"/>
            </w:tcBorders>
            <w:shd w:val="clear" w:color="auto" w:fill="auto"/>
            <w:noWrap/>
            <w:vAlign w:val="center"/>
          </w:tcPr>
          <w:p w14:paraId="534C5314"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0.0498</w:t>
            </w:r>
          </w:p>
        </w:tc>
        <w:tc>
          <w:tcPr>
            <w:tcW w:w="705" w:type="pct"/>
            <w:tcBorders>
              <w:top w:val="single" w:sz="4" w:space="0" w:color="auto"/>
              <w:left w:val="single" w:sz="4" w:space="0" w:color="auto"/>
              <w:right w:val="single" w:sz="4" w:space="0" w:color="auto"/>
            </w:tcBorders>
            <w:vAlign w:val="center"/>
          </w:tcPr>
          <w:p w14:paraId="321C0773"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0.106</w:t>
            </w:r>
          </w:p>
        </w:tc>
        <w:tc>
          <w:tcPr>
            <w:tcW w:w="444" w:type="pct"/>
            <w:tcBorders>
              <w:top w:val="single" w:sz="4" w:space="0" w:color="auto"/>
              <w:left w:val="single" w:sz="4" w:space="0" w:color="auto"/>
              <w:right w:val="single" w:sz="4" w:space="0" w:color="auto"/>
            </w:tcBorders>
            <w:vAlign w:val="center"/>
          </w:tcPr>
          <w:p w14:paraId="785690CE" w14:textId="0D600DA4"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–0.0562</w:t>
            </w:r>
          </w:p>
        </w:tc>
      </w:tr>
      <w:tr w:rsidR="00E47AB8" w:rsidRPr="008B2F8A" w14:paraId="6A5D4263" w14:textId="77777777" w:rsidTr="00E14AC4">
        <w:tc>
          <w:tcPr>
            <w:tcW w:w="1972" w:type="pct"/>
            <w:tcBorders>
              <w:top w:val="nil"/>
              <w:bottom w:val="nil"/>
              <w:right w:val="nil"/>
            </w:tcBorders>
            <w:shd w:val="clear" w:color="auto" w:fill="auto"/>
            <w:noWrap/>
          </w:tcPr>
          <w:p w14:paraId="4E460813" w14:textId="77777777" w:rsidR="00E47AB8" w:rsidRPr="008B2F8A" w:rsidRDefault="00E47AB8" w:rsidP="00E14AC4">
            <w:pPr>
              <w:spacing w:before="40" w:after="40"/>
              <w:rPr>
                <w:rFonts w:ascii="Arial Narrow" w:eastAsia="Times New Roman" w:hAnsi="Arial Narrow"/>
                <w:b/>
                <w:sz w:val="20"/>
                <w:szCs w:val="20"/>
              </w:rPr>
            </w:pPr>
            <w:r w:rsidRPr="00746510">
              <w:rPr>
                <w:rFonts w:ascii="Arial Narrow" w:hAnsi="Arial Narrow"/>
                <w:color w:val="FFFFFF" w:themeColor="background1"/>
                <w:sz w:val="20"/>
                <w:szCs w:val="20"/>
              </w:rPr>
              <w:t>-</w:t>
            </w:r>
          </w:p>
        </w:tc>
        <w:tc>
          <w:tcPr>
            <w:tcW w:w="1096" w:type="pct"/>
            <w:tcBorders>
              <w:top w:val="single" w:sz="4" w:space="0" w:color="auto"/>
              <w:right w:val="single" w:sz="4" w:space="0" w:color="auto"/>
            </w:tcBorders>
            <w:vAlign w:val="center"/>
          </w:tcPr>
          <w:p w14:paraId="6FB093C5"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In treatment (true-positive)</w:t>
            </w:r>
          </w:p>
        </w:tc>
        <w:tc>
          <w:tcPr>
            <w:tcW w:w="783" w:type="pct"/>
            <w:tcBorders>
              <w:top w:val="single" w:sz="4" w:space="0" w:color="auto"/>
              <w:left w:val="single" w:sz="4" w:space="0" w:color="auto"/>
              <w:right w:val="single" w:sz="4" w:space="0" w:color="auto"/>
            </w:tcBorders>
            <w:shd w:val="clear" w:color="auto" w:fill="auto"/>
            <w:noWrap/>
            <w:vAlign w:val="center"/>
          </w:tcPr>
          <w:p w14:paraId="6421E8B9"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1.5936</w:t>
            </w:r>
          </w:p>
        </w:tc>
        <w:tc>
          <w:tcPr>
            <w:tcW w:w="705" w:type="pct"/>
            <w:tcBorders>
              <w:top w:val="single" w:sz="4" w:space="0" w:color="auto"/>
              <w:left w:val="single" w:sz="4" w:space="0" w:color="auto"/>
              <w:right w:val="single" w:sz="4" w:space="0" w:color="auto"/>
            </w:tcBorders>
            <w:vAlign w:val="center"/>
          </w:tcPr>
          <w:p w14:paraId="03E9DA4D"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1.5141</w:t>
            </w:r>
          </w:p>
        </w:tc>
        <w:tc>
          <w:tcPr>
            <w:tcW w:w="444" w:type="pct"/>
            <w:tcBorders>
              <w:top w:val="single" w:sz="4" w:space="0" w:color="auto"/>
              <w:left w:val="single" w:sz="4" w:space="0" w:color="auto"/>
              <w:right w:val="single" w:sz="4" w:space="0" w:color="auto"/>
            </w:tcBorders>
            <w:vAlign w:val="center"/>
          </w:tcPr>
          <w:p w14:paraId="3D686E53"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0.0795</w:t>
            </w:r>
          </w:p>
        </w:tc>
      </w:tr>
      <w:tr w:rsidR="00E47AB8" w:rsidRPr="008B2F8A" w14:paraId="5C7AACFE" w14:textId="77777777" w:rsidTr="00E14AC4">
        <w:tc>
          <w:tcPr>
            <w:tcW w:w="1972" w:type="pct"/>
            <w:tcBorders>
              <w:top w:val="nil"/>
              <w:right w:val="nil"/>
            </w:tcBorders>
            <w:shd w:val="clear" w:color="auto" w:fill="auto"/>
            <w:noWrap/>
          </w:tcPr>
          <w:p w14:paraId="16C8C0CF" w14:textId="77777777" w:rsidR="00E47AB8" w:rsidRPr="008B2F8A" w:rsidRDefault="00E47AB8" w:rsidP="00E14AC4">
            <w:pPr>
              <w:spacing w:before="40" w:after="40"/>
              <w:rPr>
                <w:rFonts w:ascii="Arial Narrow" w:eastAsia="Times New Roman" w:hAnsi="Arial Narrow"/>
                <w:b/>
                <w:sz w:val="20"/>
                <w:szCs w:val="20"/>
              </w:rPr>
            </w:pPr>
            <w:r w:rsidRPr="00746510">
              <w:rPr>
                <w:rFonts w:ascii="Arial Narrow" w:hAnsi="Arial Narrow"/>
                <w:color w:val="FFFFFF" w:themeColor="background1"/>
                <w:sz w:val="20"/>
                <w:szCs w:val="20"/>
              </w:rPr>
              <w:t>-</w:t>
            </w:r>
          </w:p>
        </w:tc>
        <w:tc>
          <w:tcPr>
            <w:tcW w:w="1096" w:type="pct"/>
            <w:tcBorders>
              <w:top w:val="single" w:sz="4" w:space="0" w:color="auto"/>
              <w:right w:val="single" w:sz="4" w:space="0" w:color="auto"/>
            </w:tcBorders>
            <w:vAlign w:val="center"/>
          </w:tcPr>
          <w:p w14:paraId="2E998DCE"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sz w:val="20"/>
                <w:szCs w:val="20"/>
              </w:rPr>
              <w:t>Dead</w:t>
            </w:r>
          </w:p>
        </w:tc>
        <w:tc>
          <w:tcPr>
            <w:tcW w:w="783" w:type="pct"/>
            <w:tcBorders>
              <w:top w:val="single" w:sz="4" w:space="0" w:color="auto"/>
              <w:left w:val="single" w:sz="4" w:space="0" w:color="auto"/>
              <w:right w:val="single" w:sz="4" w:space="0" w:color="auto"/>
            </w:tcBorders>
            <w:shd w:val="clear" w:color="auto" w:fill="auto"/>
            <w:noWrap/>
            <w:vAlign w:val="center"/>
            <w:hideMark/>
          </w:tcPr>
          <w:p w14:paraId="53E1F20C"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14.4036</w:t>
            </w:r>
          </w:p>
        </w:tc>
        <w:tc>
          <w:tcPr>
            <w:tcW w:w="705" w:type="pct"/>
            <w:tcBorders>
              <w:top w:val="single" w:sz="4" w:space="0" w:color="auto"/>
              <w:left w:val="single" w:sz="4" w:space="0" w:color="auto"/>
              <w:right w:val="single" w:sz="4" w:space="0" w:color="auto"/>
            </w:tcBorders>
            <w:vAlign w:val="center"/>
          </w:tcPr>
          <w:p w14:paraId="1E0FAAE0" w14:textId="77777777"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14.6715</w:t>
            </w:r>
          </w:p>
        </w:tc>
        <w:tc>
          <w:tcPr>
            <w:tcW w:w="444" w:type="pct"/>
            <w:tcBorders>
              <w:top w:val="single" w:sz="4" w:space="0" w:color="auto"/>
              <w:left w:val="single" w:sz="4" w:space="0" w:color="auto"/>
              <w:right w:val="single" w:sz="4" w:space="0" w:color="auto"/>
            </w:tcBorders>
            <w:vAlign w:val="center"/>
          </w:tcPr>
          <w:p w14:paraId="5A1B1828" w14:textId="38F80D04" w:rsidR="00E47AB8" w:rsidRPr="008B2F8A" w:rsidRDefault="00E47AB8" w:rsidP="00E14AC4">
            <w:pPr>
              <w:spacing w:before="40" w:after="40"/>
              <w:jc w:val="right"/>
              <w:rPr>
                <w:rFonts w:ascii="Arial Narrow" w:eastAsia="Times New Roman" w:hAnsi="Arial Narrow"/>
                <w:color w:val="000000"/>
                <w:sz w:val="20"/>
                <w:szCs w:val="20"/>
                <w:lang w:eastAsia="en-AU"/>
              </w:rPr>
            </w:pPr>
            <w:r w:rsidRPr="008B2F8A">
              <w:rPr>
                <w:rFonts w:ascii="Arial Narrow" w:eastAsia="Times New Roman" w:hAnsi="Arial Narrow"/>
                <w:sz w:val="20"/>
                <w:szCs w:val="20"/>
              </w:rPr>
              <w:t>–0.2679</w:t>
            </w:r>
          </w:p>
        </w:tc>
      </w:tr>
    </w:tbl>
    <w:p w14:paraId="694B6CC7" w14:textId="77777777" w:rsidR="00E47AB8" w:rsidRDefault="00E47AB8" w:rsidP="00422306">
      <w:pPr>
        <w:pStyle w:val="TableNotesLast"/>
      </w:pPr>
      <w:bookmarkStart w:id="1213" w:name="_Ref375918886"/>
      <w:r w:rsidRPr="008B2F8A">
        <w:t>DCIS = ductal carcinoma in situ; LCIS = lobular carcinoma in situ; MRI = magnetic resonance imaging.</w:t>
      </w:r>
    </w:p>
    <w:p w14:paraId="0D990CB3" w14:textId="7E9E7CF2" w:rsidR="00E47AB8" w:rsidRPr="008B2F8A" w:rsidRDefault="00E47AB8" w:rsidP="00422306">
      <w:pPr>
        <w:pStyle w:val="Caption"/>
        <w:spacing w:before="240"/>
      </w:pPr>
      <w:bookmarkStart w:id="1214" w:name="_Ref256171758"/>
      <w:bookmarkStart w:id="1215" w:name="_Toc383424680"/>
      <w:r w:rsidRPr="008B2F8A">
        <w:lastRenderedPageBreak/>
        <w:t xml:space="preserve">Figure </w:t>
      </w:r>
      <w:fldSimple w:instr=" STYLEREF 1 \s ">
        <w:r w:rsidR="00B81273">
          <w:rPr>
            <w:noProof/>
          </w:rPr>
          <w:t>D</w:t>
        </w:r>
      </w:fldSimple>
      <w:r w:rsidRPr="008B2F8A">
        <w:t>.</w:t>
      </w:r>
      <w:fldSimple w:instr=" SEQ Figure \* ARABIC \s 1 ">
        <w:r w:rsidR="00B81273">
          <w:rPr>
            <w:noProof/>
          </w:rPr>
          <w:t>4</w:t>
        </w:r>
      </w:fldSimple>
      <w:bookmarkEnd w:id="1213"/>
      <w:bookmarkEnd w:id="1214"/>
      <w:r w:rsidRPr="008B2F8A">
        <w:tab/>
      </w:r>
      <w:bookmarkStart w:id="1216" w:name="OLE_LINK1111"/>
      <w:bookmarkStart w:id="1217" w:name="OLE_LINK1112"/>
      <w:r w:rsidRPr="008B2F8A">
        <w:t xml:space="preserve">Proportion of women alive with MRI </w:t>
      </w:r>
      <w:r>
        <w:t>+</w:t>
      </w:r>
      <w:r w:rsidRPr="008B2F8A">
        <w:t xml:space="preserve"> mammography or mammography alone (women with a high risk of breast cancer based on family history)</w:t>
      </w:r>
      <w:bookmarkEnd w:id="1216"/>
      <w:bookmarkEnd w:id="1217"/>
      <w:r w:rsidRPr="008B2F8A">
        <w:t>.</w:t>
      </w:r>
      <w:bookmarkEnd w:id="1215"/>
    </w:p>
    <w:p w14:paraId="4388F2EA" w14:textId="77777777" w:rsidR="00E47AB8" w:rsidRPr="007C6E89" w:rsidRDefault="00E47AB8" w:rsidP="00E14AC4">
      <w:pPr>
        <w:spacing w:after="200"/>
        <w:jc w:val="center"/>
        <w:rPr>
          <w:rFonts w:eastAsiaTheme="minorHAnsi" w:cstheme="minorBidi"/>
        </w:rPr>
      </w:pPr>
      <w:r w:rsidRPr="007C6E89">
        <w:rPr>
          <w:rFonts w:eastAsiaTheme="minorHAnsi" w:cstheme="minorBidi"/>
          <w:noProof/>
          <w:lang w:eastAsia="en-AU"/>
        </w:rPr>
        <w:drawing>
          <wp:inline distT="0" distB="0" distL="0" distR="0" wp14:anchorId="63CB3A47" wp14:editId="0687B147">
            <wp:extent cx="5090160" cy="3291205"/>
            <wp:effectExtent l="0" t="0" r="0" b="10795"/>
            <wp:docPr id="22" name="Picture 22" descr="Graph with 2 nearly identical curves declining ever faster with increasing age" title="Proportion of women alive with MRI + mammography or mammography alone (women with a high risk of breast cancer based on family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1363" t="1198" r="1096" b="1778"/>
                    <a:stretch/>
                  </pic:blipFill>
                  <pic:spPr bwMode="auto">
                    <a:xfrm>
                      <a:off x="0" y="0"/>
                      <a:ext cx="5091679" cy="3292187"/>
                    </a:xfrm>
                    <a:prstGeom prst="rect">
                      <a:avLst/>
                    </a:prstGeom>
                    <a:noFill/>
                    <a:ln>
                      <a:noFill/>
                    </a:ln>
                    <a:extLst>
                      <a:ext uri="{53640926-AAD7-44D8-BBD7-CCE9431645EC}">
                        <a14:shadowObscured xmlns:a14="http://schemas.microsoft.com/office/drawing/2010/main"/>
                      </a:ext>
                    </a:extLst>
                  </pic:spPr>
                </pic:pic>
              </a:graphicData>
            </a:graphic>
          </wp:inline>
        </w:drawing>
      </w:r>
    </w:p>
    <w:p w14:paraId="45033737" w14:textId="212C5EF4" w:rsidR="00E47AB8" w:rsidRPr="008B2F8A" w:rsidRDefault="00E47AB8" w:rsidP="00E47AB8">
      <w:pPr>
        <w:pStyle w:val="Heading3"/>
        <w:numPr>
          <w:ilvl w:val="2"/>
          <w:numId w:val="42"/>
        </w:numPr>
      </w:pPr>
      <w:bookmarkStart w:id="1218" w:name="_Toc358810415"/>
      <w:bookmarkStart w:id="1219" w:name="_Toc383424506"/>
      <w:r w:rsidRPr="008B2F8A">
        <w:t>Incremental cost-effectiveness</w:t>
      </w:r>
      <w:bookmarkEnd w:id="1218"/>
      <w:bookmarkEnd w:id="1219"/>
    </w:p>
    <w:p w14:paraId="276A0C87" w14:textId="3654BFA0" w:rsidR="00E47AB8" w:rsidRPr="007C6E89" w:rsidRDefault="00E47AB8" w:rsidP="00422306">
      <w:pPr>
        <w:spacing w:after="200"/>
        <w:rPr>
          <w:rFonts w:eastAsiaTheme="minorHAnsi" w:cstheme="minorBidi"/>
        </w:rPr>
      </w:pPr>
      <w:r w:rsidRPr="007C6E89">
        <w:rPr>
          <w:rFonts w:eastAsiaTheme="minorHAnsi" w:cstheme="minorBidi"/>
        </w:rPr>
        <w:t xml:space="preserve">The incremental cost per QALY for the use of MRI + mammography compared with mammography alone is presented in </w:t>
      </w:r>
      <w:r w:rsidRPr="007C6E89">
        <w:rPr>
          <w:rFonts w:eastAsiaTheme="minorHAnsi" w:cstheme="minorBidi"/>
        </w:rPr>
        <w:fldChar w:fldCharType="begin"/>
      </w:r>
      <w:r w:rsidRPr="007C6E89">
        <w:rPr>
          <w:rFonts w:eastAsiaTheme="minorHAnsi" w:cstheme="minorBidi"/>
        </w:rPr>
        <w:instrText xml:space="preserve"> REF _Ref375919499 \h  \* MERGEFORMAT </w:instrText>
      </w:r>
      <w:r w:rsidRPr="007C6E89">
        <w:rPr>
          <w:rFonts w:eastAsiaTheme="minorHAnsi" w:cstheme="minorBidi"/>
        </w:rPr>
      </w:r>
      <w:r w:rsidRPr="007C6E89">
        <w:rPr>
          <w:rFonts w:eastAsiaTheme="minorHAnsi" w:cstheme="minorBidi"/>
        </w:rPr>
        <w:fldChar w:fldCharType="separate"/>
      </w:r>
      <w:r w:rsidR="00B81273" w:rsidRPr="00B81273">
        <w:rPr>
          <w:rFonts w:eastAsiaTheme="minorHAnsi" w:cstheme="minorBidi"/>
        </w:rPr>
        <w:t xml:space="preserve">Table </w:t>
      </w:r>
      <w:r w:rsidR="00B81273" w:rsidRPr="00B81273">
        <w:rPr>
          <w:rFonts w:eastAsiaTheme="minorHAnsi" w:cstheme="minorBidi"/>
          <w:noProof/>
        </w:rPr>
        <w:t>D</w:t>
      </w:r>
      <w:r w:rsidR="00B81273" w:rsidRPr="00B81273">
        <w:rPr>
          <w:rFonts w:eastAsiaTheme="minorHAnsi" w:cstheme="minorBidi"/>
          <w:bCs/>
          <w:noProof/>
          <w:szCs w:val="18"/>
        </w:rPr>
        <w:t>.19</w:t>
      </w:r>
      <w:r w:rsidRPr="007C6E89">
        <w:rPr>
          <w:rFonts w:eastAsiaTheme="minorHAnsi" w:cstheme="minorBidi"/>
        </w:rPr>
        <w:fldChar w:fldCharType="end"/>
      </w:r>
      <w:r w:rsidRPr="007C6E89">
        <w:rPr>
          <w:rFonts w:eastAsiaTheme="minorHAnsi" w:cstheme="minorBidi"/>
        </w:rPr>
        <w:t>. The ICER is lowest in women with a confirmed mutation for breast cancer ($35,460/QALY), followed by women with a prior history of invasive breast cancer ($58,240/QALY), and highest in women with a history of chest radiotherapy ($176,536/QALY).</w:t>
      </w:r>
    </w:p>
    <w:p w14:paraId="2A6F5ED3" w14:textId="033962C6" w:rsidR="00E47AB8" w:rsidRPr="007C6E89" w:rsidRDefault="00E47AB8" w:rsidP="00422306">
      <w:pPr>
        <w:spacing w:after="200"/>
        <w:rPr>
          <w:rFonts w:eastAsiaTheme="minorHAnsi" w:cstheme="minorBidi"/>
        </w:rPr>
      </w:pPr>
      <w:r w:rsidRPr="007C6E89">
        <w:rPr>
          <w:rFonts w:eastAsiaTheme="minorHAnsi" w:cstheme="minorBidi"/>
        </w:rPr>
        <w:t xml:space="preserve">The differences between these groups are driven largely by the baseline risk of breast cancer, the age at which each population begins screening and the population-specific diagnostic accuracy data for MRI + mammography compared with mammography alone (refer to Section </w:t>
      </w:r>
      <w:r w:rsidRPr="007C6E89">
        <w:rPr>
          <w:rFonts w:eastAsiaTheme="minorHAnsi" w:cstheme="minorBidi"/>
          <w:noProof/>
        </w:rPr>
        <w:fldChar w:fldCharType="begin"/>
      </w:r>
      <w:r w:rsidRPr="007C6E89">
        <w:rPr>
          <w:rFonts w:eastAsiaTheme="minorHAnsi" w:cstheme="minorBidi"/>
          <w:noProof/>
        </w:rPr>
        <w:instrText xml:space="preserve"> REF _Ref375919934 \r \h </w:instrText>
      </w:r>
      <w:r w:rsidRPr="007C6E89">
        <w:rPr>
          <w:rFonts w:eastAsiaTheme="minorHAnsi" w:cstheme="minorBidi"/>
          <w:noProof/>
        </w:rPr>
      </w:r>
      <w:r w:rsidRPr="007C6E89">
        <w:rPr>
          <w:rFonts w:eastAsiaTheme="minorHAnsi" w:cstheme="minorBidi"/>
          <w:noProof/>
        </w:rPr>
        <w:fldChar w:fldCharType="separate"/>
      </w:r>
      <w:r w:rsidR="00B81273">
        <w:rPr>
          <w:rFonts w:eastAsiaTheme="minorHAnsi" w:cstheme="minorBidi"/>
          <w:noProof/>
        </w:rPr>
        <w:t>D.4.3</w:t>
      </w:r>
      <w:r w:rsidRPr="007C6E89">
        <w:rPr>
          <w:rFonts w:eastAsiaTheme="minorHAnsi" w:cstheme="minorBidi"/>
          <w:noProof/>
        </w:rPr>
        <w:fldChar w:fldCharType="end"/>
      </w:r>
      <w:r w:rsidRPr="007C6E89">
        <w:rPr>
          <w:rFonts w:eastAsiaTheme="minorHAnsi" w:cstheme="minorBidi"/>
        </w:rPr>
        <w:t xml:space="preserve">). That is to say, MRI + mammography is most cost-effective in populations where MRI has high sensitivity relative to mammography alone and the screened population has a high incidence of breast cancer. Since patients in the groups with prior breast cancer (DCIS, LCIS and invasive) have the same risk, the difference in the cost-effectiveness of these two populations is caused primarily by differences in the diagnostic accuracy data for these two populations. The accuracy data for the population with prior DCIS or LCIS were based on one poor-quality study that compared MRI alone with mammography </w:t>
      </w:r>
      <w:r w:rsidRPr="007C6E89">
        <w:rPr>
          <w:rFonts w:eastAsiaTheme="minorHAnsi" w:cstheme="minorBidi"/>
          <w:noProof/>
        </w:rPr>
        <w:t>(</w:t>
      </w:r>
      <w:bookmarkStart w:id="1220" w:name="OLE_LINK896"/>
      <w:bookmarkStart w:id="1221" w:name="OLE_LINK897"/>
      <w:r w:rsidRPr="007C6E89">
        <w:rPr>
          <w:rFonts w:eastAsiaTheme="minorHAnsi" w:cstheme="minorBidi"/>
          <w:noProof/>
        </w:rPr>
        <w:t>Sung et al, 2011b</w:t>
      </w:r>
      <w:bookmarkEnd w:id="1220"/>
      <w:bookmarkEnd w:id="1221"/>
      <w:r w:rsidRPr="007C6E89">
        <w:rPr>
          <w:rFonts w:eastAsiaTheme="minorHAnsi" w:cstheme="minorBidi"/>
          <w:noProof/>
        </w:rPr>
        <w:t>).</w:t>
      </w:r>
      <w:r w:rsidRPr="007C6E89">
        <w:rPr>
          <w:rFonts w:eastAsiaTheme="minorHAnsi" w:cstheme="minorBidi"/>
        </w:rPr>
        <w:t xml:space="preserve"> For this population in particular, the analysis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_Ref376938297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20</w:t>
      </w:r>
      <w:r w:rsidRPr="008B2F8A">
        <w:rPr>
          <w:rFonts w:asciiTheme="minorHAnsi" w:eastAsiaTheme="minorHAnsi" w:hAnsiTheme="minorHAnsi" w:cstheme="minorBidi"/>
        </w:rPr>
        <w:fldChar w:fldCharType="end"/>
      </w:r>
      <w:r w:rsidRPr="007C6E89">
        <w:rPr>
          <w:rFonts w:eastAsiaTheme="minorHAnsi" w:cstheme="minorBidi"/>
        </w:rPr>
        <w:t>) using accuracy data from the HIQA (2013) meta-analysis might be more informative.</w:t>
      </w:r>
    </w:p>
    <w:p w14:paraId="0D959EF2" w14:textId="4B8EFC1A" w:rsidR="00E47AB8" w:rsidRPr="007C6E89" w:rsidRDefault="00E47AB8" w:rsidP="00422306">
      <w:pPr>
        <w:spacing w:after="200"/>
        <w:rPr>
          <w:rFonts w:eastAsiaTheme="minorHAnsi" w:cstheme="minorBidi"/>
        </w:rPr>
      </w:pPr>
      <w:r w:rsidRPr="007C6E89">
        <w:rPr>
          <w:rFonts w:eastAsiaTheme="minorHAnsi" w:cstheme="minorBidi"/>
        </w:rPr>
        <w:t>The high ICERs for women with a high familial risk for breast cancer or with prior chest radiotherapy are associated with the fact that the overall risk of breast cancer in these two populations does not appear high enough to justify the duration of screening (20 years), leading to high costs early in the model and insufficient QALY gains.</w:t>
      </w:r>
    </w:p>
    <w:p w14:paraId="3FFF58AB" w14:textId="476A57CD" w:rsidR="00E47AB8" w:rsidRPr="008B2F8A" w:rsidRDefault="00E47AB8" w:rsidP="00422306">
      <w:pPr>
        <w:pStyle w:val="Caption"/>
      </w:pPr>
      <w:bookmarkStart w:id="1222" w:name="_Ref375919499"/>
      <w:bookmarkStart w:id="1223" w:name="_Toc383424628"/>
      <w:r w:rsidRPr="008B2F8A">
        <w:lastRenderedPageBreak/>
        <w:t xml:space="preserve">Table </w:t>
      </w:r>
      <w:fldSimple w:instr=" STYLEREF 1 \s ">
        <w:r w:rsidR="00B81273">
          <w:rPr>
            <w:noProof/>
          </w:rPr>
          <w:t>D</w:t>
        </w:r>
      </w:fldSimple>
      <w:r w:rsidRPr="008B2F8A">
        <w:t>.</w:t>
      </w:r>
      <w:fldSimple w:instr=" SEQ Table \* ARABIC \s 1 ">
        <w:r w:rsidR="00B81273">
          <w:rPr>
            <w:noProof/>
          </w:rPr>
          <w:t>19</w:t>
        </w:r>
      </w:fldSimple>
      <w:bookmarkEnd w:id="1222"/>
      <w:r w:rsidRPr="008B2F8A">
        <w:tab/>
      </w:r>
      <w:bookmarkStart w:id="1224" w:name="OLE_LINK1113"/>
      <w:bookmarkStart w:id="1225" w:name="OLE_LINK1114"/>
      <w:r w:rsidRPr="008B2F8A">
        <w:t>Incremental cost per QALY (base-case population-specific data)</w:t>
      </w:r>
      <w:bookmarkEnd w:id="1224"/>
      <w:bookmarkEnd w:id="1225"/>
      <w:r w:rsidRPr="008B2F8A">
        <w:t>.</w:t>
      </w:r>
      <w:bookmarkEnd w:id="1223"/>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Incremental cost per QALY (base-case population-specific data)"/>
      </w:tblPr>
      <w:tblGrid>
        <w:gridCol w:w="3720"/>
        <w:gridCol w:w="1279"/>
        <w:gridCol w:w="1335"/>
        <w:gridCol w:w="1395"/>
        <w:gridCol w:w="1341"/>
      </w:tblGrid>
      <w:tr w:rsidR="00E47AB8" w:rsidRPr="008B2F8A" w14:paraId="527D1D48" w14:textId="77777777" w:rsidTr="00E14AC4">
        <w:trPr>
          <w:tblHeader/>
        </w:trPr>
        <w:tc>
          <w:tcPr>
            <w:tcW w:w="2051" w:type="pct"/>
            <w:tcBorders>
              <w:bottom w:val="single" w:sz="4" w:space="0" w:color="auto"/>
            </w:tcBorders>
            <w:shd w:val="clear" w:color="auto" w:fill="EEECE1" w:themeFill="background2"/>
            <w:noWrap/>
            <w:vAlign w:val="bottom"/>
            <w:hideMark/>
          </w:tcPr>
          <w:p w14:paraId="41F97F26"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Population</w:t>
            </w:r>
          </w:p>
        </w:tc>
        <w:tc>
          <w:tcPr>
            <w:tcW w:w="705" w:type="pct"/>
            <w:shd w:val="clear" w:color="auto" w:fill="EEECE1" w:themeFill="background2"/>
            <w:vAlign w:val="bottom"/>
          </w:tcPr>
          <w:p w14:paraId="1B8FA548"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Result</w:t>
            </w:r>
          </w:p>
        </w:tc>
        <w:tc>
          <w:tcPr>
            <w:tcW w:w="736" w:type="pct"/>
            <w:shd w:val="clear" w:color="auto" w:fill="EEECE1" w:themeFill="background2"/>
            <w:vAlign w:val="bottom"/>
          </w:tcPr>
          <w:p w14:paraId="70C471C7" w14:textId="77777777" w:rsidR="00E47AB8" w:rsidRPr="008B2F8A" w:rsidRDefault="00E47AB8" w:rsidP="00422306">
            <w:pPr>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 xml:space="preserve">MRI </w:t>
            </w:r>
            <w:r w:rsidRPr="008B2F8A">
              <w:rPr>
                <w:rFonts w:ascii="Arial Narrow" w:hAnsi="Arial Narrow"/>
              </w:rPr>
              <w:t>​+​</w:t>
            </w:r>
            <w:r w:rsidRPr="008B2F8A">
              <w:rPr>
                <w:rFonts w:ascii="Arial Narrow" w:eastAsiaTheme="minorHAnsi" w:hAnsi="Arial Narrow" w:cstheme="minorBidi"/>
                <w:b/>
                <w:color w:val="000000"/>
                <w:sz w:val="20"/>
                <w:szCs w:val="20"/>
              </w:rPr>
              <w:t xml:space="preserve"> mammography</w:t>
            </w:r>
          </w:p>
        </w:tc>
        <w:tc>
          <w:tcPr>
            <w:tcW w:w="769" w:type="pct"/>
            <w:shd w:val="clear" w:color="auto" w:fill="EEECE1" w:themeFill="background2"/>
            <w:noWrap/>
            <w:vAlign w:val="bottom"/>
            <w:hideMark/>
          </w:tcPr>
          <w:p w14:paraId="3B4DC918" w14:textId="77777777" w:rsidR="00E47AB8" w:rsidRPr="008B2F8A" w:rsidRDefault="00E47AB8" w:rsidP="00422306">
            <w:pPr>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Mammography</w:t>
            </w:r>
          </w:p>
        </w:tc>
        <w:tc>
          <w:tcPr>
            <w:tcW w:w="739" w:type="pct"/>
            <w:shd w:val="clear" w:color="auto" w:fill="EEECE1" w:themeFill="background2"/>
            <w:noWrap/>
            <w:vAlign w:val="bottom"/>
            <w:hideMark/>
          </w:tcPr>
          <w:p w14:paraId="3228637A" w14:textId="77777777" w:rsidR="00E47AB8" w:rsidRPr="008B2F8A" w:rsidRDefault="00E47AB8" w:rsidP="00422306">
            <w:pPr>
              <w:spacing w:before="40" w:after="80"/>
              <w:rPr>
                <w:rFonts w:ascii="Arial Narrow" w:eastAsiaTheme="minorHAnsi" w:hAnsi="Arial Narrow" w:cstheme="minorBidi"/>
                <w:b/>
                <w:bCs/>
                <w:color w:val="000000"/>
                <w:sz w:val="20"/>
                <w:szCs w:val="20"/>
              </w:rPr>
            </w:pPr>
            <w:r w:rsidRPr="008B2F8A">
              <w:rPr>
                <w:rFonts w:ascii="Arial Narrow" w:eastAsiaTheme="minorHAnsi" w:hAnsi="Arial Narrow" w:cstheme="minorBidi"/>
                <w:b/>
                <w:bCs/>
                <w:color w:val="000000"/>
                <w:sz w:val="20"/>
                <w:szCs w:val="20"/>
              </w:rPr>
              <w:t>Difference</w:t>
            </w:r>
          </w:p>
        </w:tc>
      </w:tr>
      <w:tr w:rsidR="00E47AB8" w:rsidRPr="008B2F8A" w14:paraId="0E3E15BF" w14:textId="77777777" w:rsidTr="00E14AC4">
        <w:tc>
          <w:tcPr>
            <w:tcW w:w="2051" w:type="pct"/>
            <w:tcBorders>
              <w:bottom w:val="nil"/>
            </w:tcBorders>
            <w:shd w:val="clear" w:color="auto" w:fill="auto"/>
            <w:noWrap/>
            <w:hideMark/>
          </w:tcPr>
          <w:p w14:paraId="24D9247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High-risk based on breast cancer gene mutation</w:t>
            </w:r>
          </w:p>
        </w:tc>
        <w:tc>
          <w:tcPr>
            <w:tcW w:w="705" w:type="pct"/>
          </w:tcPr>
          <w:p w14:paraId="3958530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36" w:type="pct"/>
          </w:tcPr>
          <w:p w14:paraId="0C76FC8E"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$18,957</w:t>
            </w:r>
          </w:p>
        </w:tc>
        <w:tc>
          <w:tcPr>
            <w:tcW w:w="769" w:type="pct"/>
            <w:shd w:val="clear" w:color="auto" w:fill="auto"/>
            <w:noWrap/>
            <w:hideMark/>
          </w:tcPr>
          <w:p w14:paraId="4BC39D7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$9,582</w:t>
            </w:r>
          </w:p>
        </w:tc>
        <w:tc>
          <w:tcPr>
            <w:tcW w:w="739" w:type="pct"/>
            <w:shd w:val="clear" w:color="auto" w:fill="auto"/>
            <w:noWrap/>
            <w:hideMark/>
          </w:tcPr>
          <w:p w14:paraId="2A7CBBD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$9,375</w:t>
            </w:r>
          </w:p>
        </w:tc>
      </w:tr>
      <w:tr w:rsidR="00E47AB8" w:rsidRPr="008B2F8A" w14:paraId="6DA13B71" w14:textId="77777777" w:rsidTr="00E14AC4">
        <w:tc>
          <w:tcPr>
            <w:tcW w:w="2051" w:type="pct"/>
            <w:tcBorders>
              <w:top w:val="nil"/>
              <w:bottom w:val="nil"/>
            </w:tcBorders>
            <w:shd w:val="clear" w:color="auto" w:fill="auto"/>
            <w:noWrap/>
          </w:tcPr>
          <w:p w14:paraId="7ED50B89" w14:textId="77777777" w:rsidR="00E47AB8" w:rsidRPr="008B2F8A" w:rsidRDefault="00E47AB8" w:rsidP="00422306">
            <w:pPr>
              <w:spacing w:before="40" w:after="80"/>
              <w:rPr>
                <w:rFonts w:ascii="Arial Narrow" w:eastAsia="Times New Roman" w:hAnsi="Arial Narrow"/>
                <w:i/>
                <w:sz w:val="20"/>
                <w:szCs w:val="20"/>
              </w:rPr>
            </w:pPr>
            <w:r w:rsidRPr="001B0963">
              <w:rPr>
                <w:rFonts w:ascii="Arial Narrow" w:hAnsi="Arial Narrow"/>
                <w:color w:val="FFFFFF" w:themeColor="background1"/>
                <w:sz w:val="20"/>
                <w:szCs w:val="20"/>
              </w:rPr>
              <w:t>-</w:t>
            </w:r>
          </w:p>
        </w:tc>
        <w:tc>
          <w:tcPr>
            <w:tcW w:w="705" w:type="pct"/>
          </w:tcPr>
          <w:p w14:paraId="4E288E1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36" w:type="pct"/>
            <w:tcBorders>
              <w:bottom w:val="single" w:sz="4" w:space="0" w:color="auto"/>
            </w:tcBorders>
          </w:tcPr>
          <w:p w14:paraId="04DFE3F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14.6762</w:t>
            </w:r>
          </w:p>
        </w:tc>
        <w:tc>
          <w:tcPr>
            <w:tcW w:w="769" w:type="pct"/>
            <w:tcBorders>
              <w:bottom w:val="single" w:sz="4" w:space="0" w:color="auto"/>
            </w:tcBorders>
            <w:shd w:val="clear" w:color="auto" w:fill="auto"/>
            <w:noWrap/>
          </w:tcPr>
          <w:p w14:paraId="1C3A66B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14.4118</w:t>
            </w:r>
          </w:p>
        </w:tc>
        <w:tc>
          <w:tcPr>
            <w:tcW w:w="739" w:type="pct"/>
            <w:tcBorders>
              <w:bottom w:val="single" w:sz="4" w:space="0" w:color="auto"/>
            </w:tcBorders>
            <w:shd w:val="clear" w:color="auto" w:fill="auto"/>
            <w:noWrap/>
          </w:tcPr>
          <w:p w14:paraId="0783FD8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0.2644</w:t>
            </w:r>
          </w:p>
        </w:tc>
      </w:tr>
      <w:tr w:rsidR="00E47AB8" w:rsidRPr="008B2F8A" w14:paraId="60A259BD" w14:textId="77777777" w:rsidTr="00E14AC4">
        <w:tc>
          <w:tcPr>
            <w:tcW w:w="2051" w:type="pct"/>
            <w:tcBorders>
              <w:top w:val="nil"/>
              <w:bottom w:val="single" w:sz="4" w:space="0" w:color="auto"/>
            </w:tcBorders>
            <w:shd w:val="clear" w:color="auto" w:fill="auto"/>
            <w:noWrap/>
          </w:tcPr>
          <w:p w14:paraId="5D72485F" w14:textId="77777777" w:rsidR="00E47AB8" w:rsidRPr="008B2F8A" w:rsidRDefault="00E47AB8" w:rsidP="00422306">
            <w:pPr>
              <w:spacing w:before="40" w:after="80"/>
              <w:rPr>
                <w:rFonts w:ascii="Arial Narrow" w:eastAsia="Times New Roman" w:hAnsi="Arial Narrow"/>
                <w:i/>
                <w:sz w:val="20"/>
                <w:szCs w:val="20"/>
              </w:rPr>
            </w:pPr>
            <w:r w:rsidRPr="001B0963">
              <w:rPr>
                <w:rFonts w:ascii="Arial Narrow" w:hAnsi="Arial Narrow"/>
                <w:color w:val="FFFFFF" w:themeColor="background1"/>
                <w:sz w:val="20"/>
                <w:szCs w:val="20"/>
              </w:rPr>
              <w:t>-</w:t>
            </w:r>
          </w:p>
        </w:tc>
        <w:tc>
          <w:tcPr>
            <w:tcW w:w="705" w:type="pct"/>
          </w:tcPr>
          <w:p w14:paraId="044F5B21"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36" w:type="pct"/>
            <w:tcBorders>
              <w:right w:val="nil"/>
            </w:tcBorders>
          </w:tcPr>
          <w:p w14:paraId="7367A2B4" w14:textId="77777777" w:rsidR="00E47AB8" w:rsidRPr="008B2F8A" w:rsidRDefault="00E47AB8" w:rsidP="00422306">
            <w:pPr>
              <w:spacing w:before="40" w:after="80"/>
              <w:jc w:val="right"/>
              <w:rPr>
                <w:rFonts w:ascii="Arial Narrow" w:eastAsia="Times New Roman" w:hAnsi="Arial Narrow"/>
                <w:sz w:val="20"/>
                <w:szCs w:val="20"/>
              </w:rPr>
            </w:pPr>
            <w:r w:rsidRPr="00BE2277">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69D9C98D" w14:textId="77777777" w:rsidR="00E47AB8" w:rsidRPr="008B2F8A" w:rsidRDefault="00E47AB8" w:rsidP="00422306">
            <w:pPr>
              <w:spacing w:before="40" w:after="80"/>
              <w:jc w:val="right"/>
              <w:rPr>
                <w:rFonts w:ascii="Arial Narrow" w:eastAsia="Times New Roman" w:hAnsi="Arial Narrow"/>
                <w:sz w:val="20"/>
                <w:szCs w:val="20"/>
              </w:rPr>
            </w:pPr>
            <w:r w:rsidRPr="00BE2277">
              <w:rPr>
                <w:rFonts w:ascii="Arial Narrow" w:hAnsi="Arial Narrow"/>
                <w:color w:val="FFFFFF" w:themeColor="background1"/>
                <w:sz w:val="20"/>
                <w:szCs w:val="20"/>
              </w:rPr>
              <w:t>-</w:t>
            </w:r>
          </w:p>
        </w:tc>
        <w:tc>
          <w:tcPr>
            <w:tcW w:w="739" w:type="pct"/>
            <w:tcBorders>
              <w:left w:val="nil"/>
            </w:tcBorders>
            <w:shd w:val="clear" w:color="auto" w:fill="auto"/>
            <w:noWrap/>
          </w:tcPr>
          <w:p w14:paraId="6316114B"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$35,460</w:t>
            </w:r>
          </w:p>
        </w:tc>
      </w:tr>
      <w:tr w:rsidR="00E47AB8" w:rsidRPr="008B2F8A" w14:paraId="4CD87B08" w14:textId="77777777" w:rsidTr="00E14AC4">
        <w:tc>
          <w:tcPr>
            <w:tcW w:w="2051" w:type="pct"/>
            <w:tcBorders>
              <w:bottom w:val="nil"/>
            </w:tcBorders>
            <w:shd w:val="clear" w:color="auto" w:fill="auto"/>
            <w:noWrap/>
            <w:hideMark/>
          </w:tcPr>
          <w:p w14:paraId="4F598C4A" w14:textId="77777777" w:rsidR="00E47AB8" w:rsidRPr="008B2F8A" w:rsidRDefault="00E47AB8" w:rsidP="00422306">
            <w:pPr>
              <w:spacing w:before="40" w:after="80"/>
              <w:rPr>
                <w:rFonts w:ascii="Arial Narrow" w:eastAsia="Times New Roman" w:hAnsi="Arial Narrow"/>
                <w:i/>
                <w:sz w:val="20"/>
                <w:szCs w:val="20"/>
              </w:rPr>
            </w:pPr>
            <w:r w:rsidRPr="008B2F8A">
              <w:rPr>
                <w:rFonts w:ascii="Arial Narrow" w:eastAsia="Times New Roman" w:hAnsi="Arial Narrow"/>
                <w:i/>
                <w:sz w:val="20"/>
                <w:szCs w:val="20"/>
              </w:rPr>
              <w:t>Familial high-risk</w:t>
            </w:r>
          </w:p>
        </w:tc>
        <w:tc>
          <w:tcPr>
            <w:tcW w:w="705" w:type="pct"/>
          </w:tcPr>
          <w:p w14:paraId="3967CA8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36" w:type="pct"/>
          </w:tcPr>
          <w:p w14:paraId="5DD24AA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$16,022</w:t>
            </w:r>
          </w:p>
        </w:tc>
        <w:tc>
          <w:tcPr>
            <w:tcW w:w="769" w:type="pct"/>
            <w:shd w:val="clear" w:color="auto" w:fill="auto"/>
            <w:noWrap/>
            <w:hideMark/>
          </w:tcPr>
          <w:p w14:paraId="6785E04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$6,696</w:t>
            </w:r>
          </w:p>
        </w:tc>
        <w:tc>
          <w:tcPr>
            <w:tcW w:w="739" w:type="pct"/>
            <w:shd w:val="clear" w:color="auto" w:fill="auto"/>
            <w:noWrap/>
            <w:hideMark/>
          </w:tcPr>
          <w:p w14:paraId="15FAAD5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$9,326</w:t>
            </w:r>
          </w:p>
        </w:tc>
      </w:tr>
      <w:tr w:rsidR="00E47AB8" w:rsidRPr="008B2F8A" w14:paraId="39D73294" w14:textId="77777777" w:rsidTr="00E14AC4">
        <w:tc>
          <w:tcPr>
            <w:tcW w:w="2051" w:type="pct"/>
            <w:tcBorders>
              <w:top w:val="nil"/>
              <w:bottom w:val="nil"/>
            </w:tcBorders>
            <w:shd w:val="clear" w:color="auto" w:fill="auto"/>
            <w:noWrap/>
          </w:tcPr>
          <w:p w14:paraId="27F4C3FD" w14:textId="77777777" w:rsidR="00E47AB8" w:rsidRPr="008B2F8A" w:rsidRDefault="00E47AB8" w:rsidP="00422306">
            <w:pPr>
              <w:spacing w:before="40" w:after="80"/>
              <w:rPr>
                <w:rFonts w:ascii="Arial Narrow" w:eastAsia="Times New Roman" w:hAnsi="Arial Narrow"/>
                <w:i/>
                <w:sz w:val="20"/>
                <w:szCs w:val="20"/>
              </w:rPr>
            </w:pPr>
            <w:r w:rsidRPr="008B6549">
              <w:rPr>
                <w:rFonts w:ascii="Arial Narrow" w:hAnsi="Arial Narrow"/>
                <w:color w:val="FFFFFF" w:themeColor="background1"/>
                <w:sz w:val="20"/>
                <w:szCs w:val="20"/>
              </w:rPr>
              <w:t>-</w:t>
            </w:r>
          </w:p>
        </w:tc>
        <w:tc>
          <w:tcPr>
            <w:tcW w:w="705" w:type="pct"/>
          </w:tcPr>
          <w:p w14:paraId="740F91D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36" w:type="pct"/>
            <w:tcBorders>
              <w:bottom w:val="single" w:sz="4" w:space="0" w:color="auto"/>
            </w:tcBorders>
          </w:tcPr>
          <w:p w14:paraId="145A78D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15.3484</w:t>
            </w:r>
          </w:p>
        </w:tc>
        <w:tc>
          <w:tcPr>
            <w:tcW w:w="769" w:type="pct"/>
            <w:tcBorders>
              <w:bottom w:val="single" w:sz="4" w:space="0" w:color="auto"/>
            </w:tcBorders>
            <w:shd w:val="clear" w:color="auto" w:fill="auto"/>
            <w:noWrap/>
          </w:tcPr>
          <w:p w14:paraId="6DD994B5"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15.2465</w:t>
            </w:r>
          </w:p>
        </w:tc>
        <w:tc>
          <w:tcPr>
            <w:tcW w:w="739" w:type="pct"/>
            <w:tcBorders>
              <w:bottom w:val="single" w:sz="4" w:space="0" w:color="auto"/>
            </w:tcBorders>
            <w:shd w:val="clear" w:color="auto" w:fill="auto"/>
            <w:noWrap/>
          </w:tcPr>
          <w:p w14:paraId="4F2AD91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0.1019</w:t>
            </w:r>
          </w:p>
        </w:tc>
      </w:tr>
      <w:tr w:rsidR="00E47AB8" w:rsidRPr="008B2F8A" w14:paraId="3E9609F6" w14:textId="77777777" w:rsidTr="00E14AC4">
        <w:tc>
          <w:tcPr>
            <w:tcW w:w="2051" w:type="pct"/>
            <w:tcBorders>
              <w:top w:val="nil"/>
              <w:bottom w:val="single" w:sz="4" w:space="0" w:color="auto"/>
            </w:tcBorders>
            <w:shd w:val="clear" w:color="auto" w:fill="auto"/>
            <w:noWrap/>
          </w:tcPr>
          <w:p w14:paraId="0FBC2ED6" w14:textId="77777777" w:rsidR="00E47AB8" w:rsidRPr="008B2F8A" w:rsidRDefault="00E47AB8" w:rsidP="00422306">
            <w:pPr>
              <w:spacing w:before="40" w:after="80"/>
              <w:rPr>
                <w:rFonts w:ascii="Arial Narrow" w:eastAsia="Times New Roman" w:hAnsi="Arial Narrow"/>
                <w:i/>
                <w:sz w:val="20"/>
                <w:szCs w:val="20"/>
              </w:rPr>
            </w:pPr>
            <w:r w:rsidRPr="008B6549">
              <w:rPr>
                <w:rFonts w:ascii="Arial Narrow" w:hAnsi="Arial Narrow"/>
                <w:color w:val="FFFFFF" w:themeColor="background1"/>
                <w:sz w:val="20"/>
                <w:szCs w:val="20"/>
              </w:rPr>
              <w:t>-</w:t>
            </w:r>
          </w:p>
        </w:tc>
        <w:tc>
          <w:tcPr>
            <w:tcW w:w="705" w:type="pct"/>
          </w:tcPr>
          <w:p w14:paraId="415D7DC4"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36" w:type="pct"/>
            <w:tcBorders>
              <w:right w:val="nil"/>
            </w:tcBorders>
          </w:tcPr>
          <w:p w14:paraId="3AAEA09F" w14:textId="77777777" w:rsidR="00E47AB8" w:rsidRPr="008B2F8A" w:rsidRDefault="00E47AB8" w:rsidP="00422306">
            <w:pPr>
              <w:spacing w:before="40" w:after="80"/>
              <w:jc w:val="right"/>
              <w:rPr>
                <w:rFonts w:ascii="Arial Narrow" w:eastAsia="Times New Roman" w:hAnsi="Arial Narrow"/>
                <w:sz w:val="20"/>
                <w:szCs w:val="20"/>
              </w:rPr>
            </w:pPr>
            <w:r w:rsidRPr="00C76464">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5854B420" w14:textId="77777777" w:rsidR="00E47AB8" w:rsidRPr="008B2F8A" w:rsidRDefault="00E47AB8" w:rsidP="00422306">
            <w:pPr>
              <w:spacing w:before="40" w:after="80"/>
              <w:jc w:val="right"/>
              <w:rPr>
                <w:rFonts w:ascii="Arial Narrow" w:eastAsia="Times New Roman" w:hAnsi="Arial Narrow"/>
                <w:sz w:val="20"/>
                <w:szCs w:val="20"/>
              </w:rPr>
            </w:pPr>
            <w:r w:rsidRPr="00C76464">
              <w:rPr>
                <w:rFonts w:ascii="Arial Narrow" w:hAnsi="Arial Narrow"/>
                <w:color w:val="FFFFFF" w:themeColor="background1"/>
                <w:sz w:val="20"/>
                <w:szCs w:val="20"/>
              </w:rPr>
              <w:t>-</w:t>
            </w:r>
          </w:p>
        </w:tc>
        <w:tc>
          <w:tcPr>
            <w:tcW w:w="739" w:type="pct"/>
            <w:tcBorders>
              <w:left w:val="nil"/>
            </w:tcBorders>
            <w:shd w:val="clear" w:color="auto" w:fill="auto"/>
            <w:noWrap/>
          </w:tcPr>
          <w:p w14:paraId="448F0A97"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$91,488</w:t>
            </w:r>
          </w:p>
        </w:tc>
      </w:tr>
      <w:tr w:rsidR="00E47AB8" w:rsidRPr="008B2F8A" w14:paraId="2A8FA2CC" w14:textId="77777777" w:rsidTr="00E14AC4">
        <w:tc>
          <w:tcPr>
            <w:tcW w:w="2051" w:type="pct"/>
            <w:tcBorders>
              <w:bottom w:val="nil"/>
            </w:tcBorders>
            <w:shd w:val="clear" w:color="auto" w:fill="auto"/>
            <w:noWrap/>
            <w:hideMark/>
          </w:tcPr>
          <w:p w14:paraId="1D090AA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Prior history of invasive breast cancer</w:t>
            </w:r>
          </w:p>
        </w:tc>
        <w:tc>
          <w:tcPr>
            <w:tcW w:w="705" w:type="pct"/>
          </w:tcPr>
          <w:p w14:paraId="7EEB15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36" w:type="pct"/>
          </w:tcPr>
          <w:p w14:paraId="1BB6886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$8,661</w:t>
            </w:r>
          </w:p>
        </w:tc>
        <w:tc>
          <w:tcPr>
            <w:tcW w:w="769" w:type="pct"/>
            <w:shd w:val="clear" w:color="auto" w:fill="auto"/>
            <w:noWrap/>
            <w:hideMark/>
          </w:tcPr>
          <w:p w14:paraId="449B07E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$4,725</w:t>
            </w:r>
          </w:p>
        </w:tc>
        <w:tc>
          <w:tcPr>
            <w:tcW w:w="739" w:type="pct"/>
            <w:shd w:val="clear" w:color="auto" w:fill="auto"/>
            <w:noWrap/>
            <w:hideMark/>
          </w:tcPr>
          <w:p w14:paraId="0A8BA6EE"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$3,935</w:t>
            </w:r>
          </w:p>
        </w:tc>
      </w:tr>
      <w:tr w:rsidR="00E47AB8" w:rsidRPr="008B2F8A" w14:paraId="7B5A3FD6" w14:textId="77777777" w:rsidTr="00E14AC4">
        <w:tc>
          <w:tcPr>
            <w:tcW w:w="2051" w:type="pct"/>
            <w:tcBorders>
              <w:top w:val="nil"/>
              <w:bottom w:val="nil"/>
            </w:tcBorders>
            <w:shd w:val="clear" w:color="auto" w:fill="auto"/>
            <w:noWrap/>
          </w:tcPr>
          <w:p w14:paraId="636537A3" w14:textId="77777777" w:rsidR="00E47AB8" w:rsidRPr="008B2F8A" w:rsidRDefault="00E47AB8" w:rsidP="00422306">
            <w:pPr>
              <w:spacing w:before="40" w:after="80"/>
              <w:rPr>
                <w:rFonts w:ascii="Arial Narrow" w:eastAsia="Times New Roman" w:hAnsi="Arial Narrow"/>
                <w:i/>
                <w:sz w:val="20"/>
                <w:szCs w:val="20"/>
              </w:rPr>
            </w:pPr>
            <w:r w:rsidRPr="00664454">
              <w:rPr>
                <w:rFonts w:ascii="Arial Narrow" w:hAnsi="Arial Narrow"/>
                <w:color w:val="FFFFFF" w:themeColor="background1"/>
                <w:sz w:val="20"/>
                <w:szCs w:val="20"/>
              </w:rPr>
              <w:t>-</w:t>
            </w:r>
          </w:p>
        </w:tc>
        <w:tc>
          <w:tcPr>
            <w:tcW w:w="705" w:type="pct"/>
          </w:tcPr>
          <w:p w14:paraId="3D1445A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36" w:type="pct"/>
            <w:tcBorders>
              <w:bottom w:val="single" w:sz="4" w:space="0" w:color="auto"/>
            </w:tcBorders>
          </w:tcPr>
          <w:p w14:paraId="4DC0DE8D"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13.5186</w:t>
            </w:r>
          </w:p>
        </w:tc>
        <w:tc>
          <w:tcPr>
            <w:tcW w:w="769" w:type="pct"/>
            <w:tcBorders>
              <w:bottom w:val="single" w:sz="4" w:space="0" w:color="auto"/>
            </w:tcBorders>
            <w:shd w:val="clear" w:color="auto" w:fill="auto"/>
            <w:noWrap/>
          </w:tcPr>
          <w:p w14:paraId="7B269A9D"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13.4511</w:t>
            </w:r>
          </w:p>
        </w:tc>
        <w:tc>
          <w:tcPr>
            <w:tcW w:w="739" w:type="pct"/>
            <w:tcBorders>
              <w:bottom w:val="single" w:sz="4" w:space="0" w:color="auto"/>
            </w:tcBorders>
            <w:shd w:val="clear" w:color="auto" w:fill="auto"/>
            <w:noWrap/>
          </w:tcPr>
          <w:p w14:paraId="13067F9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0.0676</w:t>
            </w:r>
          </w:p>
        </w:tc>
      </w:tr>
      <w:tr w:rsidR="00E47AB8" w:rsidRPr="008B2F8A" w14:paraId="45DAEB7B" w14:textId="77777777" w:rsidTr="00E14AC4">
        <w:tc>
          <w:tcPr>
            <w:tcW w:w="2051" w:type="pct"/>
            <w:tcBorders>
              <w:top w:val="nil"/>
              <w:bottom w:val="single" w:sz="4" w:space="0" w:color="auto"/>
            </w:tcBorders>
            <w:shd w:val="clear" w:color="auto" w:fill="auto"/>
            <w:noWrap/>
          </w:tcPr>
          <w:p w14:paraId="504FEF79" w14:textId="77777777" w:rsidR="00E47AB8" w:rsidRPr="008B2F8A" w:rsidRDefault="00E47AB8" w:rsidP="00422306">
            <w:pPr>
              <w:spacing w:before="40" w:after="80"/>
              <w:rPr>
                <w:rFonts w:ascii="Arial Narrow" w:eastAsia="Times New Roman" w:hAnsi="Arial Narrow"/>
                <w:i/>
                <w:sz w:val="20"/>
                <w:szCs w:val="20"/>
              </w:rPr>
            </w:pPr>
            <w:r w:rsidRPr="00664454">
              <w:rPr>
                <w:rFonts w:ascii="Arial Narrow" w:hAnsi="Arial Narrow"/>
                <w:color w:val="FFFFFF" w:themeColor="background1"/>
                <w:sz w:val="20"/>
                <w:szCs w:val="20"/>
              </w:rPr>
              <w:t>-</w:t>
            </w:r>
          </w:p>
        </w:tc>
        <w:tc>
          <w:tcPr>
            <w:tcW w:w="705" w:type="pct"/>
          </w:tcPr>
          <w:p w14:paraId="25A2E32E"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36" w:type="pct"/>
            <w:tcBorders>
              <w:right w:val="nil"/>
            </w:tcBorders>
          </w:tcPr>
          <w:p w14:paraId="74F2169A" w14:textId="77777777" w:rsidR="00E47AB8" w:rsidRPr="008B2F8A" w:rsidRDefault="00E47AB8" w:rsidP="00422306">
            <w:pPr>
              <w:spacing w:before="40" w:after="80"/>
              <w:jc w:val="right"/>
              <w:rPr>
                <w:rFonts w:ascii="Arial Narrow" w:eastAsia="Times New Roman" w:hAnsi="Arial Narrow"/>
                <w:sz w:val="20"/>
                <w:szCs w:val="20"/>
              </w:rPr>
            </w:pPr>
            <w:r w:rsidRPr="00422A3C">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065A094F" w14:textId="77777777" w:rsidR="00E47AB8" w:rsidRPr="008B2F8A" w:rsidRDefault="00E47AB8" w:rsidP="00422306">
            <w:pPr>
              <w:spacing w:before="40" w:after="80"/>
              <w:jc w:val="right"/>
              <w:rPr>
                <w:rFonts w:ascii="Arial Narrow" w:eastAsia="Times New Roman" w:hAnsi="Arial Narrow"/>
                <w:sz w:val="20"/>
                <w:szCs w:val="20"/>
              </w:rPr>
            </w:pPr>
            <w:r w:rsidRPr="00422A3C">
              <w:rPr>
                <w:rFonts w:ascii="Arial Narrow" w:hAnsi="Arial Narrow"/>
                <w:color w:val="FFFFFF" w:themeColor="background1"/>
                <w:sz w:val="20"/>
                <w:szCs w:val="20"/>
              </w:rPr>
              <w:t>-</w:t>
            </w:r>
          </w:p>
        </w:tc>
        <w:tc>
          <w:tcPr>
            <w:tcW w:w="739" w:type="pct"/>
            <w:tcBorders>
              <w:left w:val="nil"/>
            </w:tcBorders>
            <w:shd w:val="clear" w:color="auto" w:fill="auto"/>
            <w:noWrap/>
          </w:tcPr>
          <w:p w14:paraId="4723DCD0"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$58,240</w:t>
            </w:r>
          </w:p>
        </w:tc>
      </w:tr>
      <w:tr w:rsidR="00E47AB8" w:rsidRPr="008B2F8A" w14:paraId="6C0C9F81" w14:textId="77777777" w:rsidTr="00E14AC4">
        <w:tc>
          <w:tcPr>
            <w:tcW w:w="2051" w:type="pct"/>
            <w:tcBorders>
              <w:bottom w:val="nil"/>
            </w:tcBorders>
            <w:shd w:val="clear" w:color="auto" w:fill="auto"/>
            <w:noWrap/>
            <w:hideMark/>
          </w:tcPr>
          <w:p w14:paraId="7A88B84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Prior history of treatment for DCIS or LCIS</w:t>
            </w:r>
          </w:p>
        </w:tc>
        <w:tc>
          <w:tcPr>
            <w:tcW w:w="705" w:type="pct"/>
          </w:tcPr>
          <w:p w14:paraId="6A13746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36" w:type="pct"/>
          </w:tcPr>
          <w:p w14:paraId="0764AAB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$8,828</w:t>
            </w:r>
          </w:p>
        </w:tc>
        <w:tc>
          <w:tcPr>
            <w:tcW w:w="769" w:type="pct"/>
            <w:shd w:val="clear" w:color="auto" w:fill="auto"/>
            <w:noWrap/>
            <w:hideMark/>
          </w:tcPr>
          <w:p w14:paraId="3BF71E6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$4,924</w:t>
            </w:r>
          </w:p>
        </w:tc>
        <w:tc>
          <w:tcPr>
            <w:tcW w:w="739" w:type="pct"/>
            <w:shd w:val="clear" w:color="auto" w:fill="auto"/>
            <w:noWrap/>
            <w:hideMark/>
          </w:tcPr>
          <w:p w14:paraId="1255438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$3,904</w:t>
            </w:r>
          </w:p>
        </w:tc>
      </w:tr>
      <w:tr w:rsidR="00E47AB8" w:rsidRPr="008B2F8A" w14:paraId="3E95331B" w14:textId="77777777" w:rsidTr="00E14AC4">
        <w:tc>
          <w:tcPr>
            <w:tcW w:w="2051" w:type="pct"/>
            <w:tcBorders>
              <w:top w:val="nil"/>
              <w:bottom w:val="nil"/>
            </w:tcBorders>
            <w:shd w:val="clear" w:color="auto" w:fill="auto"/>
            <w:noWrap/>
          </w:tcPr>
          <w:p w14:paraId="3B5015AB" w14:textId="77777777" w:rsidR="00E47AB8" w:rsidRPr="008B2F8A" w:rsidRDefault="00E47AB8" w:rsidP="00422306">
            <w:pPr>
              <w:spacing w:before="40" w:after="80"/>
              <w:rPr>
                <w:rFonts w:ascii="Arial Narrow" w:eastAsia="Times New Roman" w:hAnsi="Arial Narrow"/>
                <w:i/>
                <w:sz w:val="20"/>
                <w:szCs w:val="20"/>
              </w:rPr>
            </w:pPr>
            <w:r w:rsidRPr="00351EBA">
              <w:rPr>
                <w:rFonts w:ascii="Arial Narrow" w:hAnsi="Arial Narrow"/>
                <w:color w:val="FFFFFF" w:themeColor="background1"/>
                <w:sz w:val="20"/>
                <w:szCs w:val="20"/>
              </w:rPr>
              <w:t>-</w:t>
            </w:r>
          </w:p>
        </w:tc>
        <w:tc>
          <w:tcPr>
            <w:tcW w:w="705" w:type="pct"/>
          </w:tcPr>
          <w:p w14:paraId="0A5C1A1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36" w:type="pct"/>
            <w:tcBorders>
              <w:bottom w:val="single" w:sz="4" w:space="0" w:color="auto"/>
            </w:tcBorders>
          </w:tcPr>
          <w:p w14:paraId="0A60A298"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13.4765</w:t>
            </w:r>
          </w:p>
        </w:tc>
        <w:tc>
          <w:tcPr>
            <w:tcW w:w="769" w:type="pct"/>
            <w:tcBorders>
              <w:bottom w:val="single" w:sz="4" w:space="0" w:color="auto"/>
            </w:tcBorders>
            <w:shd w:val="clear" w:color="auto" w:fill="auto"/>
            <w:noWrap/>
          </w:tcPr>
          <w:p w14:paraId="384A5F5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13.4293</w:t>
            </w:r>
          </w:p>
        </w:tc>
        <w:tc>
          <w:tcPr>
            <w:tcW w:w="739" w:type="pct"/>
            <w:tcBorders>
              <w:bottom w:val="single" w:sz="4" w:space="0" w:color="auto"/>
            </w:tcBorders>
            <w:shd w:val="clear" w:color="auto" w:fill="auto"/>
            <w:noWrap/>
          </w:tcPr>
          <w:p w14:paraId="18382FF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0.0471</w:t>
            </w:r>
          </w:p>
        </w:tc>
      </w:tr>
      <w:tr w:rsidR="00E47AB8" w:rsidRPr="008B2F8A" w14:paraId="12F5FFDE" w14:textId="77777777" w:rsidTr="00E14AC4">
        <w:tc>
          <w:tcPr>
            <w:tcW w:w="2051" w:type="pct"/>
            <w:tcBorders>
              <w:top w:val="nil"/>
              <w:bottom w:val="single" w:sz="4" w:space="0" w:color="auto"/>
            </w:tcBorders>
            <w:shd w:val="clear" w:color="auto" w:fill="auto"/>
            <w:noWrap/>
          </w:tcPr>
          <w:p w14:paraId="7CD66FDE" w14:textId="77777777" w:rsidR="00E47AB8" w:rsidRPr="008B2F8A" w:rsidRDefault="00E47AB8" w:rsidP="00422306">
            <w:pPr>
              <w:spacing w:before="40" w:after="80"/>
              <w:rPr>
                <w:rFonts w:ascii="Arial Narrow" w:eastAsia="Times New Roman" w:hAnsi="Arial Narrow"/>
                <w:i/>
                <w:sz w:val="20"/>
                <w:szCs w:val="20"/>
              </w:rPr>
            </w:pPr>
            <w:r w:rsidRPr="00351EBA">
              <w:rPr>
                <w:rFonts w:ascii="Arial Narrow" w:hAnsi="Arial Narrow"/>
                <w:color w:val="FFFFFF" w:themeColor="background1"/>
                <w:sz w:val="20"/>
                <w:szCs w:val="20"/>
              </w:rPr>
              <w:t>-</w:t>
            </w:r>
          </w:p>
        </w:tc>
        <w:tc>
          <w:tcPr>
            <w:tcW w:w="705" w:type="pct"/>
          </w:tcPr>
          <w:p w14:paraId="498E886A"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36" w:type="pct"/>
            <w:tcBorders>
              <w:right w:val="nil"/>
            </w:tcBorders>
          </w:tcPr>
          <w:p w14:paraId="7C143294" w14:textId="77777777" w:rsidR="00E47AB8" w:rsidRPr="008B2F8A" w:rsidRDefault="00E47AB8" w:rsidP="00422306">
            <w:pPr>
              <w:spacing w:before="40" w:after="80"/>
              <w:jc w:val="right"/>
              <w:rPr>
                <w:rFonts w:ascii="Arial Narrow" w:eastAsia="Times New Roman" w:hAnsi="Arial Narrow"/>
                <w:sz w:val="20"/>
                <w:szCs w:val="20"/>
              </w:rPr>
            </w:pPr>
            <w:r w:rsidRPr="00095108">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2DE5636F" w14:textId="77777777" w:rsidR="00E47AB8" w:rsidRPr="008B2F8A" w:rsidRDefault="00E47AB8" w:rsidP="00422306">
            <w:pPr>
              <w:spacing w:before="40" w:after="80"/>
              <w:jc w:val="right"/>
              <w:rPr>
                <w:rFonts w:ascii="Arial Narrow" w:eastAsia="Times New Roman" w:hAnsi="Arial Narrow"/>
                <w:sz w:val="20"/>
                <w:szCs w:val="20"/>
              </w:rPr>
            </w:pPr>
            <w:r w:rsidRPr="00095108">
              <w:rPr>
                <w:rFonts w:ascii="Arial Narrow" w:hAnsi="Arial Narrow"/>
                <w:color w:val="FFFFFF" w:themeColor="background1"/>
                <w:sz w:val="20"/>
                <w:szCs w:val="20"/>
              </w:rPr>
              <w:t>-</w:t>
            </w:r>
          </w:p>
        </w:tc>
        <w:tc>
          <w:tcPr>
            <w:tcW w:w="739" w:type="pct"/>
            <w:tcBorders>
              <w:left w:val="nil"/>
            </w:tcBorders>
            <w:shd w:val="clear" w:color="auto" w:fill="auto"/>
            <w:noWrap/>
          </w:tcPr>
          <w:p w14:paraId="542462FA"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$82,793</w:t>
            </w:r>
          </w:p>
        </w:tc>
      </w:tr>
      <w:tr w:rsidR="00E47AB8" w:rsidRPr="008B2F8A" w14:paraId="38AEAAE5" w14:textId="77777777" w:rsidTr="00E14AC4">
        <w:tc>
          <w:tcPr>
            <w:tcW w:w="2051" w:type="pct"/>
            <w:tcBorders>
              <w:bottom w:val="nil"/>
            </w:tcBorders>
            <w:shd w:val="clear" w:color="auto" w:fill="auto"/>
            <w:noWrap/>
          </w:tcPr>
          <w:p w14:paraId="0265A27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Chest radiotherapy between 10 and 35 years</w:t>
            </w:r>
          </w:p>
        </w:tc>
        <w:tc>
          <w:tcPr>
            <w:tcW w:w="705" w:type="pct"/>
          </w:tcPr>
          <w:p w14:paraId="10169FA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36" w:type="pct"/>
          </w:tcPr>
          <w:p w14:paraId="4EF6824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$13,788</w:t>
            </w:r>
          </w:p>
        </w:tc>
        <w:tc>
          <w:tcPr>
            <w:tcW w:w="769" w:type="pct"/>
            <w:shd w:val="clear" w:color="auto" w:fill="auto"/>
            <w:noWrap/>
            <w:hideMark/>
          </w:tcPr>
          <w:p w14:paraId="61F10E1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$4,682</w:t>
            </w:r>
          </w:p>
        </w:tc>
        <w:tc>
          <w:tcPr>
            <w:tcW w:w="739" w:type="pct"/>
            <w:shd w:val="clear" w:color="auto" w:fill="auto"/>
            <w:noWrap/>
            <w:hideMark/>
          </w:tcPr>
          <w:p w14:paraId="77B6BE4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$9,105</w:t>
            </w:r>
          </w:p>
        </w:tc>
      </w:tr>
      <w:tr w:rsidR="00E47AB8" w:rsidRPr="008B2F8A" w14:paraId="31DB16E9" w14:textId="77777777" w:rsidTr="00E14AC4">
        <w:tc>
          <w:tcPr>
            <w:tcW w:w="2051" w:type="pct"/>
            <w:tcBorders>
              <w:top w:val="nil"/>
              <w:bottom w:val="nil"/>
            </w:tcBorders>
            <w:shd w:val="clear" w:color="auto" w:fill="auto"/>
            <w:noWrap/>
          </w:tcPr>
          <w:p w14:paraId="1FDEEBD5" w14:textId="77777777" w:rsidR="00E47AB8" w:rsidRPr="008B2F8A" w:rsidRDefault="00E47AB8" w:rsidP="00422306">
            <w:pPr>
              <w:spacing w:before="40" w:after="80"/>
              <w:rPr>
                <w:rFonts w:ascii="Arial Narrow" w:eastAsia="Times New Roman" w:hAnsi="Arial Narrow"/>
                <w:i/>
                <w:sz w:val="20"/>
                <w:szCs w:val="20"/>
              </w:rPr>
            </w:pPr>
            <w:r w:rsidRPr="00ED265B">
              <w:rPr>
                <w:rFonts w:ascii="Arial Narrow" w:hAnsi="Arial Narrow"/>
                <w:color w:val="FFFFFF" w:themeColor="background1"/>
                <w:sz w:val="20"/>
                <w:szCs w:val="20"/>
              </w:rPr>
              <w:t>-</w:t>
            </w:r>
          </w:p>
        </w:tc>
        <w:tc>
          <w:tcPr>
            <w:tcW w:w="705" w:type="pct"/>
          </w:tcPr>
          <w:p w14:paraId="460A1FA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36" w:type="pct"/>
            <w:tcBorders>
              <w:bottom w:val="single" w:sz="4" w:space="0" w:color="auto"/>
            </w:tcBorders>
          </w:tcPr>
          <w:p w14:paraId="0D6CF1E8"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15.5053</w:t>
            </w:r>
          </w:p>
        </w:tc>
        <w:tc>
          <w:tcPr>
            <w:tcW w:w="769" w:type="pct"/>
            <w:tcBorders>
              <w:bottom w:val="single" w:sz="4" w:space="0" w:color="auto"/>
            </w:tcBorders>
            <w:shd w:val="clear" w:color="auto" w:fill="auto"/>
            <w:noWrap/>
          </w:tcPr>
          <w:p w14:paraId="27891984"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15.4537</w:t>
            </w:r>
          </w:p>
        </w:tc>
        <w:tc>
          <w:tcPr>
            <w:tcW w:w="739" w:type="pct"/>
            <w:tcBorders>
              <w:bottom w:val="single" w:sz="4" w:space="0" w:color="auto"/>
            </w:tcBorders>
            <w:shd w:val="clear" w:color="auto" w:fill="auto"/>
            <w:noWrap/>
          </w:tcPr>
          <w:p w14:paraId="51A4945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0.0516</w:t>
            </w:r>
          </w:p>
        </w:tc>
      </w:tr>
      <w:tr w:rsidR="00E47AB8" w:rsidRPr="008B2F8A" w14:paraId="6936D82B" w14:textId="77777777" w:rsidTr="00E14AC4">
        <w:tc>
          <w:tcPr>
            <w:tcW w:w="2051" w:type="pct"/>
            <w:tcBorders>
              <w:top w:val="nil"/>
            </w:tcBorders>
            <w:shd w:val="clear" w:color="auto" w:fill="auto"/>
            <w:noWrap/>
          </w:tcPr>
          <w:p w14:paraId="3D0AAB8E" w14:textId="77777777" w:rsidR="00E47AB8" w:rsidRPr="008B2F8A" w:rsidRDefault="00E47AB8" w:rsidP="00422306">
            <w:pPr>
              <w:spacing w:before="40" w:after="80"/>
              <w:rPr>
                <w:rFonts w:ascii="Arial Narrow" w:eastAsia="Times New Roman" w:hAnsi="Arial Narrow"/>
                <w:i/>
                <w:sz w:val="20"/>
                <w:szCs w:val="20"/>
              </w:rPr>
            </w:pPr>
            <w:r w:rsidRPr="00ED265B">
              <w:rPr>
                <w:rFonts w:ascii="Arial Narrow" w:hAnsi="Arial Narrow"/>
                <w:color w:val="FFFFFF" w:themeColor="background1"/>
                <w:sz w:val="20"/>
                <w:szCs w:val="20"/>
              </w:rPr>
              <w:t>-</w:t>
            </w:r>
          </w:p>
        </w:tc>
        <w:tc>
          <w:tcPr>
            <w:tcW w:w="705" w:type="pct"/>
          </w:tcPr>
          <w:p w14:paraId="5D64484A"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36" w:type="pct"/>
            <w:tcBorders>
              <w:right w:val="nil"/>
            </w:tcBorders>
          </w:tcPr>
          <w:p w14:paraId="6B3639B0" w14:textId="77777777" w:rsidR="00E47AB8" w:rsidRPr="008B2F8A" w:rsidRDefault="00E47AB8" w:rsidP="00422306">
            <w:pPr>
              <w:spacing w:before="40" w:after="80"/>
              <w:jc w:val="right"/>
              <w:rPr>
                <w:rFonts w:ascii="Arial Narrow" w:eastAsia="Times New Roman" w:hAnsi="Arial Narrow"/>
                <w:sz w:val="20"/>
                <w:szCs w:val="20"/>
              </w:rPr>
            </w:pPr>
            <w:r w:rsidRPr="00F978E6">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1A5009FA" w14:textId="77777777" w:rsidR="00E47AB8" w:rsidRPr="008B2F8A" w:rsidRDefault="00E47AB8" w:rsidP="00422306">
            <w:pPr>
              <w:spacing w:before="40" w:after="80"/>
              <w:jc w:val="right"/>
              <w:rPr>
                <w:rFonts w:ascii="Arial Narrow" w:eastAsia="Times New Roman" w:hAnsi="Arial Narrow"/>
                <w:sz w:val="20"/>
                <w:szCs w:val="20"/>
              </w:rPr>
            </w:pPr>
            <w:r w:rsidRPr="00F978E6">
              <w:rPr>
                <w:rFonts w:ascii="Arial Narrow" w:hAnsi="Arial Narrow"/>
                <w:color w:val="FFFFFF" w:themeColor="background1"/>
                <w:sz w:val="20"/>
                <w:szCs w:val="20"/>
              </w:rPr>
              <w:t>-</w:t>
            </w:r>
          </w:p>
        </w:tc>
        <w:tc>
          <w:tcPr>
            <w:tcW w:w="739" w:type="pct"/>
            <w:tcBorders>
              <w:left w:val="nil"/>
            </w:tcBorders>
            <w:shd w:val="clear" w:color="auto" w:fill="auto"/>
            <w:noWrap/>
          </w:tcPr>
          <w:p w14:paraId="0B9B8B2C"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$176,536</w:t>
            </w:r>
          </w:p>
        </w:tc>
      </w:tr>
    </w:tbl>
    <w:p w14:paraId="780FEADF" w14:textId="77777777" w:rsidR="00E47AB8" w:rsidRPr="008B2F8A" w:rsidRDefault="00E47AB8" w:rsidP="00E14AC4">
      <w:pPr>
        <w:pStyle w:val="TableNotesLast"/>
        <w:rPr>
          <w:rFonts w:eastAsiaTheme="minorHAnsi"/>
        </w:rPr>
      </w:pPr>
      <w:r w:rsidRPr="008B2F8A">
        <w:rPr>
          <w:rFonts w:eastAsiaTheme="minorHAnsi"/>
        </w:rPr>
        <w:t>DCIS = ductal carcinoma in situ; LCIS = lobular carcinoma in situ; ICER = incremental cost-effectiveness ratio; MRI = magnetic resonance imaging; QALY = quality-adjusted life year.</w:t>
      </w:r>
    </w:p>
    <w:bookmarkStart w:id="1226" w:name="_Ref375920323"/>
    <w:p w14:paraId="15B25384" w14:textId="70B97DDB" w:rsidR="00E47AB8" w:rsidRPr="007C6E89" w:rsidRDefault="00E47AB8" w:rsidP="00422306">
      <w:pPr>
        <w:spacing w:after="200"/>
        <w:rPr>
          <w:rFonts w:eastAsiaTheme="minorHAnsi" w:cstheme="minorBidi"/>
        </w:rPr>
      </w:pP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_Ref376938297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Table </w:t>
      </w:r>
      <w:r w:rsidR="00B81273">
        <w:rPr>
          <w:noProof/>
        </w:rPr>
        <w:t>D</w:t>
      </w:r>
      <w:r w:rsidR="00B81273" w:rsidRPr="008B2F8A">
        <w:t>.</w:t>
      </w:r>
      <w:r w:rsidR="00B81273">
        <w:rPr>
          <w:noProof/>
        </w:rPr>
        <w:t>20</w:t>
      </w:r>
      <w:r w:rsidRPr="008B2F8A">
        <w:rPr>
          <w:rFonts w:asciiTheme="minorHAnsi" w:eastAsiaTheme="minorHAnsi" w:hAnsiTheme="minorHAnsi" w:cstheme="minorBidi"/>
        </w:rPr>
        <w:fldChar w:fldCharType="end"/>
      </w:r>
      <w:r w:rsidRPr="007C6E89">
        <w:rPr>
          <w:rFonts w:eastAsiaTheme="minorHAnsi" w:cstheme="minorBidi"/>
        </w:rPr>
        <w:t xml:space="preserve"> presents the same data but substitutes the estimates for diagnostic accuracy in each population with the single set of figures from the HIQA (2013) meta-analysis, previously used only for the group of women with a high familial risk for breast cancer. The HIQA (2013) diagnostic accuracy data have less variance than the population-specific results, as they are based on a large sample size. This is especially important for those populations supported by very poor-quality evidence, such as women with a prior history of treatment for DCIS or LCIS. However, using these data for all analyses assumes that the diagnostic accuracy of MRI + mammography compared with mammography alone does not vary for women of the same age in different populations (eg, the sensitivity of MRI in a 40-year-old woman with a </w:t>
      </w:r>
      <w:r w:rsidRPr="00E14AC4">
        <w:rPr>
          <w:rFonts w:eastAsiaTheme="minorHAnsi" w:cstheme="minorBidi"/>
          <w:i/>
        </w:rPr>
        <w:t>BRCA1</w:t>
      </w:r>
      <w:r w:rsidRPr="007C6E89">
        <w:rPr>
          <w:rFonts w:eastAsiaTheme="minorHAnsi" w:cstheme="minorBidi"/>
        </w:rPr>
        <w:t xml:space="preserve"> mutation would be the same as in a 40-year-old woman with prior invasive breast cancer).</w:t>
      </w:r>
    </w:p>
    <w:p w14:paraId="753AB502" w14:textId="171E3C1D" w:rsidR="00E47AB8" w:rsidRPr="007C6E89" w:rsidRDefault="00E47AB8" w:rsidP="00422306">
      <w:pPr>
        <w:spacing w:after="200"/>
        <w:rPr>
          <w:rFonts w:eastAsiaTheme="minorHAnsi" w:cstheme="minorBidi"/>
        </w:rPr>
      </w:pPr>
      <w:r w:rsidRPr="007C6E89">
        <w:rPr>
          <w:rFonts w:eastAsiaTheme="minorHAnsi" w:cstheme="minorBidi"/>
        </w:rPr>
        <w:t>Using the HIQA (2013) data, the ICER remains lowest in women with a confirmed mutation for breast cancer ($36,440/QALY), followed by women with prior invasive breast cancer and prior DCIS/LCIS (both $67,368/QALY). In the currently reimbursed population with a high familial risk for breast cancer, it remains unchanged, as the HIQA (2013) data were used in the base case ($91,488/QALY). In women with a prior history of invasive breast cancer, the ICER decreases to $125,687/QALY.</w:t>
      </w:r>
    </w:p>
    <w:p w14:paraId="683F078F" w14:textId="77777777" w:rsidR="00E47AB8" w:rsidRPr="008B2F8A" w:rsidRDefault="00E47AB8" w:rsidP="00422306">
      <w:pPr>
        <w:pStyle w:val="Caption"/>
      </w:pPr>
      <w:bookmarkStart w:id="1227" w:name="_Ref376938297"/>
      <w:bookmarkStart w:id="1228" w:name="_Toc383424629"/>
      <w:r w:rsidRPr="008B2F8A">
        <w:lastRenderedPageBreak/>
        <w:t xml:space="preserve">Table </w:t>
      </w:r>
      <w:fldSimple w:instr=" STYLEREF 1 \s ">
        <w:r w:rsidR="00B81273">
          <w:rPr>
            <w:noProof/>
          </w:rPr>
          <w:t>D</w:t>
        </w:r>
      </w:fldSimple>
      <w:r w:rsidRPr="008B2F8A">
        <w:t>.</w:t>
      </w:r>
      <w:fldSimple w:instr=" SEQ Table \* ARABIC \s 1 ">
        <w:r w:rsidR="00B81273">
          <w:rPr>
            <w:noProof/>
          </w:rPr>
          <w:t>20</w:t>
        </w:r>
      </w:fldSimple>
      <w:bookmarkEnd w:id="1226"/>
      <w:bookmarkEnd w:id="1227"/>
      <w:r w:rsidRPr="008B2F8A">
        <w:tab/>
      </w:r>
      <w:bookmarkStart w:id="1229" w:name="OLE_LINK1115"/>
      <w:bookmarkStart w:id="1230" w:name="OLE_LINK1116"/>
      <w:r w:rsidRPr="008B2F8A">
        <w:t>Incremental cost per QALY (HIQA 2013 data)</w:t>
      </w:r>
      <w:bookmarkEnd w:id="1229"/>
      <w:bookmarkEnd w:id="1230"/>
      <w:r w:rsidRPr="008B2F8A">
        <w:t>.</w:t>
      </w:r>
      <w:bookmarkEnd w:id="1228"/>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Incremental cost per QALY (HIQA 2013 data)"/>
      </w:tblPr>
      <w:tblGrid>
        <w:gridCol w:w="3548"/>
        <w:gridCol w:w="926"/>
        <w:gridCol w:w="1232"/>
        <w:gridCol w:w="1223"/>
        <w:gridCol w:w="2141"/>
      </w:tblGrid>
      <w:tr w:rsidR="00E47AB8" w:rsidRPr="008B2F8A" w14:paraId="2CDB7D40" w14:textId="77777777" w:rsidTr="00E14AC4">
        <w:trPr>
          <w:tblHeader/>
        </w:trPr>
        <w:tc>
          <w:tcPr>
            <w:tcW w:w="2051" w:type="pct"/>
            <w:tcBorders>
              <w:bottom w:val="single" w:sz="4" w:space="0" w:color="auto"/>
            </w:tcBorders>
            <w:shd w:val="clear" w:color="auto" w:fill="EEECE1" w:themeFill="background2"/>
            <w:noWrap/>
            <w:hideMark/>
          </w:tcPr>
          <w:p w14:paraId="5511E046"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Population</w:t>
            </w:r>
          </w:p>
        </w:tc>
        <w:tc>
          <w:tcPr>
            <w:tcW w:w="674" w:type="pct"/>
            <w:shd w:val="clear" w:color="auto" w:fill="EEECE1" w:themeFill="background2"/>
          </w:tcPr>
          <w:p w14:paraId="29D5C9C7"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Result</w:t>
            </w:r>
          </w:p>
        </w:tc>
        <w:tc>
          <w:tcPr>
            <w:tcW w:w="767" w:type="pct"/>
            <w:shd w:val="clear" w:color="auto" w:fill="EEECE1" w:themeFill="background2"/>
            <w:vAlign w:val="center"/>
          </w:tcPr>
          <w:p w14:paraId="09AAA3CC" w14:textId="77777777" w:rsidR="00E47AB8" w:rsidRPr="008B2F8A" w:rsidRDefault="00E47AB8" w:rsidP="00E14AC4">
            <w:pPr>
              <w:keepNext/>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 xml:space="preserve">MRI </w:t>
            </w:r>
            <w:r w:rsidRPr="008B2F8A">
              <w:rPr>
                <w:rFonts w:ascii="Arial Narrow" w:hAnsi="Arial Narrow"/>
              </w:rPr>
              <w:t>​+​</w:t>
            </w:r>
            <w:r w:rsidRPr="008B2F8A">
              <w:rPr>
                <w:rFonts w:ascii="Arial Narrow" w:eastAsiaTheme="minorHAnsi" w:hAnsi="Arial Narrow" w:cstheme="minorBidi"/>
                <w:b/>
                <w:color w:val="000000"/>
                <w:sz w:val="20"/>
                <w:szCs w:val="20"/>
              </w:rPr>
              <w:t xml:space="preserve"> mammography</w:t>
            </w:r>
          </w:p>
        </w:tc>
        <w:tc>
          <w:tcPr>
            <w:tcW w:w="769" w:type="pct"/>
            <w:shd w:val="clear" w:color="auto" w:fill="EEECE1" w:themeFill="background2"/>
            <w:noWrap/>
            <w:vAlign w:val="center"/>
            <w:hideMark/>
          </w:tcPr>
          <w:p w14:paraId="725A8E0A" w14:textId="77777777" w:rsidR="00E47AB8" w:rsidRPr="008B2F8A" w:rsidRDefault="00E47AB8" w:rsidP="00E14AC4">
            <w:pPr>
              <w:keepNext/>
              <w:spacing w:before="40" w:after="80"/>
              <w:rPr>
                <w:rFonts w:ascii="Arial Narrow" w:eastAsiaTheme="minorHAnsi" w:hAnsi="Arial Narrow" w:cstheme="minorBidi"/>
                <w:b/>
                <w:color w:val="000000"/>
                <w:sz w:val="20"/>
                <w:szCs w:val="20"/>
              </w:rPr>
            </w:pPr>
            <w:r w:rsidRPr="008B2F8A">
              <w:rPr>
                <w:rFonts w:ascii="Arial Narrow" w:eastAsiaTheme="minorHAnsi" w:hAnsi="Arial Narrow" w:cstheme="minorBidi"/>
                <w:b/>
                <w:color w:val="000000"/>
                <w:sz w:val="20"/>
                <w:szCs w:val="20"/>
              </w:rPr>
              <w:t>Mammography</w:t>
            </w:r>
          </w:p>
        </w:tc>
        <w:tc>
          <w:tcPr>
            <w:tcW w:w="739" w:type="pct"/>
            <w:shd w:val="clear" w:color="auto" w:fill="EEECE1" w:themeFill="background2"/>
            <w:noWrap/>
            <w:vAlign w:val="center"/>
            <w:hideMark/>
          </w:tcPr>
          <w:p w14:paraId="17081A09" w14:textId="77777777" w:rsidR="00E47AB8" w:rsidRPr="008B2F8A" w:rsidRDefault="00E47AB8" w:rsidP="00E14AC4">
            <w:pPr>
              <w:keepNext/>
              <w:spacing w:before="40" w:after="80"/>
              <w:rPr>
                <w:rFonts w:ascii="Arial Narrow" w:eastAsiaTheme="minorHAnsi" w:hAnsi="Arial Narrow" w:cstheme="minorBidi"/>
                <w:b/>
                <w:bCs/>
                <w:color w:val="000000"/>
                <w:sz w:val="20"/>
                <w:szCs w:val="20"/>
              </w:rPr>
            </w:pPr>
            <w:r w:rsidRPr="008B2F8A">
              <w:rPr>
                <w:rFonts w:ascii="Arial Narrow" w:eastAsiaTheme="minorHAnsi" w:hAnsi="Arial Narrow" w:cstheme="minorBidi"/>
                <w:b/>
                <w:bCs/>
                <w:color w:val="000000"/>
                <w:sz w:val="20"/>
                <w:szCs w:val="20"/>
              </w:rPr>
              <w:t>Difference</w:t>
            </w:r>
          </w:p>
        </w:tc>
      </w:tr>
      <w:tr w:rsidR="00E47AB8" w:rsidRPr="008B2F8A" w14:paraId="5725E603" w14:textId="77777777" w:rsidTr="00E14AC4">
        <w:tc>
          <w:tcPr>
            <w:tcW w:w="2051" w:type="pct"/>
            <w:tcBorders>
              <w:bottom w:val="nil"/>
            </w:tcBorders>
            <w:shd w:val="clear" w:color="auto" w:fill="auto"/>
            <w:noWrap/>
            <w:hideMark/>
          </w:tcPr>
          <w:p w14:paraId="7B60B9A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High-risk based on breast cancer gene mutation</w:t>
            </w:r>
          </w:p>
        </w:tc>
        <w:tc>
          <w:tcPr>
            <w:tcW w:w="674" w:type="pct"/>
          </w:tcPr>
          <w:p w14:paraId="48BECE0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67" w:type="pct"/>
          </w:tcPr>
          <w:p w14:paraId="5AF2A95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$19,314</w:t>
            </w:r>
          </w:p>
        </w:tc>
        <w:tc>
          <w:tcPr>
            <w:tcW w:w="769" w:type="pct"/>
            <w:shd w:val="clear" w:color="auto" w:fill="auto"/>
            <w:noWrap/>
            <w:hideMark/>
          </w:tcPr>
          <w:p w14:paraId="2A57AE20"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$9,797</w:t>
            </w:r>
          </w:p>
        </w:tc>
        <w:tc>
          <w:tcPr>
            <w:tcW w:w="739" w:type="pct"/>
            <w:shd w:val="clear" w:color="auto" w:fill="auto"/>
            <w:noWrap/>
            <w:hideMark/>
          </w:tcPr>
          <w:p w14:paraId="00BFBF98"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$9,517</w:t>
            </w:r>
          </w:p>
        </w:tc>
      </w:tr>
      <w:tr w:rsidR="00E47AB8" w:rsidRPr="008B2F8A" w14:paraId="4C40573B" w14:textId="77777777" w:rsidTr="00E14AC4">
        <w:tc>
          <w:tcPr>
            <w:tcW w:w="2051" w:type="pct"/>
            <w:tcBorders>
              <w:top w:val="nil"/>
              <w:bottom w:val="nil"/>
            </w:tcBorders>
            <w:shd w:val="clear" w:color="auto" w:fill="auto"/>
            <w:noWrap/>
          </w:tcPr>
          <w:p w14:paraId="63F5D8FB" w14:textId="77777777" w:rsidR="00E47AB8" w:rsidRPr="008B2F8A" w:rsidRDefault="00E47AB8" w:rsidP="00422306">
            <w:pPr>
              <w:spacing w:before="40" w:after="80"/>
              <w:rPr>
                <w:rFonts w:ascii="Arial Narrow" w:eastAsia="Times New Roman" w:hAnsi="Arial Narrow"/>
                <w:i/>
                <w:sz w:val="20"/>
                <w:szCs w:val="20"/>
              </w:rPr>
            </w:pPr>
            <w:r w:rsidRPr="00196505">
              <w:rPr>
                <w:rFonts w:ascii="Arial Narrow" w:hAnsi="Arial Narrow"/>
                <w:color w:val="FFFFFF" w:themeColor="background1"/>
                <w:sz w:val="20"/>
                <w:szCs w:val="20"/>
              </w:rPr>
              <w:t>-</w:t>
            </w:r>
          </w:p>
        </w:tc>
        <w:tc>
          <w:tcPr>
            <w:tcW w:w="674" w:type="pct"/>
          </w:tcPr>
          <w:p w14:paraId="6991FCF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67" w:type="pct"/>
            <w:tcBorders>
              <w:bottom w:val="single" w:sz="4" w:space="0" w:color="auto"/>
            </w:tcBorders>
          </w:tcPr>
          <w:p w14:paraId="20A232CD"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14.6886</w:t>
            </w:r>
          </w:p>
        </w:tc>
        <w:tc>
          <w:tcPr>
            <w:tcW w:w="769" w:type="pct"/>
            <w:tcBorders>
              <w:bottom w:val="single" w:sz="4" w:space="0" w:color="auto"/>
            </w:tcBorders>
            <w:shd w:val="clear" w:color="auto" w:fill="auto"/>
            <w:noWrap/>
          </w:tcPr>
          <w:p w14:paraId="09839640"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14.4275</w:t>
            </w:r>
          </w:p>
        </w:tc>
        <w:tc>
          <w:tcPr>
            <w:tcW w:w="739" w:type="pct"/>
            <w:tcBorders>
              <w:bottom w:val="single" w:sz="4" w:space="0" w:color="auto"/>
            </w:tcBorders>
            <w:shd w:val="clear" w:color="auto" w:fill="auto"/>
            <w:noWrap/>
          </w:tcPr>
          <w:p w14:paraId="1827DC6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0.2612</w:t>
            </w:r>
          </w:p>
        </w:tc>
      </w:tr>
      <w:tr w:rsidR="00E47AB8" w:rsidRPr="008B2F8A" w14:paraId="3CCC855F" w14:textId="77777777" w:rsidTr="00E14AC4">
        <w:tc>
          <w:tcPr>
            <w:tcW w:w="2051" w:type="pct"/>
            <w:tcBorders>
              <w:top w:val="nil"/>
              <w:bottom w:val="single" w:sz="4" w:space="0" w:color="auto"/>
            </w:tcBorders>
            <w:shd w:val="clear" w:color="auto" w:fill="auto"/>
            <w:noWrap/>
          </w:tcPr>
          <w:p w14:paraId="5B5F4228" w14:textId="77777777" w:rsidR="00E47AB8" w:rsidRPr="008B2F8A" w:rsidRDefault="00E47AB8" w:rsidP="00422306">
            <w:pPr>
              <w:spacing w:before="40" w:after="80"/>
              <w:rPr>
                <w:rFonts w:ascii="Arial Narrow" w:eastAsia="Times New Roman" w:hAnsi="Arial Narrow"/>
                <w:i/>
                <w:sz w:val="20"/>
                <w:szCs w:val="20"/>
              </w:rPr>
            </w:pPr>
            <w:r w:rsidRPr="00196505">
              <w:rPr>
                <w:rFonts w:ascii="Arial Narrow" w:hAnsi="Arial Narrow"/>
                <w:color w:val="FFFFFF" w:themeColor="background1"/>
                <w:sz w:val="20"/>
                <w:szCs w:val="20"/>
              </w:rPr>
              <w:t>-</w:t>
            </w:r>
          </w:p>
        </w:tc>
        <w:tc>
          <w:tcPr>
            <w:tcW w:w="674" w:type="pct"/>
          </w:tcPr>
          <w:p w14:paraId="7079DC8F"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67" w:type="pct"/>
            <w:tcBorders>
              <w:right w:val="nil"/>
            </w:tcBorders>
          </w:tcPr>
          <w:p w14:paraId="0E0F4699" w14:textId="77777777" w:rsidR="00E47AB8" w:rsidRPr="008B2F8A" w:rsidRDefault="00E47AB8" w:rsidP="00422306">
            <w:pPr>
              <w:spacing w:before="40" w:after="80"/>
              <w:jc w:val="right"/>
              <w:rPr>
                <w:rFonts w:ascii="Arial Narrow" w:eastAsia="Times New Roman" w:hAnsi="Arial Narrow"/>
                <w:sz w:val="20"/>
                <w:szCs w:val="20"/>
              </w:rPr>
            </w:pPr>
            <w:r w:rsidRPr="00083CF7">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7B141DBE" w14:textId="77777777" w:rsidR="00E47AB8" w:rsidRPr="008B2F8A" w:rsidRDefault="00E47AB8" w:rsidP="00422306">
            <w:pPr>
              <w:spacing w:before="40" w:after="80"/>
              <w:jc w:val="right"/>
              <w:rPr>
                <w:rFonts w:ascii="Arial Narrow" w:eastAsia="Times New Roman" w:hAnsi="Arial Narrow"/>
                <w:sz w:val="20"/>
                <w:szCs w:val="20"/>
              </w:rPr>
            </w:pPr>
            <w:r w:rsidRPr="00083CF7">
              <w:rPr>
                <w:rFonts w:ascii="Arial Narrow" w:hAnsi="Arial Narrow"/>
                <w:color w:val="FFFFFF" w:themeColor="background1"/>
                <w:sz w:val="20"/>
                <w:szCs w:val="20"/>
              </w:rPr>
              <w:t>-</w:t>
            </w:r>
          </w:p>
        </w:tc>
        <w:tc>
          <w:tcPr>
            <w:tcW w:w="739" w:type="pct"/>
            <w:tcBorders>
              <w:left w:val="nil"/>
            </w:tcBorders>
            <w:shd w:val="clear" w:color="auto" w:fill="auto"/>
            <w:noWrap/>
          </w:tcPr>
          <w:p w14:paraId="4DC5EAC6" w14:textId="77777777" w:rsidR="00E47AB8" w:rsidRPr="00E14AC4" w:rsidRDefault="00E47AB8" w:rsidP="00E14AC4">
            <w:pPr>
              <w:spacing w:before="40" w:after="80"/>
              <w:ind w:left="1492"/>
              <w:jc w:val="center"/>
              <w:rPr>
                <w:rFonts w:ascii="Arial Narrow" w:eastAsia="Times New Roman" w:hAnsi="Arial Narrow"/>
                <w:b/>
                <w:sz w:val="20"/>
                <w:szCs w:val="20"/>
              </w:rPr>
            </w:pPr>
            <w:bookmarkStart w:id="1231" w:name="RANGE!E29"/>
            <w:r w:rsidRPr="00E14AC4">
              <w:rPr>
                <w:rFonts w:ascii="Arial Narrow" w:eastAsia="Times New Roman" w:hAnsi="Arial Narrow"/>
                <w:b/>
                <w:sz w:val="20"/>
                <w:szCs w:val="20"/>
              </w:rPr>
              <w:t>$36,440</w:t>
            </w:r>
            <w:bookmarkEnd w:id="1231"/>
          </w:p>
        </w:tc>
      </w:tr>
      <w:tr w:rsidR="00E47AB8" w:rsidRPr="008B2F8A" w14:paraId="6CDD558A" w14:textId="77777777" w:rsidTr="00E14AC4">
        <w:tc>
          <w:tcPr>
            <w:tcW w:w="2051" w:type="pct"/>
            <w:tcBorders>
              <w:bottom w:val="nil"/>
            </w:tcBorders>
            <w:shd w:val="clear" w:color="auto" w:fill="auto"/>
            <w:noWrap/>
            <w:hideMark/>
          </w:tcPr>
          <w:p w14:paraId="0D256661" w14:textId="77777777" w:rsidR="00E47AB8" w:rsidRPr="008B2F8A" w:rsidRDefault="00E47AB8" w:rsidP="00422306">
            <w:pPr>
              <w:spacing w:before="40" w:after="80"/>
              <w:rPr>
                <w:rFonts w:ascii="Arial Narrow" w:eastAsia="Times New Roman" w:hAnsi="Arial Narrow"/>
                <w:i/>
                <w:sz w:val="20"/>
                <w:szCs w:val="20"/>
              </w:rPr>
            </w:pPr>
            <w:r w:rsidRPr="008B2F8A">
              <w:rPr>
                <w:rFonts w:ascii="Arial Narrow" w:eastAsia="Times New Roman" w:hAnsi="Arial Narrow"/>
                <w:i/>
                <w:sz w:val="20"/>
                <w:szCs w:val="20"/>
              </w:rPr>
              <w:t>Familial high-risk</w:t>
            </w:r>
          </w:p>
        </w:tc>
        <w:tc>
          <w:tcPr>
            <w:tcW w:w="674" w:type="pct"/>
          </w:tcPr>
          <w:p w14:paraId="6ED55B0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67" w:type="pct"/>
          </w:tcPr>
          <w:p w14:paraId="0A12C3F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$16,022</w:t>
            </w:r>
          </w:p>
        </w:tc>
        <w:tc>
          <w:tcPr>
            <w:tcW w:w="769" w:type="pct"/>
            <w:shd w:val="clear" w:color="auto" w:fill="auto"/>
            <w:noWrap/>
            <w:hideMark/>
          </w:tcPr>
          <w:p w14:paraId="0CF47DBA"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$6,696</w:t>
            </w:r>
          </w:p>
        </w:tc>
        <w:tc>
          <w:tcPr>
            <w:tcW w:w="739" w:type="pct"/>
            <w:shd w:val="clear" w:color="auto" w:fill="auto"/>
            <w:noWrap/>
            <w:hideMark/>
          </w:tcPr>
          <w:p w14:paraId="1A87F56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$9,326</w:t>
            </w:r>
          </w:p>
        </w:tc>
      </w:tr>
      <w:tr w:rsidR="00E47AB8" w:rsidRPr="008B2F8A" w14:paraId="15DD6CBF" w14:textId="77777777" w:rsidTr="00E14AC4">
        <w:tc>
          <w:tcPr>
            <w:tcW w:w="2051" w:type="pct"/>
            <w:tcBorders>
              <w:top w:val="nil"/>
              <w:bottom w:val="nil"/>
            </w:tcBorders>
            <w:shd w:val="clear" w:color="auto" w:fill="auto"/>
            <w:noWrap/>
          </w:tcPr>
          <w:p w14:paraId="02277E08" w14:textId="77777777" w:rsidR="00E47AB8" w:rsidRPr="008B2F8A" w:rsidRDefault="00E47AB8" w:rsidP="00422306">
            <w:pPr>
              <w:spacing w:before="40" w:after="80"/>
              <w:rPr>
                <w:rFonts w:ascii="Arial Narrow" w:eastAsia="Times New Roman" w:hAnsi="Arial Narrow"/>
                <w:i/>
                <w:sz w:val="20"/>
                <w:szCs w:val="20"/>
              </w:rPr>
            </w:pPr>
            <w:r w:rsidRPr="00B24988">
              <w:rPr>
                <w:rFonts w:ascii="Arial Narrow" w:hAnsi="Arial Narrow"/>
                <w:color w:val="FFFFFF" w:themeColor="background1"/>
                <w:sz w:val="20"/>
                <w:szCs w:val="20"/>
              </w:rPr>
              <w:t>-</w:t>
            </w:r>
          </w:p>
        </w:tc>
        <w:tc>
          <w:tcPr>
            <w:tcW w:w="674" w:type="pct"/>
          </w:tcPr>
          <w:p w14:paraId="401AA5C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67" w:type="pct"/>
            <w:tcBorders>
              <w:bottom w:val="single" w:sz="4" w:space="0" w:color="auto"/>
            </w:tcBorders>
          </w:tcPr>
          <w:p w14:paraId="595708A8"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15.3484</w:t>
            </w:r>
          </w:p>
        </w:tc>
        <w:tc>
          <w:tcPr>
            <w:tcW w:w="769" w:type="pct"/>
            <w:tcBorders>
              <w:bottom w:val="single" w:sz="4" w:space="0" w:color="auto"/>
            </w:tcBorders>
            <w:shd w:val="clear" w:color="auto" w:fill="auto"/>
            <w:noWrap/>
          </w:tcPr>
          <w:p w14:paraId="7AF3F07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15.2465</w:t>
            </w:r>
          </w:p>
        </w:tc>
        <w:tc>
          <w:tcPr>
            <w:tcW w:w="739" w:type="pct"/>
            <w:tcBorders>
              <w:bottom w:val="single" w:sz="4" w:space="0" w:color="auto"/>
            </w:tcBorders>
            <w:shd w:val="clear" w:color="auto" w:fill="auto"/>
            <w:noWrap/>
          </w:tcPr>
          <w:p w14:paraId="7B5C0FF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0.1019</w:t>
            </w:r>
          </w:p>
        </w:tc>
      </w:tr>
      <w:tr w:rsidR="00E47AB8" w:rsidRPr="008B2F8A" w14:paraId="62A1037C" w14:textId="77777777" w:rsidTr="00E14AC4">
        <w:tc>
          <w:tcPr>
            <w:tcW w:w="2051" w:type="pct"/>
            <w:tcBorders>
              <w:top w:val="nil"/>
              <w:bottom w:val="single" w:sz="4" w:space="0" w:color="auto"/>
            </w:tcBorders>
            <w:shd w:val="clear" w:color="auto" w:fill="auto"/>
            <w:noWrap/>
          </w:tcPr>
          <w:p w14:paraId="6AA19228" w14:textId="77777777" w:rsidR="00E47AB8" w:rsidRPr="008B2F8A" w:rsidRDefault="00E47AB8" w:rsidP="00422306">
            <w:pPr>
              <w:spacing w:before="40" w:after="80"/>
              <w:rPr>
                <w:rFonts w:ascii="Arial Narrow" w:eastAsia="Times New Roman" w:hAnsi="Arial Narrow"/>
                <w:i/>
                <w:sz w:val="20"/>
                <w:szCs w:val="20"/>
              </w:rPr>
            </w:pPr>
            <w:r w:rsidRPr="00B24988">
              <w:rPr>
                <w:rFonts w:ascii="Arial Narrow" w:hAnsi="Arial Narrow"/>
                <w:color w:val="FFFFFF" w:themeColor="background1"/>
                <w:sz w:val="20"/>
                <w:szCs w:val="20"/>
              </w:rPr>
              <w:t>-</w:t>
            </w:r>
          </w:p>
        </w:tc>
        <w:tc>
          <w:tcPr>
            <w:tcW w:w="674" w:type="pct"/>
          </w:tcPr>
          <w:p w14:paraId="53710044"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67" w:type="pct"/>
            <w:tcBorders>
              <w:right w:val="nil"/>
            </w:tcBorders>
          </w:tcPr>
          <w:p w14:paraId="31241495" w14:textId="77777777" w:rsidR="00E47AB8" w:rsidRPr="008B2F8A" w:rsidRDefault="00E47AB8" w:rsidP="00422306">
            <w:pPr>
              <w:spacing w:before="40" w:after="80"/>
              <w:jc w:val="right"/>
              <w:rPr>
                <w:rFonts w:ascii="Arial Narrow" w:eastAsia="Times New Roman" w:hAnsi="Arial Narrow"/>
                <w:b/>
                <w:sz w:val="20"/>
                <w:szCs w:val="20"/>
              </w:rPr>
            </w:pPr>
            <w:r w:rsidRPr="009F45EF">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503676D6" w14:textId="77777777" w:rsidR="00E47AB8" w:rsidRPr="008B2F8A" w:rsidRDefault="00E47AB8" w:rsidP="00422306">
            <w:pPr>
              <w:spacing w:before="40" w:after="80"/>
              <w:jc w:val="right"/>
              <w:rPr>
                <w:rFonts w:ascii="Arial Narrow" w:eastAsia="Times New Roman" w:hAnsi="Arial Narrow"/>
                <w:b/>
                <w:sz w:val="20"/>
                <w:szCs w:val="20"/>
              </w:rPr>
            </w:pPr>
            <w:r w:rsidRPr="009F45EF">
              <w:rPr>
                <w:rFonts w:ascii="Arial Narrow" w:hAnsi="Arial Narrow"/>
                <w:color w:val="FFFFFF" w:themeColor="background1"/>
                <w:sz w:val="20"/>
                <w:szCs w:val="20"/>
              </w:rPr>
              <w:t>-</w:t>
            </w:r>
          </w:p>
        </w:tc>
        <w:tc>
          <w:tcPr>
            <w:tcW w:w="739" w:type="pct"/>
            <w:tcBorders>
              <w:left w:val="nil"/>
            </w:tcBorders>
            <w:shd w:val="clear" w:color="auto" w:fill="auto"/>
            <w:noWrap/>
          </w:tcPr>
          <w:p w14:paraId="5479E05C"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$91,488</w:t>
            </w:r>
          </w:p>
        </w:tc>
      </w:tr>
      <w:tr w:rsidR="00E47AB8" w:rsidRPr="008B2F8A" w14:paraId="2745C9FF" w14:textId="77777777" w:rsidTr="00E14AC4">
        <w:tc>
          <w:tcPr>
            <w:tcW w:w="2051" w:type="pct"/>
            <w:tcBorders>
              <w:bottom w:val="nil"/>
            </w:tcBorders>
            <w:shd w:val="clear" w:color="auto" w:fill="auto"/>
            <w:noWrap/>
            <w:hideMark/>
          </w:tcPr>
          <w:p w14:paraId="560F929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Prior history of invasive breast cancer</w:t>
            </w:r>
          </w:p>
        </w:tc>
        <w:tc>
          <w:tcPr>
            <w:tcW w:w="674" w:type="pct"/>
          </w:tcPr>
          <w:p w14:paraId="2E78D12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67" w:type="pct"/>
          </w:tcPr>
          <w:p w14:paraId="6BFC9484"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$8,416</w:t>
            </w:r>
          </w:p>
        </w:tc>
        <w:tc>
          <w:tcPr>
            <w:tcW w:w="769" w:type="pct"/>
            <w:shd w:val="clear" w:color="auto" w:fill="auto"/>
            <w:noWrap/>
            <w:hideMark/>
          </w:tcPr>
          <w:p w14:paraId="53DA738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$4,600</w:t>
            </w:r>
          </w:p>
        </w:tc>
        <w:tc>
          <w:tcPr>
            <w:tcW w:w="739" w:type="pct"/>
            <w:shd w:val="clear" w:color="auto" w:fill="auto"/>
            <w:noWrap/>
            <w:hideMark/>
          </w:tcPr>
          <w:p w14:paraId="7E8DF6E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$3,816</w:t>
            </w:r>
          </w:p>
        </w:tc>
      </w:tr>
      <w:tr w:rsidR="00E47AB8" w:rsidRPr="008B2F8A" w14:paraId="7A2F35C0" w14:textId="77777777" w:rsidTr="00E14AC4">
        <w:tc>
          <w:tcPr>
            <w:tcW w:w="2051" w:type="pct"/>
            <w:tcBorders>
              <w:top w:val="nil"/>
              <w:bottom w:val="nil"/>
            </w:tcBorders>
            <w:shd w:val="clear" w:color="auto" w:fill="auto"/>
            <w:noWrap/>
          </w:tcPr>
          <w:p w14:paraId="3B62F99A" w14:textId="77777777" w:rsidR="00E47AB8" w:rsidRPr="008B2F8A" w:rsidRDefault="00E47AB8" w:rsidP="00422306">
            <w:pPr>
              <w:spacing w:before="40" w:after="80"/>
              <w:rPr>
                <w:rFonts w:ascii="Arial Narrow" w:eastAsia="Times New Roman" w:hAnsi="Arial Narrow"/>
                <w:i/>
                <w:sz w:val="20"/>
                <w:szCs w:val="20"/>
              </w:rPr>
            </w:pPr>
            <w:r w:rsidRPr="008F7B43">
              <w:rPr>
                <w:rFonts w:ascii="Arial Narrow" w:hAnsi="Arial Narrow"/>
                <w:color w:val="FFFFFF" w:themeColor="background1"/>
                <w:sz w:val="20"/>
                <w:szCs w:val="20"/>
              </w:rPr>
              <w:t>-</w:t>
            </w:r>
          </w:p>
        </w:tc>
        <w:tc>
          <w:tcPr>
            <w:tcW w:w="674" w:type="pct"/>
          </w:tcPr>
          <w:p w14:paraId="5F0E6B1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67" w:type="pct"/>
            <w:tcBorders>
              <w:bottom w:val="single" w:sz="4" w:space="0" w:color="auto"/>
            </w:tcBorders>
          </w:tcPr>
          <w:p w14:paraId="472F9C56"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13.5027</w:t>
            </w:r>
          </w:p>
        </w:tc>
        <w:tc>
          <w:tcPr>
            <w:tcW w:w="769" w:type="pct"/>
            <w:tcBorders>
              <w:bottom w:val="single" w:sz="4" w:space="0" w:color="auto"/>
            </w:tcBorders>
            <w:shd w:val="clear" w:color="auto" w:fill="auto"/>
            <w:noWrap/>
          </w:tcPr>
          <w:p w14:paraId="088D6B8F"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13.4460</w:t>
            </w:r>
          </w:p>
        </w:tc>
        <w:tc>
          <w:tcPr>
            <w:tcW w:w="739" w:type="pct"/>
            <w:tcBorders>
              <w:bottom w:val="single" w:sz="4" w:space="0" w:color="auto"/>
            </w:tcBorders>
            <w:shd w:val="clear" w:color="auto" w:fill="auto"/>
            <w:noWrap/>
          </w:tcPr>
          <w:p w14:paraId="3463F809"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0.0566</w:t>
            </w:r>
          </w:p>
        </w:tc>
      </w:tr>
      <w:tr w:rsidR="00E47AB8" w:rsidRPr="008B2F8A" w14:paraId="7F664EA2" w14:textId="77777777" w:rsidTr="00E14AC4">
        <w:tc>
          <w:tcPr>
            <w:tcW w:w="2051" w:type="pct"/>
            <w:tcBorders>
              <w:top w:val="nil"/>
              <w:bottom w:val="single" w:sz="4" w:space="0" w:color="auto"/>
            </w:tcBorders>
            <w:shd w:val="clear" w:color="auto" w:fill="auto"/>
            <w:noWrap/>
          </w:tcPr>
          <w:p w14:paraId="002E07B5" w14:textId="77777777" w:rsidR="00E47AB8" w:rsidRPr="008B2F8A" w:rsidRDefault="00E47AB8" w:rsidP="00422306">
            <w:pPr>
              <w:spacing w:before="40" w:after="80"/>
              <w:rPr>
                <w:rFonts w:ascii="Arial Narrow" w:eastAsia="Times New Roman" w:hAnsi="Arial Narrow"/>
                <w:i/>
                <w:sz w:val="20"/>
                <w:szCs w:val="20"/>
              </w:rPr>
            </w:pPr>
            <w:r w:rsidRPr="008F7B43">
              <w:rPr>
                <w:rFonts w:ascii="Arial Narrow" w:hAnsi="Arial Narrow"/>
                <w:color w:val="FFFFFF" w:themeColor="background1"/>
                <w:sz w:val="20"/>
                <w:szCs w:val="20"/>
              </w:rPr>
              <w:t>-</w:t>
            </w:r>
          </w:p>
        </w:tc>
        <w:tc>
          <w:tcPr>
            <w:tcW w:w="674" w:type="pct"/>
          </w:tcPr>
          <w:p w14:paraId="00EA4F19"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67" w:type="pct"/>
            <w:tcBorders>
              <w:right w:val="nil"/>
            </w:tcBorders>
          </w:tcPr>
          <w:p w14:paraId="37E9293B" w14:textId="77777777" w:rsidR="00E47AB8" w:rsidRPr="008B2F8A" w:rsidRDefault="00E47AB8" w:rsidP="00422306">
            <w:pPr>
              <w:spacing w:before="40" w:after="80"/>
              <w:jc w:val="right"/>
              <w:rPr>
                <w:rFonts w:ascii="Arial Narrow" w:eastAsia="Times New Roman" w:hAnsi="Arial Narrow"/>
                <w:b/>
                <w:sz w:val="20"/>
                <w:szCs w:val="20"/>
              </w:rPr>
            </w:pPr>
            <w:r w:rsidRPr="00E871F0">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06DF98A9" w14:textId="77777777" w:rsidR="00E47AB8" w:rsidRPr="008B2F8A" w:rsidRDefault="00E47AB8" w:rsidP="00422306">
            <w:pPr>
              <w:spacing w:before="40" w:after="80"/>
              <w:jc w:val="right"/>
              <w:rPr>
                <w:rFonts w:ascii="Arial Narrow" w:eastAsia="Times New Roman" w:hAnsi="Arial Narrow"/>
                <w:b/>
                <w:sz w:val="20"/>
                <w:szCs w:val="20"/>
              </w:rPr>
            </w:pPr>
            <w:r w:rsidRPr="00E871F0">
              <w:rPr>
                <w:rFonts w:ascii="Arial Narrow" w:hAnsi="Arial Narrow"/>
                <w:color w:val="FFFFFF" w:themeColor="background1"/>
                <w:sz w:val="20"/>
                <w:szCs w:val="20"/>
              </w:rPr>
              <w:t>-</w:t>
            </w:r>
          </w:p>
        </w:tc>
        <w:tc>
          <w:tcPr>
            <w:tcW w:w="739" w:type="pct"/>
            <w:tcBorders>
              <w:left w:val="nil"/>
            </w:tcBorders>
            <w:shd w:val="clear" w:color="auto" w:fill="auto"/>
            <w:noWrap/>
          </w:tcPr>
          <w:p w14:paraId="4AF04A7C"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$67,368</w:t>
            </w:r>
          </w:p>
        </w:tc>
      </w:tr>
      <w:tr w:rsidR="00E47AB8" w:rsidRPr="008B2F8A" w14:paraId="3C09D9C8" w14:textId="77777777" w:rsidTr="00E14AC4">
        <w:tc>
          <w:tcPr>
            <w:tcW w:w="2051" w:type="pct"/>
            <w:tcBorders>
              <w:bottom w:val="nil"/>
            </w:tcBorders>
            <w:shd w:val="clear" w:color="auto" w:fill="auto"/>
            <w:noWrap/>
            <w:hideMark/>
          </w:tcPr>
          <w:p w14:paraId="12E3AA0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Prior history of treatment for DCIS or LCIS</w:t>
            </w:r>
          </w:p>
        </w:tc>
        <w:tc>
          <w:tcPr>
            <w:tcW w:w="674" w:type="pct"/>
          </w:tcPr>
          <w:p w14:paraId="42FE3D6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67" w:type="pct"/>
          </w:tcPr>
          <w:p w14:paraId="2E85C1F4"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$8,416</w:t>
            </w:r>
          </w:p>
        </w:tc>
        <w:tc>
          <w:tcPr>
            <w:tcW w:w="769" w:type="pct"/>
            <w:shd w:val="clear" w:color="auto" w:fill="auto"/>
            <w:noWrap/>
            <w:hideMark/>
          </w:tcPr>
          <w:p w14:paraId="5C6E6FF3"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$4,600</w:t>
            </w:r>
          </w:p>
        </w:tc>
        <w:tc>
          <w:tcPr>
            <w:tcW w:w="739" w:type="pct"/>
            <w:shd w:val="clear" w:color="auto" w:fill="auto"/>
            <w:noWrap/>
            <w:hideMark/>
          </w:tcPr>
          <w:p w14:paraId="13C9B3F7"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$3,816</w:t>
            </w:r>
          </w:p>
        </w:tc>
      </w:tr>
      <w:tr w:rsidR="00E47AB8" w:rsidRPr="008B2F8A" w14:paraId="6EAEE469" w14:textId="77777777" w:rsidTr="00E14AC4">
        <w:tc>
          <w:tcPr>
            <w:tcW w:w="2051" w:type="pct"/>
            <w:tcBorders>
              <w:top w:val="nil"/>
              <w:bottom w:val="nil"/>
            </w:tcBorders>
            <w:shd w:val="clear" w:color="auto" w:fill="auto"/>
            <w:noWrap/>
          </w:tcPr>
          <w:p w14:paraId="60F49955" w14:textId="77777777" w:rsidR="00E47AB8" w:rsidRPr="008B2F8A" w:rsidRDefault="00E47AB8" w:rsidP="00422306">
            <w:pPr>
              <w:spacing w:before="40" w:after="80"/>
              <w:rPr>
                <w:rFonts w:ascii="Arial Narrow" w:eastAsia="Times New Roman" w:hAnsi="Arial Narrow"/>
                <w:i/>
                <w:sz w:val="20"/>
                <w:szCs w:val="20"/>
              </w:rPr>
            </w:pPr>
            <w:r w:rsidRPr="00D96D23">
              <w:rPr>
                <w:rFonts w:ascii="Arial Narrow" w:hAnsi="Arial Narrow"/>
                <w:color w:val="FFFFFF" w:themeColor="background1"/>
                <w:sz w:val="20"/>
                <w:szCs w:val="20"/>
              </w:rPr>
              <w:t>-</w:t>
            </w:r>
          </w:p>
        </w:tc>
        <w:tc>
          <w:tcPr>
            <w:tcW w:w="674" w:type="pct"/>
          </w:tcPr>
          <w:p w14:paraId="22AB3D4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67" w:type="pct"/>
            <w:tcBorders>
              <w:bottom w:val="single" w:sz="4" w:space="0" w:color="auto"/>
            </w:tcBorders>
          </w:tcPr>
          <w:p w14:paraId="1E59A54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13.5027</w:t>
            </w:r>
          </w:p>
        </w:tc>
        <w:tc>
          <w:tcPr>
            <w:tcW w:w="769" w:type="pct"/>
            <w:tcBorders>
              <w:bottom w:val="single" w:sz="4" w:space="0" w:color="auto"/>
            </w:tcBorders>
            <w:shd w:val="clear" w:color="auto" w:fill="auto"/>
            <w:noWrap/>
          </w:tcPr>
          <w:p w14:paraId="702582C1"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13.4460</w:t>
            </w:r>
          </w:p>
        </w:tc>
        <w:tc>
          <w:tcPr>
            <w:tcW w:w="739" w:type="pct"/>
            <w:tcBorders>
              <w:bottom w:val="single" w:sz="4" w:space="0" w:color="auto"/>
            </w:tcBorders>
            <w:shd w:val="clear" w:color="auto" w:fill="auto"/>
            <w:noWrap/>
          </w:tcPr>
          <w:p w14:paraId="6A1625A4"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0.0566</w:t>
            </w:r>
          </w:p>
        </w:tc>
      </w:tr>
      <w:tr w:rsidR="00E47AB8" w:rsidRPr="008B2F8A" w14:paraId="64F54BA8" w14:textId="77777777" w:rsidTr="00E14AC4">
        <w:tc>
          <w:tcPr>
            <w:tcW w:w="2051" w:type="pct"/>
            <w:tcBorders>
              <w:top w:val="nil"/>
              <w:bottom w:val="single" w:sz="4" w:space="0" w:color="auto"/>
            </w:tcBorders>
            <w:shd w:val="clear" w:color="auto" w:fill="auto"/>
            <w:noWrap/>
          </w:tcPr>
          <w:p w14:paraId="467D7632" w14:textId="77777777" w:rsidR="00E47AB8" w:rsidRPr="008B2F8A" w:rsidRDefault="00E47AB8" w:rsidP="00422306">
            <w:pPr>
              <w:spacing w:before="40" w:after="80"/>
              <w:rPr>
                <w:rFonts w:ascii="Arial Narrow" w:eastAsia="Times New Roman" w:hAnsi="Arial Narrow"/>
                <w:i/>
                <w:sz w:val="20"/>
                <w:szCs w:val="20"/>
              </w:rPr>
            </w:pPr>
            <w:r w:rsidRPr="00D96D23">
              <w:rPr>
                <w:rFonts w:ascii="Arial Narrow" w:hAnsi="Arial Narrow"/>
                <w:color w:val="FFFFFF" w:themeColor="background1"/>
                <w:sz w:val="20"/>
                <w:szCs w:val="20"/>
              </w:rPr>
              <w:t>-</w:t>
            </w:r>
          </w:p>
        </w:tc>
        <w:tc>
          <w:tcPr>
            <w:tcW w:w="674" w:type="pct"/>
          </w:tcPr>
          <w:p w14:paraId="562C454A"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67" w:type="pct"/>
            <w:tcBorders>
              <w:right w:val="nil"/>
            </w:tcBorders>
          </w:tcPr>
          <w:p w14:paraId="7B6AFBA6" w14:textId="77777777" w:rsidR="00E47AB8" w:rsidRPr="008B2F8A" w:rsidRDefault="00E47AB8" w:rsidP="00422306">
            <w:pPr>
              <w:spacing w:before="40" w:after="80"/>
              <w:jc w:val="right"/>
              <w:rPr>
                <w:rFonts w:ascii="Arial Narrow" w:eastAsia="Times New Roman" w:hAnsi="Arial Narrow"/>
                <w:b/>
                <w:sz w:val="20"/>
                <w:szCs w:val="20"/>
              </w:rPr>
            </w:pPr>
            <w:r w:rsidRPr="00A15835">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5245125A" w14:textId="77777777" w:rsidR="00E47AB8" w:rsidRPr="008B2F8A" w:rsidRDefault="00E47AB8" w:rsidP="00422306">
            <w:pPr>
              <w:spacing w:before="40" w:after="80"/>
              <w:jc w:val="right"/>
              <w:rPr>
                <w:rFonts w:ascii="Arial Narrow" w:eastAsia="Times New Roman" w:hAnsi="Arial Narrow"/>
                <w:b/>
                <w:sz w:val="20"/>
                <w:szCs w:val="20"/>
              </w:rPr>
            </w:pPr>
            <w:r w:rsidRPr="00A15835">
              <w:rPr>
                <w:rFonts w:ascii="Arial Narrow" w:hAnsi="Arial Narrow"/>
                <w:color w:val="FFFFFF" w:themeColor="background1"/>
                <w:sz w:val="20"/>
                <w:szCs w:val="20"/>
              </w:rPr>
              <w:t>-</w:t>
            </w:r>
          </w:p>
        </w:tc>
        <w:tc>
          <w:tcPr>
            <w:tcW w:w="739" w:type="pct"/>
            <w:tcBorders>
              <w:left w:val="nil"/>
            </w:tcBorders>
            <w:shd w:val="clear" w:color="auto" w:fill="auto"/>
            <w:noWrap/>
          </w:tcPr>
          <w:p w14:paraId="3EDDFB0F"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$67,368</w:t>
            </w:r>
          </w:p>
        </w:tc>
      </w:tr>
      <w:tr w:rsidR="00E47AB8" w:rsidRPr="008B2F8A" w14:paraId="69E16850" w14:textId="77777777" w:rsidTr="00E14AC4">
        <w:tc>
          <w:tcPr>
            <w:tcW w:w="2051" w:type="pct"/>
            <w:tcBorders>
              <w:bottom w:val="nil"/>
            </w:tcBorders>
            <w:shd w:val="clear" w:color="auto" w:fill="auto"/>
            <w:noWrap/>
          </w:tcPr>
          <w:p w14:paraId="31646AB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i/>
                <w:sz w:val="20"/>
                <w:szCs w:val="20"/>
              </w:rPr>
              <w:t>Chest radiotherapy between 10 and 35 years</w:t>
            </w:r>
          </w:p>
        </w:tc>
        <w:tc>
          <w:tcPr>
            <w:tcW w:w="674" w:type="pct"/>
          </w:tcPr>
          <w:p w14:paraId="745F8E0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costs</w:t>
            </w:r>
          </w:p>
        </w:tc>
        <w:tc>
          <w:tcPr>
            <w:tcW w:w="767" w:type="pct"/>
          </w:tcPr>
          <w:p w14:paraId="10D98E2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$13,550</w:t>
            </w:r>
          </w:p>
        </w:tc>
        <w:tc>
          <w:tcPr>
            <w:tcW w:w="769" w:type="pct"/>
            <w:shd w:val="clear" w:color="auto" w:fill="auto"/>
            <w:noWrap/>
            <w:hideMark/>
          </w:tcPr>
          <w:p w14:paraId="052FF4CC"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$4,252</w:t>
            </w:r>
          </w:p>
        </w:tc>
        <w:tc>
          <w:tcPr>
            <w:tcW w:w="739" w:type="pct"/>
            <w:shd w:val="clear" w:color="auto" w:fill="auto"/>
            <w:noWrap/>
            <w:hideMark/>
          </w:tcPr>
          <w:p w14:paraId="1BCEDC2D"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$9,297</w:t>
            </w:r>
          </w:p>
        </w:tc>
      </w:tr>
      <w:tr w:rsidR="00E47AB8" w:rsidRPr="008B2F8A" w14:paraId="510B9758" w14:textId="77777777" w:rsidTr="00E14AC4">
        <w:tc>
          <w:tcPr>
            <w:tcW w:w="2051" w:type="pct"/>
            <w:tcBorders>
              <w:top w:val="nil"/>
              <w:bottom w:val="nil"/>
            </w:tcBorders>
            <w:shd w:val="clear" w:color="auto" w:fill="auto"/>
            <w:noWrap/>
          </w:tcPr>
          <w:p w14:paraId="076BA739" w14:textId="77777777" w:rsidR="00E47AB8" w:rsidRPr="008B2F8A" w:rsidRDefault="00E47AB8" w:rsidP="00422306">
            <w:pPr>
              <w:spacing w:before="40" w:after="80"/>
              <w:rPr>
                <w:rFonts w:ascii="Arial Narrow" w:eastAsia="Times New Roman" w:hAnsi="Arial Narrow"/>
                <w:i/>
                <w:sz w:val="20"/>
                <w:szCs w:val="20"/>
              </w:rPr>
            </w:pPr>
            <w:r w:rsidRPr="004D4663">
              <w:rPr>
                <w:rFonts w:ascii="Arial Narrow" w:hAnsi="Arial Narrow"/>
                <w:color w:val="FFFFFF" w:themeColor="background1"/>
                <w:sz w:val="20"/>
                <w:szCs w:val="20"/>
              </w:rPr>
              <w:t>-</w:t>
            </w:r>
          </w:p>
        </w:tc>
        <w:tc>
          <w:tcPr>
            <w:tcW w:w="674" w:type="pct"/>
          </w:tcPr>
          <w:p w14:paraId="47FAE73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Total QALYs</w:t>
            </w:r>
          </w:p>
        </w:tc>
        <w:tc>
          <w:tcPr>
            <w:tcW w:w="767" w:type="pct"/>
            <w:tcBorders>
              <w:bottom w:val="single" w:sz="4" w:space="0" w:color="auto"/>
            </w:tcBorders>
          </w:tcPr>
          <w:p w14:paraId="7F85C51B"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15.4835</w:t>
            </w:r>
          </w:p>
        </w:tc>
        <w:tc>
          <w:tcPr>
            <w:tcW w:w="769" w:type="pct"/>
            <w:tcBorders>
              <w:bottom w:val="single" w:sz="4" w:space="0" w:color="auto"/>
            </w:tcBorders>
            <w:shd w:val="clear" w:color="auto" w:fill="auto"/>
            <w:noWrap/>
          </w:tcPr>
          <w:p w14:paraId="49E7949E"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15.4095</w:t>
            </w:r>
          </w:p>
        </w:tc>
        <w:tc>
          <w:tcPr>
            <w:tcW w:w="739" w:type="pct"/>
            <w:tcBorders>
              <w:bottom w:val="single" w:sz="4" w:space="0" w:color="auto"/>
            </w:tcBorders>
            <w:shd w:val="clear" w:color="auto" w:fill="auto"/>
            <w:noWrap/>
          </w:tcPr>
          <w:p w14:paraId="543D5C52" w14:textId="77777777" w:rsidR="00E47AB8" w:rsidRPr="008B2F8A" w:rsidRDefault="00E47AB8" w:rsidP="00422306">
            <w:pPr>
              <w:spacing w:before="40" w:after="80"/>
              <w:jc w:val="right"/>
              <w:rPr>
                <w:rFonts w:ascii="Arial Narrow" w:eastAsia="Times New Roman" w:hAnsi="Arial Narrow"/>
                <w:sz w:val="20"/>
                <w:szCs w:val="20"/>
              </w:rPr>
            </w:pPr>
            <w:r w:rsidRPr="008B2F8A">
              <w:rPr>
                <w:rFonts w:ascii="Arial Narrow" w:eastAsia="Times New Roman" w:hAnsi="Arial Narrow"/>
                <w:sz w:val="20"/>
                <w:szCs w:val="20"/>
              </w:rPr>
              <w:t>0.0740</w:t>
            </w:r>
          </w:p>
        </w:tc>
      </w:tr>
      <w:tr w:rsidR="00E47AB8" w:rsidRPr="008B2F8A" w14:paraId="6AA52EF3" w14:textId="77777777" w:rsidTr="00E14AC4">
        <w:tc>
          <w:tcPr>
            <w:tcW w:w="2051" w:type="pct"/>
            <w:tcBorders>
              <w:top w:val="nil"/>
            </w:tcBorders>
            <w:shd w:val="clear" w:color="auto" w:fill="auto"/>
            <w:noWrap/>
          </w:tcPr>
          <w:p w14:paraId="44B9F7D7" w14:textId="77777777" w:rsidR="00E47AB8" w:rsidRPr="008B2F8A" w:rsidRDefault="00E47AB8" w:rsidP="00422306">
            <w:pPr>
              <w:spacing w:before="40" w:after="80"/>
              <w:rPr>
                <w:rFonts w:ascii="Arial Narrow" w:eastAsia="Times New Roman" w:hAnsi="Arial Narrow"/>
                <w:i/>
                <w:sz w:val="20"/>
                <w:szCs w:val="20"/>
              </w:rPr>
            </w:pPr>
            <w:r w:rsidRPr="004D4663">
              <w:rPr>
                <w:rFonts w:ascii="Arial Narrow" w:hAnsi="Arial Narrow"/>
                <w:color w:val="FFFFFF" w:themeColor="background1"/>
                <w:sz w:val="20"/>
                <w:szCs w:val="20"/>
              </w:rPr>
              <w:t>-</w:t>
            </w:r>
          </w:p>
        </w:tc>
        <w:tc>
          <w:tcPr>
            <w:tcW w:w="674" w:type="pct"/>
          </w:tcPr>
          <w:p w14:paraId="2D65CA06"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ICER</w:t>
            </w:r>
          </w:p>
        </w:tc>
        <w:tc>
          <w:tcPr>
            <w:tcW w:w="767" w:type="pct"/>
            <w:tcBorders>
              <w:right w:val="nil"/>
            </w:tcBorders>
          </w:tcPr>
          <w:p w14:paraId="350416A1" w14:textId="77777777" w:rsidR="00E47AB8" w:rsidRPr="008B2F8A" w:rsidRDefault="00E47AB8" w:rsidP="00422306">
            <w:pPr>
              <w:spacing w:before="40" w:after="80"/>
              <w:jc w:val="right"/>
              <w:rPr>
                <w:rFonts w:ascii="Arial Narrow" w:eastAsia="Times New Roman" w:hAnsi="Arial Narrow"/>
                <w:b/>
                <w:sz w:val="20"/>
                <w:szCs w:val="20"/>
              </w:rPr>
            </w:pPr>
            <w:r w:rsidRPr="00BF0008">
              <w:rPr>
                <w:rFonts w:ascii="Arial Narrow" w:hAnsi="Arial Narrow"/>
                <w:color w:val="FFFFFF" w:themeColor="background1"/>
                <w:sz w:val="20"/>
                <w:szCs w:val="20"/>
              </w:rPr>
              <w:t>-</w:t>
            </w:r>
          </w:p>
        </w:tc>
        <w:tc>
          <w:tcPr>
            <w:tcW w:w="769" w:type="pct"/>
            <w:tcBorders>
              <w:left w:val="nil"/>
              <w:right w:val="nil"/>
            </w:tcBorders>
            <w:shd w:val="clear" w:color="auto" w:fill="auto"/>
            <w:noWrap/>
          </w:tcPr>
          <w:p w14:paraId="78E4FF25" w14:textId="77777777" w:rsidR="00E47AB8" w:rsidRPr="008B2F8A" w:rsidRDefault="00E47AB8" w:rsidP="00422306">
            <w:pPr>
              <w:spacing w:before="40" w:after="80"/>
              <w:jc w:val="right"/>
              <w:rPr>
                <w:rFonts w:ascii="Arial Narrow" w:eastAsia="Times New Roman" w:hAnsi="Arial Narrow"/>
                <w:b/>
                <w:sz w:val="20"/>
                <w:szCs w:val="20"/>
              </w:rPr>
            </w:pPr>
            <w:r w:rsidRPr="00BF0008">
              <w:rPr>
                <w:rFonts w:ascii="Arial Narrow" w:hAnsi="Arial Narrow"/>
                <w:color w:val="FFFFFF" w:themeColor="background1"/>
                <w:sz w:val="20"/>
                <w:szCs w:val="20"/>
              </w:rPr>
              <w:t>-</w:t>
            </w:r>
          </w:p>
        </w:tc>
        <w:tc>
          <w:tcPr>
            <w:tcW w:w="739" w:type="pct"/>
            <w:tcBorders>
              <w:left w:val="nil"/>
            </w:tcBorders>
            <w:shd w:val="clear" w:color="auto" w:fill="auto"/>
            <w:noWrap/>
          </w:tcPr>
          <w:p w14:paraId="041D146C" w14:textId="77777777" w:rsidR="00E47AB8" w:rsidRPr="008B2F8A" w:rsidRDefault="00E47AB8" w:rsidP="00422306">
            <w:pPr>
              <w:spacing w:before="40" w:after="80"/>
              <w:jc w:val="right"/>
              <w:rPr>
                <w:rFonts w:ascii="Arial Narrow" w:eastAsia="Times New Roman" w:hAnsi="Arial Narrow"/>
                <w:b/>
                <w:sz w:val="20"/>
                <w:szCs w:val="20"/>
              </w:rPr>
            </w:pPr>
            <w:r w:rsidRPr="008B2F8A">
              <w:rPr>
                <w:rFonts w:ascii="Arial Narrow" w:eastAsia="Times New Roman" w:hAnsi="Arial Narrow"/>
                <w:b/>
                <w:sz w:val="20"/>
                <w:szCs w:val="20"/>
              </w:rPr>
              <w:t>$125,687</w:t>
            </w:r>
          </w:p>
        </w:tc>
      </w:tr>
    </w:tbl>
    <w:p w14:paraId="5E071790" w14:textId="77777777" w:rsidR="00E47AB8" w:rsidRPr="008B2F8A" w:rsidRDefault="00E47AB8" w:rsidP="00E14AC4">
      <w:pPr>
        <w:pStyle w:val="TableNotesLast"/>
        <w:rPr>
          <w:rFonts w:eastAsiaTheme="minorHAnsi"/>
        </w:rPr>
      </w:pPr>
      <w:r w:rsidRPr="008B2F8A">
        <w:t>DCIS = ductal carcinoma in situ; LCIS = lobular carcinoma in situ; ICER = incremental cost-effectiveness ratio; MRI = magnetic resonance imaging; QALY = quality-adjusted life year.</w:t>
      </w:r>
    </w:p>
    <w:p w14:paraId="511FCFBF" w14:textId="77777777" w:rsidR="00E47AB8" w:rsidRPr="008B2F8A" w:rsidRDefault="00E47AB8" w:rsidP="00E47AB8">
      <w:pPr>
        <w:pStyle w:val="Heading2"/>
        <w:rPr>
          <w:rFonts w:eastAsiaTheme="majorEastAsia"/>
        </w:rPr>
      </w:pPr>
      <w:bookmarkStart w:id="1232" w:name="_Ref383162810"/>
      <w:bookmarkStart w:id="1233" w:name="_Ref383162814"/>
      <w:bookmarkStart w:id="1234" w:name="_Toc383424507"/>
      <w:r w:rsidRPr="008B2F8A">
        <w:rPr>
          <w:rFonts w:eastAsiaTheme="majorEastAsia"/>
        </w:rPr>
        <w:t>Sensitivity analyses</w:t>
      </w:r>
      <w:bookmarkEnd w:id="1232"/>
      <w:bookmarkEnd w:id="1233"/>
      <w:bookmarkEnd w:id="1234"/>
    </w:p>
    <w:p w14:paraId="4C71A375" w14:textId="08DB1B38" w:rsidR="00E47AB8" w:rsidRPr="007C6E89" w:rsidRDefault="00E47AB8" w:rsidP="00422306">
      <w:pPr>
        <w:rPr>
          <w:rFonts w:eastAsiaTheme="minorHAnsi" w:cstheme="minorBidi"/>
        </w:rPr>
      </w:pPr>
      <w:r w:rsidRPr="008B2F8A">
        <w:t>Categories of variables tested in sensitivity analysis include diagnostic accuracy data, patient characteristics, the natural history of breast cancer, clinical utility values and costs. As was the case for incremental costs per QALY, sensitivity analyses are presented using population-specific diagnostic accuracy data (</w:t>
      </w:r>
      <w:r w:rsidRPr="008B2F8A">
        <w:fldChar w:fldCharType="begin"/>
      </w:r>
      <w:r w:rsidRPr="008B2F8A">
        <w:instrText xml:space="preserve"> REF _Ref375921686 \h </w:instrText>
      </w:r>
      <w:r w:rsidRPr="008B2F8A">
        <w:fldChar w:fldCharType="separate"/>
      </w:r>
      <w:r w:rsidR="00B81273" w:rsidRPr="008B2F8A">
        <w:t xml:space="preserve">Table </w:t>
      </w:r>
      <w:r w:rsidR="00B81273">
        <w:rPr>
          <w:noProof/>
        </w:rPr>
        <w:t>D</w:t>
      </w:r>
      <w:r w:rsidR="00B81273" w:rsidRPr="008B2F8A">
        <w:t>.</w:t>
      </w:r>
      <w:r w:rsidR="00B81273">
        <w:rPr>
          <w:noProof/>
        </w:rPr>
        <w:t>21</w:t>
      </w:r>
      <w:r w:rsidRPr="008B2F8A">
        <w:fldChar w:fldCharType="end"/>
      </w:r>
      <w:r>
        <w:t xml:space="preserve">, p. </w:t>
      </w:r>
      <w:r>
        <w:fldChar w:fldCharType="begin"/>
      </w:r>
      <w:r>
        <w:instrText xml:space="preserve"> PAGEREF _Ref256239236 \h </w:instrText>
      </w:r>
      <w:r>
        <w:fldChar w:fldCharType="separate"/>
      </w:r>
      <w:r w:rsidR="00B81273">
        <w:rPr>
          <w:noProof/>
        </w:rPr>
        <w:t>109</w:t>
      </w:r>
      <w:r>
        <w:fldChar w:fldCharType="end"/>
      </w:r>
      <w:r w:rsidRPr="008B2F8A">
        <w:t xml:space="preserve">) </w:t>
      </w:r>
      <w:r>
        <w:t>and</w:t>
      </w:r>
      <w:r w:rsidRPr="008B2F8A">
        <w:t xml:space="preserve"> the HIQA (2013) meta-analysis (</w:t>
      </w:r>
      <w:r w:rsidRPr="008B2F8A">
        <w:fldChar w:fldCharType="begin"/>
      </w:r>
      <w:r w:rsidRPr="008B2F8A">
        <w:instrText xml:space="preserve"> REF _Ref377646399 \h </w:instrText>
      </w:r>
      <w:r w:rsidRPr="008B2F8A">
        <w:fldChar w:fldCharType="separate"/>
      </w:r>
      <w:r w:rsidR="00B81273" w:rsidRPr="008B2F8A">
        <w:t xml:space="preserve">Table </w:t>
      </w:r>
      <w:r w:rsidR="00B81273">
        <w:rPr>
          <w:noProof/>
        </w:rPr>
        <w:t>D</w:t>
      </w:r>
      <w:r w:rsidR="00B81273" w:rsidRPr="008B2F8A">
        <w:t>.</w:t>
      </w:r>
      <w:r w:rsidR="00B81273">
        <w:rPr>
          <w:noProof/>
        </w:rPr>
        <w:t>22</w:t>
      </w:r>
      <w:r w:rsidRPr="008B2F8A">
        <w:fldChar w:fldCharType="end"/>
      </w:r>
      <w:r>
        <w:t xml:space="preserve">, p. </w:t>
      </w:r>
      <w:r>
        <w:fldChar w:fldCharType="begin"/>
      </w:r>
      <w:r>
        <w:instrText xml:space="preserve"> PAGEREF _Ref256239256 \h </w:instrText>
      </w:r>
      <w:r>
        <w:fldChar w:fldCharType="separate"/>
      </w:r>
      <w:r w:rsidR="00B81273">
        <w:rPr>
          <w:noProof/>
        </w:rPr>
        <w:t>112</w:t>
      </w:r>
      <w:r>
        <w:fldChar w:fldCharType="end"/>
      </w:r>
      <w:r w:rsidRPr="007C6E89">
        <w:rPr>
          <w:rFonts w:eastAsiaTheme="minorHAnsi" w:cstheme="minorBidi"/>
        </w:rPr>
        <w:t>).</w:t>
      </w:r>
    </w:p>
    <w:p w14:paraId="3E98ADE0" w14:textId="77777777" w:rsidR="00E47AB8" w:rsidRPr="008B2F8A" w:rsidRDefault="00E47AB8" w:rsidP="00E47AB8">
      <w:pPr>
        <w:pStyle w:val="Heading3"/>
        <w:numPr>
          <w:ilvl w:val="2"/>
          <w:numId w:val="42"/>
        </w:numPr>
        <w:rPr>
          <w:rFonts w:eastAsiaTheme="minorHAnsi"/>
        </w:rPr>
      </w:pPr>
      <w:bookmarkStart w:id="1235" w:name="_Toc383424508"/>
      <w:r w:rsidRPr="008B2F8A">
        <w:rPr>
          <w:rFonts w:eastAsiaTheme="minorHAnsi"/>
        </w:rPr>
        <w:t>Diagnostic accuracy data</w:t>
      </w:r>
      <w:bookmarkEnd w:id="1235"/>
    </w:p>
    <w:p w14:paraId="02533336" w14:textId="6DE72B40" w:rsidR="00E47AB8" w:rsidRPr="007C6E89" w:rsidRDefault="00E47AB8" w:rsidP="00422306">
      <w:pPr>
        <w:spacing w:after="200"/>
        <w:rPr>
          <w:rFonts w:eastAsiaTheme="minorHAnsi" w:cstheme="minorBidi"/>
        </w:rPr>
      </w:pPr>
      <w:r w:rsidRPr="007C6E89">
        <w:rPr>
          <w:rFonts w:eastAsiaTheme="minorHAnsi" w:cstheme="minorBidi"/>
        </w:rPr>
        <w:t>The upper and lower 95% CIs for each point estimate of diagnostic accuracy were used to establish the impact of sensitivity and specificity on ICERs for each population. As would be expected, increasing the sensitivity of MRI + mammography improved the ICERs for all populations. Since the point estimates for the sensitivity of screening were already very high, there was in effect a ‘ceiling’ on the extent to which sensitivity could be improved. By comparison, use of lower CIs significantly increased the ICERs, especially in populations where the diagnostic accuracy data came from small studies with high variance around the point estimates, such as in women with prior DCIS or LCIS.</w:t>
      </w:r>
    </w:p>
    <w:p w14:paraId="4CE04102" w14:textId="72551869" w:rsidR="00E47AB8" w:rsidRPr="008B2F8A" w:rsidRDefault="00E47AB8" w:rsidP="00422306">
      <w:r w:rsidRPr="008B2F8A">
        <w:lastRenderedPageBreak/>
        <w:t>Using data from the HIQA (2013) meta-analysis resulted in more stable results</w:t>
      </w:r>
      <w:r>
        <w:t>,</w:t>
      </w:r>
      <w:r w:rsidRPr="008B2F8A">
        <w:t xml:space="preserve"> owing to the narrower confidence </w:t>
      </w:r>
      <w:r w:rsidR="00BE187F">
        <w:t>intervals</w:t>
      </w:r>
      <w:r w:rsidRPr="008B2F8A">
        <w:t xml:space="preserve"> associated with these data (</w:t>
      </w:r>
      <w:r w:rsidRPr="008B2F8A">
        <w:fldChar w:fldCharType="begin"/>
      </w:r>
      <w:r w:rsidRPr="008B2F8A">
        <w:instrText xml:space="preserve"> REF _Ref377646399 \h </w:instrText>
      </w:r>
      <w:r w:rsidRPr="008B2F8A">
        <w:fldChar w:fldCharType="separate"/>
      </w:r>
      <w:r w:rsidR="00B81273" w:rsidRPr="008B2F8A">
        <w:t xml:space="preserve">Table </w:t>
      </w:r>
      <w:r w:rsidR="00B81273">
        <w:rPr>
          <w:noProof/>
        </w:rPr>
        <w:t>D</w:t>
      </w:r>
      <w:r w:rsidR="00B81273" w:rsidRPr="008B2F8A">
        <w:t>.</w:t>
      </w:r>
      <w:r w:rsidR="00B81273">
        <w:rPr>
          <w:noProof/>
        </w:rPr>
        <w:t>22</w:t>
      </w:r>
      <w:r w:rsidRPr="008B2F8A">
        <w:fldChar w:fldCharType="end"/>
      </w:r>
      <w:r w:rsidRPr="008B2F8A">
        <w:t>). Note that using the HIQA (2013) data provides identical results for populations with prior invasive breast cancer and prior DCIS/LCIS in all sensitivity analyses. This reflects the fact that apart from the (population-specific) diagnostic accuracy data, these two populations have identical characteristics and parameters in the model.</w:t>
      </w:r>
    </w:p>
    <w:p w14:paraId="522AD1E1" w14:textId="77777777" w:rsidR="00E47AB8" w:rsidRPr="008B2F8A" w:rsidRDefault="00E47AB8" w:rsidP="00E47AB8">
      <w:pPr>
        <w:pStyle w:val="Heading3"/>
        <w:numPr>
          <w:ilvl w:val="2"/>
          <w:numId w:val="42"/>
        </w:numPr>
        <w:rPr>
          <w:rFonts w:eastAsiaTheme="minorHAnsi"/>
        </w:rPr>
      </w:pPr>
      <w:bookmarkStart w:id="1236" w:name="_Toc383424509"/>
      <w:r w:rsidRPr="008B2F8A">
        <w:rPr>
          <w:rFonts w:eastAsiaTheme="minorHAnsi"/>
        </w:rPr>
        <w:t>Patient characteristics</w:t>
      </w:r>
      <w:bookmarkEnd w:id="1236"/>
    </w:p>
    <w:p w14:paraId="4FC281A6" w14:textId="77777777" w:rsidR="00E47AB8" w:rsidRPr="007C6E89" w:rsidRDefault="00E47AB8" w:rsidP="00422306">
      <w:pPr>
        <w:spacing w:after="200"/>
        <w:rPr>
          <w:rFonts w:eastAsiaTheme="minorHAnsi" w:cstheme="minorBidi"/>
        </w:rPr>
      </w:pPr>
      <w:r w:rsidRPr="007C6E89">
        <w:rPr>
          <w:rFonts w:eastAsiaTheme="minorHAnsi" w:cstheme="minorBidi"/>
        </w:rPr>
        <w:t xml:space="preserve">The model is extremely sensitive to the baseline risk of breast cancer in the screened population. The relationships between the incremental cost per QALY and 5-year breast cancer risk using the base-case population specific and HIQA (2013) data are presented in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_Ref376161454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Figure </w:t>
      </w:r>
      <w:r w:rsidR="00B81273">
        <w:rPr>
          <w:noProof/>
        </w:rPr>
        <w:t>D</w:t>
      </w:r>
      <w:r w:rsidR="00B81273" w:rsidRPr="008B2F8A">
        <w:t>.</w:t>
      </w:r>
      <w:r w:rsidR="00B81273">
        <w:rPr>
          <w:noProof/>
        </w:rPr>
        <w:t>5</w:t>
      </w:r>
      <w:r w:rsidRPr="008B2F8A">
        <w:rPr>
          <w:rFonts w:asciiTheme="minorHAnsi" w:eastAsiaTheme="minorHAnsi" w:hAnsiTheme="minorHAnsi" w:cstheme="minorBidi"/>
        </w:rPr>
        <w:fldChar w:fldCharType="end"/>
      </w:r>
      <w:r w:rsidRPr="007C6E89">
        <w:rPr>
          <w:rFonts w:eastAsiaTheme="minorHAnsi" w:cstheme="minorBidi"/>
        </w:rPr>
        <w:t xml:space="preserve"> and </w:t>
      </w:r>
      <w:r w:rsidRPr="008B2F8A">
        <w:rPr>
          <w:rFonts w:asciiTheme="minorHAnsi" w:eastAsiaTheme="minorHAnsi" w:hAnsiTheme="minorHAnsi" w:cstheme="minorBidi"/>
        </w:rPr>
        <w:fldChar w:fldCharType="begin"/>
      </w:r>
      <w:r w:rsidRPr="008B2F8A">
        <w:rPr>
          <w:rFonts w:asciiTheme="minorHAnsi" w:eastAsiaTheme="minorHAnsi" w:hAnsiTheme="minorHAnsi" w:cstheme="minorBidi"/>
        </w:rPr>
        <w:instrText xml:space="preserve"> REF _Ref376161456 \h </w:instrText>
      </w:r>
      <w:r w:rsidRPr="008B2F8A">
        <w:rPr>
          <w:rFonts w:asciiTheme="minorHAnsi" w:eastAsiaTheme="minorHAnsi" w:hAnsiTheme="minorHAnsi" w:cstheme="minorBidi"/>
        </w:rPr>
      </w:r>
      <w:r w:rsidRPr="008B2F8A">
        <w:rPr>
          <w:rFonts w:asciiTheme="minorHAnsi" w:eastAsiaTheme="minorHAnsi" w:hAnsiTheme="minorHAnsi" w:cstheme="minorBidi"/>
        </w:rPr>
        <w:fldChar w:fldCharType="separate"/>
      </w:r>
      <w:r w:rsidR="00B81273" w:rsidRPr="008B2F8A">
        <w:t xml:space="preserve">Figure </w:t>
      </w:r>
      <w:r w:rsidR="00B81273">
        <w:rPr>
          <w:noProof/>
        </w:rPr>
        <w:t>D</w:t>
      </w:r>
      <w:r w:rsidR="00B81273" w:rsidRPr="008B2F8A">
        <w:t>.</w:t>
      </w:r>
      <w:r w:rsidR="00B81273">
        <w:rPr>
          <w:noProof/>
        </w:rPr>
        <w:t>6</w:t>
      </w:r>
      <w:r w:rsidRPr="008B2F8A">
        <w:rPr>
          <w:rFonts w:asciiTheme="minorHAnsi" w:eastAsiaTheme="minorHAnsi" w:hAnsiTheme="minorHAnsi" w:cstheme="minorBidi"/>
        </w:rPr>
        <w:fldChar w:fldCharType="end"/>
      </w:r>
      <w:r w:rsidRPr="007C6E89">
        <w:rPr>
          <w:rFonts w:eastAsiaTheme="minorHAnsi" w:cstheme="minorBidi"/>
        </w:rPr>
        <w:t>, respectively.</w:t>
      </w:r>
    </w:p>
    <w:p w14:paraId="73F4A022" w14:textId="658A9519" w:rsidR="00E47AB8" w:rsidRPr="007C6E89" w:rsidRDefault="00E47AB8" w:rsidP="00422306">
      <w:pPr>
        <w:spacing w:after="200"/>
        <w:rPr>
          <w:rFonts w:eastAsiaTheme="minorHAnsi" w:cstheme="minorBidi"/>
        </w:rPr>
      </w:pPr>
      <w:r w:rsidRPr="007C6E89">
        <w:rPr>
          <w:rFonts w:eastAsiaTheme="minorHAnsi" w:cstheme="minorBidi"/>
        </w:rPr>
        <w:t>Note that for populations with prior breast cancer, the baseline population is women aged 44 years, whereas for populations without prior breast cancer, the 5-year risk presented is that for a 40-year-old. For all populations, changing the risk of breast cancer at one age results in an adjustment to the risk of breast cancer across all age groups.</w:t>
      </w:r>
    </w:p>
    <w:p w14:paraId="0AB02899" w14:textId="5A4BA3AB" w:rsidR="00E47AB8" w:rsidRPr="007C6E89" w:rsidRDefault="00E47AB8" w:rsidP="00422306">
      <w:pPr>
        <w:spacing w:after="200"/>
        <w:rPr>
          <w:rFonts w:eastAsiaTheme="minorHAnsi" w:cstheme="minorBidi"/>
        </w:rPr>
      </w:pPr>
      <w:r w:rsidRPr="007C6E89">
        <w:rPr>
          <w:rFonts w:eastAsiaTheme="minorHAnsi" w:cstheme="minorBidi"/>
        </w:rPr>
        <w:t>Increasing the 5-year baseline risk of breast cancer at the beginning of screening to 10%, 15% or 20% produced substantial improvements to the ICERs in women with a high risk of familial breast cancer, those with a prior history of invasive or noninvasive breast cancer, and those with a history of chest radiotherapy. For those with a confirmed gene mutation for breast cancer, the effect of increasing the risk of breast cancer on the ICER was smaller, as these patients already have a very high 5-year risk for developing the disease (13.8% for a 40-year-old woman).</w:t>
      </w:r>
    </w:p>
    <w:p w14:paraId="23122CF5" w14:textId="660B0965" w:rsidR="00E47AB8" w:rsidRPr="007C6E89" w:rsidRDefault="00E47AB8" w:rsidP="00422306">
      <w:pPr>
        <w:spacing w:after="200"/>
        <w:rPr>
          <w:rFonts w:eastAsiaTheme="minorHAnsi" w:cstheme="minorBidi"/>
        </w:rPr>
      </w:pPr>
      <w:r w:rsidRPr="007C6E89">
        <w:rPr>
          <w:rFonts w:eastAsiaTheme="minorHAnsi" w:cstheme="minorBidi"/>
        </w:rPr>
        <w:t>Women with prior breast cancer are generally more cost-effective at lower breast cancer risks because they accrue fewer costs over a shorter period of surveillance (6 years). By comparison, women in the population with a high familial risk of breast cancer require a higher 5-year breast cancer risk to achieve the same level of cost-effectiveness as other populations because of higher lifetime screening costs in this population.</w:t>
      </w:r>
    </w:p>
    <w:p w14:paraId="0B536F66" w14:textId="50746545" w:rsidR="00E47AB8" w:rsidRPr="008B2F8A" w:rsidRDefault="00E47AB8" w:rsidP="00422306">
      <w:pPr>
        <w:pStyle w:val="Caption"/>
      </w:pPr>
      <w:bookmarkStart w:id="1237" w:name="_Ref376161454"/>
      <w:bookmarkStart w:id="1238" w:name="_Toc383424681"/>
      <w:r w:rsidRPr="008B2F8A">
        <w:lastRenderedPageBreak/>
        <w:t xml:space="preserve">Figure </w:t>
      </w:r>
      <w:fldSimple w:instr=" STYLEREF 1 \s ">
        <w:r w:rsidR="00B81273">
          <w:rPr>
            <w:noProof/>
          </w:rPr>
          <w:t>D</w:t>
        </w:r>
      </w:fldSimple>
      <w:r w:rsidRPr="008B2F8A">
        <w:t>.</w:t>
      </w:r>
      <w:fldSimple w:instr=" SEQ Figure \* ARABIC \s 1 ">
        <w:r w:rsidR="00B81273">
          <w:rPr>
            <w:noProof/>
          </w:rPr>
          <w:t>5</w:t>
        </w:r>
      </w:fldSimple>
      <w:bookmarkEnd w:id="1237"/>
      <w:r w:rsidRPr="008B2F8A">
        <w:tab/>
      </w:r>
      <w:bookmarkStart w:id="1239" w:name="OLE_LINK1117"/>
      <w:bookmarkStart w:id="1240" w:name="OLE_LINK1118"/>
      <w:r w:rsidRPr="008B2F8A">
        <w:t>Incremental cost/QALY by 5-year breast cancer risk (base-case population-specific data)</w:t>
      </w:r>
      <w:bookmarkEnd w:id="1239"/>
      <w:bookmarkEnd w:id="1240"/>
      <w:r w:rsidRPr="008B2F8A">
        <w:t>.</w:t>
      </w:r>
      <w:bookmarkEnd w:id="1238"/>
    </w:p>
    <w:p w14:paraId="1AE55EF8" w14:textId="77777777" w:rsidR="00E47AB8" w:rsidRPr="007C6E89" w:rsidRDefault="00E47AB8" w:rsidP="00E14AC4">
      <w:pPr>
        <w:spacing w:after="200"/>
        <w:jc w:val="center"/>
        <w:rPr>
          <w:rFonts w:eastAsiaTheme="minorHAnsi" w:cstheme="minorBidi"/>
        </w:rPr>
      </w:pPr>
      <w:r w:rsidRPr="007C6E89">
        <w:rPr>
          <w:rFonts w:eastAsiaTheme="minorHAnsi" w:cstheme="minorBidi"/>
          <w:noProof/>
          <w:lang w:eastAsia="en-AU"/>
        </w:rPr>
        <w:drawing>
          <wp:inline distT="0" distB="0" distL="0" distR="0" wp14:anchorId="1EA8B175" wp14:editId="48ACA5FA">
            <wp:extent cx="5384800" cy="3505200"/>
            <wp:effectExtent l="0" t="0" r="0" b="0"/>
            <wp:docPr id="23" name="Picture 23" descr="Graph with 4 very similar cirves declining initially very fast and then ever more slowly with increasing 5-year risk" title="Incremental cost/QALY by 5-year breast cancer risk (base-case population-specific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1289" t="1133" r="1162" b="1127"/>
                    <a:stretch/>
                  </pic:blipFill>
                  <pic:spPr bwMode="auto">
                    <a:xfrm>
                      <a:off x="0" y="0"/>
                      <a:ext cx="5381342" cy="3502949"/>
                    </a:xfrm>
                    <a:prstGeom prst="rect">
                      <a:avLst/>
                    </a:prstGeom>
                    <a:noFill/>
                    <a:ln>
                      <a:noFill/>
                    </a:ln>
                    <a:extLst>
                      <a:ext uri="{53640926-AAD7-44D8-BBD7-CCE9431645EC}">
                        <a14:shadowObscured xmlns:a14="http://schemas.microsoft.com/office/drawing/2010/main"/>
                      </a:ext>
                    </a:extLst>
                  </pic:spPr>
                </pic:pic>
              </a:graphicData>
            </a:graphic>
          </wp:inline>
        </w:drawing>
      </w:r>
    </w:p>
    <w:p w14:paraId="6C790B6F" w14:textId="1C5DF264" w:rsidR="00E47AB8" w:rsidRPr="008B2F8A" w:rsidRDefault="00E47AB8" w:rsidP="00422306">
      <w:pPr>
        <w:pStyle w:val="TFAbbrevs18"/>
        <w:spacing w:line="276" w:lineRule="auto"/>
      </w:pPr>
      <w:r w:rsidRPr="008B2F8A">
        <w:t xml:space="preserve">Note: The curves for prior DCIS/LCIS and prior chest </w:t>
      </w:r>
      <w:r>
        <w:t>ir</w:t>
      </w:r>
      <w:r w:rsidRPr="008B2F8A">
        <w:t>radiation are overlaid by chance.</w:t>
      </w:r>
    </w:p>
    <w:p w14:paraId="7AB89C21" w14:textId="77777777" w:rsidR="00E47AB8" w:rsidRPr="008B2F8A" w:rsidRDefault="00E47AB8" w:rsidP="00422306">
      <w:pPr>
        <w:pStyle w:val="Caption"/>
      </w:pPr>
      <w:bookmarkStart w:id="1241" w:name="_Ref376161456"/>
      <w:bookmarkStart w:id="1242" w:name="_Toc383424682"/>
      <w:r w:rsidRPr="008B2F8A">
        <w:t xml:space="preserve">Figure </w:t>
      </w:r>
      <w:fldSimple w:instr=" STYLEREF 1 \s ">
        <w:r w:rsidR="00B81273">
          <w:rPr>
            <w:noProof/>
          </w:rPr>
          <w:t>D</w:t>
        </w:r>
      </w:fldSimple>
      <w:r w:rsidRPr="008B2F8A">
        <w:t>.</w:t>
      </w:r>
      <w:fldSimple w:instr=" SEQ Figure \* ARABIC \s 1 ">
        <w:r w:rsidR="00B81273">
          <w:rPr>
            <w:noProof/>
          </w:rPr>
          <w:t>6</w:t>
        </w:r>
      </w:fldSimple>
      <w:bookmarkEnd w:id="1241"/>
      <w:r w:rsidRPr="008B2F8A">
        <w:tab/>
      </w:r>
      <w:bookmarkStart w:id="1243" w:name="OLE_LINK1119"/>
      <w:bookmarkStart w:id="1244" w:name="OLE_LINK1120"/>
      <w:r w:rsidRPr="008B2F8A">
        <w:t>Incremental cost/QALY by 5-year breast cancer risk (HIQA, 2013 data)</w:t>
      </w:r>
      <w:bookmarkEnd w:id="1243"/>
      <w:bookmarkEnd w:id="1244"/>
      <w:r w:rsidRPr="008B2F8A">
        <w:t>.</w:t>
      </w:r>
      <w:bookmarkEnd w:id="1242"/>
    </w:p>
    <w:p w14:paraId="174A931B" w14:textId="77777777" w:rsidR="00E47AB8" w:rsidRPr="007C6E89" w:rsidRDefault="00E47AB8" w:rsidP="00E14AC4">
      <w:pPr>
        <w:keepNext/>
        <w:keepLines/>
        <w:spacing w:after="200"/>
        <w:jc w:val="center"/>
        <w:rPr>
          <w:rFonts w:eastAsiaTheme="minorHAnsi" w:cstheme="minorBidi"/>
        </w:rPr>
      </w:pPr>
      <w:r w:rsidRPr="007C6E89">
        <w:rPr>
          <w:rFonts w:eastAsiaTheme="minorHAnsi" w:cstheme="minorBidi"/>
          <w:noProof/>
          <w:lang w:eastAsia="en-AU"/>
        </w:rPr>
        <w:drawing>
          <wp:inline distT="0" distB="0" distL="0" distR="0" wp14:anchorId="226844CF" wp14:editId="15247CA3">
            <wp:extent cx="5405120" cy="3505200"/>
            <wp:effectExtent l="0" t="0" r="5080" b="0"/>
            <wp:docPr id="24" name="Picture 24" descr="Graph with 4 very similar cirves declining initially very fast and then ever more slowly with increasing 5-year risk" title="Incremental cost/QALY by 5-year breast cancer risk (HIQA, 2013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l="920" t="850" r="1163" b="1409"/>
                    <a:stretch/>
                  </pic:blipFill>
                  <pic:spPr bwMode="auto">
                    <a:xfrm>
                      <a:off x="0" y="0"/>
                      <a:ext cx="5401651" cy="3502950"/>
                    </a:xfrm>
                    <a:prstGeom prst="rect">
                      <a:avLst/>
                    </a:prstGeom>
                    <a:noFill/>
                    <a:ln>
                      <a:noFill/>
                    </a:ln>
                    <a:extLst>
                      <a:ext uri="{53640926-AAD7-44D8-BBD7-CCE9431645EC}">
                        <a14:shadowObscured xmlns:a14="http://schemas.microsoft.com/office/drawing/2010/main"/>
                      </a:ext>
                    </a:extLst>
                  </pic:spPr>
                </pic:pic>
              </a:graphicData>
            </a:graphic>
          </wp:inline>
        </w:drawing>
      </w:r>
    </w:p>
    <w:p w14:paraId="22FA22B1" w14:textId="5B28B680" w:rsidR="00E47AB8" w:rsidRPr="008B2F8A" w:rsidRDefault="00E47AB8" w:rsidP="00422306">
      <w:pPr>
        <w:pStyle w:val="TFAbbrevs18"/>
        <w:spacing w:line="276" w:lineRule="auto"/>
      </w:pPr>
      <w:r w:rsidRPr="008B2F8A">
        <w:t xml:space="preserve">Note: The curves for prior invasive cancer </w:t>
      </w:r>
      <w:r>
        <w:t xml:space="preserve">and </w:t>
      </w:r>
      <w:r w:rsidRPr="008B2F8A">
        <w:t>DCIS/LCIS are overlaid owing to identical breast cancer risk, survival and screening age.</w:t>
      </w:r>
    </w:p>
    <w:p w14:paraId="71119665" w14:textId="61F31B8C" w:rsidR="00E47AB8" w:rsidRPr="007C6E89" w:rsidRDefault="00E47AB8" w:rsidP="00422306">
      <w:pPr>
        <w:spacing w:after="200"/>
        <w:rPr>
          <w:rFonts w:eastAsiaTheme="minorHAnsi" w:cstheme="minorBidi"/>
        </w:rPr>
      </w:pPr>
      <w:r w:rsidRPr="007C6E89">
        <w:rPr>
          <w:rFonts w:eastAsiaTheme="minorHAnsi" w:cstheme="minorBidi"/>
        </w:rPr>
        <w:lastRenderedPageBreak/>
        <w:t xml:space="preserve">Similarly, the model is sensitive to the estimated impact of delayed diagnosis on patient survival. It assumes that patients that receive a false-negative diagnosis in the first year but that are correctly identified as a true-positive in the following year have poorer clinical outcomes, because their tumour has grown in the intervening period. The base case assumes that there is an 18.8% reduction in survival as a result of delayed diagnosis in most of the assessed populations, and a 15% reduction over 2 years (30% overall) for patients with a confirmed breast cancer mutation. Patients with a confirmed breast cancer mutation also have a lower baseline probability of survival. This population is treated differently to account for the fact that tumours associated with a </w:t>
      </w:r>
      <w:r w:rsidRPr="00E14AC4">
        <w:rPr>
          <w:rFonts w:eastAsiaTheme="minorHAnsi" w:cstheme="minorBidi"/>
          <w:i/>
        </w:rPr>
        <w:t>BRCA1</w:t>
      </w:r>
      <w:r w:rsidRPr="007C6E89">
        <w:rPr>
          <w:rFonts w:eastAsiaTheme="minorHAnsi" w:cstheme="minorBidi"/>
        </w:rPr>
        <w:t xml:space="preserve">, </w:t>
      </w:r>
      <w:r w:rsidRPr="00E14AC4">
        <w:rPr>
          <w:rFonts w:eastAsiaTheme="minorHAnsi" w:cstheme="minorBidi"/>
          <w:i/>
        </w:rPr>
        <w:t>BRCA2</w:t>
      </w:r>
      <w:r w:rsidRPr="007C6E89">
        <w:rPr>
          <w:rFonts w:eastAsiaTheme="minorHAnsi" w:cstheme="minorBidi"/>
        </w:rPr>
        <w:t xml:space="preserve"> or </w:t>
      </w:r>
      <w:r w:rsidRPr="00E14AC4">
        <w:rPr>
          <w:rFonts w:eastAsiaTheme="minorHAnsi" w:cstheme="minorBidi"/>
          <w:i/>
        </w:rPr>
        <w:t>TP53</w:t>
      </w:r>
      <w:r w:rsidRPr="007C6E89">
        <w:rPr>
          <w:rFonts w:eastAsiaTheme="minorHAnsi" w:cstheme="minorBidi"/>
        </w:rPr>
        <w:t xml:space="preserve"> mutation are often more aggressive and may produce a more significant decrement in survival if they are not detected early. The relationships between the incremental cost per QALY and the decrement in overall survival due to late detection using the base-case population-specific and HIQA (2013) data are presented in </w:t>
      </w:r>
      <w:r>
        <w:rPr>
          <w:rFonts w:asciiTheme="minorHAnsi" w:eastAsiaTheme="minorHAnsi" w:hAnsiTheme="minorHAnsi" w:cstheme="minorBidi"/>
        </w:rPr>
        <w:fldChar w:fldCharType="begin"/>
      </w:r>
      <w:r>
        <w:rPr>
          <w:rFonts w:asciiTheme="minorHAnsi" w:eastAsiaTheme="minorHAnsi" w:hAnsiTheme="minorHAnsi" w:cstheme="minorBidi"/>
        </w:rPr>
        <w:instrText xml:space="preserve"> REF _Ref256239602 \h </w:instrText>
      </w:r>
      <w:r>
        <w:rPr>
          <w:rFonts w:asciiTheme="minorHAnsi" w:eastAsiaTheme="minorHAnsi" w:hAnsiTheme="minorHAnsi" w:cstheme="minorBidi"/>
        </w:rPr>
      </w:r>
      <w:r>
        <w:rPr>
          <w:rFonts w:asciiTheme="minorHAnsi" w:eastAsiaTheme="minorHAnsi" w:hAnsiTheme="minorHAnsi" w:cstheme="minorBidi"/>
        </w:rPr>
        <w:fldChar w:fldCharType="separate"/>
      </w:r>
      <w:r w:rsidR="00B81273" w:rsidRPr="008B2F8A">
        <w:t xml:space="preserve">Figure </w:t>
      </w:r>
      <w:r w:rsidR="00B81273">
        <w:rPr>
          <w:noProof/>
        </w:rPr>
        <w:t>D</w:t>
      </w:r>
      <w:r w:rsidR="00B81273" w:rsidRPr="008B2F8A">
        <w:t>.</w:t>
      </w:r>
      <w:r w:rsidR="00B81273">
        <w:rPr>
          <w:noProof/>
        </w:rPr>
        <w:t>7</w:t>
      </w:r>
      <w:r>
        <w:rPr>
          <w:rFonts w:asciiTheme="minorHAnsi" w:eastAsiaTheme="minorHAnsi" w:hAnsiTheme="minorHAnsi" w:cstheme="minorBidi"/>
        </w:rPr>
        <w:fldChar w:fldCharType="end"/>
      </w:r>
      <w:r w:rsidRPr="007C6E89">
        <w:rPr>
          <w:rFonts w:eastAsiaTheme="minorHAnsi" w:cstheme="minorBidi"/>
        </w:rPr>
        <w:t xml:space="preserve"> and </w:t>
      </w:r>
      <w:r>
        <w:rPr>
          <w:rFonts w:asciiTheme="minorHAnsi" w:eastAsiaTheme="minorHAnsi" w:hAnsiTheme="minorHAnsi" w:cstheme="minorBidi"/>
        </w:rPr>
        <w:fldChar w:fldCharType="begin"/>
      </w:r>
      <w:r>
        <w:rPr>
          <w:rFonts w:asciiTheme="minorHAnsi" w:eastAsiaTheme="minorHAnsi" w:hAnsiTheme="minorHAnsi" w:cstheme="minorBidi"/>
        </w:rPr>
        <w:instrText xml:space="preserve"> REF _Ref256239619 \h </w:instrText>
      </w:r>
      <w:r>
        <w:rPr>
          <w:rFonts w:asciiTheme="minorHAnsi" w:eastAsiaTheme="minorHAnsi" w:hAnsiTheme="minorHAnsi" w:cstheme="minorBidi"/>
        </w:rPr>
      </w:r>
      <w:r>
        <w:rPr>
          <w:rFonts w:asciiTheme="minorHAnsi" w:eastAsiaTheme="minorHAnsi" w:hAnsiTheme="minorHAnsi" w:cstheme="minorBidi"/>
        </w:rPr>
        <w:fldChar w:fldCharType="separate"/>
      </w:r>
      <w:r w:rsidR="00B81273" w:rsidRPr="00E14AC4">
        <w:t xml:space="preserve">Figure </w:t>
      </w:r>
      <w:r w:rsidR="00B81273">
        <w:rPr>
          <w:rStyle w:val="CaptionChar"/>
          <w:rFonts w:eastAsia="Calibri"/>
          <w:b w:val="0"/>
          <w:noProof/>
        </w:rPr>
        <w:t>D</w:t>
      </w:r>
      <w:r w:rsidR="00B81273" w:rsidRPr="00E14AC4">
        <w:t>.</w:t>
      </w:r>
      <w:r w:rsidR="00B81273">
        <w:rPr>
          <w:rStyle w:val="CaptionChar"/>
          <w:rFonts w:eastAsia="Calibri"/>
          <w:b w:val="0"/>
          <w:noProof/>
        </w:rPr>
        <w:t>8</w:t>
      </w:r>
      <w:r>
        <w:rPr>
          <w:rFonts w:asciiTheme="minorHAnsi" w:eastAsiaTheme="minorHAnsi" w:hAnsiTheme="minorHAnsi" w:cstheme="minorBidi"/>
        </w:rPr>
        <w:fldChar w:fldCharType="end"/>
      </w:r>
      <w:r w:rsidRPr="007C6E89">
        <w:rPr>
          <w:rFonts w:eastAsiaTheme="minorHAnsi" w:cstheme="minorBidi"/>
        </w:rPr>
        <w:t>, respectively.</w:t>
      </w:r>
    </w:p>
    <w:p w14:paraId="4AC3A670" w14:textId="4674A858" w:rsidR="00E47AB8" w:rsidRPr="008B2F8A" w:rsidRDefault="00E47AB8" w:rsidP="00422306">
      <w:pPr>
        <w:pStyle w:val="Caption"/>
      </w:pPr>
      <w:bookmarkStart w:id="1245" w:name="_Ref256239602"/>
      <w:bookmarkStart w:id="1246" w:name="_Toc383424683"/>
      <w:r w:rsidRPr="008B2F8A">
        <w:t xml:space="preserve">Figure </w:t>
      </w:r>
      <w:fldSimple w:instr=" STYLEREF 1 \s ">
        <w:r w:rsidR="00B81273">
          <w:rPr>
            <w:noProof/>
          </w:rPr>
          <w:t>D</w:t>
        </w:r>
      </w:fldSimple>
      <w:r w:rsidRPr="008B2F8A">
        <w:t>.</w:t>
      </w:r>
      <w:fldSimple w:instr=" SEQ Figure \* ARABIC \s 1 ">
        <w:r w:rsidR="00B81273">
          <w:rPr>
            <w:noProof/>
          </w:rPr>
          <w:t>7</w:t>
        </w:r>
      </w:fldSimple>
      <w:bookmarkEnd w:id="1245"/>
      <w:r w:rsidRPr="008B2F8A">
        <w:tab/>
      </w:r>
      <w:bookmarkStart w:id="1247" w:name="OLE_LINK1121"/>
      <w:bookmarkStart w:id="1248" w:name="OLE_LINK1122"/>
      <w:r w:rsidRPr="008B2F8A">
        <w:t>Incremental cost/QALY by decrement in overall survival due to late detection (base-case population-specific data)</w:t>
      </w:r>
      <w:bookmarkEnd w:id="1247"/>
      <w:bookmarkEnd w:id="1248"/>
      <w:r w:rsidRPr="008B2F8A">
        <w:t>.</w:t>
      </w:r>
      <w:bookmarkEnd w:id="1246"/>
    </w:p>
    <w:p w14:paraId="4ED4F95E" w14:textId="77777777" w:rsidR="00E47AB8" w:rsidRPr="007C6E89" w:rsidRDefault="00E47AB8" w:rsidP="00422306">
      <w:pPr>
        <w:spacing w:after="200"/>
        <w:rPr>
          <w:rFonts w:eastAsiaTheme="minorHAnsi" w:cstheme="minorBidi"/>
        </w:rPr>
      </w:pPr>
      <w:r w:rsidRPr="007C6E89">
        <w:rPr>
          <w:rFonts w:eastAsiaTheme="minorHAnsi" w:cstheme="minorBidi"/>
          <w:noProof/>
          <w:lang w:eastAsia="en-AU"/>
        </w:rPr>
        <w:drawing>
          <wp:inline distT="0" distB="0" distL="0" distR="0" wp14:anchorId="33CE3EF9" wp14:editId="0A52B46C">
            <wp:extent cx="5547360" cy="3647440"/>
            <wp:effectExtent l="0" t="0" r="0" b="10160"/>
            <wp:docPr id="25" name="Picture 25" descr="Graph with 5 widely separated curves declining initially quickly and then more slowly with increasing 5-year overall survival" title="Incremental cost/QALY by decrement in overall survival due to late detection (base-case population-specific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1063" t="818" r="2140" b="1306"/>
                    <a:stretch/>
                  </pic:blipFill>
                  <pic:spPr bwMode="auto">
                    <a:xfrm>
                      <a:off x="0" y="0"/>
                      <a:ext cx="5547974" cy="3647844"/>
                    </a:xfrm>
                    <a:prstGeom prst="rect">
                      <a:avLst/>
                    </a:prstGeom>
                    <a:noFill/>
                    <a:ln>
                      <a:noFill/>
                    </a:ln>
                    <a:extLst>
                      <a:ext uri="{53640926-AAD7-44D8-BBD7-CCE9431645EC}">
                        <a14:shadowObscured xmlns:a14="http://schemas.microsoft.com/office/drawing/2010/main"/>
                      </a:ext>
                    </a:extLst>
                  </pic:spPr>
                </pic:pic>
              </a:graphicData>
            </a:graphic>
          </wp:inline>
        </w:drawing>
      </w:r>
    </w:p>
    <w:p w14:paraId="5B6F6D74" w14:textId="77777777" w:rsidR="00E47AB8" w:rsidRPr="00E14AC4" w:rsidRDefault="00E47AB8" w:rsidP="00422306">
      <w:pPr>
        <w:pStyle w:val="Caption"/>
      </w:pPr>
      <w:bookmarkStart w:id="1249" w:name="_Ref256239619"/>
      <w:bookmarkStart w:id="1250" w:name="_Toc383424684"/>
      <w:r w:rsidRPr="00E14AC4">
        <w:lastRenderedPageBreak/>
        <w:t xml:space="preserve">Figure </w:t>
      </w:r>
      <w:r w:rsidRPr="00BE02D0">
        <w:rPr>
          <w:rStyle w:val="CaptionChar"/>
          <w:b/>
        </w:rPr>
        <w:fldChar w:fldCharType="begin"/>
      </w:r>
      <w:r w:rsidRPr="00E14AC4">
        <w:rPr>
          <w:rStyle w:val="CaptionChar"/>
          <w:b/>
        </w:rPr>
        <w:instrText xml:space="preserve"> STYLEREF 1 \s </w:instrText>
      </w:r>
      <w:r w:rsidRPr="00BE02D0">
        <w:rPr>
          <w:rStyle w:val="CaptionChar"/>
          <w:b/>
        </w:rPr>
        <w:fldChar w:fldCharType="separate"/>
      </w:r>
      <w:r w:rsidR="00B81273">
        <w:rPr>
          <w:rStyle w:val="CaptionChar"/>
          <w:b/>
          <w:noProof/>
        </w:rPr>
        <w:t>D</w:t>
      </w:r>
      <w:r w:rsidRPr="00BE02D0">
        <w:rPr>
          <w:rStyle w:val="CaptionChar"/>
          <w:b/>
        </w:rPr>
        <w:fldChar w:fldCharType="end"/>
      </w:r>
      <w:r w:rsidRPr="00E14AC4">
        <w:t>.</w:t>
      </w:r>
      <w:r w:rsidRPr="00BE02D0">
        <w:rPr>
          <w:rStyle w:val="CaptionChar"/>
          <w:b/>
        </w:rPr>
        <w:fldChar w:fldCharType="begin"/>
      </w:r>
      <w:r w:rsidRPr="00E14AC4">
        <w:rPr>
          <w:rStyle w:val="CaptionChar"/>
          <w:b/>
        </w:rPr>
        <w:instrText xml:space="preserve"> SEQ Figure \* ARABIC \s 1 </w:instrText>
      </w:r>
      <w:r w:rsidRPr="00BE02D0">
        <w:rPr>
          <w:rStyle w:val="CaptionChar"/>
          <w:b/>
        </w:rPr>
        <w:fldChar w:fldCharType="separate"/>
      </w:r>
      <w:r w:rsidR="00B81273">
        <w:rPr>
          <w:rStyle w:val="CaptionChar"/>
          <w:b/>
          <w:noProof/>
        </w:rPr>
        <w:t>8</w:t>
      </w:r>
      <w:r w:rsidRPr="00BE02D0">
        <w:rPr>
          <w:rStyle w:val="CaptionChar"/>
          <w:b/>
        </w:rPr>
        <w:fldChar w:fldCharType="end"/>
      </w:r>
      <w:bookmarkEnd w:id="1249"/>
      <w:r w:rsidRPr="00E14AC4">
        <w:tab/>
      </w:r>
      <w:bookmarkStart w:id="1251" w:name="OLE_LINK1123"/>
      <w:bookmarkStart w:id="1252" w:name="OLE_LINK1124"/>
      <w:r w:rsidRPr="00E14AC4">
        <w:t>Incremental cost/QALY by decrement in overall survival due to late detection (HIQA, 2013)</w:t>
      </w:r>
      <w:bookmarkEnd w:id="1251"/>
      <w:bookmarkEnd w:id="1252"/>
      <w:r w:rsidRPr="00E14AC4">
        <w:t>.</w:t>
      </w:r>
      <w:bookmarkEnd w:id="1250"/>
    </w:p>
    <w:p w14:paraId="5CC6E0F7" w14:textId="77777777" w:rsidR="00E47AB8" w:rsidRPr="008B2F8A" w:rsidRDefault="00E47AB8" w:rsidP="00422306">
      <w:r w:rsidRPr="008B2F8A">
        <w:rPr>
          <w:noProof/>
          <w:lang w:eastAsia="en-AU"/>
        </w:rPr>
        <w:drawing>
          <wp:inline distT="0" distB="0" distL="0" distR="0" wp14:anchorId="21E03E2C" wp14:editId="32BDD489">
            <wp:extent cx="5496560" cy="3271520"/>
            <wp:effectExtent l="0" t="0" r="0" b="5080"/>
            <wp:docPr id="26" name="Picture 26" descr="Graph with 4 widely separated curves declining initially quickly and then more slowly with increasing 5-year overall survival" title="Incremental cost/QALY by decrement in overall survival due to late detection (HIQA,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1240" t="873" r="2880" b="5523"/>
                    <a:stretch/>
                  </pic:blipFill>
                  <pic:spPr bwMode="auto">
                    <a:xfrm>
                      <a:off x="0" y="0"/>
                      <a:ext cx="5501725" cy="3274594"/>
                    </a:xfrm>
                    <a:prstGeom prst="rect">
                      <a:avLst/>
                    </a:prstGeom>
                    <a:noFill/>
                    <a:ln>
                      <a:noFill/>
                    </a:ln>
                    <a:extLst>
                      <a:ext uri="{53640926-AAD7-44D8-BBD7-CCE9431645EC}">
                        <a14:shadowObscured xmlns:a14="http://schemas.microsoft.com/office/drawing/2010/main"/>
                      </a:ext>
                    </a:extLst>
                  </pic:spPr>
                </pic:pic>
              </a:graphicData>
            </a:graphic>
          </wp:inline>
        </w:drawing>
      </w:r>
    </w:p>
    <w:p w14:paraId="54B15E2A" w14:textId="7EFD29FD" w:rsidR="00E47AB8" w:rsidRPr="008B2F8A" w:rsidRDefault="00E47AB8" w:rsidP="00422306">
      <w:pPr>
        <w:pStyle w:val="TFAbbrevs18"/>
        <w:spacing w:line="276" w:lineRule="auto"/>
      </w:pPr>
      <w:r w:rsidRPr="008B2F8A">
        <w:t xml:space="preserve">Note: The curves for prior invasive cancer </w:t>
      </w:r>
      <w:r>
        <w:t xml:space="preserve">and </w:t>
      </w:r>
      <w:r w:rsidRPr="008B2F8A">
        <w:t>DCIS/LCIS are overlaid owing to identical breast cancer risk, survival and screening age.</w:t>
      </w:r>
    </w:p>
    <w:p w14:paraId="33764375" w14:textId="3611E7EC" w:rsidR="00E47AB8" w:rsidRPr="007C6E89" w:rsidRDefault="00E47AB8" w:rsidP="00422306">
      <w:pPr>
        <w:spacing w:after="200"/>
        <w:rPr>
          <w:rFonts w:eastAsiaTheme="minorHAnsi" w:cstheme="minorBidi"/>
        </w:rPr>
      </w:pPr>
      <w:r w:rsidRPr="007C6E89">
        <w:rPr>
          <w:rFonts w:eastAsiaTheme="minorHAnsi" w:cstheme="minorBidi"/>
        </w:rPr>
        <w:t>For the currently reimbursed population with a high risk of familial breast cancer, decreasing the survival decrement to 5% or 10% increases the ICER substantially, while increasing it to &gt;20% improves the result. For the subgroup with a confirmed breast cancer mutation, the ICER remains below $53,658 if the survival decrement is estimated to be &gt;10%. Other populations included in the model maintain very high ICERs when the survival decrement is assumed to be &lt;15%. In these groups, it is likely that the baseline risk of breast cancer remains the dominant factor influencing cost-effectiveness.</w:t>
      </w:r>
    </w:p>
    <w:p w14:paraId="5B069CF2" w14:textId="77777777" w:rsidR="00E47AB8" w:rsidRPr="008B2F8A" w:rsidRDefault="00E47AB8" w:rsidP="00E47AB8">
      <w:pPr>
        <w:pStyle w:val="Heading3"/>
        <w:numPr>
          <w:ilvl w:val="2"/>
          <w:numId w:val="42"/>
        </w:numPr>
        <w:rPr>
          <w:rFonts w:eastAsiaTheme="minorHAnsi"/>
        </w:rPr>
      </w:pPr>
      <w:bookmarkStart w:id="1253" w:name="_Toc383424510"/>
      <w:r w:rsidRPr="008B2F8A">
        <w:rPr>
          <w:rFonts w:eastAsiaTheme="minorHAnsi"/>
        </w:rPr>
        <w:t>MRI screening age</w:t>
      </w:r>
      <w:bookmarkEnd w:id="1253"/>
    </w:p>
    <w:p w14:paraId="27BFC7A8" w14:textId="67FB298A" w:rsidR="00E47AB8" w:rsidRPr="007C6E89" w:rsidRDefault="00E47AB8" w:rsidP="00422306">
      <w:pPr>
        <w:spacing w:after="200"/>
        <w:rPr>
          <w:rFonts w:eastAsiaTheme="minorHAnsi" w:cstheme="minorBidi"/>
        </w:rPr>
      </w:pPr>
      <w:r w:rsidRPr="007C6E89">
        <w:rPr>
          <w:rFonts w:eastAsiaTheme="minorHAnsi" w:cstheme="minorBidi"/>
        </w:rPr>
        <w:t>A sensitivity analysis was undertaken to assess the impact of limiting additional MRI screening to different age groups, for different lengths of time. Although the current MBS item for MRI surveillance specifies that it should be used in women below the age of 50 years, the sensitivity analysis shows that in the currently reimbursed population (with a high familial risk for breast cancer), the ICER decreases in older cohorts and is most cost-effective when women are screened between the ages of 40 and 60 years. This suggests that the impact of improving the sensitivity of screening with additional MRI is greater in populations with a higher baseline risk for breast cancer than it is in younger women, in whom mammography alone is said to be less effective. That is to say, despite the fact that the diagnostic accuracy of additional MRI screening is greater than mammography alone in younger cohorts, additional MRI in older cohorts will prevent more false-negative diagnoses.</w:t>
      </w:r>
    </w:p>
    <w:p w14:paraId="035B4669" w14:textId="26F9E355" w:rsidR="00E47AB8" w:rsidRPr="007C6E89" w:rsidRDefault="00E47AB8" w:rsidP="00422306">
      <w:pPr>
        <w:spacing w:after="200"/>
        <w:rPr>
          <w:rFonts w:eastAsiaTheme="minorHAnsi" w:cstheme="minorBidi"/>
        </w:rPr>
      </w:pPr>
      <w:r w:rsidRPr="007C6E89">
        <w:rPr>
          <w:rFonts w:eastAsiaTheme="minorHAnsi" w:cstheme="minorBidi"/>
        </w:rPr>
        <w:t xml:space="preserve">In women with a history of prior breast cancer, the cost-effectiveness of screening at different ages is influenced by the fact that after 10 years of screening, the risk of recurrent breast cancer decreases substantially. Therefore, the most cost-effective strategies are those that limit screening to a 10-year </w:t>
      </w:r>
      <w:r w:rsidRPr="007C6E89">
        <w:rPr>
          <w:rFonts w:eastAsiaTheme="minorHAnsi" w:cstheme="minorBidi"/>
        </w:rPr>
        <w:lastRenderedPageBreak/>
        <w:t>window (ie, 30–40 years or 40–50 years). In the small proportion of women with a primary cancer before the age of 40, the risk of recurrence is higher, resulting in greater QALY gains. However, since the average age of the population with prior breast cancer is 44, this result is not applicable to the overall population.</w:t>
      </w:r>
    </w:p>
    <w:p w14:paraId="5FA8DD78" w14:textId="77777777" w:rsidR="00E47AB8" w:rsidRPr="008B2F8A" w:rsidRDefault="00E47AB8" w:rsidP="00E47AB8">
      <w:pPr>
        <w:pStyle w:val="Heading3"/>
        <w:numPr>
          <w:ilvl w:val="2"/>
          <w:numId w:val="42"/>
        </w:numPr>
        <w:rPr>
          <w:rFonts w:eastAsiaTheme="minorHAnsi"/>
        </w:rPr>
      </w:pPr>
      <w:bookmarkStart w:id="1254" w:name="_Toc383424511"/>
      <w:r w:rsidRPr="008B2F8A">
        <w:rPr>
          <w:rFonts w:eastAsiaTheme="minorHAnsi"/>
        </w:rPr>
        <w:t>Costs</w:t>
      </w:r>
      <w:bookmarkEnd w:id="1254"/>
    </w:p>
    <w:p w14:paraId="6C452EB1" w14:textId="5B92EB06" w:rsidR="00E47AB8" w:rsidRPr="007C6E89" w:rsidRDefault="00E47AB8" w:rsidP="00422306">
      <w:pPr>
        <w:keepNext/>
        <w:spacing w:after="200"/>
        <w:rPr>
          <w:rFonts w:eastAsiaTheme="minorHAnsi" w:cstheme="minorBidi"/>
        </w:rPr>
      </w:pPr>
      <w:r w:rsidRPr="007C6E89">
        <w:rPr>
          <w:rFonts w:eastAsiaTheme="minorHAnsi" w:cstheme="minorBidi"/>
        </w:rPr>
        <w:t>Changing the cancer treatment costs has very little impact on the ICER in any of the populations. This reflects the fact that model assumes that screening does not prevent any cancers, so costs associated with treatment are delayed but not substantially reduced.</w:t>
      </w:r>
    </w:p>
    <w:p w14:paraId="351D1DEF" w14:textId="77777777" w:rsidR="00E47AB8" w:rsidRPr="008B2F8A" w:rsidRDefault="00E47AB8" w:rsidP="00E47AB8">
      <w:pPr>
        <w:pStyle w:val="Heading3"/>
        <w:numPr>
          <w:ilvl w:val="2"/>
          <w:numId w:val="42"/>
        </w:numPr>
        <w:rPr>
          <w:rFonts w:eastAsiaTheme="minorHAnsi"/>
        </w:rPr>
      </w:pPr>
      <w:bookmarkStart w:id="1255" w:name="_Toc383424512"/>
      <w:r w:rsidRPr="008B2F8A">
        <w:rPr>
          <w:rFonts w:eastAsiaTheme="minorHAnsi"/>
        </w:rPr>
        <w:t>Utility values</w:t>
      </w:r>
      <w:bookmarkEnd w:id="1255"/>
    </w:p>
    <w:p w14:paraId="39122760" w14:textId="2E4F3965" w:rsidR="00E47AB8" w:rsidRPr="007C6E89" w:rsidRDefault="00E47AB8" w:rsidP="00422306">
      <w:pPr>
        <w:spacing w:after="200"/>
        <w:rPr>
          <w:rFonts w:eastAsiaTheme="minorHAnsi" w:cstheme="minorBidi"/>
        </w:rPr>
      </w:pPr>
      <w:r w:rsidRPr="007C6E89">
        <w:rPr>
          <w:rFonts w:eastAsiaTheme="minorHAnsi" w:cstheme="minorBidi"/>
        </w:rPr>
        <w:t>Increasing the utility values for women being treated in their first year of breast cancer slightly improves the ICER in all populations. This effect is largely related to the fact that the clinical outcomes for women with tumours that are identified earlier are not as affected by discounting.</w:t>
      </w:r>
    </w:p>
    <w:p w14:paraId="087D67A5" w14:textId="3E6557B3" w:rsidR="00E47AB8" w:rsidRPr="007C6E89" w:rsidRDefault="00E47AB8" w:rsidP="00422306">
      <w:pPr>
        <w:spacing w:after="200"/>
        <w:rPr>
          <w:rFonts w:eastAsiaTheme="minorHAnsi" w:cstheme="minorBidi"/>
        </w:rPr>
      </w:pPr>
      <w:r w:rsidRPr="007C6E89">
        <w:rPr>
          <w:rFonts w:eastAsiaTheme="minorHAnsi" w:cstheme="minorBidi"/>
        </w:rPr>
        <w:t>Women with false-positive results may be subject to considerable stress and will undergo a follow-up biopsy to confirm the diagnosis. It may therefore be considered appropriate to apply a small disutility to these patients for a limited period. Applying a decrement in health-related quality of life for 1 month in women with false-positive results substantially increases the ICER in populations with a low baseline risk of breast cancer, such as those with prior DCIS, LCIS or invasive breast cancer.</w:t>
      </w:r>
    </w:p>
    <w:p w14:paraId="4DFDC948" w14:textId="33727768" w:rsidR="00E47AB8" w:rsidRPr="007C6E89" w:rsidRDefault="00E47AB8" w:rsidP="00422306">
      <w:pPr>
        <w:spacing w:after="200"/>
        <w:rPr>
          <w:rFonts w:eastAsiaTheme="minorHAnsi" w:cstheme="minorBidi"/>
        </w:rPr>
      </w:pPr>
      <w:r w:rsidRPr="007C6E89">
        <w:rPr>
          <w:rFonts w:eastAsiaTheme="minorHAnsi" w:cstheme="minorBidi"/>
        </w:rPr>
        <w:t>The NICE economic model also applied a disutility to women that received a false-negative diagnosis after screening with either MRI or mammography. This improves the ICER in all screened populations owing to the greater sensitivity of MRI + mammography as a surveillance strategy. In the base case of the model presented here, a disutility was not considered appropriate, as it is assumed that women who have tumours that are detected in a subsequent round of screening would remain asymptomatic in the intervening period.</w:t>
      </w:r>
    </w:p>
    <w:p w14:paraId="1C1FACAB" w14:textId="77777777" w:rsidR="00E47AB8" w:rsidRPr="008B2F8A" w:rsidRDefault="00E47AB8" w:rsidP="00E47AB8">
      <w:pPr>
        <w:pStyle w:val="Heading3"/>
        <w:numPr>
          <w:ilvl w:val="2"/>
          <w:numId w:val="42"/>
        </w:numPr>
        <w:rPr>
          <w:rFonts w:eastAsiaTheme="minorHAnsi"/>
        </w:rPr>
      </w:pPr>
      <w:bookmarkStart w:id="1256" w:name="_Toc383424513"/>
      <w:r w:rsidRPr="008B2F8A">
        <w:rPr>
          <w:rFonts w:eastAsiaTheme="minorHAnsi"/>
        </w:rPr>
        <w:t>Discount rate</w:t>
      </w:r>
      <w:bookmarkEnd w:id="1256"/>
    </w:p>
    <w:p w14:paraId="062FE9FA" w14:textId="495B9976" w:rsidR="00E47AB8" w:rsidRPr="007C6E89" w:rsidRDefault="00E47AB8" w:rsidP="00422306">
      <w:pPr>
        <w:keepNext/>
        <w:keepLines/>
        <w:spacing w:after="200"/>
        <w:rPr>
          <w:rFonts w:eastAsiaTheme="minorHAnsi" w:cstheme="minorBidi"/>
        </w:rPr>
      </w:pPr>
      <w:r w:rsidRPr="007C6E89">
        <w:rPr>
          <w:rFonts w:eastAsiaTheme="minorHAnsi" w:cstheme="minorBidi"/>
        </w:rPr>
        <w:t>Unlike the NICE model, which used a discount rate of 3.5%, costs and benefits in this evaluation are discounted at 5% per annum. The calculated ICERs are heavily dependent on the rate used to discount costs and outcomes, as, in general, costs accrue early in the model, whereas clinical benefits occur later. Reducing the discount rate therefore has a favourable impact on the ICERs in all of the assessed populations.</w:t>
      </w:r>
    </w:p>
    <w:p w14:paraId="772FC4BA" w14:textId="5A1B250C" w:rsidR="00E47AB8" w:rsidRPr="008B2F8A" w:rsidRDefault="00E47AB8" w:rsidP="00E47AB8">
      <w:pPr>
        <w:pStyle w:val="Heading3"/>
        <w:numPr>
          <w:ilvl w:val="2"/>
          <w:numId w:val="42"/>
        </w:numPr>
        <w:rPr>
          <w:rFonts w:eastAsiaTheme="minorHAnsi"/>
        </w:rPr>
      </w:pPr>
      <w:bookmarkStart w:id="1257" w:name="_Toc383424514"/>
      <w:r w:rsidRPr="008B2F8A">
        <w:rPr>
          <w:rFonts w:eastAsiaTheme="minorHAnsi"/>
        </w:rPr>
        <w:t>Model duration</w:t>
      </w:r>
      <w:bookmarkEnd w:id="1257"/>
    </w:p>
    <w:p w14:paraId="7E9B1A83" w14:textId="040D0A47" w:rsidR="00E47AB8" w:rsidRPr="007C6E89" w:rsidRDefault="00E47AB8" w:rsidP="00422306">
      <w:pPr>
        <w:spacing w:after="200"/>
        <w:rPr>
          <w:rFonts w:eastAsiaTheme="minorHAnsi" w:cstheme="minorBidi"/>
        </w:rPr>
      </w:pPr>
      <w:r w:rsidRPr="007C6E89">
        <w:rPr>
          <w:rFonts w:eastAsiaTheme="minorHAnsi" w:cstheme="minorBidi"/>
        </w:rPr>
        <w:t>As noted above, the clinical benefits of MRI screening accrue over time. Therefore, decreasing the duration of the model reduces the cost-effectiveness of the intervention in all populations.</w:t>
      </w:r>
    </w:p>
    <w:p w14:paraId="1F55190A" w14:textId="77777777" w:rsidR="00E47AB8" w:rsidRPr="008B2F8A" w:rsidRDefault="00E47AB8" w:rsidP="00E47AB8">
      <w:pPr>
        <w:pStyle w:val="Heading3"/>
        <w:numPr>
          <w:ilvl w:val="2"/>
          <w:numId w:val="42"/>
        </w:numPr>
        <w:rPr>
          <w:rFonts w:eastAsiaTheme="minorHAnsi"/>
        </w:rPr>
      </w:pPr>
      <w:bookmarkStart w:id="1258" w:name="_Toc383424515"/>
      <w:r w:rsidRPr="008B2F8A">
        <w:rPr>
          <w:rFonts w:eastAsiaTheme="minorHAnsi"/>
        </w:rPr>
        <w:t>Full results of the sensitivity analyses</w:t>
      </w:r>
      <w:bookmarkEnd w:id="1258"/>
    </w:p>
    <w:p w14:paraId="1EAE5B71" w14:textId="034FEC03" w:rsidR="00E47AB8" w:rsidRPr="008B2F8A" w:rsidRDefault="00E47AB8" w:rsidP="00422306">
      <w:pPr>
        <w:pStyle w:val="Caption"/>
      </w:pPr>
      <w:bookmarkStart w:id="1259" w:name="_Ref375921686"/>
      <w:bookmarkStart w:id="1260" w:name="_Ref256239236"/>
      <w:bookmarkStart w:id="1261" w:name="_Toc383424630"/>
      <w:r w:rsidRPr="008B2F8A">
        <w:t xml:space="preserve">Table </w:t>
      </w:r>
      <w:fldSimple w:instr=" STYLEREF 1 \s ">
        <w:r w:rsidR="00B81273">
          <w:rPr>
            <w:noProof/>
          </w:rPr>
          <w:t>D</w:t>
        </w:r>
      </w:fldSimple>
      <w:r w:rsidRPr="008B2F8A">
        <w:t>.</w:t>
      </w:r>
      <w:fldSimple w:instr=" SEQ Table \* ARABIC \s 1 ">
        <w:r w:rsidR="00B81273">
          <w:rPr>
            <w:noProof/>
          </w:rPr>
          <w:t>21</w:t>
        </w:r>
      </w:fldSimple>
      <w:bookmarkEnd w:id="1259"/>
      <w:r w:rsidRPr="008B2F8A">
        <w:tab/>
      </w:r>
      <w:bookmarkStart w:id="1262" w:name="OLE_LINK1125"/>
      <w:bookmarkStart w:id="1263" w:name="OLE_LINK1126"/>
      <w:r w:rsidRPr="008B2F8A">
        <w:t>Univariate sensitivity analysis (base-case population-specific accuracy data)</w:t>
      </w:r>
      <w:bookmarkEnd w:id="1262"/>
      <w:bookmarkEnd w:id="1263"/>
      <w:r w:rsidRPr="008B2F8A">
        <w:t>.</w:t>
      </w:r>
      <w:bookmarkEnd w:id="1260"/>
      <w:bookmarkEnd w:id="1261"/>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Univariate sensitivity analysis (base-case population-specific accuracy data)"/>
      </w:tblPr>
      <w:tblGrid>
        <w:gridCol w:w="2442"/>
        <w:gridCol w:w="1564"/>
        <w:gridCol w:w="996"/>
        <w:gridCol w:w="996"/>
        <w:gridCol w:w="1135"/>
        <w:gridCol w:w="993"/>
        <w:gridCol w:w="998"/>
      </w:tblGrid>
      <w:tr w:rsidR="00E47AB8" w:rsidRPr="008B2F8A" w14:paraId="49D955E0" w14:textId="77777777" w:rsidTr="00E14AC4">
        <w:trPr>
          <w:tblHeader/>
        </w:trPr>
        <w:tc>
          <w:tcPr>
            <w:tcW w:w="1338" w:type="pct"/>
            <w:tcBorders>
              <w:bottom w:val="nil"/>
            </w:tcBorders>
            <w:shd w:val="clear" w:color="auto" w:fill="EEECE1" w:themeFill="background2"/>
            <w:noWrap/>
            <w:hideMark/>
          </w:tcPr>
          <w:p w14:paraId="21F6CA7B"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Variable tested</w:t>
            </w:r>
          </w:p>
        </w:tc>
        <w:tc>
          <w:tcPr>
            <w:tcW w:w="857" w:type="pct"/>
            <w:tcBorders>
              <w:bottom w:val="nil"/>
            </w:tcBorders>
            <w:shd w:val="clear" w:color="auto" w:fill="EEECE1" w:themeFill="background2"/>
            <w:noWrap/>
            <w:hideMark/>
          </w:tcPr>
          <w:p w14:paraId="13C28EA7"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Value(s) used</w:t>
            </w:r>
          </w:p>
        </w:tc>
        <w:tc>
          <w:tcPr>
            <w:tcW w:w="546" w:type="pct"/>
            <w:tcBorders>
              <w:bottom w:val="nil"/>
            </w:tcBorders>
            <w:shd w:val="clear" w:color="auto" w:fill="EEECE1" w:themeFill="background2"/>
            <w:noWrap/>
            <w:hideMark/>
          </w:tcPr>
          <w:p w14:paraId="29E75876"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Pop. 1</w:t>
            </w:r>
          </w:p>
        </w:tc>
        <w:tc>
          <w:tcPr>
            <w:tcW w:w="546" w:type="pct"/>
            <w:tcBorders>
              <w:bottom w:val="nil"/>
            </w:tcBorders>
            <w:shd w:val="clear" w:color="auto" w:fill="EEECE1" w:themeFill="background2"/>
            <w:noWrap/>
            <w:hideMark/>
          </w:tcPr>
          <w:p w14:paraId="2B397EC2"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Pop. 2</w:t>
            </w:r>
          </w:p>
        </w:tc>
        <w:tc>
          <w:tcPr>
            <w:tcW w:w="622" w:type="pct"/>
            <w:tcBorders>
              <w:bottom w:val="nil"/>
            </w:tcBorders>
            <w:shd w:val="clear" w:color="auto" w:fill="EEECE1" w:themeFill="background2"/>
            <w:noWrap/>
            <w:hideMark/>
          </w:tcPr>
          <w:p w14:paraId="57C0B4C9"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Pop. 3</w:t>
            </w:r>
          </w:p>
        </w:tc>
        <w:tc>
          <w:tcPr>
            <w:tcW w:w="544" w:type="pct"/>
            <w:tcBorders>
              <w:bottom w:val="nil"/>
            </w:tcBorders>
            <w:shd w:val="clear" w:color="auto" w:fill="EEECE1" w:themeFill="background2"/>
            <w:noWrap/>
            <w:hideMark/>
          </w:tcPr>
          <w:p w14:paraId="16E47AD5"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Pop. 4</w:t>
            </w:r>
          </w:p>
        </w:tc>
        <w:tc>
          <w:tcPr>
            <w:tcW w:w="547" w:type="pct"/>
            <w:tcBorders>
              <w:bottom w:val="nil"/>
            </w:tcBorders>
            <w:shd w:val="clear" w:color="auto" w:fill="EEECE1" w:themeFill="background2"/>
            <w:noWrap/>
            <w:hideMark/>
          </w:tcPr>
          <w:p w14:paraId="564901DD" w14:textId="77777777" w:rsidR="00E47AB8" w:rsidRPr="008B2F8A" w:rsidRDefault="00E47AB8" w:rsidP="00E14AC4">
            <w:pPr>
              <w:keepNext/>
              <w:spacing w:before="40" w:after="80"/>
              <w:rPr>
                <w:rFonts w:ascii="Arial Narrow" w:eastAsia="Times New Roman" w:hAnsi="Arial Narrow"/>
                <w:b/>
                <w:sz w:val="20"/>
                <w:szCs w:val="20"/>
              </w:rPr>
            </w:pPr>
            <w:r w:rsidRPr="008B2F8A">
              <w:rPr>
                <w:rFonts w:ascii="Arial Narrow" w:eastAsia="Times New Roman" w:hAnsi="Arial Narrow"/>
                <w:b/>
                <w:sz w:val="20"/>
                <w:szCs w:val="20"/>
              </w:rPr>
              <w:t>Pop. 5</w:t>
            </w:r>
          </w:p>
        </w:tc>
      </w:tr>
      <w:tr w:rsidR="00E47AB8" w:rsidRPr="008B2F8A" w14:paraId="2B4D47AE" w14:textId="77777777" w:rsidTr="00E14AC4">
        <w:trPr>
          <w:tblHeader/>
        </w:trPr>
        <w:tc>
          <w:tcPr>
            <w:tcW w:w="1338" w:type="pct"/>
            <w:tcBorders>
              <w:top w:val="nil"/>
              <w:bottom w:val="single" w:sz="4" w:space="0" w:color="auto"/>
            </w:tcBorders>
            <w:shd w:val="clear" w:color="auto" w:fill="EEECE1" w:themeFill="background2"/>
            <w:noWrap/>
            <w:hideMark/>
          </w:tcPr>
          <w:p w14:paraId="31C03D01"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 </w:t>
            </w:r>
          </w:p>
        </w:tc>
        <w:tc>
          <w:tcPr>
            <w:tcW w:w="857" w:type="pct"/>
            <w:tcBorders>
              <w:top w:val="nil"/>
              <w:bottom w:val="single" w:sz="4" w:space="0" w:color="auto"/>
            </w:tcBorders>
            <w:shd w:val="clear" w:color="auto" w:fill="EEECE1" w:themeFill="background2"/>
            <w:noWrap/>
            <w:hideMark/>
          </w:tcPr>
          <w:p w14:paraId="36F125E8"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 </w:t>
            </w:r>
          </w:p>
        </w:tc>
        <w:tc>
          <w:tcPr>
            <w:tcW w:w="546" w:type="pct"/>
            <w:tcBorders>
              <w:top w:val="nil"/>
              <w:bottom w:val="single" w:sz="4" w:space="0" w:color="auto"/>
            </w:tcBorders>
            <w:shd w:val="clear" w:color="auto" w:fill="EEECE1" w:themeFill="background2"/>
            <w:hideMark/>
          </w:tcPr>
          <w:p w14:paraId="5C480740" w14:textId="77777777" w:rsidR="00E47AB8" w:rsidRPr="008B2F8A" w:rsidRDefault="00E47AB8" w:rsidP="00422306">
            <w:pPr>
              <w:spacing w:before="40" w:after="80"/>
              <w:rPr>
                <w:rFonts w:ascii="Arial Narrow" w:eastAsia="Times New Roman" w:hAnsi="Arial Narrow"/>
                <w:b/>
                <w:sz w:val="20"/>
                <w:szCs w:val="20"/>
              </w:rPr>
            </w:pPr>
            <w:r w:rsidRPr="00E14AC4">
              <w:rPr>
                <w:rFonts w:ascii="Arial Narrow" w:eastAsia="Times New Roman" w:hAnsi="Arial Narrow"/>
                <w:b/>
                <w:i/>
                <w:sz w:val="20"/>
                <w:szCs w:val="20"/>
              </w:rPr>
              <w:t>BRCA1</w:t>
            </w:r>
          </w:p>
        </w:tc>
        <w:tc>
          <w:tcPr>
            <w:tcW w:w="546" w:type="pct"/>
            <w:tcBorders>
              <w:top w:val="nil"/>
              <w:bottom w:val="single" w:sz="4" w:space="0" w:color="auto"/>
            </w:tcBorders>
            <w:shd w:val="clear" w:color="auto" w:fill="EEECE1" w:themeFill="background2"/>
            <w:hideMark/>
          </w:tcPr>
          <w:p w14:paraId="524B1783"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Current MBS pop.</w:t>
            </w:r>
          </w:p>
        </w:tc>
        <w:tc>
          <w:tcPr>
            <w:tcW w:w="622" w:type="pct"/>
            <w:tcBorders>
              <w:top w:val="nil"/>
              <w:bottom w:val="single" w:sz="4" w:space="0" w:color="auto"/>
            </w:tcBorders>
            <w:shd w:val="clear" w:color="auto" w:fill="EEECE1" w:themeFill="background2"/>
            <w:hideMark/>
          </w:tcPr>
          <w:p w14:paraId="25D1E0B2" w14:textId="2C1DD4A1"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Prior invasive breast cancer</w:t>
            </w:r>
          </w:p>
        </w:tc>
        <w:tc>
          <w:tcPr>
            <w:tcW w:w="544" w:type="pct"/>
            <w:tcBorders>
              <w:top w:val="nil"/>
              <w:bottom w:val="single" w:sz="4" w:space="0" w:color="auto"/>
            </w:tcBorders>
            <w:shd w:val="clear" w:color="auto" w:fill="EEECE1" w:themeFill="background2"/>
            <w:hideMark/>
          </w:tcPr>
          <w:p w14:paraId="7FA5D9E9"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Prior DCIS/LCIS</w:t>
            </w:r>
          </w:p>
        </w:tc>
        <w:tc>
          <w:tcPr>
            <w:tcW w:w="547" w:type="pct"/>
            <w:tcBorders>
              <w:top w:val="nil"/>
              <w:bottom w:val="single" w:sz="4" w:space="0" w:color="auto"/>
            </w:tcBorders>
            <w:shd w:val="clear" w:color="auto" w:fill="EEECE1" w:themeFill="background2"/>
            <w:hideMark/>
          </w:tcPr>
          <w:p w14:paraId="18A5CA44"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 xml:space="preserve">Prior chest </w:t>
            </w:r>
            <w:r>
              <w:rPr>
                <w:rFonts w:ascii="Arial Narrow" w:eastAsia="Times New Roman" w:hAnsi="Arial Narrow"/>
                <w:b/>
                <w:sz w:val="20"/>
                <w:szCs w:val="20"/>
              </w:rPr>
              <w:t>ir</w:t>
            </w:r>
            <w:r w:rsidRPr="008B2F8A">
              <w:rPr>
                <w:rFonts w:ascii="Arial Narrow" w:eastAsia="Times New Roman" w:hAnsi="Arial Narrow"/>
                <w:b/>
                <w:sz w:val="20"/>
                <w:szCs w:val="20"/>
              </w:rPr>
              <w:t>radiation</w:t>
            </w:r>
          </w:p>
        </w:tc>
      </w:tr>
      <w:tr w:rsidR="00E47AB8" w:rsidRPr="008B2F8A" w14:paraId="3C1AAB50" w14:textId="77777777" w:rsidTr="00E14AC4">
        <w:tc>
          <w:tcPr>
            <w:tcW w:w="1338" w:type="pct"/>
            <w:tcBorders>
              <w:bottom w:val="nil"/>
            </w:tcBorders>
            <w:shd w:val="clear" w:color="auto" w:fill="auto"/>
            <w:noWrap/>
            <w:hideMark/>
          </w:tcPr>
          <w:p w14:paraId="4EC3A1C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Accuracy data</w:t>
            </w:r>
          </w:p>
        </w:tc>
        <w:tc>
          <w:tcPr>
            <w:tcW w:w="857" w:type="pct"/>
            <w:tcBorders>
              <w:bottom w:val="nil"/>
            </w:tcBorders>
            <w:shd w:val="clear" w:color="auto" w:fill="auto"/>
            <w:noWrap/>
            <w:hideMark/>
          </w:tcPr>
          <w:p w14:paraId="4222E2C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Base case</w:t>
            </w:r>
          </w:p>
        </w:tc>
        <w:tc>
          <w:tcPr>
            <w:tcW w:w="546" w:type="pct"/>
            <w:tcBorders>
              <w:bottom w:val="nil"/>
            </w:tcBorders>
            <w:shd w:val="clear" w:color="auto" w:fill="auto"/>
            <w:noWrap/>
            <w:hideMark/>
          </w:tcPr>
          <w:p w14:paraId="4F63CE8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$35,460</w:t>
            </w:r>
          </w:p>
        </w:tc>
        <w:tc>
          <w:tcPr>
            <w:tcW w:w="546" w:type="pct"/>
            <w:tcBorders>
              <w:bottom w:val="nil"/>
            </w:tcBorders>
            <w:shd w:val="clear" w:color="auto" w:fill="auto"/>
            <w:noWrap/>
            <w:hideMark/>
          </w:tcPr>
          <w:p w14:paraId="42F7EFA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bottom w:val="nil"/>
            </w:tcBorders>
            <w:shd w:val="clear" w:color="auto" w:fill="auto"/>
            <w:noWrap/>
            <w:hideMark/>
          </w:tcPr>
          <w:p w14:paraId="3CB0EFB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$58,240</w:t>
            </w:r>
          </w:p>
        </w:tc>
        <w:tc>
          <w:tcPr>
            <w:tcW w:w="544" w:type="pct"/>
            <w:tcBorders>
              <w:bottom w:val="nil"/>
            </w:tcBorders>
            <w:shd w:val="clear" w:color="auto" w:fill="auto"/>
            <w:noWrap/>
            <w:hideMark/>
          </w:tcPr>
          <w:p w14:paraId="6AE945D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$82,793</w:t>
            </w:r>
          </w:p>
        </w:tc>
        <w:tc>
          <w:tcPr>
            <w:tcW w:w="547" w:type="pct"/>
            <w:tcBorders>
              <w:bottom w:val="nil"/>
            </w:tcBorders>
            <w:shd w:val="clear" w:color="auto" w:fill="auto"/>
            <w:noWrap/>
            <w:hideMark/>
          </w:tcPr>
          <w:p w14:paraId="1228A3A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$176,536</w:t>
            </w:r>
          </w:p>
        </w:tc>
      </w:tr>
      <w:tr w:rsidR="00E47AB8" w:rsidRPr="008B2F8A" w14:paraId="151C2020" w14:textId="77777777" w:rsidTr="00E14AC4">
        <w:tc>
          <w:tcPr>
            <w:tcW w:w="1338" w:type="pct"/>
            <w:tcBorders>
              <w:top w:val="nil"/>
              <w:bottom w:val="nil"/>
            </w:tcBorders>
            <w:shd w:val="clear" w:color="auto" w:fill="auto"/>
            <w:noWrap/>
          </w:tcPr>
          <w:p w14:paraId="662AE2A5" w14:textId="77777777" w:rsidR="00E47AB8" w:rsidRPr="008B2F8A" w:rsidRDefault="00E47AB8" w:rsidP="00422306">
            <w:pPr>
              <w:spacing w:before="40" w:after="80"/>
              <w:rPr>
                <w:rFonts w:ascii="Arial Narrow" w:eastAsia="Times New Roman" w:hAnsi="Arial Narrow"/>
                <w:sz w:val="20"/>
                <w:szCs w:val="20"/>
              </w:rPr>
            </w:pPr>
            <w:r w:rsidRPr="00021CBD">
              <w:rPr>
                <w:rFonts w:ascii="Arial Narrow" w:hAnsi="Arial Narrow"/>
                <w:color w:val="FFFFFF" w:themeColor="background1"/>
                <w:sz w:val="20"/>
                <w:szCs w:val="20"/>
              </w:rPr>
              <w:lastRenderedPageBreak/>
              <w:t>-</w:t>
            </w:r>
          </w:p>
        </w:tc>
        <w:tc>
          <w:tcPr>
            <w:tcW w:w="857" w:type="pct"/>
            <w:tcBorders>
              <w:top w:val="nil"/>
              <w:bottom w:val="nil"/>
            </w:tcBorders>
            <w:shd w:val="clear" w:color="auto" w:fill="auto"/>
            <w:noWrap/>
            <w:hideMark/>
          </w:tcPr>
          <w:p w14:paraId="1645B1D4" w14:textId="0F72FE68"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 xml:space="preserve">MAM Sens—95% </w:t>
            </w:r>
            <w:bookmarkStart w:id="1264" w:name="OLE_LINK359"/>
            <w:r w:rsidRPr="008B2F8A">
              <w:rPr>
                <w:rFonts w:ascii="Arial Narrow" w:eastAsia="Times New Roman" w:hAnsi="Arial Narrow"/>
                <w:sz w:val="20"/>
                <w:szCs w:val="20"/>
              </w:rPr>
              <w:t>LCL</w:t>
            </w:r>
            <w:bookmarkEnd w:id="1264"/>
          </w:p>
        </w:tc>
        <w:tc>
          <w:tcPr>
            <w:tcW w:w="546" w:type="pct"/>
            <w:tcBorders>
              <w:top w:val="nil"/>
              <w:bottom w:val="nil"/>
            </w:tcBorders>
            <w:shd w:val="clear" w:color="auto" w:fill="auto"/>
            <w:noWrap/>
            <w:hideMark/>
          </w:tcPr>
          <w:p w14:paraId="0AC3DC5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$53,070</w:t>
            </w:r>
          </w:p>
        </w:tc>
        <w:tc>
          <w:tcPr>
            <w:tcW w:w="546" w:type="pct"/>
            <w:tcBorders>
              <w:top w:val="nil"/>
              <w:bottom w:val="nil"/>
            </w:tcBorders>
            <w:shd w:val="clear" w:color="auto" w:fill="auto"/>
            <w:noWrap/>
            <w:hideMark/>
          </w:tcPr>
          <w:p w14:paraId="16E8FD0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$111,466</w:t>
            </w:r>
          </w:p>
        </w:tc>
        <w:tc>
          <w:tcPr>
            <w:tcW w:w="622" w:type="pct"/>
            <w:tcBorders>
              <w:top w:val="nil"/>
              <w:bottom w:val="nil"/>
            </w:tcBorders>
            <w:shd w:val="clear" w:color="auto" w:fill="auto"/>
            <w:noWrap/>
            <w:hideMark/>
          </w:tcPr>
          <w:p w14:paraId="033ECB7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Dominated</w:t>
            </w:r>
          </w:p>
        </w:tc>
        <w:tc>
          <w:tcPr>
            <w:tcW w:w="544" w:type="pct"/>
            <w:tcBorders>
              <w:top w:val="nil"/>
              <w:bottom w:val="nil"/>
            </w:tcBorders>
            <w:shd w:val="clear" w:color="auto" w:fill="auto"/>
            <w:noWrap/>
            <w:hideMark/>
          </w:tcPr>
          <w:p w14:paraId="1B1014E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$280,008</w:t>
            </w:r>
          </w:p>
        </w:tc>
        <w:tc>
          <w:tcPr>
            <w:tcW w:w="547" w:type="pct"/>
            <w:tcBorders>
              <w:top w:val="nil"/>
              <w:bottom w:val="nil"/>
            </w:tcBorders>
            <w:shd w:val="clear" w:color="auto" w:fill="auto"/>
            <w:noWrap/>
            <w:hideMark/>
          </w:tcPr>
          <w:p w14:paraId="52FED41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$377,507</w:t>
            </w:r>
          </w:p>
        </w:tc>
      </w:tr>
      <w:tr w:rsidR="00E47AB8" w:rsidRPr="008B2F8A" w14:paraId="47FE08EE" w14:textId="77777777" w:rsidTr="00E14AC4">
        <w:tc>
          <w:tcPr>
            <w:tcW w:w="1338" w:type="pct"/>
            <w:tcBorders>
              <w:top w:val="nil"/>
              <w:bottom w:val="nil"/>
            </w:tcBorders>
            <w:shd w:val="clear" w:color="auto" w:fill="auto"/>
            <w:noWrap/>
          </w:tcPr>
          <w:p w14:paraId="730918F4" w14:textId="77777777" w:rsidR="00E47AB8" w:rsidRPr="008B2F8A" w:rsidRDefault="00E47AB8" w:rsidP="00422306">
            <w:pPr>
              <w:spacing w:before="40" w:after="80"/>
              <w:rPr>
                <w:rFonts w:ascii="Arial Narrow" w:eastAsia="Times New Roman" w:hAnsi="Arial Narrow"/>
                <w:sz w:val="20"/>
                <w:szCs w:val="20"/>
              </w:rPr>
            </w:pPr>
            <w:r w:rsidRPr="00021CBD">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3F0F44B9" w14:textId="4996A510"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 xml:space="preserve">MAM Sens—95% </w:t>
            </w:r>
            <w:bookmarkStart w:id="1265" w:name="OLE_LINK150"/>
            <w:bookmarkStart w:id="1266" w:name="OLE_LINK360"/>
            <w:r w:rsidRPr="008B2F8A">
              <w:rPr>
                <w:rFonts w:ascii="Arial Narrow" w:eastAsia="Times New Roman" w:hAnsi="Arial Narrow"/>
                <w:sz w:val="20"/>
                <w:szCs w:val="20"/>
              </w:rPr>
              <w:t>UCL</w:t>
            </w:r>
            <w:bookmarkEnd w:id="1265"/>
            <w:bookmarkEnd w:id="1266"/>
          </w:p>
        </w:tc>
        <w:tc>
          <w:tcPr>
            <w:tcW w:w="546" w:type="pct"/>
            <w:tcBorders>
              <w:top w:val="nil"/>
              <w:bottom w:val="nil"/>
            </w:tcBorders>
            <w:shd w:val="clear" w:color="auto" w:fill="auto"/>
            <w:noWrap/>
            <w:hideMark/>
          </w:tcPr>
          <w:p w14:paraId="47CC3F4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$31,298</w:t>
            </w:r>
          </w:p>
        </w:tc>
        <w:tc>
          <w:tcPr>
            <w:tcW w:w="546" w:type="pct"/>
            <w:tcBorders>
              <w:top w:val="nil"/>
              <w:bottom w:val="nil"/>
            </w:tcBorders>
            <w:shd w:val="clear" w:color="auto" w:fill="auto"/>
            <w:noWrap/>
            <w:hideMark/>
          </w:tcPr>
          <w:p w14:paraId="01A3767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$83,965</w:t>
            </w:r>
          </w:p>
        </w:tc>
        <w:tc>
          <w:tcPr>
            <w:tcW w:w="622" w:type="pct"/>
            <w:tcBorders>
              <w:top w:val="nil"/>
              <w:bottom w:val="nil"/>
            </w:tcBorders>
            <w:shd w:val="clear" w:color="auto" w:fill="auto"/>
            <w:noWrap/>
            <w:hideMark/>
          </w:tcPr>
          <w:p w14:paraId="77052CA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$58,240</w:t>
            </w:r>
          </w:p>
        </w:tc>
        <w:tc>
          <w:tcPr>
            <w:tcW w:w="544" w:type="pct"/>
            <w:tcBorders>
              <w:top w:val="nil"/>
              <w:bottom w:val="nil"/>
            </w:tcBorders>
            <w:shd w:val="clear" w:color="auto" w:fill="auto"/>
            <w:noWrap/>
            <w:hideMark/>
          </w:tcPr>
          <w:p w14:paraId="1C8F69C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$54,965</w:t>
            </w:r>
          </w:p>
        </w:tc>
        <w:tc>
          <w:tcPr>
            <w:tcW w:w="547" w:type="pct"/>
            <w:tcBorders>
              <w:top w:val="nil"/>
              <w:bottom w:val="nil"/>
            </w:tcBorders>
            <w:shd w:val="clear" w:color="auto" w:fill="auto"/>
            <w:noWrap/>
            <w:hideMark/>
          </w:tcPr>
          <w:p w14:paraId="44D8B0A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$156,652</w:t>
            </w:r>
          </w:p>
        </w:tc>
      </w:tr>
      <w:tr w:rsidR="00E47AB8" w:rsidRPr="008B2F8A" w14:paraId="51D709C2" w14:textId="77777777" w:rsidTr="00E14AC4">
        <w:tc>
          <w:tcPr>
            <w:tcW w:w="1338" w:type="pct"/>
            <w:tcBorders>
              <w:top w:val="nil"/>
              <w:bottom w:val="nil"/>
            </w:tcBorders>
            <w:shd w:val="clear" w:color="auto" w:fill="auto"/>
            <w:noWrap/>
          </w:tcPr>
          <w:p w14:paraId="77A95B83" w14:textId="77777777" w:rsidR="00E47AB8" w:rsidRPr="008B2F8A" w:rsidRDefault="00E47AB8" w:rsidP="00422306">
            <w:pPr>
              <w:spacing w:before="40" w:after="80"/>
              <w:rPr>
                <w:rFonts w:ascii="Arial Narrow" w:eastAsia="Times New Roman" w:hAnsi="Arial Narrow"/>
                <w:sz w:val="20"/>
                <w:szCs w:val="20"/>
              </w:rPr>
            </w:pPr>
            <w:r w:rsidRPr="00021CBD">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3728B49D" w14:textId="33472304"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Spec—95% LCL</w:t>
            </w:r>
          </w:p>
        </w:tc>
        <w:tc>
          <w:tcPr>
            <w:tcW w:w="546" w:type="pct"/>
            <w:tcBorders>
              <w:top w:val="nil"/>
              <w:bottom w:val="nil"/>
            </w:tcBorders>
            <w:shd w:val="clear" w:color="auto" w:fill="auto"/>
            <w:noWrap/>
            <w:hideMark/>
          </w:tcPr>
          <w:p w14:paraId="2FA5C6F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$35,605</w:t>
            </w:r>
          </w:p>
        </w:tc>
        <w:tc>
          <w:tcPr>
            <w:tcW w:w="546" w:type="pct"/>
            <w:tcBorders>
              <w:top w:val="nil"/>
              <w:bottom w:val="nil"/>
            </w:tcBorders>
            <w:shd w:val="clear" w:color="auto" w:fill="auto"/>
            <w:noWrap/>
            <w:hideMark/>
          </w:tcPr>
          <w:p w14:paraId="05CF136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$97,419</w:t>
            </w:r>
          </w:p>
        </w:tc>
        <w:tc>
          <w:tcPr>
            <w:tcW w:w="622" w:type="pct"/>
            <w:tcBorders>
              <w:top w:val="nil"/>
              <w:bottom w:val="nil"/>
            </w:tcBorders>
            <w:shd w:val="clear" w:color="auto" w:fill="auto"/>
            <w:noWrap/>
            <w:hideMark/>
          </w:tcPr>
          <w:p w14:paraId="742915A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$59,704</w:t>
            </w:r>
          </w:p>
        </w:tc>
        <w:tc>
          <w:tcPr>
            <w:tcW w:w="544" w:type="pct"/>
            <w:tcBorders>
              <w:top w:val="nil"/>
              <w:bottom w:val="nil"/>
            </w:tcBorders>
            <w:shd w:val="clear" w:color="auto" w:fill="auto"/>
            <w:noWrap/>
            <w:hideMark/>
          </w:tcPr>
          <w:p w14:paraId="6731D9A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$84,892</w:t>
            </w:r>
          </w:p>
        </w:tc>
        <w:tc>
          <w:tcPr>
            <w:tcW w:w="547" w:type="pct"/>
            <w:tcBorders>
              <w:top w:val="nil"/>
              <w:bottom w:val="nil"/>
            </w:tcBorders>
            <w:shd w:val="clear" w:color="auto" w:fill="auto"/>
            <w:noWrap/>
            <w:hideMark/>
          </w:tcPr>
          <w:p w14:paraId="7E77B7E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$179,697</w:t>
            </w:r>
          </w:p>
        </w:tc>
      </w:tr>
      <w:tr w:rsidR="00E47AB8" w:rsidRPr="008B2F8A" w14:paraId="7AA6E594" w14:textId="77777777" w:rsidTr="00E14AC4">
        <w:tc>
          <w:tcPr>
            <w:tcW w:w="1338" w:type="pct"/>
            <w:tcBorders>
              <w:top w:val="nil"/>
              <w:bottom w:val="nil"/>
            </w:tcBorders>
            <w:shd w:val="clear" w:color="auto" w:fill="auto"/>
            <w:noWrap/>
          </w:tcPr>
          <w:p w14:paraId="419E4698" w14:textId="77777777" w:rsidR="00E47AB8" w:rsidRPr="008B2F8A" w:rsidRDefault="00E47AB8" w:rsidP="00422306">
            <w:pPr>
              <w:spacing w:before="40" w:after="80"/>
              <w:rPr>
                <w:rFonts w:ascii="Arial Narrow" w:eastAsia="Times New Roman" w:hAnsi="Arial Narrow"/>
                <w:sz w:val="20"/>
                <w:szCs w:val="20"/>
              </w:rPr>
            </w:pPr>
            <w:r w:rsidRPr="00021CBD">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70071D5E" w14:textId="4B171FE0"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Spec—95% UCL</w:t>
            </w:r>
          </w:p>
        </w:tc>
        <w:tc>
          <w:tcPr>
            <w:tcW w:w="546" w:type="pct"/>
            <w:tcBorders>
              <w:top w:val="nil"/>
              <w:bottom w:val="nil"/>
            </w:tcBorders>
            <w:shd w:val="clear" w:color="auto" w:fill="auto"/>
            <w:noWrap/>
            <w:hideMark/>
          </w:tcPr>
          <w:p w14:paraId="5BFE8B6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$35,315</w:t>
            </w:r>
          </w:p>
        </w:tc>
        <w:tc>
          <w:tcPr>
            <w:tcW w:w="546" w:type="pct"/>
            <w:tcBorders>
              <w:top w:val="nil"/>
              <w:bottom w:val="nil"/>
            </w:tcBorders>
            <w:shd w:val="clear" w:color="auto" w:fill="auto"/>
            <w:noWrap/>
            <w:hideMark/>
          </w:tcPr>
          <w:p w14:paraId="4F3773D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$89,511</w:t>
            </w:r>
          </w:p>
        </w:tc>
        <w:tc>
          <w:tcPr>
            <w:tcW w:w="622" w:type="pct"/>
            <w:tcBorders>
              <w:top w:val="nil"/>
              <w:bottom w:val="nil"/>
            </w:tcBorders>
            <w:shd w:val="clear" w:color="auto" w:fill="auto"/>
            <w:noWrap/>
            <w:hideMark/>
          </w:tcPr>
          <w:p w14:paraId="1D63F57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$57,264</w:t>
            </w:r>
          </w:p>
        </w:tc>
        <w:tc>
          <w:tcPr>
            <w:tcW w:w="544" w:type="pct"/>
            <w:tcBorders>
              <w:top w:val="nil"/>
              <w:bottom w:val="nil"/>
            </w:tcBorders>
            <w:shd w:val="clear" w:color="auto" w:fill="auto"/>
            <w:noWrap/>
            <w:hideMark/>
          </w:tcPr>
          <w:p w14:paraId="1ECDBC5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$80,695</w:t>
            </w:r>
          </w:p>
        </w:tc>
        <w:tc>
          <w:tcPr>
            <w:tcW w:w="547" w:type="pct"/>
            <w:tcBorders>
              <w:top w:val="nil"/>
              <w:bottom w:val="nil"/>
            </w:tcBorders>
            <w:shd w:val="clear" w:color="auto" w:fill="auto"/>
            <w:noWrap/>
            <w:hideMark/>
          </w:tcPr>
          <w:p w14:paraId="55BE253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$173,376</w:t>
            </w:r>
          </w:p>
        </w:tc>
      </w:tr>
      <w:tr w:rsidR="00E47AB8" w:rsidRPr="008B2F8A" w14:paraId="2CDF8D1D" w14:textId="77777777" w:rsidTr="00E14AC4">
        <w:tc>
          <w:tcPr>
            <w:tcW w:w="1338" w:type="pct"/>
            <w:tcBorders>
              <w:top w:val="nil"/>
              <w:bottom w:val="nil"/>
            </w:tcBorders>
            <w:shd w:val="clear" w:color="auto" w:fill="auto"/>
            <w:noWrap/>
          </w:tcPr>
          <w:p w14:paraId="6FC251DA" w14:textId="77777777" w:rsidR="00E47AB8" w:rsidRPr="008B2F8A" w:rsidRDefault="00E47AB8" w:rsidP="00422306">
            <w:pPr>
              <w:spacing w:before="40" w:after="80"/>
              <w:rPr>
                <w:rFonts w:ascii="Arial Narrow" w:eastAsia="Times New Roman" w:hAnsi="Arial Narrow"/>
                <w:sz w:val="20"/>
                <w:szCs w:val="20"/>
              </w:rPr>
            </w:pPr>
            <w:r w:rsidRPr="00021CBD">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0CCB1867" w14:textId="7C0D1AE1"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Sens &amp; Spec—95% LCL</w:t>
            </w:r>
          </w:p>
        </w:tc>
        <w:tc>
          <w:tcPr>
            <w:tcW w:w="546" w:type="pct"/>
            <w:tcBorders>
              <w:top w:val="nil"/>
              <w:bottom w:val="nil"/>
            </w:tcBorders>
            <w:shd w:val="clear" w:color="auto" w:fill="auto"/>
            <w:noWrap/>
            <w:hideMark/>
          </w:tcPr>
          <w:p w14:paraId="6673D2C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$53,294</w:t>
            </w:r>
          </w:p>
        </w:tc>
        <w:tc>
          <w:tcPr>
            <w:tcW w:w="546" w:type="pct"/>
            <w:tcBorders>
              <w:top w:val="nil"/>
              <w:bottom w:val="nil"/>
            </w:tcBorders>
            <w:shd w:val="clear" w:color="auto" w:fill="auto"/>
            <w:noWrap/>
            <w:hideMark/>
          </w:tcPr>
          <w:p w14:paraId="046AE2D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$118,719</w:t>
            </w:r>
          </w:p>
        </w:tc>
        <w:tc>
          <w:tcPr>
            <w:tcW w:w="622" w:type="pct"/>
            <w:tcBorders>
              <w:top w:val="nil"/>
              <w:bottom w:val="nil"/>
            </w:tcBorders>
            <w:shd w:val="clear" w:color="auto" w:fill="auto"/>
            <w:noWrap/>
            <w:hideMark/>
          </w:tcPr>
          <w:p w14:paraId="138CCF7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Dominated</w:t>
            </w:r>
          </w:p>
        </w:tc>
        <w:tc>
          <w:tcPr>
            <w:tcW w:w="544" w:type="pct"/>
            <w:tcBorders>
              <w:top w:val="nil"/>
              <w:bottom w:val="nil"/>
            </w:tcBorders>
            <w:shd w:val="clear" w:color="auto" w:fill="auto"/>
            <w:noWrap/>
            <w:hideMark/>
          </w:tcPr>
          <w:p w14:paraId="1C00942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$287,224</w:t>
            </w:r>
          </w:p>
        </w:tc>
        <w:tc>
          <w:tcPr>
            <w:tcW w:w="547" w:type="pct"/>
            <w:tcBorders>
              <w:top w:val="nil"/>
              <w:bottom w:val="nil"/>
            </w:tcBorders>
            <w:shd w:val="clear" w:color="auto" w:fill="auto"/>
            <w:noWrap/>
            <w:hideMark/>
          </w:tcPr>
          <w:p w14:paraId="5D414AC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$384,292</w:t>
            </w:r>
          </w:p>
        </w:tc>
      </w:tr>
      <w:tr w:rsidR="00E47AB8" w:rsidRPr="008B2F8A" w14:paraId="33D414D7" w14:textId="77777777" w:rsidTr="00E14AC4">
        <w:tc>
          <w:tcPr>
            <w:tcW w:w="1338" w:type="pct"/>
            <w:tcBorders>
              <w:top w:val="nil"/>
              <w:bottom w:val="single" w:sz="4" w:space="0" w:color="auto"/>
            </w:tcBorders>
            <w:shd w:val="clear" w:color="auto" w:fill="auto"/>
            <w:noWrap/>
          </w:tcPr>
          <w:p w14:paraId="173567EE" w14:textId="77777777" w:rsidR="00E47AB8" w:rsidRPr="008B2F8A" w:rsidRDefault="00E47AB8" w:rsidP="00422306">
            <w:pPr>
              <w:spacing w:before="40" w:after="80"/>
              <w:rPr>
                <w:rFonts w:ascii="Arial Narrow" w:eastAsia="Times New Roman" w:hAnsi="Arial Narrow"/>
                <w:sz w:val="20"/>
                <w:szCs w:val="20"/>
              </w:rPr>
            </w:pPr>
            <w:r w:rsidRPr="00021CBD">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76E0D97E" w14:textId="3C25C41A"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Sens &amp; Spec—95% UCL</w:t>
            </w:r>
          </w:p>
        </w:tc>
        <w:tc>
          <w:tcPr>
            <w:tcW w:w="546" w:type="pct"/>
            <w:tcBorders>
              <w:top w:val="nil"/>
              <w:bottom w:val="single" w:sz="4" w:space="0" w:color="auto"/>
            </w:tcBorders>
            <w:shd w:val="clear" w:color="auto" w:fill="auto"/>
            <w:noWrap/>
            <w:hideMark/>
          </w:tcPr>
          <w:p w14:paraId="2B04B44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$31,171</w:t>
            </w:r>
          </w:p>
        </w:tc>
        <w:tc>
          <w:tcPr>
            <w:tcW w:w="546" w:type="pct"/>
            <w:tcBorders>
              <w:top w:val="nil"/>
              <w:bottom w:val="single" w:sz="4" w:space="0" w:color="auto"/>
            </w:tcBorders>
            <w:shd w:val="clear" w:color="auto" w:fill="auto"/>
            <w:noWrap/>
            <w:hideMark/>
          </w:tcPr>
          <w:p w14:paraId="6E84EB3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$82,153</w:t>
            </w:r>
          </w:p>
        </w:tc>
        <w:tc>
          <w:tcPr>
            <w:tcW w:w="622" w:type="pct"/>
            <w:tcBorders>
              <w:top w:val="nil"/>
              <w:bottom w:val="single" w:sz="4" w:space="0" w:color="auto"/>
            </w:tcBorders>
            <w:shd w:val="clear" w:color="auto" w:fill="auto"/>
            <w:noWrap/>
            <w:hideMark/>
          </w:tcPr>
          <w:p w14:paraId="7C40C4F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$57,264</w:t>
            </w:r>
          </w:p>
        </w:tc>
        <w:tc>
          <w:tcPr>
            <w:tcW w:w="544" w:type="pct"/>
            <w:tcBorders>
              <w:top w:val="nil"/>
              <w:bottom w:val="single" w:sz="4" w:space="0" w:color="auto"/>
            </w:tcBorders>
            <w:shd w:val="clear" w:color="auto" w:fill="auto"/>
            <w:noWrap/>
            <w:hideMark/>
          </w:tcPr>
          <w:p w14:paraId="5BD1413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$53,582</w:t>
            </w:r>
          </w:p>
        </w:tc>
        <w:tc>
          <w:tcPr>
            <w:tcW w:w="547" w:type="pct"/>
            <w:tcBorders>
              <w:top w:val="nil"/>
              <w:bottom w:val="single" w:sz="4" w:space="0" w:color="auto"/>
            </w:tcBorders>
            <w:shd w:val="clear" w:color="auto" w:fill="auto"/>
            <w:noWrap/>
            <w:hideMark/>
          </w:tcPr>
          <w:p w14:paraId="05C00D8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$153,849</w:t>
            </w:r>
          </w:p>
        </w:tc>
      </w:tr>
      <w:tr w:rsidR="00E47AB8" w:rsidRPr="008B2F8A" w14:paraId="4D2E021A" w14:textId="77777777" w:rsidTr="00E14AC4">
        <w:tc>
          <w:tcPr>
            <w:tcW w:w="1338" w:type="pct"/>
            <w:tcBorders>
              <w:bottom w:val="nil"/>
            </w:tcBorders>
            <w:shd w:val="clear" w:color="auto" w:fill="auto"/>
            <w:noWrap/>
            <w:hideMark/>
          </w:tcPr>
          <w:p w14:paraId="6A304E4D" w14:textId="0FE0E640"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Baseline breast cancer risk (over 5 years from age 40)</w:t>
            </w:r>
          </w:p>
        </w:tc>
        <w:tc>
          <w:tcPr>
            <w:tcW w:w="857" w:type="pct"/>
            <w:tcBorders>
              <w:bottom w:val="nil"/>
            </w:tcBorders>
            <w:shd w:val="clear" w:color="auto" w:fill="auto"/>
            <w:noWrap/>
            <w:hideMark/>
          </w:tcPr>
          <w:p w14:paraId="5A38C3C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46" w:type="pct"/>
            <w:tcBorders>
              <w:bottom w:val="nil"/>
            </w:tcBorders>
            <w:shd w:val="clear" w:color="auto" w:fill="auto"/>
            <w:noWrap/>
            <w:hideMark/>
          </w:tcPr>
          <w:p w14:paraId="4EBB810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$89,294</w:t>
            </w:r>
          </w:p>
        </w:tc>
        <w:tc>
          <w:tcPr>
            <w:tcW w:w="546" w:type="pct"/>
            <w:tcBorders>
              <w:bottom w:val="nil"/>
            </w:tcBorders>
            <w:shd w:val="clear" w:color="auto" w:fill="auto"/>
            <w:noWrap/>
            <w:hideMark/>
          </w:tcPr>
          <w:p w14:paraId="0A5204A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$112,823</w:t>
            </w:r>
          </w:p>
        </w:tc>
        <w:tc>
          <w:tcPr>
            <w:tcW w:w="622" w:type="pct"/>
            <w:tcBorders>
              <w:bottom w:val="nil"/>
            </w:tcBorders>
            <w:shd w:val="clear" w:color="auto" w:fill="auto"/>
            <w:noWrap/>
            <w:hideMark/>
          </w:tcPr>
          <w:p w14:paraId="078907A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$66,291</w:t>
            </w:r>
          </w:p>
        </w:tc>
        <w:tc>
          <w:tcPr>
            <w:tcW w:w="544" w:type="pct"/>
            <w:tcBorders>
              <w:bottom w:val="nil"/>
            </w:tcBorders>
            <w:shd w:val="clear" w:color="auto" w:fill="auto"/>
            <w:noWrap/>
            <w:hideMark/>
          </w:tcPr>
          <w:p w14:paraId="2EF6959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$94,225</w:t>
            </w:r>
          </w:p>
        </w:tc>
        <w:tc>
          <w:tcPr>
            <w:tcW w:w="547" w:type="pct"/>
            <w:tcBorders>
              <w:bottom w:val="nil"/>
            </w:tcBorders>
            <w:shd w:val="clear" w:color="auto" w:fill="auto"/>
            <w:noWrap/>
            <w:hideMark/>
          </w:tcPr>
          <w:p w14:paraId="44D57D2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$94,498</w:t>
            </w:r>
          </w:p>
        </w:tc>
      </w:tr>
      <w:tr w:rsidR="00E47AB8" w:rsidRPr="008B2F8A" w14:paraId="1755FFFF" w14:textId="77777777" w:rsidTr="00E14AC4">
        <w:tc>
          <w:tcPr>
            <w:tcW w:w="1338" w:type="pct"/>
            <w:tcBorders>
              <w:top w:val="nil"/>
              <w:bottom w:val="nil"/>
            </w:tcBorders>
            <w:shd w:val="clear" w:color="auto" w:fill="auto"/>
            <w:noWrap/>
          </w:tcPr>
          <w:p w14:paraId="7913723D" w14:textId="77777777" w:rsidR="00E47AB8" w:rsidRPr="008B2F8A" w:rsidRDefault="00E47AB8" w:rsidP="00422306">
            <w:pPr>
              <w:spacing w:before="40" w:after="80"/>
              <w:rPr>
                <w:rFonts w:ascii="Arial Narrow" w:eastAsia="Times New Roman" w:hAnsi="Arial Narrow"/>
                <w:sz w:val="20"/>
                <w:szCs w:val="20"/>
              </w:rPr>
            </w:pPr>
            <w:r w:rsidRPr="00E47B57">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7A12835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w:t>
            </w:r>
          </w:p>
        </w:tc>
        <w:tc>
          <w:tcPr>
            <w:tcW w:w="546" w:type="pct"/>
            <w:tcBorders>
              <w:top w:val="nil"/>
              <w:bottom w:val="nil"/>
            </w:tcBorders>
            <w:shd w:val="clear" w:color="auto" w:fill="auto"/>
            <w:noWrap/>
            <w:hideMark/>
          </w:tcPr>
          <w:p w14:paraId="3345CA7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$46,958</w:t>
            </w:r>
          </w:p>
        </w:tc>
        <w:tc>
          <w:tcPr>
            <w:tcW w:w="546" w:type="pct"/>
            <w:tcBorders>
              <w:top w:val="nil"/>
              <w:bottom w:val="nil"/>
            </w:tcBorders>
            <w:shd w:val="clear" w:color="auto" w:fill="auto"/>
            <w:noWrap/>
            <w:hideMark/>
          </w:tcPr>
          <w:p w14:paraId="17752F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$57,774</w:t>
            </w:r>
          </w:p>
        </w:tc>
        <w:tc>
          <w:tcPr>
            <w:tcW w:w="622" w:type="pct"/>
            <w:tcBorders>
              <w:top w:val="nil"/>
              <w:bottom w:val="nil"/>
            </w:tcBorders>
            <w:shd w:val="clear" w:color="auto" w:fill="auto"/>
            <w:noWrap/>
            <w:hideMark/>
          </w:tcPr>
          <w:p w14:paraId="059A7D7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$33,489</w:t>
            </w:r>
          </w:p>
        </w:tc>
        <w:tc>
          <w:tcPr>
            <w:tcW w:w="544" w:type="pct"/>
            <w:tcBorders>
              <w:top w:val="nil"/>
              <w:bottom w:val="nil"/>
            </w:tcBorders>
            <w:shd w:val="clear" w:color="auto" w:fill="auto"/>
            <w:noWrap/>
            <w:hideMark/>
          </w:tcPr>
          <w:p w14:paraId="12CCB24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$47,646</w:t>
            </w:r>
          </w:p>
        </w:tc>
        <w:tc>
          <w:tcPr>
            <w:tcW w:w="547" w:type="pct"/>
            <w:tcBorders>
              <w:top w:val="nil"/>
              <w:bottom w:val="nil"/>
            </w:tcBorders>
            <w:shd w:val="clear" w:color="auto" w:fill="auto"/>
            <w:noWrap/>
            <w:hideMark/>
          </w:tcPr>
          <w:p w14:paraId="51DFF20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$47,599</w:t>
            </w:r>
          </w:p>
        </w:tc>
      </w:tr>
      <w:tr w:rsidR="00E47AB8" w:rsidRPr="008B2F8A" w14:paraId="18ABC6DD" w14:textId="77777777" w:rsidTr="00E14AC4">
        <w:tc>
          <w:tcPr>
            <w:tcW w:w="1338" w:type="pct"/>
            <w:tcBorders>
              <w:top w:val="nil"/>
              <w:bottom w:val="nil"/>
            </w:tcBorders>
            <w:shd w:val="clear" w:color="auto" w:fill="auto"/>
            <w:noWrap/>
          </w:tcPr>
          <w:p w14:paraId="594A853E" w14:textId="77777777" w:rsidR="00E47AB8" w:rsidRPr="008B2F8A" w:rsidRDefault="00E47AB8" w:rsidP="00422306">
            <w:pPr>
              <w:spacing w:before="40" w:after="80"/>
              <w:rPr>
                <w:rFonts w:ascii="Arial Narrow" w:eastAsia="Times New Roman" w:hAnsi="Arial Narrow"/>
                <w:sz w:val="20"/>
                <w:szCs w:val="20"/>
              </w:rPr>
            </w:pPr>
            <w:r w:rsidRPr="00E47B57">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1AE690C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6" w:type="pct"/>
            <w:tcBorders>
              <w:top w:val="nil"/>
              <w:bottom w:val="nil"/>
            </w:tcBorders>
            <w:shd w:val="clear" w:color="auto" w:fill="auto"/>
            <w:noWrap/>
            <w:hideMark/>
          </w:tcPr>
          <w:p w14:paraId="1A4D532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$32,974</w:t>
            </w:r>
          </w:p>
        </w:tc>
        <w:tc>
          <w:tcPr>
            <w:tcW w:w="546" w:type="pct"/>
            <w:tcBorders>
              <w:top w:val="nil"/>
              <w:bottom w:val="nil"/>
            </w:tcBorders>
            <w:shd w:val="clear" w:color="auto" w:fill="auto"/>
            <w:noWrap/>
            <w:hideMark/>
          </w:tcPr>
          <w:p w14:paraId="237ABFE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$39,527</w:t>
            </w:r>
          </w:p>
        </w:tc>
        <w:tc>
          <w:tcPr>
            <w:tcW w:w="622" w:type="pct"/>
            <w:tcBorders>
              <w:top w:val="nil"/>
              <w:bottom w:val="nil"/>
            </w:tcBorders>
            <w:shd w:val="clear" w:color="auto" w:fill="auto"/>
            <w:noWrap/>
            <w:hideMark/>
          </w:tcPr>
          <w:p w14:paraId="371FD8A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$22,512</w:t>
            </w:r>
          </w:p>
        </w:tc>
        <w:tc>
          <w:tcPr>
            <w:tcW w:w="544" w:type="pct"/>
            <w:tcBorders>
              <w:top w:val="nil"/>
              <w:bottom w:val="nil"/>
            </w:tcBorders>
            <w:shd w:val="clear" w:color="auto" w:fill="auto"/>
            <w:noWrap/>
            <w:hideMark/>
          </w:tcPr>
          <w:p w14:paraId="5BC673A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$32,056</w:t>
            </w:r>
          </w:p>
        </w:tc>
        <w:tc>
          <w:tcPr>
            <w:tcW w:w="547" w:type="pct"/>
            <w:tcBorders>
              <w:top w:val="nil"/>
              <w:bottom w:val="nil"/>
            </w:tcBorders>
            <w:shd w:val="clear" w:color="auto" w:fill="auto"/>
            <w:noWrap/>
            <w:hideMark/>
          </w:tcPr>
          <w:p w14:paraId="67508FD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$32,088</w:t>
            </w:r>
          </w:p>
        </w:tc>
      </w:tr>
      <w:tr w:rsidR="00E47AB8" w:rsidRPr="008B2F8A" w14:paraId="0F0A2D67" w14:textId="77777777" w:rsidTr="00E14AC4">
        <w:tc>
          <w:tcPr>
            <w:tcW w:w="1338" w:type="pct"/>
            <w:tcBorders>
              <w:top w:val="nil"/>
              <w:bottom w:val="single" w:sz="4" w:space="0" w:color="auto"/>
            </w:tcBorders>
            <w:shd w:val="clear" w:color="auto" w:fill="auto"/>
            <w:noWrap/>
          </w:tcPr>
          <w:p w14:paraId="10F8BAE5" w14:textId="77777777" w:rsidR="00E47AB8" w:rsidRPr="008B2F8A" w:rsidRDefault="00E47AB8" w:rsidP="00422306">
            <w:pPr>
              <w:spacing w:before="40" w:after="80"/>
              <w:rPr>
                <w:rFonts w:ascii="Arial Narrow" w:eastAsia="Times New Roman" w:hAnsi="Arial Narrow"/>
                <w:sz w:val="20"/>
                <w:szCs w:val="20"/>
              </w:rPr>
            </w:pPr>
            <w:r w:rsidRPr="00E47B57">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312695E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w:t>
            </w:r>
          </w:p>
        </w:tc>
        <w:tc>
          <w:tcPr>
            <w:tcW w:w="546" w:type="pct"/>
            <w:tcBorders>
              <w:top w:val="nil"/>
              <w:bottom w:val="single" w:sz="4" w:space="0" w:color="auto"/>
            </w:tcBorders>
            <w:shd w:val="clear" w:color="auto" w:fill="auto"/>
            <w:noWrap/>
            <w:hideMark/>
          </w:tcPr>
          <w:p w14:paraId="3052311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$26,066</w:t>
            </w:r>
          </w:p>
        </w:tc>
        <w:tc>
          <w:tcPr>
            <w:tcW w:w="546" w:type="pct"/>
            <w:tcBorders>
              <w:top w:val="nil"/>
              <w:bottom w:val="single" w:sz="4" w:space="0" w:color="auto"/>
            </w:tcBorders>
            <w:shd w:val="clear" w:color="auto" w:fill="auto"/>
            <w:noWrap/>
            <w:hideMark/>
          </w:tcPr>
          <w:p w14:paraId="5C31F53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$30,464</w:t>
            </w:r>
          </w:p>
        </w:tc>
        <w:tc>
          <w:tcPr>
            <w:tcW w:w="622" w:type="pct"/>
            <w:tcBorders>
              <w:top w:val="nil"/>
              <w:bottom w:val="single" w:sz="4" w:space="0" w:color="auto"/>
            </w:tcBorders>
            <w:shd w:val="clear" w:color="auto" w:fill="auto"/>
            <w:noWrap/>
            <w:hideMark/>
          </w:tcPr>
          <w:p w14:paraId="0399A2E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$16,980</w:t>
            </w:r>
          </w:p>
        </w:tc>
        <w:tc>
          <w:tcPr>
            <w:tcW w:w="544" w:type="pct"/>
            <w:tcBorders>
              <w:top w:val="nil"/>
              <w:bottom w:val="single" w:sz="4" w:space="0" w:color="auto"/>
            </w:tcBorders>
            <w:shd w:val="clear" w:color="auto" w:fill="auto"/>
            <w:noWrap/>
            <w:hideMark/>
          </w:tcPr>
          <w:p w14:paraId="380BB39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$24,201</w:t>
            </w:r>
          </w:p>
        </w:tc>
        <w:tc>
          <w:tcPr>
            <w:tcW w:w="547" w:type="pct"/>
            <w:tcBorders>
              <w:top w:val="nil"/>
              <w:bottom w:val="single" w:sz="4" w:space="0" w:color="auto"/>
            </w:tcBorders>
            <w:shd w:val="clear" w:color="auto" w:fill="auto"/>
            <w:noWrap/>
            <w:hideMark/>
          </w:tcPr>
          <w:p w14:paraId="33F6684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$24,415</w:t>
            </w:r>
          </w:p>
        </w:tc>
      </w:tr>
      <w:tr w:rsidR="00E47AB8" w:rsidRPr="008B2F8A" w14:paraId="4D070B6D" w14:textId="77777777" w:rsidTr="00E14AC4">
        <w:tc>
          <w:tcPr>
            <w:tcW w:w="1338" w:type="pct"/>
            <w:tcBorders>
              <w:bottom w:val="nil"/>
            </w:tcBorders>
            <w:shd w:val="clear" w:color="auto" w:fill="auto"/>
            <w:noWrap/>
            <w:hideMark/>
          </w:tcPr>
          <w:p w14:paraId="147C8D35" w14:textId="5DAB7D3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Decrement in 5-year overall survival due to delayed detection</w:t>
            </w:r>
          </w:p>
        </w:tc>
        <w:tc>
          <w:tcPr>
            <w:tcW w:w="857" w:type="pct"/>
            <w:tcBorders>
              <w:bottom w:val="nil"/>
            </w:tcBorders>
            <w:shd w:val="clear" w:color="auto" w:fill="auto"/>
            <w:noWrap/>
            <w:hideMark/>
          </w:tcPr>
          <w:p w14:paraId="0941D3F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46" w:type="pct"/>
            <w:tcBorders>
              <w:bottom w:val="nil"/>
            </w:tcBorders>
            <w:shd w:val="clear" w:color="auto" w:fill="auto"/>
            <w:noWrap/>
            <w:hideMark/>
          </w:tcPr>
          <w:p w14:paraId="3D6E716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$110,157</w:t>
            </w:r>
          </w:p>
        </w:tc>
        <w:tc>
          <w:tcPr>
            <w:tcW w:w="546" w:type="pct"/>
            <w:tcBorders>
              <w:bottom w:val="nil"/>
            </w:tcBorders>
            <w:shd w:val="clear" w:color="auto" w:fill="auto"/>
            <w:noWrap/>
            <w:hideMark/>
          </w:tcPr>
          <w:p w14:paraId="5101EDE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$357,678</w:t>
            </w:r>
          </w:p>
        </w:tc>
        <w:tc>
          <w:tcPr>
            <w:tcW w:w="622" w:type="pct"/>
            <w:tcBorders>
              <w:bottom w:val="nil"/>
            </w:tcBorders>
            <w:shd w:val="clear" w:color="auto" w:fill="auto"/>
            <w:noWrap/>
            <w:hideMark/>
          </w:tcPr>
          <w:p w14:paraId="5210EDE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$225,657</w:t>
            </w:r>
          </w:p>
        </w:tc>
        <w:tc>
          <w:tcPr>
            <w:tcW w:w="544" w:type="pct"/>
            <w:tcBorders>
              <w:bottom w:val="nil"/>
            </w:tcBorders>
            <w:shd w:val="clear" w:color="auto" w:fill="auto"/>
            <w:noWrap/>
            <w:hideMark/>
          </w:tcPr>
          <w:p w14:paraId="6E83336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$324,638</w:t>
            </w:r>
          </w:p>
        </w:tc>
        <w:tc>
          <w:tcPr>
            <w:tcW w:w="547" w:type="pct"/>
            <w:tcBorders>
              <w:bottom w:val="nil"/>
            </w:tcBorders>
            <w:shd w:val="clear" w:color="auto" w:fill="auto"/>
            <w:noWrap/>
            <w:hideMark/>
          </w:tcPr>
          <w:p w14:paraId="3A57954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$687,130</w:t>
            </w:r>
          </w:p>
        </w:tc>
      </w:tr>
      <w:tr w:rsidR="00E47AB8" w:rsidRPr="008B2F8A" w14:paraId="68469AC1" w14:textId="77777777" w:rsidTr="00E14AC4">
        <w:tc>
          <w:tcPr>
            <w:tcW w:w="1338" w:type="pct"/>
            <w:tcBorders>
              <w:top w:val="nil"/>
              <w:bottom w:val="nil"/>
            </w:tcBorders>
            <w:shd w:val="clear" w:color="auto" w:fill="auto"/>
            <w:noWrap/>
          </w:tcPr>
          <w:p w14:paraId="224E42BF" w14:textId="77777777" w:rsidR="00E47AB8" w:rsidRPr="008B2F8A" w:rsidRDefault="00E47AB8" w:rsidP="00422306">
            <w:pPr>
              <w:spacing w:before="40" w:after="80"/>
              <w:rPr>
                <w:rFonts w:ascii="Arial Narrow" w:eastAsia="Times New Roman" w:hAnsi="Arial Narrow"/>
                <w:sz w:val="20"/>
                <w:szCs w:val="20"/>
              </w:rPr>
            </w:pPr>
            <w:r w:rsidRPr="0028679E">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2F634D5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w:t>
            </w:r>
          </w:p>
        </w:tc>
        <w:tc>
          <w:tcPr>
            <w:tcW w:w="546" w:type="pct"/>
            <w:tcBorders>
              <w:top w:val="nil"/>
              <w:bottom w:val="nil"/>
            </w:tcBorders>
            <w:shd w:val="clear" w:color="auto" w:fill="auto"/>
            <w:noWrap/>
            <w:hideMark/>
          </w:tcPr>
          <w:p w14:paraId="0F99CB2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$53,658</w:t>
            </w:r>
          </w:p>
        </w:tc>
        <w:tc>
          <w:tcPr>
            <w:tcW w:w="546" w:type="pct"/>
            <w:tcBorders>
              <w:top w:val="nil"/>
              <w:bottom w:val="nil"/>
            </w:tcBorders>
            <w:shd w:val="clear" w:color="auto" w:fill="auto"/>
            <w:noWrap/>
            <w:hideMark/>
          </w:tcPr>
          <w:p w14:paraId="1A148AB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$174,247</w:t>
            </w:r>
          </w:p>
        </w:tc>
        <w:tc>
          <w:tcPr>
            <w:tcW w:w="622" w:type="pct"/>
            <w:tcBorders>
              <w:top w:val="nil"/>
              <w:bottom w:val="nil"/>
            </w:tcBorders>
            <w:shd w:val="clear" w:color="auto" w:fill="auto"/>
            <w:noWrap/>
            <w:hideMark/>
          </w:tcPr>
          <w:p w14:paraId="211B452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$110,894</w:t>
            </w:r>
          </w:p>
        </w:tc>
        <w:tc>
          <w:tcPr>
            <w:tcW w:w="544" w:type="pct"/>
            <w:tcBorders>
              <w:top w:val="nil"/>
              <w:bottom w:val="nil"/>
            </w:tcBorders>
            <w:shd w:val="clear" w:color="auto" w:fill="auto"/>
            <w:noWrap/>
            <w:hideMark/>
          </w:tcPr>
          <w:p w14:paraId="2E38065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$158,210</w:t>
            </w:r>
          </w:p>
        </w:tc>
        <w:tc>
          <w:tcPr>
            <w:tcW w:w="547" w:type="pct"/>
            <w:tcBorders>
              <w:top w:val="nil"/>
              <w:bottom w:val="nil"/>
            </w:tcBorders>
            <w:shd w:val="clear" w:color="auto" w:fill="auto"/>
            <w:noWrap/>
            <w:hideMark/>
          </w:tcPr>
          <w:p w14:paraId="3657FB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$337,273</w:t>
            </w:r>
          </w:p>
        </w:tc>
      </w:tr>
      <w:tr w:rsidR="00E47AB8" w:rsidRPr="008B2F8A" w14:paraId="1F8EFA1A" w14:textId="77777777" w:rsidTr="00E14AC4">
        <w:tc>
          <w:tcPr>
            <w:tcW w:w="1338" w:type="pct"/>
            <w:tcBorders>
              <w:top w:val="nil"/>
              <w:bottom w:val="nil"/>
            </w:tcBorders>
            <w:shd w:val="clear" w:color="auto" w:fill="auto"/>
            <w:noWrap/>
          </w:tcPr>
          <w:p w14:paraId="77ABBC12" w14:textId="77777777" w:rsidR="00E47AB8" w:rsidRPr="008B2F8A" w:rsidRDefault="00E47AB8" w:rsidP="00422306">
            <w:pPr>
              <w:spacing w:before="40" w:after="80"/>
              <w:rPr>
                <w:rFonts w:ascii="Arial Narrow" w:eastAsia="Times New Roman" w:hAnsi="Arial Narrow"/>
                <w:sz w:val="20"/>
                <w:szCs w:val="20"/>
              </w:rPr>
            </w:pPr>
            <w:r w:rsidRPr="0028679E">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125AF63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6" w:type="pct"/>
            <w:tcBorders>
              <w:top w:val="nil"/>
              <w:bottom w:val="nil"/>
            </w:tcBorders>
            <w:shd w:val="clear" w:color="auto" w:fill="auto"/>
            <w:noWrap/>
            <w:hideMark/>
          </w:tcPr>
          <w:p w14:paraId="46A3DF8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$35,460</w:t>
            </w:r>
          </w:p>
        </w:tc>
        <w:tc>
          <w:tcPr>
            <w:tcW w:w="546" w:type="pct"/>
            <w:tcBorders>
              <w:top w:val="nil"/>
              <w:bottom w:val="nil"/>
            </w:tcBorders>
            <w:shd w:val="clear" w:color="auto" w:fill="auto"/>
            <w:noWrap/>
            <w:hideMark/>
          </w:tcPr>
          <w:p w14:paraId="17C28E6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$115,124</w:t>
            </w:r>
          </w:p>
        </w:tc>
        <w:tc>
          <w:tcPr>
            <w:tcW w:w="622" w:type="pct"/>
            <w:tcBorders>
              <w:top w:val="nil"/>
              <w:bottom w:val="nil"/>
            </w:tcBorders>
            <w:shd w:val="clear" w:color="auto" w:fill="auto"/>
            <w:noWrap/>
            <w:hideMark/>
          </w:tcPr>
          <w:p w14:paraId="1DDD581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$73,334</w:t>
            </w:r>
          </w:p>
        </w:tc>
        <w:tc>
          <w:tcPr>
            <w:tcW w:w="544" w:type="pct"/>
            <w:tcBorders>
              <w:top w:val="nil"/>
              <w:bottom w:val="nil"/>
            </w:tcBorders>
            <w:shd w:val="clear" w:color="auto" w:fill="auto"/>
            <w:noWrap/>
            <w:hideMark/>
          </w:tcPr>
          <w:p w14:paraId="4F8921F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$104,352</w:t>
            </w:r>
          </w:p>
        </w:tc>
        <w:tc>
          <w:tcPr>
            <w:tcW w:w="547" w:type="pct"/>
            <w:tcBorders>
              <w:top w:val="nil"/>
              <w:bottom w:val="nil"/>
            </w:tcBorders>
            <w:shd w:val="clear" w:color="auto" w:fill="auto"/>
            <w:noWrap/>
            <w:hideMark/>
          </w:tcPr>
          <w:p w14:paraId="5AE85EF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$222,630</w:t>
            </w:r>
          </w:p>
        </w:tc>
      </w:tr>
      <w:tr w:rsidR="00E47AB8" w:rsidRPr="008B2F8A" w14:paraId="08B1D58B" w14:textId="77777777" w:rsidTr="00E14AC4">
        <w:tc>
          <w:tcPr>
            <w:tcW w:w="1338" w:type="pct"/>
            <w:tcBorders>
              <w:top w:val="nil"/>
              <w:bottom w:val="nil"/>
            </w:tcBorders>
            <w:shd w:val="clear" w:color="auto" w:fill="auto"/>
            <w:noWrap/>
          </w:tcPr>
          <w:p w14:paraId="4B1D73E9" w14:textId="77777777" w:rsidR="00E47AB8" w:rsidRPr="008B2F8A" w:rsidRDefault="00E47AB8" w:rsidP="00422306">
            <w:pPr>
              <w:spacing w:before="40" w:after="80"/>
              <w:rPr>
                <w:rFonts w:ascii="Arial Narrow" w:eastAsia="Times New Roman" w:hAnsi="Arial Narrow"/>
                <w:sz w:val="20"/>
                <w:szCs w:val="20"/>
              </w:rPr>
            </w:pPr>
            <w:r w:rsidRPr="0028679E">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43F4A1E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w:t>
            </w:r>
          </w:p>
        </w:tc>
        <w:tc>
          <w:tcPr>
            <w:tcW w:w="546" w:type="pct"/>
            <w:tcBorders>
              <w:top w:val="nil"/>
              <w:bottom w:val="nil"/>
            </w:tcBorders>
            <w:shd w:val="clear" w:color="auto" w:fill="auto"/>
            <w:noWrap/>
            <w:hideMark/>
          </w:tcPr>
          <w:p w14:paraId="1AF35F0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$26,414</w:t>
            </w:r>
          </w:p>
        </w:tc>
        <w:tc>
          <w:tcPr>
            <w:tcW w:w="546" w:type="pct"/>
            <w:tcBorders>
              <w:top w:val="nil"/>
              <w:bottom w:val="nil"/>
            </w:tcBorders>
            <w:shd w:val="clear" w:color="auto" w:fill="auto"/>
            <w:noWrap/>
            <w:hideMark/>
          </w:tcPr>
          <w:p w14:paraId="05924A8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$85,911</w:t>
            </w:r>
          </w:p>
        </w:tc>
        <w:tc>
          <w:tcPr>
            <w:tcW w:w="622" w:type="pct"/>
            <w:tcBorders>
              <w:top w:val="nil"/>
              <w:bottom w:val="nil"/>
            </w:tcBorders>
            <w:shd w:val="clear" w:color="auto" w:fill="auto"/>
            <w:noWrap/>
            <w:hideMark/>
          </w:tcPr>
          <w:p w14:paraId="584281A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$54,672</w:t>
            </w:r>
          </w:p>
        </w:tc>
        <w:tc>
          <w:tcPr>
            <w:tcW w:w="544" w:type="pct"/>
            <w:tcBorders>
              <w:top w:val="nil"/>
              <w:bottom w:val="nil"/>
            </w:tcBorders>
            <w:shd w:val="clear" w:color="auto" w:fill="auto"/>
            <w:noWrap/>
            <w:hideMark/>
          </w:tcPr>
          <w:p w14:paraId="0A749E4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$77,704</w:t>
            </w:r>
          </w:p>
        </w:tc>
        <w:tc>
          <w:tcPr>
            <w:tcW w:w="547" w:type="pct"/>
            <w:tcBorders>
              <w:top w:val="nil"/>
              <w:bottom w:val="nil"/>
            </w:tcBorders>
            <w:shd w:val="clear" w:color="auto" w:fill="auto"/>
            <w:noWrap/>
            <w:hideMark/>
          </w:tcPr>
          <w:p w14:paraId="36E84BD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$165,637</w:t>
            </w:r>
          </w:p>
        </w:tc>
      </w:tr>
      <w:tr w:rsidR="00E47AB8" w:rsidRPr="008B2F8A" w14:paraId="159446F8" w14:textId="77777777" w:rsidTr="00E14AC4">
        <w:tc>
          <w:tcPr>
            <w:tcW w:w="1338" w:type="pct"/>
            <w:tcBorders>
              <w:top w:val="nil"/>
              <w:bottom w:val="nil"/>
            </w:tcBorders>
            <w:shd w:val="clear" w:color="auto" w:fill="auto"/>
            <w:noWrap/>
          </w:tcPr>
          <w:p w14:paraId="2959DA96" w14:textId="77777777" w:rsidR="00E47AB8" w:rsidRPr="008B2F8A" w:rsidRDefault="00E47AB8" w:rsidP="00422306">
            <w:pPr>
              <w:spacing w:before="40" w:after="80"/>
              <w:rPr>
                <w:rFonts w:ascii="Arial Narrow" w:eastAsia="Times New Roman" w:hAnsi="Arial Narrow"/>
                <w:sz w:val="20"/>
                <w:szCs w:val="20"/>
              </w:rPr>
            </w:pPr>
            <w:r w:rsidRPr="0028679E">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772382F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25%</w:t>
            </w:r>
          </w:p>
        </w:tc>
        <w:tc>
          <w:tcPr>
            <w:tcW w:w="546" w:type="pct"/>
            <w:tcBorders>
              <w:top w:val="nil"/>
              <w:bottom w:val="nil"/>
            </w:tcBorders>
            <w:shd w:val="clear" w:color="auto" w:fill="auto"/>
            <w:noWrap/>
            <w:hideMark/>
          </w:tcPr>
          <w:p w14:paraId="2863E25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$20,939</w:t>
            </w:r>
          </w:p>
        </w:tc>
        <w:tc>
          <w:tcPr>
            <w:tcW w:w="546" w:type="pct"/>
            <w:tcBorders>
              <w:top w:val="nil"/>
              <w:bottom w:val="nil"/>
            </w:tcBorders>
            <w:shd w:val="clear" w:color="auto" w:fill="auto"/>
            <w:noWrap/>
            <w:hideMark/>
          </w:tcPr>
          <w:p w14:paraId="1AF0299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$68,482</w:t>
            </w:r>
          </w:p>
        </w:tc>
        <w:tc>
          <w:tcPr>
            <w:tcW w:w="622" w:type="pct"/>
            <w:tcBorders>
              <w:top w:val="nil"/>
              <w:bottom w:val="nil"/>
            </w:tcBorders>
            <w:shd w:val="clear" w:color="auto" w:fill="auto"/>
            <w:noWrap/>
            <w:hideMark/>
          </w:tcPr>
          <w:p w14:paraId="0A790A0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$43,505</w:t>
            </w:r>
          </w:p>
        </w:tc>
        <w:tc>
          <w:tcPr>
            <w:tcW w:w="544" w:type="pct"/>
            <w:tcBorders>
              <w:top w:val="nil"/>
              <w:bottom w:val="nil"/>
            </w:tcBorders>
            <w:shd w:val="clear" w:color="auto" w:fill="auto"/>
            <w:noWrap/>
            <w:hideMark/>
          </w:tcPr>
          <w:p w14:paraId="6081BB6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$61,794</w:t>
            </w:r>
          </w:p>
        </w:tc>
        <w:tc>
          <w:tcPr>
            <w:tcW w:w="547" w:type="pct"/>
            <w:tcBorders>
              <w:top w:val="nil"/>
              <w:bottom w:val="nil"/>
            </w:tcBorders>
            <w:shd w:val="clear" w:color="auto" w:fill="auto"/>
            <w:noWrap/>
            <w:hideMark/>
          </w:tcPr>
          <w:p w14:paraId="6BFE4B1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$131,521</w:t>
            </w:r>
          </w:p>
        </w:tc>
      </w:tr>
      <w:tr w:rsidR="00E47AB8" w:rsidRPr="008B2F8A" w14:paraId="381AAD3A" w14:textId="77777777" w:rsidTr="00E14AC4">
        <w:tc>
          <w:tcPr>
            <w:tcW w:w="1338" w:type="pct"/>
            <w:tcBorders>
              <w:top w:val="nil"/>
              <w:bottom w:val="single" w:sz="4" w:space="0" w:color="auto"/>
            </w:tcBorders>
            <w:shd w:val="clear" w:color="auto" w:fill="auto"/>
            <w:noWrap/>
          </w:tcPr>
          <w:p w14:paraId="74734AD1" w14:textId="77777777" w:rsidR="00E47AB8" w:rsidRPr="008B2F8A" w:rsidRDefault="00E47AB8" w:rsidP="00422306">
            <w:pPr>
              <w:spacing w:before="40" w:after="80"/>
              <w:rPr>
                <w:rFonts w:ascii="Arial Narrow" w:eastAsia="Times New Roman" w:hAnsi="Arial Narrow"/>
                <w:sz w:val="20"/>
                <w:szCs w:val="20"/>
              </w:rPr>
            </w:pPr>
            <w:r w:rsidRPr="0028679E">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060A330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w:t>
            </w:r>
          </w:p>
        </w:tc>
        <w:tc>
          <w:tcPr>
            <w:tcW w:w="546" w:type="pct"/>
            <w:tcBorders>
              <w:top w:val="nil"/>
              <w:bottom w:val="single" w:sz="4" w:space="0" w:color="auto"/>
            </w:tcBorders>
            <w:shd w:val="clear" w:color="auto" w:fill="auto"/>
            <w:noWrap/>
            <w:hideMark/>
          </w:tcPr>
          <w:p w14:paraId="5053899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$17,185</w:t>
            </w:r>
          </w:p>
        </w:tc>
        <w:tc>
          <w:tcPr>
            <w:tcW w:w="546" w:type="pct"/>
            <w:tcBorders>
              <w:top w:val="nil"/>
              <w:bottom w:val="single" w:sz="4" w:space="0" w:color="auto"/>
            </w:tcBorders>
            <w:shd w:val="clear" w:color="auto" w:fill="auto"/>
            <w:noWrap/>
            <w:hideMark/>
          </w:tcPr>
          <w:p w14:paraId="2FD2A36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$56,895</w:t>
            </w:r>
          </w:p>
        </w:tc>
        <w:tc>
          <w:tcPr>
            <w:tcW w:w="622" w:type="pct"/>
            <w:tcBorders>
              <w:top w:val="nil"/>
              <w:bottom w:val="single" w:sz="4" w:space="0" w:color="auto"/>
            </w:tcBorders>
            <w:shd w:val="clear" w:color="auto" w:fill="auto"/>
            <w:noWrap/>
            <w:hideMark/>
          </w:tcPr>
          <w:p w14:paraId="3ED4553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$36,067</w:t>
            </w:r>
          </w:p>
        </w:tc>
        <w:tc>
          <w:tcPr>
            <w:tcW w:w="544" w:type="pct"/>
            <w:tcBorders>
              <w:top w:val="nil"/>
              <w:bottom w:val="single" w:sz="4" w:space="0" w:color="auto"/>
            </w:tcBorders>
            <w:shd w:val="clear" w:color="auto" w:fill="auto"/>
            <w:noWrap/>
            <w:hideMark/>
          </w:tcPr>
          <w:p w14:paraId="72D5861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$51,213</w:t>
            </w:r>
          </w:p>
        </w:tc>
        <w:tc>
          <w:tcPr>
            <w:tcW w:w="547" w:type="pct"/>
            <w:tcBorders>
              <w:top w:val="nil"/>
              <w:bottom w:val="single" w:sz="4" w:space="0" w:color="auto"/>
            </w:tcBorders>
            <w:shd w:val="clear" w:color="auto" w:fill="auto"/>
            <w:noWrap/>
            <w:hideMark/>
          </w:tcPr>
          <w:p w14:paraId="048687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$108,789</w:t>
            </w:r>
          </w:p>
        </w:tc>
      </w:tr>
      <w:tr w:rsidR="00E47AB8" w:rsidRPr="008B2F8A" w14:paraId="639462A3" w14:textId="77777777" w:rsidTr="00E14AC4">
        <w:tc>
          <w:tcPr>
            <w:tcW w:w="1338" w:type="pct"/>
            <w:tcBorders>
              <w:bottom w:val="nil"/>
            </w:tcBorders>
            <w:shd w:val="clear" w:color="auto" w:fill="auto"/>
            <w:noWrap/>
            <w:hideMark/>
          </w:tcPr>
          <w:p w14:paraId="7274612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 age range</w:t>
            </w:r>
          </w:p>
        </w:tc>
        <w:tc>
          <w:tcPr>
            <w:tcW w:w="857" w:type="pct"/>
            <w:tcBorders>
              <w:bottom w:val="nil"/>
            </w:tcBorders>
            <w:shd w:val="clear" w:color="auto" w:fill="auto"/>
            <w:noWrap/>
            <w:hideMark/>
          </w:tcPr>
          <w:p w14:paraId="75BF581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30–40</w:t>
            </w:r>
          </w:p>
        </w:tc>
        <w:tc>
          <w:tcPr>
            <w:tcW w:w="546" w:type="pct"/>
            <w:tcBorders>
              <w:bottom w:val="nil"/>
            </w:tcBorders>
            <w:shd w:val="clear" w:color="auto" w:fill="auto"/>
            <w:noWrap/>
            <w:hideMark/>
          </w:tcPr>
          <w:p w14:paraId="48A3B5E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$48,122</w:t>
            </w:r>
          </w:p>
        </w:tc>
        <w:tc>
          <w:tcPr>
            <w:tcW w:w="546" w:type="pct"/>
            <w:tcBorders>
              <w:bottom w:val="nil"/>
            </w:tcBorders>
            <w:shd w:val="clear" w:color="auto" w:fill="auto"/>
            <w:noWrap/>
            <w:hideMark/>
          </w:tcPr>
          <w:p w14:paraId="4B877F9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$106,522</w:t>
            </w:r>
          </w:p>
        </w:tc>
        <w:tc>
          <w:tcPr>
            <w:tcW w:w="622" w:type="pct"/>
            <w:tcBorders>
              <w:bottom w:val="nil"/>
            </w:tcBorders>
            <w:shd w:val="clear" w:color="auto" w:fill="auto"/>
            <w:noWrap/>
            <w:hideMark/>
          </w:tcPr>
          <w:p w14:paraId="2836C80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$48,639</w:t>
            </w:r>
          </w:p>
        </w:tc>
        <w:tc>
          <w:tcPr>
            <w:tcW w:w="544" w:type="pct"/>
            <w:tcBorders>
              <w:bottom w:val="nil"/>
            </w:tcBorders>
            <w:shd w:val="clear" w:color="auto" w:fill="auto"/>
            <w:noWrap/>
            <w:hideMark/>
          </w:tcPr>
          <w:p w14:paraId="58A49E4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$68,593</w:t>
            </w:r>
          </w:p>
        </w:tc>
        <w:tc>
          <w:tcPr>
            <w:tcW w:w="547" w:type="pct"/>
            <w:tcBorders>
              <w:bottom w:val="nil"/>
            </w:tcBorders>
            <w:shd w:val="clear" w:color="auto" w:fill="auto"/>
            <w:noWrap/>
            <w:hideMark/>
          </w:tcPr>
          <w:p w14:paraId="3E587BD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$143,131</w:t>
            </w:r>
          </w:p>
        </w:tc>
      </w:tr>
      <w:tr w:rsidR="00E47AB8" w:rsidRPr="008B2F8A" w14:paraId="7A014C34" w14:textId="77777777" w:rsidTr="00E14AC4">
        <w:tc>
          <w:tcPr>
            <w:tcW w:w="1338" w:type="pct"/>
            <w:tcBorders>
              <w:top w:val="nil"/>
              <w:bottom w:val="nil"/>
            </w:tcBorders>
            <w:shd w:val="clear" w:color="auto" w:fill="auto"/>
            <w:noWrap/>
          </w:tcPr>
          <w:p w14:paraId="4E98FE80" w14:textId="77777777" w:rsidR="00E47AB8" w:rsidRPr="008B2F8A" w:rsidRDefault="00E47AB8" w:rsidP="00422306">
            <w:pPr>
              <w:spacing w:before="40" w:after="80"/>
              <w:rPr>
                <w:rFonts w:ascii="Arial Narrow" w:eastAsia="Times New Roman" w:hAnsi="Arial Narrow"/>
                <w:sz w:val="20"/>
                <w:szCs w:val="20"/>
              </w:rPr>
            </w:pPr>
            <w:r w:rsidRPr="002735D3">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5E6854E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30–50</w:t>
            </w:r>
          </w:p>
        </w:tc>
        <w:tc>
          <w:tcPr>
            <w:tcW w:w="546" w:type="pct"/>
            <w:tcBorders>
              <w:top w:val="nil"/>
              <w:bottom w:val="nil"/>
            </w:tcBorders>
            <w:shd w:val="clear" w:color="auto" w:fill="auto"/>
            <w:noWrap/>
            <w:hideMark/>
          </w:tcPr>
          <w:p w14:paraId="638F25E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$35,460</w:t>
            </w:r>
          </w:p>
        </w:tc>
        <w:tc>
          <w:tcPr>
            <w:tcW w:w="546" w:type="pct"/>
            <w:tcBorders>
              <w:top w:val="nil"/>
              <w:bottom w:val="nil"/>
            </w:tcBorders>
            <w:shd w:val="clear" w:color="auto" w:fill="auto"/>
            <w:noWrap/>
            <w:hideMark/>
          </w:tcPr>
          <w:p w14:paraId="05ADB09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bottom w:val="nil"/>
            </w:tcBorders>
            <w:shd w:val="clear" w:color="auto" w:fill="auto"/>
            <w:noWrap/>
            <w:hideMark/>
          </w:tcPr>
          <w:p w14:paraId="735B4D2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$73,099</w:t>
            </w:r>
          </w:p>
        </w:tc>
        <w:tc>
          <w:tcPr>
            <w:tcW w:w="544" w:type="pct"/>
            <w:tcBorders>
              <w:top w:val="nil"/>
              <w:bottom w:val="nil"/>
            </w:tcBorders>
            <w:shd w:val="clear" w:color="auto" w:fill="auto"/>
            <w:noWrap/>
            <w:hideMark/>
          </w:tcPr>
          <w:p w14:paraId="10AB4D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$103,035</w:t>
            </w:r>
          </w:p>
        </w:tc>
        <w:tc>
          <w:tcPr>
            <w:tcW w:w="547" w:type="pct"/>
            <w:tcBorders>
              <w:top w:val="nil"/>
              <w:bottom w:val="nil"/>
            </w:tcBorders>
            <w:shd w:val="clear" w:color="auto" w:fill="auto"/>
            <w:noWrap/>
            <w:hideMark/>
          </w:tcPr>
          <w:p w14:paraId="16BD5F6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$176,536</w:t>
            </w:r>
          </w:p>
        </w:tc>
      </w:tr>
      <w:tr w:rsidR="00E47AB8" w:rsidRPr="008B2F8A" w14:paraId="61ED6960" w14:textId="77777777" w:rsidTr="00E14AC4">
        <w:tc>
          <w:tcPr>
            <w:tcW w:w="1338" w:type="pct"/>
            <w:tcBorders>
              <w:top w:val="nil"/>
              <w:bottom w:val="nil"/>
            </w:tcBorders>
            <w:shd w:val="clear" w:color="auto" w:fill="auto"/>
            <w:noWrap/>
          </w:tcPr>
          <w:p w14:paraId="1ED54EAB" w14:textId="77777777" w:rsidR="00E47AB8" w:rsidRPr="008B2F8A" w:rsidRDefault="00E47AB8" w:rsidP="00422306">
            <w:pPr>
              <w:spacing w:before="40" w:after="80"/>
              <w:rPr>
                <w:rFonts w:ascii="Arial Narrow" w:eastAsia="Times New Roman" w:hAnsi="Arial Narrow"/>
                <w:sz w:val="20"/>
                <w:szCs w:val="20"/>
              </w:rPr>
            </w:pPr>
            <w:r w:rsidRPr="002735D3">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7837BF9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30–60</w:t>
            </w:r>
          </w:p>
        </w:tc>
        <w:tc>
          <w:tcPr>
            <w:tcW w:w="546" w:type="pct"/>
            <w:tcBorders>
              <w:top w:val="nil"/>
              <w:bottom w:val="nil"/>
            </w:tcBorders>
            <w:shd w:val="clear" w:color="auto" w:fill="auto"/>
            <w:noWrap/>
            <w:hideMark/>
          </w:tcPr>
          <w:p w14:paraId="0DBF3E3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$36,111</w:t>
            </w:r>
          </w:p>
        </w:tc>
        <w:tc>
          <w:tcPr>
            <w:tcW w:w="546" w:type="pct"/>
            <w:tcBorders>
              <w:top w:val="nil"/>
              <w:bottom w:val="nil"/>
            </w:tcBorders>
            <w:shd w:val="clear" w:color="auto" w:fill="auto"/>
            <w:noWrap/>
            <w:hideMark/>
          </w:tcPr>
          <w:p w14:paraId="7CC346D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$85,768</w:t>
            </w:r>
          </w:p>
        </w:tc>
        <w:tc>
          <w:tcPr>
            <w:tcW w:w="622" w:type="pct"/>
            <w:tcBorders>
              <w:top w:val="nil"/>
              <w:bottom w:val="nil"/>
            </w:tcBorders>
            <w:shd w:val="clear" w:color="auto" w:fill="auto"/>
            <w:noWrap/>
            <w:hideMark/>
          </w:tcPr>
          <w:p w14:paraId="6A822F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$87,557</w:t>
            </w:r>
          </w:p>
        </w:tc>
        <w:tc>
          <w:tcPr>
            <w:tcW w:w="544" w:type="pct"/>
            <w:tcBorders>
              <w:top w:val="nil"/>
              <w:bottom w:val="nil"/>
            </w:tcBorders>
            <w:shd w:val="clear" w:color="auto" w:fill="auto"/>
            <w:noWrap/>
            <w:hideMark/>
          </w:tcPr>
          <w:p w14:paraId="1F59AA3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$123,395</w:t>
            </w:r>
          </w:p>
        </w:tc>
        <w:tc>
          <w:tcPr>
            <w:tcW w:w="547" w:type="pct"/>
            <w:tcBorders>
              <w:top w:val="nil"/>
              <w:bottom w:val="nil"/>
            </w:tcBorders>
            <w:shd w:val="clear" w:color="auto" w:fill="auto"/>
            <w:noWrap/>
            <w:hideMark/>
          </w:tcPr>
          <w:p w14:paraId="4DE4E9E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$204,367</w:t>
            </w:r>
          </w:p>
        </w:tc>
      </w:tr>
      <w:tr w:rsidR="00E47AB8" w:rsidRPr="008B2F8A" w14:paraId="5E29D556" w14:textId="77777777" w:rsidTr="00E14AC4">
        <w:tc>
          <w:tcPr>
            <w:tcW w:w="1338" w:type="pct"/>
            <w:tcBorders>
              <w:top w:val="nil"/>
              <w:bottom w:val="nil"/>
            </w:tcBorders>
            <w:shd w:val="clear" w:color="auto" w:fill="auto"/>
            <w:noWrap/>
          </w:tcPr>
          <w:p w14:paraId="6BF085C1" w14:textId="77777777" w:rsidR="00E47AB8" w:rsidRPr="008B2F8A" w:rsidRDefault="00E47AB8" w:rsidP="00422306">
            <w:pPr>
              <w:spacing w:before="40" w:after="80"/>
              <w:rPr>
                <w:rFonts w:ascii="Arial Narrow" w:eastAsia="Times New Roman" w:hAnsi="Arial Narrow"/>
                <w:sz w:val="20"/>
                <w:szCs w:val="20"/>
              </w:rPr>
            </w:pPr>
            <w:r w:rsidRPr="002735D3">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05481CF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30–70</w:t>
            </w:r>
          </w:p>
        </w:tc>
        <w:tc>
          <w:tcPr>
            <w:tcW w:w="546" w:type="pct"/>
            <w:tcBorders>
              <w:top w:val="nil"/>
              <w:bottom w:val="nil"/>
            </w:tcBorders>
            <w:shd w:val="clear" w:color="auto" w:fill="auto"/>
            <w:noWrap/>
            <w:hideMark/>
          </w:tcPr>
          <w:p w14:paraId="3A8B56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$37,111</w:t>
            </w:r>
          </w:p>
        </w:tc>
        <w:tc>
          <w:tcPr>
            <w:tcW w:w="546" w:type="pct"/>
            <w:tcBorders>
              <w:top w:val="nil"/>
              <w:bottom w:val="nil"/>
            </w:tcBorders>
            <w:shd w:val="clear" w:color="auto" w:fill="auto"/>
            <w:noWrap/>
            <w:hideMark/>
          </w:tcPr>
          <w:p w14:paraId="0E70AD9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$85,701</w:t>
            </w:r>
          </w:p>
        </w:tc>
        <w:tc>
          <w:tcPr>
            <w:tcW w:w="622" w:type="pct"/>
            <w:tcBorders>
              <w:top w:val="nil"/>
              <w:bottom w:val="nil"/>
            </w:tcBorders>
            <w:shd w:val="clear" w:color="auto" w:fill="auto"/>
            <w:noWrap/>
            <w:hideMark/>
          </w:tcPr>
          <w:p w14:paraId="13BFC87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$96,149</w:t>
            </w:r>
          </w:p>
        </w:tc>
        <w:tc>
          <w:tcPr>
            <w:tcW w:w="544" w:type="pct"/>
            <w:tcBorders>
              <w:top w:val="nil"/>
              <w:bottom w:val="nil"/>
            </w:tcBorders>
            <w:shd w:val="clear" w:color="auto" w:fill="auto"/>
            <w:noWrap/>
            <w:hideMark/>
          </w:tcPr>
          <w:p w14:paraId="3F7AD5A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$135,491</w:t>
            </w:r>
          </w:p>
        </w:tc>
        <w:tc>
          <w:tcPr>
            <w:tcW w:w="547" w:type="pct"/>
            <w:tcBorders>
              <w:top w:val="nil"/>
              <w:bottom w:val="nil"/>
            </w:tcBorders>
            <w:shd w:val="clear" w:color="auto" w:fill="auto"/>
            <w:noWrap/>
            <w:hideMark/>
          </w:tcPr>
          <w:p w14:paraId="666224C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$222,182</w:t>
            </w:r>
          </w:p>
        </w:tc>
      </w:tr>
      <w:tr w:rsidR="00E47AB8" w:rsidRPr="008B2F8A" w14:paraId="2D7460B7" w14:textId="77777777" w:rsidTr="00E14AC4">
        <w:tc>
          <w:tcPr>
            <w:tcW w:w="1338" w:type="pct"/>
            <w:tcBorders>
              <w:top w:val="nil"/>
              <w:bottom w:val="nil"/>
            </w:tcBorders>
            <w:shd w:val="clear" w:color="auto" w:fill="auto"/>
            <w:noWrap/>
          </w:tcPr>
          <w:p w14:paraId="05EA256E" w14:textId="77777777" w:rsidR="00E47AB8" w:rsidRPr="008B2F8A" w:rsidRDefault="00E47AB8" w:rsidP="00422306">
            <w:pPr>
              <w:spacing w:before="40" w:after="80"/>
              <w:rPr>
                <w:rFonts w:ascii="Arial Narrow" w:eastAsia="Times New Roman" w:hAnsi="Arial Narrow"/>
                <w:sz w:val="20"/>
                <w:szCs w:val="20"/>
              </w:rPr>
            </w:pPr>
            <w:r w:rsidRPr="002735D3">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02AA90A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40–50</w:t>
            </w:r>
          </w:p>
        </w:tc>
        <w:tc>
          <w:tcPr>
            <w:tcW w:w="546" w:type="pct"/>
            <w:tcBorders>
              <w:top w:val="nil"/>
              <w:bottom w:val="nil"/>
            </w:tcBorders>
            <w:shd w:val="clear" w:color="auto" w:fill="auto"/>
            <w:noWrap/>
            <w:hideMark/>
          </w:tcPr>
          <w:p w14:paraId="647B35A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$21,264</w:t>
            </w:r>
          </w:p>
        </w:tc>
        <w:tc>
          <w:tcPr>
            <w:tcW w:w="546" w:type="pct"/>
            <w:tcBorders>
              <w:top w:val="nil"/>
              <w:bottom w:val="nil"/>
            </w:tcBorders>
            <w:shd w:val="clear" w:color="auto" w:fill="auto"/>
            <w:noWrap/>
            <w:hideMark/>
          </w:tcPr>
          <w:p w14:paraId="65C5EDE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$63,039</w:t>
            </w:r>
          </w:p>
        </w:tc>
        <w:tc>
          <w:tcPr>
            <w:tcW w:w="622" w:type="pct"/>
            <w:tcBorders>
              <w:top w:val="nil"/>
              <w:bottom w:val="nil"/>
            </w:tcBorders>
            <w:shd w:val="clear" w:color="auto" w:fill="auto"/>
            <w:noWrap/>
            <w:hideMark/>
          </w:tcPr>
          <w:p w14:paraId="7543DA0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$61,408</w:t>
            </w:r>
          </w:p>
        </w:tc>
        <w:tc>
          <w:tcPr>
            <w:tcW w:w="544" w:type="pct"/>
            <w:tcBorders>
              <w:top w:val="nil"/>
              <w:bottom w:val="nil"/>
            </w:tcBorders>
            <w:shd w:val="clear" w:color="auto" w:fill="auto"/>
            <w:noWrap/>
            <w:hideMark/>
          </w:tcPr>
          <w:p w14:paraId="470F4F9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$87,133</w:t>
            </w:r>
          </w:p>
        </w:tc>
        <w:tc>
          <w:tcPr>
            <w:tcW w:w="547" w:type="pct"/>
            <w:tcBorders>
              <w:top w:val="nil"/>
              <w:bottom w:val="nil"/>
            </w:tcBorders>
            <w:shd w:val="clear" w:color="auto" w:fill="auto"/>
            <w:noWrap/>
            <w:hideMark/>
          </w:tcPr>
          <w:p w14:paraId="316C93F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$242,901</w:t>
            </w:r>
          </w:p>
        </w:tc>
      </w:tr>
      <w:tr w:rsidR="00E47AB8" w:rsidRPr="008B2F8A" w14:paraId="13E2550D" w14:textId="77777777" w:rsidTr="00E14AC4">
        <w:tc>
          <w:tcPr>
            <w:tcW w:w="1338" w:type="pct"/>
            <w:tcBorders>
              <w:top w:val="nil"/>
              <w:bottom w:val="nil"/>
            </w:tcBorders>
            <w:shd w:val="clear" w:color="auto" w:fill="auto"/>
            <w:noWrap/>
          </w:tcPr>
          <w:p w14:paraId="64AF0FFD" w14:textId="77777777" w:rsidR="00E47AB8" w:rsidRPr="008B2F8A" w:rsidRDefault="00E47AB8" w:rsidP="00422306">
            <w:pPr>
              <w:spacing w:before="40" w:after="80"/>
              <w:rPr>
                <w:rFonts w:ascii="Arial Narrow" w:eastAsia="Times New Roman" w:hAnsi="Arial Narrow"/>
                <w:sz w:val="20"/>
                <w:szCs w:val="20"/>
              </w:rPr>
            </w:pPr>
            <w:r w:rsidRPr="002735D3">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2B05500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40–60</w:t>
            </w:r>
          </w:p>
        </w:tc>
        <w:tc>
          <w:tcPr>
            <w:tcW w:w="546" w:type="pct"/>
            <w:tcBorders>
              <w:top w:val="nil"/>
              <w:bottom w:val="nil"/>
            </w:tcBorders>
            <w:shd w:val="clear" w:color="auto" w:fill="auto"/>
            <w:noWrap/>
            <w:hideMark/>
          </w:tcPr>
          <w:p w14:paraId="05DAE9D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$25,319</w:t>
            </w:r>
          </w:p>
        </w:tc>
        <w:tc>
          <w:tcPr>
            <w:tcW w:w="546" w:type="pct"/>
            <w:tcBorders>
              <w:top w:val="nil"/>
              <w:bottom w:val="nil"/>
            </w:tcBorders>
            <w:shd w:val="clear" w:color="auto" w:fill="auto"/>
            <w:noWrap/>
            <w:hideMark/>
          </w:tcPr>
          <w:p w14:paraId="3A49AEC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$64,373</w:t>
            </w:r>
          </w:p>
        </w:tc>
        <w:tc>
          <w:tcPr>
            <w:tcW w:w="622" w:type="pct"/>
            <w:tcBorders>
              <w:top w:val="nil"/>
              <w:bottom w:val="nil"/>
            </w:tcBorders>
            <w:shd w:val="clear" w:color="auto" w:fill="auto"/>
            <w:noWrap/>
            <w:hideMark/>
          </w:tcPr>
          <w:p w14:paraId="37C2E1A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$87,877</w:t>
            </w:r>
          </w:p>
        </w:tc>
        <w:tc>
          <w:tcPr>
            <w:tcW w:w="544" w:type="pct"/>
            <w:tcBorders>
              <w:top w:val="nil"/>
              <w:bottom w:val="nil"/>
            </w:tcBorders>
            <w:shd w:val="clear" w:color="auto" w:fill="auto"/>
            <w:noWrap/>
            <w:hideMark/>
          </w:tcPr>
          <w:p w14:paraId="4A58C4C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$124,627</w:t>
            </w:r>
          </w:p>
        </w:tc>
        <w:tc>
          <w:tcPr>
            <w:tcW w:w="547" w:type="pct"/>
            <w:tcBorders>
              <w:top w:val="nil"/>
              <w:bottom w:val="nil"/>
            </w:tcBorders>
            <w:shd w:val="clear" w:color="auto" w:fill="auto"/>
            <w:noWrap/>
            <w:hideMark/>
          </w:tcPr>
          <w:p w14:paraId="4A82B83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$319,768</w:t>
            </w:r>
          </w:p>
        </w:tc>
      </w:tr>
      <w:tr w:rsidR="00E47AB8" w:rsidRPr="008B2F8A" w14:paraId="71BE805C" w14:textId="77777777" w:rsidTr="00E14AC4">
        <w:tc>
          <w:tcPr>
            <w:tcW w:w="1338" w:type="pct"/>
            <w:tcBorders>
              <w:top w:val="nil"/>
              <w:bottom w:val="single" w:sz="4" w:space="0" w:color="auto"/>
            </w:tcBorders>
            <w:shd w:val="clear" w:color="auto" w:fill="auto"/>
            <w:noWrap/>
          </w:tcPr>
          <w:p w14:paraId="6CE58E3D" w14:textId="77777777" w:rsidR="00E47AB8" w:rsidRPr="008B2F8A" w:rsidRDefault="00E47AB8" w:rsidP="00422306">
            <w:pPr>
              <w:spacing w:before="40" w:after="80"/>
              <w:rPr>
                <w:rFonts w:ascii="Arial Narrow" w:eastAsia="Times New Roman" w:hAnsi="Arial Narrow"/>
                <w:sz w:val="20"/>
                <w:szCs w:val="20"/>
              </w:rPr>
            </w:pPr>
            <w:r w:rsidRPr="002735D3">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3D8EB5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40–70</w:t>
            </w:r>
          </w:p>
        </w:tc>
        <w:tc>
          <w:tcPr>
            <w:tcW w:w="546" w:type="pct"/>
            <w:tcBorders>
              <w:top w:val="nil"/>
              <w:bottom w:val="single" w:sz="4" w:space="0" w:color="auto"/>
            </w:tcBorders>
            <w:shd w:val="clear" w:color="auto" w:fill="auto"/>
            <w:noWrap/>
            <w:hideMark/>
          </w:tcPr>
          <w:p w14:paraId="26C43CA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$27,674</w:t>
            </w:r>
          </w:p>
        </w:tc>
        <w:tc>
          <w:tcPr>
            <w:tcW w:w="546" w:type="pct"/>
            <w:tcBorders>
              <w:top w:val="nil"/>
              <w:bottom w:val="single" w:sz="4" w:space="0" w:color="auto"/>
            </w:tcBorders>
            <w:shd w:val="clear" w:color="auto" w:fill="auto"/>
            <w:noWrap/>
            <w:hideMark/>
          </w:tcPr>
          <w:p w14:paraId="51572AA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$67,234</w:t>
            </w:r>
          </w:p>
        </w:tc>
        <w:tc>
          <w:tcPr>
            <w:tcW w:w="622" w:type="pct"/>
            <w:tcBorders>
              <w:top w:val="nil"/>
              <w:bottom w:val="single" w:sz="4" w:space="0" w:color="auto"/>
            </w:tcBorders>
            <w:shd w:val="clear" w:color="auto" w:fill="auto"/>
            <w:noWrap/>
            <w:hideMark/>
          </w:tcPr>
          <w:p w14:paraId="180C490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$102,822</w:t>
            </w:r>
          </w:p>
        </w:tc>
        <w:tc>
          <w:tcPr>
            <w:tcW w:w="544" w:type="pct"/>
            <w:tcBorders>
              <w:top w:val="nil"/>
              <w:bottom w:val="single" w:sz="4" w:space="0" w:color="auto"/>
            </w:tcBorders>
            <w:shd w:val="clear" w:color="auto" w:fill="auto"/>
            <w:noWrap/>
            <w:hideMark/>
          </w:tcPr>
          <w:p w14:paraId="2A5A246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$145,784</w:t>
            </w:r>
          </w:p>
        </w:tc>
        <w:tc>
          <w:tcPr>
            <w:tcW w:w="547" w:type="pct"/>
            <w:tcBorders>
              <w:top w:val="nil"/>
              <w:bottom w:val="single" w:sz="4" w:space="0" w:color="auto"/>
            </w:tcBorders>
            <w:shd w:val="clear" w:color="auto" w:fill="auto"/>
            <w:noWrap/>
            <w:hideMark/>
          </w:tcPr>
          <w:p w14:paraId="5F343AB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$367,345</w:t>
            </w:r>
          </w:p>
        </w:tc>
      </w:tr>
      <w:tr w:rsidR="00E47AB8" w:rsidRPr="008B2F8A" w14:paraId="57FCBB51" w14:textId="77777777" w:rsidTr="00E14AC4">
        <w:tc>
          <w:tcPr>
            <w:tcW w:w="1338" w:type="pct"/>
            <w:tcBorders>
              <w:bottom w:val="nil"/>
            </w:tcBorders>
            <w:shd w:val="clear" w:color="auto" w:fill="auto"/>
            <w:noWrap/>
            <w:hideMark/>
          </w:tcPr>
          <w:p w14:paraId="344F347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Cancer treatment costs Y1</w:t>
            </w:r>
          </w:p>
        </w:tc>
        <w:tc>
          <w:tcPr>
            <w:tcW w:w="857" w:type="pct"/>
            <w:tcBorders>
              <w:bottom w:val="nil"/>
            </w:tcBorders>
            <w:shd w:val="clear" w:color="auto" w:fill="auto"/>
            <w:noWrap/>
            <w:hideMark/>
          </w:tcPr>
          <w:p w14:paraId="5D9DB55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w:t>
            </w:r>
          </w:p>
        </w:tc>
        <w:tc>
          <w:tcPr>
            <w:tcW w:w="546" w:type="pct"/>
            <w:tcBorders>
              <w:bottom w:val="nil"/>
            </w:tcBorders>
            <w:shd w:val="clear" w:color="auto" w:fill="auto"/>
            <w:noWrap/>
            <w:hideMark/>
          </w:tcPr>
          <w:p w14:paraId="0642B63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$32,855</w:t>
            </w:r>
          </w:p>
        </w:tc>
        <w:tc>
          <w:tcPr>
            <w:tcW w:w="546" w:type="pct"/>
            <w:tcBorders>
              <w:bottom w:val="nil"/>
            </w:tcBorders>
            <w:shd w:val="clear" w:color="auto" w:fill="auto"/>
            <w:noWrap/>
            <w:hideMark/>
          </w:tcPr>
          <w:p w14:paraId="4854BC6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$89,511</w:t>
            </w:r>
          </w:p>
        </w:tc>
        <w:tc>
          <w:tcPr>
            <w:tcW w:w="622" w:type="pct"/>
            <w:tcBorders>
              <w:bottom w:val="nil"/>
            </w:tcBorders>
            <w:shd w:val="clear" w:color="auto" w:fill="auto"/>
            <w:noWrap/>
            <w:hideMark/>
          </w:tcPr>
          <w:p w14:paraId="75CDDC7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$57,306</w:t>
            </w:r>
          </w:p>
        </w:tc>
        <w:tc>
          <w:tcPr>
            <w:tcW w:w="544" w:type="pct"/>
            <w:tcBorders>
              <w:bottom w:val="nil"/>
            </w:tcBorders>
            <w:shd w:val="clear" w:color="auto" w:fill="auto"/>
            <w:noWrap/>
            <w:hideMark/>
          </w:tcPr>
          <w:p w14:paraId="758FC1E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$81,314</w:t>
            </w:r>
          </w:p>
        </w:tc>
        <w:tc>
          <w:tcPr>
            <w:tcW w:w="547" w:type="pct"/>
            <w:tcBorders>
              <w:bottom w:val="nil"/>
            </w:tcBorders>
            <w:shd w:val="clear" w:color="auto" w:fill="auto"/>
            <w:noWrap/>
            <w:hideMark/>
          </w:tcPr>
          <w:p w14:paraId="270DD04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$175,548</w:t>
            </w:r>
          </w:p>
        </w:tc>
      </w:tr>
      <w:tr w:rsidR="00E47AB8" w:rsidRPr="008B2F8A" w14:paraId="638AC6AC" w14:textId="77777777" w:rsidTr="00E14AC4">
        <w:tc>
          <w:tcPr>
            <w:tcW w:w="1338" w:type="pct"/>
            <w:tcBorders>
              <w:top w:val="nil"/>
              <w:bottom w:val="nil"/>
            </w:tcBorders>
            <w:shd w:val="clear" w:color="auto" w:fill="auto"/>
            <w:noWrap/>
          </w:tcPr>
          <w:p w14:paraId="15AAE5C0" w14:textId="77777777" w:rsidR="00E47AB8" w:rsidRPr="008B2F8A" w:rsidRDefault="00E47AB8" w:rsidP="00422306">
            <w:pPr>
              <w:spacing w:before="40" w:after="80"/>
              <w:rPr>
                <w:rFonts w:ascii="Arial Narrow" w:eastAsia="Times New Roman" w:hAnsi="Arial Narrow"/>
                <w:sz w:val="20"/>
                <w:szCs w:val="20"/>
              </w:rPr>
            </w:pPr>
            <w:r w:rsidRPr="00652329">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583CA9A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w:t>
            </w:r>
          </w:p>
        </w:tc>
        <w:tc>
          <w:tcPr>
            <w:tcW w:w="546" w:type="pct"/>
            <w:tcBorders>
              <w:top w:val="nil"/>
              <w:bottom w:val="nil"/>
            </w:tcBorders>
            <w:shd w:val="clear" w:color="auto" w:fill="auto"/>
            <w:noWrap/>
            <w:hideMark/>
          </w:tcPr>
          <w:p w14:paraId="2A4445C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$34,157</w:t>
            </w:r>
          </w:p>
        </w:tc>
        <w:tc>
          <w:tcPr>
            <w:tcW w:w="546" w:type="pct"/>
            <w:tcBorders>
              <w:top w:val="nil"/>
              <w:bottom w:val="nil"/>
            </w:tcBorders>
            <w:shd w:val="clear" w:color="auto" w:fill="auto"/>
            <w:noWrap/>
            <w:hideMark/>
          </w:tcPr>
          <w:p w14:paraId="1835B74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$90,499</w:t>
            </w:r>
          </w:p>
        </w:tc>
        <w:tc>
          <w:tcPr>
            <w:tcW w:w="622" w:type="pct"/>
            <w:tcBorders>
              <w:top w:val="nil"/>
              <w:bottom w:val="nil"/>
            </w:tcBorders>
            <w:shd w:val="clear" w:color="auto" w:fill="auto"/>
            <w:noWrap/>
            <w:hideMark/>
          </w:tcPr>
          <w:p w14:paraId="5FC55D1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$57,773</w:t>
            </w:r>
          </w:p>
        </w:tc>
        <w:tc>
          <w:tcPr>
            <w:tcW w:w="544" w:type="pct"/>
            <w:tcBorders>
              <w:top w:val="nil"/>
              <w:bottom w:val="nil"/>
            </w:tcBorders>
            <w:shd w:val="clear" w:color="auto" w:fill="auto"/>
            <w:noWrap/>
            <w:hideMark/>
          </w:tcPr>
          <w:p w14:paraId="3191E31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$82,054</w:t>
            </w:r>
          </w:p>
        </w:tc>
        <w:tc>
          <w:tcPr>
            <w:tcW w:w="547" w:type="pct"/>
            <w:tcBorders>
              <w:top w:val="nil"/>
              <w:bottom w:val="nil"/>
            </w:tcBorders>
            <w:shd w:val="clear" w:color="auto" w:fill="auto"/>
            <w:noWrap/>
            <w:hideMark/>
          </w:tcPr>
          <w:p w14:paraId="44C20D7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$176,042</w:t>
            </w:r>
          </w:p>
        </w:tc>
      </w:tr>
      <w:tr w:rsidR="00E47AB8" w:rsidRPr="008B2F8A" w14:paraId="0722DF60" w14:textId="77777777" w:rsidTr="00E14AC4">
        <w:tc>
          <w:tcPr>
            <w:tcW w:w="1338" w:type="pct"/>
            <w:tcBorders>
              <w:top w:val="nil"/>
              <w:bottom w:val="nil"/>
            </w:tcBorders>
            <w:shd w:val="clear" w:color="auto" w:fill="auto"/>
            <w:noWrap/>
          </w:tcPr>
          <w:p w14:paraId="5DF4A2C7" w14:textId="77777777" w:rsidR="00E47AB8" w:rsidRPr="008B2F8A" w:rsidRDefault="00E47AB8" w:rsidP="00422306">
            <w:pPr>
              <w:spacing w:before="40" w:after="80"/>
              <w:rPr>
                <w:rFonts w:ascii="Arial Narrow" w:eastAsia="Times New Roman" w:hAnsi="Arial Narrow"/>
                <w:sz w:val="20"/>
                <w:szCs w:val="20"/>
              </w:rPr>
            </w:pPr>
            <w:r w:rsidRPr="00652329">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0D15948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w:t>
            </w:r>
          </w:p>
        </w:tc>
        <w:tc>
          <w:tcPr>
            <w:tcW w:w="546" w:type="pct"/>
            <w:tcBorders>
              <w:top w:val="nil"/>
              <w:bottom w:val="nil"/>
            </w:tcBorders>
            <w:shd w:val="clear" w:color="auto" w:fill="auto"/>
            <w:noWrap/>
            <w:hideMark/>
          </w:tcPr>
          <w:p w14:paraId="0FEF7F3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$35,460</w:t>
            </w:r>
          </w:p>
        </w:tc>
        <w:tc>
          <w:tcPr>
            <w:tcW w:w="546" w:type="pct"/>
            <w:tcBorders>
              <w:top w:val="nil"/>
              <w:bottom w:val="nil"/>
            </w:tcBorders>
            <w:shd w:val="clear" w:color="auto" w:fill="auto"/>
            <w:noWrap/>
            <w:hideMark/>
          </w:tcPr>
          <w:p w14:paraId="71EF629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bottom w:val="nil"/>
            </w:tcBorders>
            <w:shd w:val="clear" w:color="auto" w:fill="auto"/>
            <w:noWrap/>
            <w:hideMark/>
          </w:tcPr>
          <w:p w14:paraId="07A591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$58,240</w:t>
            </w:r>
          </w:p>
        </w:tc>
        <w:tc>
          <w:tcPr>
            <w:tcW w:w="544" w:type="pct"/>
            <w:tcBorders>
              <w:top w:val="nil"/>
              <w:bottom w:val="nil"/>
            </w:tcBorders>
            <w:shd w:val="clear" w:color="auto" w:fill="auto"/>
            <w:noWrap/>
            <w:hideMark/>
          </w:tcPr>
          <w:p w14:paraId="75C0054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$82,793</w:t>
            </w:r>
          </w:p>
        </w:tc>
        <w:tc>
          <w:tcPr>
            <w:tcW w:w="547" w:type="pct"/>
            <w:tcBorders>
              <w:top w:val="nil"/>
              <w:bottom w:val="nil"/>
            </w:tcBorders>
            <w:shd w:val="clear" w:color="auto" w:fill="auto"/>
            <w:noWrap/>
            <w:hideMark/>
          </w:tcPr>
          <w:p w14:paraId="6298488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$176,536</w:t>
            </w:r>
          </w:p>
        </w:tc>
      </w:tr>
      <w:tr w:rsidR="00E47AB8" w:rsidRPr="008B2F8A" w14:paraId="6A447ADD" w14:textId="77777777" w:rsidTr="00E14AC4">
        <w:tc>
          <w:tcPr>
            <w:tcW w:w="1338" w:type="pct"/>
            <w:tcBorders>
              <w:top w:val="nil"/>
              <w:bottom w:val="nil"/>
            </w:tcBorders>
            <w:shd w:val="clear" w:color="auto" w:fill="auto"/>
            <w:noWrap/>
          </w:tcPr>
          <w:p w14:paraId="5FE01D2C" w14:textId="77777777" w:rsidR="00E47AB8" w:rsidRPr="008B2F8A" w:rsidRDefault="00E47AB8" w:rsidP="00422306">
            <w:pPr>
              <w:spacing w:before="40" w:after="80"/>
              <w:rPr>
                <w:rFonts w:ascii="Arial Narrow" w:eastAsia="Times New Roman" w:hAnsi="Arial Narrow"/>
                <w:sz w:val="20"/>
                <w:szCs w:val="20"/>
              </w:rPr>
            </w:pPr>
            <w:r w:rsidRPr="00652329">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33CBFCC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6" w:type="pct"/>
            <w:tcBorders>
              <w:top w:val="nil"/>
              <w:bottom w:val="nil"/>
            </w:tcBorders>
            <w:shd w:val="clear" w:color="auto" w:fill="auto"/>
            <w:noWrap/>
            <w:hideMark/>
          </w:tcPr>
          <w:p w14:paraId="33ACFE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$36,763</w:t>
            </w:r>
          </w:p>
        </w:tc>
        <w:tc>
          <w:tcPr>
            <w:tcW w:w="546" w:type="pct"/>
            <w:tcBorders>
              <w:top w:val="nil"/>
              <w:bottom w:val="nil"/>
            </w:tcBorders>
            <w:shd w:val="clear" w:color="auto" w:fill="auto"/>
            <w:noWrap/>
            <w:hideMark/>
          </w:tcPr>
          <w:p w14:paraId="0EBE04B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$92,477</w:t>
            </w:r>
          </w:p>
        </w:tc>
        <w:tc>
          <w:tcPr>
            <w:tcW w:w="622" w:type="pct"/>
            <w:tcBorders>
              <w:top w:val="nil"/>
              <w:bottom w:val="nil"/>
            </w:tcBorders>
            <w:shd w:val="clear" w:color="auto" w:fill="auto"/>
            <w:noWrap/>
            <w:hideMark/>
          </w:tcPr>
          <w:p w14:paraId="2AC71EF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$58,707</w:t>
            </w:r>
          </w:p>
        </w:tc>
        <w:tc>
          <w:tcPr>
            <w:tcW w:w="544" w:type="pct"/>
            <w:tcBorders>
              <w:top w:val="nil"/>
              <w:bottom w:val="nil"/>
            </w:tcBorders>
            <w:shd w:val="clear" w:color="auto" w:fill="auto"/>
            <w:noWrap/>
            <w:hideMark/>
          </w:tcPr>
          <w:p w14:paraId="33FCD98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$83,533</w:t>
            </w:r>
          </w:p>
        </w:tc>
        <w:tc>
          <w:tcPr>
            <w:tcW w:w="547" w:type="pct"/>
            <w:tcBorders>
              <w:top w:val="nil"/>
              <w:bottom w:val="nil"/>
            </w:tcBorders>
            <w:shd w:val="clear" w:color="auto" w:fill="auto"/>
            <w:noWrap/>
            <w:hideMark/>
          </w:tcPr>
          <w:p w14:paraId="0632E9E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$177,030</w:t>
            </w:r>
          </w:p>
        </w:tc>
      </w:tr>
      <w:tr w:rsidR="00E47AB8" w:rsidRPr="008B2F8A" w14:paraId="1CEAD04A" w14:textId="77777777" w:rsidTr="00E14AC4">
        <w:tc>
          <w:tcPr>
            <w:tcW w:w="1338" w:type="pct"/>
            <w:tcBorders>
              <w:top w:val="nil"/>
              <w:bottom w:val="single" w:sz="4" w:space="0" w:color="auto"/>
            </w:tcBorders>
            <w:shd w:val="clear" w:color="auto" w:fill="auto"/>
            <w:noWrap/>
          </w:tcPr>
          <w:p w14:paraId="602A6DB7" w14:textId="77777777" w:rsidR="00E47AB8" w:rsidRPr="008B2F8A" w:rsidRDefault="00E47AB8" w:rsidP="00422306">
            <w:pPr>
              <w:spacing w:before="40" w:after="80"/>
              <w:rPr>
                <w:rFonts w:ascii="Arial Narrow" w:eastAsia="Times New Roman" w:hAnsi="Arial Narrow"/>
                <w:sz w:val="20"/>
                <w:szCs w:val="20"/>
              </w:rPr>
            </w:pPr>
            <w:r w:rsidRPr="00652329">
              <w:rPr>
                <w:rFonts w:ascii="Arial Narrow" w:hAnsi="Arial Narrow"/>
                <w:color w:val="FFFFFF" w:themeColor="background1"/>
                <w:sz w:val="20"/>
                <w:szCs w:val="20"/>
              </w:rPr>
              <w:lastRenderedPageBreak/>
              <w:t>-</w:t>
            </w:r>
          </w:p>
        </w:tc>
        <w:tc>
          <w:tcPr>
            <w:tcW w:w="857" w:type="pct"/>
            <w:tcBorders>
              <w:top w:val="nil"/>
              <w:bottom w:val="single" w:sz="4" w:space="0" w:color="auto"/>
            </w:tcBorders>
            <w:shd w:val="clear" w:color="auto" w:fill="auto"/>
            <w:noWrap/>
            <w:hideMark/>
          </w:tcPr>
          <w:p w14:paraId="56BFE1D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w:t>
            </w:r>
          </w:p>
        </w:tc>
        <w:tc>
          <w:tcPr>
            <w:tcW w:w="546" w:type="pct"/>
            <w:tcBorders>
              <w:top w:val="nil"/>
              <w:bottom w:val="single" w:sz="4" w:space="0" w:color="auto"/>
            </w:tcBorders>
            <w:shd w:val="clear" w:color="auto" w:fill="auto"/>
            <w:noWrap/>
            <w:hideMark/>
          </w:tcPr>
          <w:p w14:paraId="1A48DA1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$38,065</w:t>
            </w:r>
          </w:p>
        </w:tc>
        <w:tc>
          <w:tcPr>
            <w:tcW w:w="546" w:type="pct"/>
            <w:tcBorders>
              <w:top w:val="nil"/>
              <w:bottom w:val="single" w:sz="4" w:space="0" w:color="auto"/>
            </w:tcBorders>
            <w:shd w:val="clear" w:color="auto" w:fill="auto"/>
            <w:noWrap/>
            <w:hideMark/>
          </w:tcPr>
          <w:p w14:paraId="77E27E8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$93,465</w:t>
            </w:r>
          </w:p>
        </w:tc>
        <w:tc>
          <w:tcPr>
            <w:tcW w:w="622" w:type="pct"/>
            <w:tcBorders>
              <w:top w:val="nil"/>
              <w:bottom w:val="single" w:sz="4" w:space="0" w:color="auto"/>
            </w:tcBorders>
            <w:shd w:val="clear" w:color="auto" w:fill="auto"/>
            <w:noWrap/>
            <w:hideMark/>
          </w:tcPr>
          <w:p w14:paraId="471D4F1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$59,174</w:t>
            </w:r>
          </w:p>
        </w:tc>
        <w:tc>
          <w:tcPr>
            <w:tcW w:w="544" w:type="pct"/>
            <w:tcBorders>
              <w:top w:val="nil"/>
              <w:bottom w:val="single" w:sz="4" w:space="0" w:color="auto"/>
            </w:tcBorders>
            <w:shd w:val="clear" w:color="auto" w:fill="auto"/>
            <w:noWrap/>
            <w:hideMark/>
          </w:tcPr>
          <w:p w14:paraId="4A70395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$84,273</w:t>
            </w:r>
          </w:p>
        </w:tc>
        <w:tc>
          <w:tcPr>
            <w:tcW w:w="547" w:type="pct"/>
            <w:tcBorders>
              <w:top w:val="nil"/>
              <w:bottom w:val="single" w:sz="4" w:space="0" w:color="auto"/>
            </w:tcBorders>
            <w:shd w:val="clear" w:color="auto" w:fill="auto"/>
            <w:noWrap/>
            <w:hideMark/>
          </w:tcPr>
          <w:p w14:paraId="4E548E7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$177,524</w:t>
            </w:r>
          </w:p>
        </w:tc>
      </w:tr>
      <w:tr w:rsidR="00E47AB8" w:rsidRPr="008B2F8A" w14:paraId="01D1E5E9" w14:textId="77777777" w:rsidTr="00E14AC4">
        <w:tc>
          <w:tcPr>
            <w:tcW w:w="1338" w:type="pct"/>
            <w:tcBorders>
              <w:bottom w:val="nil"/>
            </w:tcBorders>
            <w:shd w:val="clear" w:color="auto" w:fill="auto"/>
            <w:noWrap/>
            <w:hideMark/>
          </w:tcPr>
          <w:p w14:paraId="774564E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Cancer treatment costs subsequent years</w:t>
            </w:r>
          </w:p>
        </w:tc>
        <w:tc>
          <w:tcPr>
            <w:tcW w:w="857" w:type="pct"/>
            <w:tcBorders>
              <w:bottom w:val="nil"/>
            </w:tcBorders>
            <w:shd w:val="clear" w:color="auto" w:fill="auto"/>
            <w:noWrap/>
            <w:hideMark/>
          </w:tcPr>
          <w:p w14:paraId="3C3D9AD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w:t>
            </w:r>
          </w:p>
        </w:tc>
        <w:tc>
          <w:tcPr>
            <w:tcW w:w="546" w:type="pct"/>
            <w:tcBorders>
              <w:bottom w:val="nil"/>
            </w:tcBorders>
            <w:shd w:val="clear" w:color="auto" w:fill="auto"/>
            <w:noWrap/>
            <w:hideMark/>
          </w:tcPr>
          <w:p w14:paraId="226ABDC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$35,151</w:t>
            </w:r>
          </w:p>
        </w:tc>
        <w:tc>
          <w:tcPr>
            <w:tcW w:w="546" w:type="pct"/>
            <w:tcBorders>
              <w:bottom w:val="nil"/>
            </w:tcBorders>
            <w:shd w:val="clear" w:color="auto" w:fill="auto"/>
            <w:noWrap/>
            <w:hideMark/>
          </w:tcPr>
          <w:p w14:paraId="73FEEBD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$91,127</w:t>
            </w:r>
          </w:p>
        </w:tc>
        <w:tc>
          <w:tcPr>
            <w:tcW w:w="622" w:type="pct"/>
            <w:tcBorders>
              <w:bottom w:val="nil"/>
            </w:tcBorders>
            <w:shd w:val="clear" w:color="auto" w:fill="auto"/>
            <w:noWrap/>
            <w:hideMark/>
          </w:tcPr>
          <w:p w14:paraId="15AB20B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$57,899</w:t>
            </w:r>
          </w:p>
        </w:tc>
        <w:tc>
          <w:tcPr>
            <w:tcW w:w="544" w:type="pct"/>
            <w:tcBorders>
              <w:bottom w:val="nil"/>
            </w:tcBorders>
            <w:shd w:val="clear" w:color="auto" w:fill="auto"/>
            <w:noWrap/>
            <w:hideMark/>
          </w:tcPr>
          <w:p w14:paraId="6113564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$82,389</w:t>
            </w:r>
          </w:p>
        </w:tc>
        <w:tc>
          <w:tcPr>
            <w:tcW w:w="547" w:type="pct"/>
            <w:tcBorders>
              <w:bottom w:val="nil"/>
            </w:tcBorders>
            <w:shd w:val="clear" w:color="auto" w:fill="auto"/>
            <w:noWrap/>
            <w:hideMark/>
          </w:tcPr>
          <w:p w14:paraId="3DE1284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$176,248</w:t>
            </w:r>
          </w:p>
        </w:tc>
      </w:tr>
      <w:tr w:rsidR="00E47AB8" w:rsidRPr="008B2F8A" w14:paraId="1B97E455" w14:textId="77777777" w:rsidTr="00E14AC4">
        <w:tc>
          <w:tcPr>
            <w:tcW w:w="1338" w:type="pct"/>
            <w:tcBorders>
              <w:top w:val="nil"/>
              <w:bottom w:val="nil"/>
            </w:tcBorders>
            <w:shd w:val="clear" w:color="auto" w:fill="auto"/>
            <w:noWrap/>
          </w:tcPr>
          <w:p w14:paraId="6C6DDA22" w14:textId="77777777" w:rsidR="00E47AB8" w:rsidRPr="008B2F8A" w:rsidRDefault="00E47AB8" w:rsidP="00422306">
            <w:pPr>
              <w:spacing w:before="40" w:after="80"/>
              <w:rPr>
                <w:rFonts w:ascii="Arial Narrow" w:eastAsia="Times New Roman" w:hAnsi="Arial Narrow"/>
                <w:sz w:val="20"/>
                <w:szCs w:val="20"/>
              </w:rPr>
            </w:pPr>
            <w:r w:rsidRPr="00D25032">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4D5636E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w:t>
            </w:r>
          </w:p>
        </w:tc>
        <w:tc>
          <w:tcPr>
            <w:tcW w:w="546" w:type="pct"/>
            <w:tcBorders>
              <w:top w:val="nil"/>
              <w:bottom w:val="nil"/>
            </w:tcBorders>
            <w:shd w:val="clear" w:color="auto" w:fill="auto"/>
            <w:noWrap/>
            <w:hideMark/>
          </w:tcPr>
          <w:p w14:paraId="7F85F42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$35,305</w:t>
            </w:r>
          </w:p>
        </w:tc>
        <w:tc>
          <w:tcPr>
            <w:tcW w:w="546" w:type="pct"/>
            <w:tcBorders>
              <w:top w:val="nil"/>
              <w:bottom w:val="nil"/>
            </w:tcBorders>
            <w:shd w:val="clear" w:color="auto" w:fill="auto"/>
            <w:noWrap/>
            <w:hideMark/>
          </w:tcPr>
          <w:p w14:paraId="50F4054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$91,308</w:t>
            </w:r>
          </w:p>
        </w:tc>
        <w:tc>
          <w:tcPr>
            <w:tcW w:w="622" w:type="pct"/>
            <w:tcBorders>
              <w:top w:val="nil"/>
              <w:bottom w:val="nil"/>
            </w:tcBorders>
            <w:shd w:val="clear" w:color="auto" w:fill="auto"/>
            <w:noWrap/>
            <w:hideMark/>
          </w:tcPr>
          <w:p w14:paraId="3C7C87D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$58,070</w:t>
            </w:r>
          </w:p>
        </w:tc>
        <w:tc>
          <w:tcPr>
            <w:tcW w:w="544" w:type="pct"/>
            <w:tcBorders>
              <w:top w:val="nil"/>
              <w:bottom w:val="nil"/>
            </w:tcBorders>
            <w:shd w:val="clear" w:color="auto" w:fill="auto"/>
            <w:noWrap/>
            <w:hideMark/>
          </w:tcPr>
          <w:p w14:paraId="1073D1F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$82,591</w:t>
            </w:r>
          </w:p>
        </w:tc>
        <w:tc>
          <w:tcPr>
            <w:tcW w:w="547" w:type="pct"/>
            <w:tcBorders>
              <w:top w:val="nil"/>
              <w:bottom w:val="nil"/>
            </w:tcBorders>
            <w:shd w:val="clear" w:color="auto" w:fill="auto"/>
            <w:noWrap/>
            <w:hideMark/>
          </w:tcPr>
          <w:p w14:paraId="4649E3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$176,392</w:t>
            </w:r>
          </w:p>
        </w:tc>
      </w:tr>
      <w:tr w:rsidR="00E47AB8" w:rsidRPr="008B2F8A" w14:paraId="39A5D8F2" w14:textId="77777777" w:rsidTr="00E14AC4">
        <w:tc>
          <w:tcPr>
            <w:tcW w:w="1338" w:type="pct"/>
            <w:tcBorders>
              <w:top w:val="nil"/>
              <w:bottom w:val="nil"/>
            </w:tcBorders>
            <w:shd w:val="clear" w:color="auto" w:fill="auto"/>
            <w:noWrap/>
          </w:tcPr>
          <w:p w14:paraId="2D1F415C" w14:textId="77777777" w:rsidR="00E47AB8" w:rsidRPr="008B2F8A" w:rsidRDefault="00E47AB8" w:rsidP="00422306">
            <w:pPr>
              <w:spacing w:before="40" w:after="80"/>
              <w:rPr>
                <w:rFonts w:ascii="Arial Narrow" w:eastAsia="Times New Roman" w:hAnsi="Arial Narrow"/>
                <w:sz w:val="20"/>
                <w:szCs w:val="20"/>
              </w:rPr>
            </w:pPr>
            <w:r w:rsidRPr="00D25032">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231B2DE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w:t>
            </w:r>
          </w:p>
        </w:tc>
        <w:tc>
          <w:tcPr>
            <w:tcW w:w="546" w:type="pct"/>
            <w:tcBorders>
              <w:top w:val="nil"/>
              <w:bottom w:val="nil"/>
            </w:tcBorders>
            <w:shd w:val="clear" w:color="auto" w:fill="auto"/>
            <w:noWrap/>
            <w:hideMark/>
          </w:tcPr>
          <w:p w14:paraId="64BCDBB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$35,460</w:t>
            </w:r>
          </w:p>
        </w:tc>
        <w:tc>
          <w:tcPr>
            <w:tcW w:w="546" w:type="pct"/>
            <w:tcBorders>
              <w:top w:val="nil"/>
              <w:bottom w:val="nil"/>
            </w:tcBorders>
            <w:shd w:val="clear" w:color="auto" w:fill="auto"/>
            <w:noWrap/>
            <w:hideMark/>
          </w:tcPr>
          <w:p w14:paraId="3C45214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bottom w:val="nil"/>
            </w:tcBorders>
            <w:shd w:val="clear" w:color="auto" w:fill="auto"/>
            <w:noWrap/>
            <w:hideMark/>
          </w:tcPr>
          <w:p w14:paraId="431A133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$58,240</w:t>
            </w:r>
          </w:p>
        </w:tc>
        <w:tc>
          <w:tcPr>
            <w:tcW w:w="544" w:type="pct"/>
            <w:tcBorders>
              <w:top w:val="nil"/>
              <w:bottom w:val="nil"/>
            </w:tcBorders>
            <w:shd w:val="clear" w:color="auto" w:fill="auto"/>
            <w:noWrap/>
            <w:hideMark/>
          </w:tcPr>
          <w:p w14:paraId="5A609CF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$82,793</w:t>
            </w:r>
          </w:p>
        </w:tc>
        <w:tc>
          <w:tcPr>
            <w:tcW w:w="547" w:type="pct"/>
            <w:tcBorders>
              <w:top w:val="nil"/>
              <w:bottom w:val="nil"/>
            </w:tcBorders>
            <w:shd w:val="clear" w:color="auto" w:fill="auto"/>
            <w:noWrap/>
            <w:hideMark/>
          </w:tcPr>
          <w:p w14:paraId="47739EF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$176,536</w:t>
            </w:r>
          </w:p>
        </w:tc>
      </w:tr>
      <w:tr w:rsidR="00E47AB8" w:rsidRPr="008B2F8A" w14:paraId="37FF18EF" w14:textId="77777777" w:rsidTr="00E14AC4">
        <w:tc>
          <w:tcPr>
            <w:tcW w:w="1338" w:type="pct"/>
            <w:tcBorders>
              <w:top w:val="nil"/>
              <w:bottom w:val="nil"/>
            </w:tcBorders>
            <w:shd w:val="clear" w:color="auto" w:fill="auto"/>
            <w:noWrap/>
          </w:tcPr>
          <w:p w14:paraId="2A80A1BE" w14:textId="77777777" w:rsidR="00E47AB8" w:rsidRPr="008B2F8A" w:rsidRDefault="00E47AB8" w:rsidP="00422306">
            <w:pPr>
              <w:spacing w:before="40" w:after="80"/>
              <w:rPr>
                <w:rFonts w:ascii="Arial Narrow" w:eastAsia="Times New Roman" w:hAnsi="Arial Narrow"/>
                <w:sz w:val="20"/>
                <w:szCs w:val="20"/>
              </w:rPr>
            </w:pPr>
            <w:r w:rsidRPr="00D25032">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23C9CA1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6" w:type="pct"/>
            <w:tcBorders>
              <w:top w:val="nil"/>
              <w:bottom w:val="nil"/>
            </w:tcBorders>
            <w:shd w:val="clear" w:color="auto" w:fill="auto"/>
            <w:noWrap/>
            <w:hideMark/>
          </w:tcPr>
          <w:p w14:paraId="0F5ACCE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$35,615</w:t>
            </w:r>
          </w:p>
        </w:tc>
        <w:tc>
          <w:tcPr>
            <w:tcW w:w="546" w:type="pct"/>
            <w:tcBorders>
              <w:top w:val="nil"/>
              <w:bottom w:val="nil"/>
            </w:tcBorders>
            <w:shd w:val="clear" w:color="auto" w:fill="auto"/>
            <w:noWrap/>
            <w:hideMark/>
          </w:tcPr>
          <w:p w14:paraId="297410D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$91,669</w:t>
            </w:r>
          </w:p>
        </w:tc>
        <w:tc>
          <w:tcPr>
            <w:tcW w:w="622" w:type="pct"/>
            <w:tcBorders>
              <w:top w:val="nil"/>
              <w:bottom w:val="nil"/>
            </w:tcBorders>
            <w:shd w:val="clear" w:color="auto" w:fill="auto"/>
            <w:noWrap/>
            <w:hideMark/>
          </w:tcPr>
          <w:p w14:paraId="64B5D34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$58,410</w:t>
            </w:r>
          </w:p>
        </w:tc>
        <w:tc>
          <w:tcPr>
            <w:tcW w:w="544" w:type="pct"/>
            <w:tcBorders>
              <w:top w:val="nil"/>
              <w:bottom w:val="nil"/>
            </w:tcBorders>
            <w:shd w:val="clear" w:color="auto" w:fill="auto"/>
            <w:noWrap/>
            <w:hideMark/>
          </w:tcPr>
          <w:p w14:paraId="2E7825B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$82,996</w:t>
            </w:r>
          </w:p>
        </w:tc>
        <w:tc>
          <w:tcPr>
            <w:tcW w:w="547" w:type="pct"/>
            <w:tcBorders>
              <w:top w:val="nil"/>
              <w:bottom w:val="nil"/>
            </w:tcBorders>
            <w:shd w:val="clear" w:color="auto" w:fill="auto"/>
            <w:noWrap/>
            <w:hideMark/>
          </w:tcPr>
          <w:p w14:paraId="524B90C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$176,680</w:t>
            </w:r>
          </w:p>
        </w:tc>
      </w:tr>
      <w:tr w:rsidR="00E47AB8" w:rsidRPr="008B2F8A" w14:paraId="72A4FB5A" w14:textId="77777777" w:rsidTr="00E14AC4">
        <w:tc>
          <w:tcPr>
            <w:tcW w:w="1338" w:type="pct"/>
            <w:tcBorders>
              <w:top w:val="nil"/>
              <w:bottom w:val="single" w:sz="4" w:space="0" w:color="auto"/>
            </w:tcBorders>
            <w:shd w:val="clear" w:color="auto" w:fill="auto"/>
            <w:noWrap/>
          </w:tcPr>
          <w:p w14:paraId="506C6A75" w14:textId="77777777" w:rsidR="00E47AB8" w:rsidRPr="008B2F8A" w:rsidRDefault="00E47AB8" w:rsidP="00422306">
            <w:pPr>
              <w:spacing w:before="40" w:after="80"/>
              <w:rPr>
                <w:rFonts w:ascii="Arial Narrow" w:eastAsia="Times New Roman" w:hAnsi="Arial Narrow"/>
                <w:sz w:val="20"/>
                <w:szCs w:val="20"/>
              </w:rPr>
            </w:pPr>
            <w:r w:rsidRPr="00D25032">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6A3CD7F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w:t>
            </w:r>
          </w:p>
        </w:tc>
        <w:tc>
          <w:tcPr>
            <w:tcW w:w="546" w:type="pct"/>
            <w:tcBorders>
              <w:top w:val="nil"/>
              <w:bottom w:val="single" w:sz="4" w:space="0" w:color="auto"/>
            </w:tcBorders>
            <w:shd w:val="clear" w:color="auto" w:fill="auto"/>
            <w:noWrap/>
            <w:hideMark/>
          </w:tcPr>
          <w:p w14:paraId="3B368AF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$35,769</w:t>
            </w:r>
          </w:p>
        </w:tc>
        <w:tc>
          <w:tcPr>
            <w:tcW w:w="546" w:type="pct"/>
            <w:tcBorders>
              <w:top w:val="nil"/>
              <w:bottom w:val="single" w:sz="4" w:space="0" w:color="auto"/>
            </w:tcBorders>
            <w:shd w:val="clear" w:color="auto" w:fill="auto"/>
            <w:noWrap/>
            <w:hideMark/>
          </w:tcPr>
          <w:p w14:paraId="367E8E0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$91,849</w:t>
            </w:r>
          </w:p>
        </w:tc>
        <w:tc>
          <w:tcPr>
            <w:tcW w:w="622" w:type="pct"/>
            <w:tcBorders>
              <w:top w:val="nil"/>
              <w:bottom w:val="single" w:sz="4" w:space="0" w:color="auto"/>
            </w:tcBorders>
            <w:shd w:val="clear" w:color="auto" w:fill="auto"/>
            <w:noWrap/>
            <w:hideMark/>
          </w:tcPr>
          <w:p w14:paraId="301ABFD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$58,581</w:t>
            </w:r>
          </w:p>
        </w:tc>
        <w:tc>
          <w:tcPr>
            <w:tcW w:w="544" w:type="pct"/>
            <w:tcBorders>
              <w:top w:val="nil"/>
              <w:bottom w:val="single" w:sz="4" w:space="0" w:color="auto"/>
            </w:tcBorders>
            <w:shd w:val="clear" w:color="auto" w:fill="auto"/>
            <w:noWrap/>
            <w:hideMark/>
          </w:tcPr>
          <w:p w14:paraId="0D3F52A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$83,198</w:t>
            </w:r>
          </w:p>
        </w:tc>
        <w:tc>
          <w:tcPr>
            <w:tcW w:w="547" w:type="pct"/>
            <w:tcBorders>
              <w:top w:val="nil"/>
              <w:bottom w:val="single" w:sz="4" w:space="0" w:color="auto"/>
            </w:tcBorders>
            <w:shd w:val="clear" w:color="auto" w:fill="auto"/>
            <w:noWrap/>
            <w:hideMark/>
          </w:tcPr>
          <w:p w14:paraId="5152DAE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$176,825</w:t>
            </w:r>
          </w:p>
        </w:tc>
      </w:tr>
      <w:tr w:rsidR="00E47AB8" w:rsidRPr="008B2F8A" w14:paraId="24CB3029" w14:textId="77777777" w:rsidTr="00E14AC4">
        <w:tc>
          <w:tcPr>
            <w:tcW w:w="1338" w:type="pct"/>
            <w:tcBorders>
              <w:bottom w:val="nil"/>
            </w:tcBorders>
            <w:shd w:val="clear" w:color="auto" w:fill="auto"/>
            <w:noWrap/>
            <w:hideMark/>
          </w:tcPr>
          <w:p w14:paraId="3E4B9C5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False-positive costs</w:t>
            </w:r>
          </w:p>
        </w:tc>
        <w:tc>
          <w:tcPr>
            <w:tcW w:w="857" w:type="pct"/>
            <w:tcBorders>
              <w:bottom w:val="nil"/>
            </w:tcBorders>
            <w:shd w:val="clear" w:color="auto" w:fill="auto"/>
            <w:noWrap/>
            <w:hideMark/>
          </w:tcPr>
          <w:p w14:paraId="75B883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w:t>
            </w:r>
          </w:p>
        </w:tc>
        <w:tc>
          <w:tcPr>
            <w:tcW w:w="546" w:type="pct"/>
            <w:tcBorders>
              <w:bottom w:val="nil"/>
            </w:tcBorders>
            <w:shd w:val="clear" w:color="auto" w:fill="auto"/>
            <w:noWrap/>
            <w:hideMark/>
          </w:tcPr>
          <w:p w14:paraId="428E291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$34,734</w:t>
            </w:r>
          </w:p>
        </w:tc>
        <w:tc>
          <w:tcPr>
            <w:tcW w:w="546" w:type="pct"/>
            <w:tcBorders>
              <w:bottom w:val="nil"/>
            </w:tcBorders>
            <w:shd w:val="clear" w:color="auto" w:fill="auto"/>
            <w:noWrap/>
            <w:hideMark/>
          </w:tcPr>
          <w:p w14:paraId="62CA86F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$87,920</w:t>
            </w:r>
          </w:p>
        </w:tc>
        <w:tc>
          <w:tcPr>
            <w:tcW w:w="622" w:type="pct"/>
            <w:tcBorders>
              <w:bottom w:val="nil"/>
            </w:tcBorders>
            <w:shd w:val="clear" w:color="auto" w:fill="auto"/>
            <w:noWrap/>
            <w:hideMark/>
          </w:tcPr>
          <w:p w14:paraId="0EA842A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$54,317</w:t>
            </w:r>
          </w:p>
        </w:tc>
        <w:tc>
          <w:tcPr>
            <w:tcW w:w="544" w:type="pct"/>
            <w:tcBorders>
              <w:bottom w:val="nil"/>
            </w:tcBorders>
            <w:shd w:val="clear" w:color="auto" w:fill="auto"/>
            <w:noWrap/>
            <w:hideMark/>
          </w:tcPr>
          <w:p w14:paraId="68124F8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$77,860</w:t>
            </w:r>
          </w:p>
        </w:tc>
        <w:tc>
          <w:tcPr>
            <w:tcW w:w="547" w:type="pct"/>
            <w:tcBorders>
              <w:bottom w:val="nil"/>
            </w:tcBorders>
            <w:shd w:val="clear" w:color="auto" w:fill="auto"/>
            <w:noWrap/>
            <w:hideMark/>
          </w:tcPr>
          <w:p w14:paraId="218274E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$171,768</w:t>
            </w:r>
          </w:p>
        </w:tc>
      </w:tr>
      <w:tr w:rsidR="00E47AB8" w:rsidRPr="008B2F8A" w14:paraId="356C1767" w14:textId="77777777" w:rsidTr="00E14AC4">
        <w:tc>
          <w:tcPr>
            <w:tcW w:w="1338" w:type="pct"/>
            <w:tcBorders>
              <w:top w:val="nil"/>
              <w:bottom w:val="nil"/>
            </w:tcBorders>
            <w:shd w:val="clear" w:color="auto" w:fill="auto"/>
            <w:noWrap/>
          </w:tcPr>
          <w:p w14:paraId="22036CDD" w14:textId="77777777" w:rsidR="00E47AB8" w:rsidRPr="008B2F8A" w:rsidRDefault="00E47AB8" w:rsidP="00422306">
            <w:pPr>
              <w:spacing w:before="40" w:after="80"/>
              <w:rPr>
                <w:rFonts w:ascii="Arial Narrow" w:eastAsia="Times New Roman" w:hAnsi="Arial Narrow"/>
                <w:sz w:val="20"/>
                <w:szCs w:val="20"/>
              </w:rPr>
            </w:pPr>
            <w:r w:rsidRPr="001A1206">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787417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w:t>
            </w:r>
          </w:p>
        </w:tc>
        <w:tc>
          <w:tcPr>
            <w:tcW w:w="546" w:type="pct"/>
            <w:tcBorders>
              <w:top w:val="nil"/>
              <w:bottom w:val="nil"/>
            </w:tcBorders>
            <w:shd w:val="clear" w:color="auto" w:fill="auto"/>
            <w:noWrap/>
            <w:hideMark/>
          </w:tcPr>
          <w:p w14:paraId="18AAF33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$35,097</w:t>
            </w:r>
          </w:p>
        </w:tc>
        <w:tc>
          <w:tcPr>
            <w:tcW w:w="546" w:type="pct"/>
            <w:tcBorders>
              <w:top w:val="nil"/>
              <w:bottom w:val="nil"/>
            </w:tcBorders>
            <w:shd w:val="clear" w:color="auto" w:fill="auto"/>
            <w:noWrap/>
            <w:hideMark/>
          </w:tcPr>
          <w:p w14:paraId="714170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$89,704</w:t>
            </w:r>
          </w:p>
        </w:tc>
        <w:tc>
          <w:tcPr>
            <w:tcW w:w="622" w:type="pct"/>
            <w:tcBorders>
              <w:top w:val="nil"/>
              <w:bottom w:val="nil"/>
            </w:tcBorders>
            <w:shd w:val="clear" w:color="auto" w:fill="auto"/>
            <w:noWrap/>
            <w:hideMark/>
          </w:tcPr>
          <w:p w14:paraId="767A51F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$56,278</w:t>
            </w:r>
          </w:p>
        </w:tc>
        <w:tc>
          <w:tcPr>
            <w:tcW w:w="544" w:type="pct"/>
            <w:tcBorders>
              <w:top w:val="nil"/>
              <w:bottom w:val="nil"/>
            </w:tcBorders>
            <w:shd w:val="clear" w:color="auto" w:fill="auto"/>
            <w:noWrap/>
            <w:hideMark/>
          </w:tcPr>
          <w:p w14:paraId="4DA7008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$80,327</w:t>
            </w:r>
          </w:p>
        </w:tc>
        <w:tc>
          <w:tcPr>
            <w:tcW w:w="547" w:type="pct"/>
            <w:tcBorders>
              <w:top w:val="nil"/>
              <w:bottom w:val="nil"/>
            </w:tcBorders>
            <w:shd w:val="clear" w:color="auto" w:fill="auto"/>
            <w:noWrap/>
            <w:hideMark/>
          </w:tcPr>
          <w:p w14:paraId="1ACC949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$174,152</w:t>
            </w:r>
          </w:p>
        </w:tc>
      </w:tr>
      <w:tr w:rsidR="00E47AB8" w:rsidRPr="008B2F8A" w14:paraId="07026189" w14:textId="77777777" w:rsidTr="00E14AC4">
        <w:tc>
          <w:tcPr>
            <w:tcW w:w="1338" w:type="pct"/>
            <w:tcBorders>
              <w:top w:val="nil"/>
              <w:bottom w:val="nil"/>
            </w:tcBorders>
            <w:shd w:val="clear" w:color="auto" w:fill="auto"/>
            <w:noWrap/>
          </w:tcPr>
          <w:p w14:paraId="0ECAA203" w14:textId="77777777" w:rsidR="00E47AB8" w:rsidRPr="008B2F8A" w:rsidRDefault="00E47AB8" w:rsidP="00422306">
            <w:pPr>
              <w:spacing w:before="40" w:after="80"/>
              <w:rPr>
                <w:rFonts w:ascii="Arial Narrow" w:eastAsia="Times New Roman" w:hAnsi="Arial Narrow"/>
                <w:sz w:val="20"/>
                <w:szCs w:val="20"/>
              </w:rPr>
            </w:pPr>
            <w:r w:rsidRPr="001A1206">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0EB60D8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w:t>
            </w:r>
          </w:p>
        </w:tc>
        <w:tc>
          <w:tcPr>
            <w:tcW w:w="546" w:type="pct"/>
            <w:tcBorders>
              <w:top w:val="nil"/>
              <w:bottom w:val="nil"/>
            </w:tcBorders>
            <w:shd w:val="clear" w:color="auto" w:fill="auto"/>
            <w:noWrap/>
            <w:hideMark/>
          </w:tcPr>
          <w:p w14:paraId="7931D5F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$35,460</w:t>
            </w:r>
          </w:p>
        </w:tc>
        <w:tc>
          <w:tcPr>
            <w:tcW w:w="546" w:type="pct"/>
            <w:tcBorders>
              <w:top w:val="nil"/>
              <w:bottom w:val="nil"/>
            </w:tcBorders>
            <w:shd w:val="clear" w:color="auto" w:fill="auto"/>
            <w:noWrap/>
            <w:hideMark/>
          </w:tcPr>
          <w:p w14:paraId="07EA9AC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bottom w:val="nil"/>
            </w:tcBorders>
            <w:shd w:val="clear" w:color="auto" w:fill="auto"/>
            <w:noWrap/>
            <w:hideMark/>
          </w:tcPr>
          <w:p w14:paraId="4E41B9A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$58,240</w:t>
            </w:r>
          </w:p>
        </w:tc>
        <w:tc>
          <w:tcPr>
            <w:tcW w:w="544" w:type="pct"/>
            <w:tcBorders>
              <w:top w:val="nil"/>
              <w:bottom w:val="nil"/>
            </w:tcBorders>
            <w:shd w:val="clear" w:color="auto" w:fill="auto"/>
            <w:noWrap/>
            <w:hideMark/>
          </w:tcPr>
          <w:p w14:paraId="4A7C66A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$82,793</w:t>
            </w:r>
          </w:p>
        </w:tc>
        <w:tc>
          <w:tcPr>
            <w:tcW w:w="547" w:type="pct"/>
            <w:tcBorders>
              <w:top w:val="nil"/>
              <w:bottom w:val="nil"/>
            </w:tcBorders>
            <w:shd w:val="clear" w:color="auto" w:fill="auto"/>
            <w:noWrap/>
            <w:hideMark/>
          </w:tcPr>
          <w:p w14:paraId="217B01D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$176,536</w:t>
            </w:r>
          </w:p>
        </w:tc>
      </w:tr>
      <w:tr w:rsidR="00E47AB8" w:rsidRPr="008B2F8A" w14:paraId="732707D8" w14:textId="77777777" w:rsidTr="00E14AC4">
        <w:tc>
          <w:tcPr>
            <w:tcW w:w="1338" w:type="pct"/>
            <w:tcBorders>
              <w:top w:val="nil"/>
              <w:bottom w:val="nil"/>
            </w:tcBorders>
            <w:shd w:val="clear" w:color="auto" w:fill="auto"/>
            <w:noWrap/>
          </w:tcPr>
          <w:p w14:paraId="016482BD" w14:textId="77777777" w:rsidR="00E47AB8" w:rsidRPr="008B2F8A" w:rsidRDefault="00E47AB8" w:rsidP="00422306">
            <w:pPr>
              <w:spacing w:before="40" w:after="80"/>
              <w:rPr>
                <w:rFonts w:ascii="Arial Narrow" w:eastAsia="Times New Roman" w:hAnsi="Arial Narrow"/>
                <w:sz w:val="20"/>
                <w:szCs w:val="20"/>
              </w:rPr>
            </w:pPr>
            <w:r w:rsidRPr="001A1206">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07F8487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6" w:type="pct"/>
            <w:tcBorders>
              <w:top w:val="nil"/>
              <w:bottom w:val="nil"/>
            </w:tcBorders>
            <w:shd w:val="clear" w:color="auto" w:fill="auto"/>
            <w:noWrap/>
            <w:hideMark/>
          </w:tcPr>
          <w:p w14:paraId="5B00620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$35,823</w:t>
            </w:r>
          </w:p>
        </w:tc>
        <w:tc>
          <w:tcPr>
            <w:tcW w:w="546" w:type="pct"/>
            <w:tcBorders>
              <w:top w:val="nil"/>
              <w:bottom w:val="nil"/>
            </w:tcBorders>
            <w:shd w:val="clear" w:color="auto" w:fill="auto"/>
            <w:noWrap/>
            <w:hideMark/>
          </w:tcPr>
          <w:p w14:paraId="38BDB4B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$93,272</w:t>
            </w:r>
          </w:p>
        </w:tc>
        <w:tc>
          <w:tcPr>
            <w:tcW w:w="622" w:type="pct"/>
            <w:tcBorders>
              <w:top w:val="nil"/>
              <w:bottom w:val="nil"/>
            </w:tcBorders>
            <w:shd w:val="clear" w:color="auto" w:fill="auto"/>
            <w:noWrap/>
            <w:hideMark/>
          </w:tcPr>
          <w:p w14:paraId="60CAD6E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$60,201</w:t>
            </w:r>
          </w:p>
        </w:tc>
        <w:tc>
          <w:tcPr>
            <w:tcW w:w="544" w:type="pct"/>
            <w:tcBorders>
              <w:top w:val="nil"/>
              <w:bottom w:val="nil"/>
            </w:tcBorders>
            <w:shd w:val="clear" w:color="auto" w:fill="auto"/>
            <w:noWrap/>
            <w:hideMark/>
          </w:tcPr>
          <w:p w14:paraId="60A3308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$85,260</w:t>
            </w:r>
          </w:p>
        </w:tc>
        <w:tc>
          <w:tcPr>
            <w:tcW w:w="547" w:type="pct"/>
            <w:tcBorders>
              <w:top w:val="nil"/>
              <w:bottom w:val="nil"/>
            </w:tcBorders>
            <w:shd w:val="clear" w:color="auto" w:fill="auto"/>
            <w:noWrap/>
            <w:hideMark/>
          </w:tcPr>
          <w:p w14:paraId="6F88EE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$178,920</w:t>
            </w:r>
          </w:p>
        </w:tc>
      </w:tr>
      <w:tr w:rsidR="00E47AB8" w:rsidRPr="008B2F8A" w14:paraId="12E5940F" w14:textId="77777777" w:rsidTr="00E14AC4">
        <w:tc>
          <w:tcPr>
            <w:tcW w:w="1338" w:type="pct"/>
            <w:tcBorders>
              <w:top w:val="nil"/>
              <w:bottom w:val="single" w:sz="4" w:space="0" w:color="auto"/>
            </w:tcBorders>
            <w:shd w:val="clear" w:color="auto" w:fill="auto"/>
            <w:noWrap/>
          </w:tcPr>
          <w:p w14:paraId="3B64EA45" w14:textId="77777777" w:rsidR="00E47AB8" w:rsidRPr="008B2F8A" w:rsidRDefault="00E47AB8" w:rsidP="00422306">
            <w:pPr>
              <w:spacing w:before="40" w:after="80"/>
              <w:rPr>
                <w:rFonts w:ascii="Arial Narrow" w:eastAsia="Times New Roman" w:hAnsi="Arial Narrow"/>
                <w:sz w:val="20"/>
                <w:szCs w:val="20"/>
              </w:rPr>
            </w:pPr>
            <w:r w:rsidRPr="001A1206">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297C3C3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w:t>
            </w:r>
          </w:p>
        </w:tc>
        <w:tc>
          <w:tcPr>
            <w:tcW w:w="546" w:type="pct"/>
            <w:tcBorders>
              <w:top w:val="nil"/>
              <w:bottom w:val="single" w:sz="4" w:space="0" w:color="auto"/>
            </w:tcBorders>
            <w:shd w:val="clear" w:color="auto" w:fill="auto"/>
            <w:noWrap/>
            <w:hideMark/>
          </w:tcPr>
          <w:p w14:paraId="1E1E2FE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$36,186</w:t>
            </w:r>
          </w:p>
        </w:tc>
        <w:tc>
          <w:tcPr>
            <w:tcW w:w="546" w:type="pct"/>
            <w:tcBorders>
              <w:top w:val="nil"/>
              <w:bottom w:val="single" w:sz="4" w:space="0" w:color="auto"/>
            </w:tcBorders>
            <w:shd w:val="clear" w:color="auto" w:fill="auto"/>
            <w:noWrap/>
            <w:hideMark/>
          </w:tcPr>
          <w:p w14:paraId="0721177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$95,057</w:t>
            </w:r>
          </w:p>
        </w:tc>
        <w:tc>
          <w:tcPr>
            <w:tcW w:w="622" w:type="pct"/>
            <w:tcBorders>
              <w:top w:val="nil"/>
              <w:bottom w:val="single" w:sz="4" w:space="0" w:color="auto"/>
            </w:tcBorders>
            <w:shd w:val="clear" w:color="auto" w:fill="auto"/>
            <w:noWrap/>
            <w:hideMark/>
          </w:tcPr>
          <w:p w14:paraId="1B8E534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$62,163</w:t>
            </w:r>
          </w:p>
        </w:tc>
        <w:tc>
          <w:tcPr>
            <w:tcW w:w="544" w:type="pct"/>
            <w:tcBorders>
              <w:top w:val="nil"/>
              <w:bottom w:val="single" w:sz="4" w:space="0" w:color="auto"/>
            </w:tcBorders>
            <w:shd w:val="clear" w:color="auto" w:fill="auto"/>
            <w:noWrap/>
            <w:hideMark/>
          </w:tcPr>
          <w:p w14:paraId="3E1D87D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$87,727</w:t>
            </w:r>
          </w:p>
        </w:tc>
        <w:tc>
          <w:tcPr>
            <w:tcW w:w="547" w:type="pct"/>
            <w:tcBorders>
              <w:top w:val="nil"/>
              <w:bottom w:val="single" w:sz="4" w:space="0" w:color="auto"/>
            </w:tcBorders>
            <w:shd w:val="clear" w:color="auto" w:fill="auto"/>
            <w:noWrap/>
            <w:hideMark/>
          </w:tcPr>
          <w:p w14:paraId="0DF1DE3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$181,304</w:t>
            </w:r>
          </w:p>
        </w:tc>
      </w:tr>
      <w:tr w:rsidR="00E47AB8" w:rsidRPr="008B2F8A" w14:paraId="3B3C14ED" w14:textId="77777777" w:rsidTr="00E14AC4">
        <w:tc>
          <w:tcPr>
            <w:tcW w:w="1338" w:type="pct"/>
            <w:tcBorders>
              <w:bottom w:val="nil"/>
            </w:tcBorders>
            <w:shd w:val="clear" w:color="auto" w:fill="auto"/>
            <w:noWrap/>
            <w:hideMark/>
          </w:tcPr>
          <w:p w14:paraId="0C6DB4E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Utility in cancer treatment (Y1)</w:t>
            </w:r>
          </w:p>
        </w:tc>
        <w:tc>
          <w:tcPr>
            <w:tcW w:w="857" w:type="pct"/>
            <w:tcBorders>
              <w:bottom w:val="nil"/>
            </w:tcBorders>
            <w:shd w:val="clear" w:color="auto" w:fill="auto"/>
            <w:noWrap/>
            <w:hideMark/>
          </w:tcPr>
          <w:p w14:paraId="67C1D74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w:t>
            </w:r>
          </w:p>
        </w:tc>
        <w:tc>
          <w:tcPr>
            <w:tcW w:w="546" w:type="pct"/>
            <w:tcBorders>
              <w:bottom w:val="nil"/>
            </w:tcBorders>
            <w:shd w:val="clear" w:color="auto" w:fill="auto"/>
            <w:noWrap/>
            <w:hideMark/>
          </w:tcPr>
          <w:p w14:paraId="126BFAE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$36,039</w:t>
            </w:r>
          </w:p>
        </w:tc>
        <w:tc>
          <w:tcPr>
            <w:tcW w:w="546" w:type="pct"/>
            <w:tcBorders>
              <w:bottom w:val="nil"/>
            </w:tcBorders>
            <w:shd w:val="clear" w:color="auto" w:fill="auto"/>
            <w:noWrap/>
            <w:hideMark/>
          </w:tcPr>
          <w:p w14:paraId="538580C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$92,630</w:t>
            </w:r>
          </w:p>
        </w:tc>
        <w:tc>
          <w:tcPr>
            <w:tcW w:w="622" w:type="pct"/>
            <w:tcBorders>
              <w:bottom w:val="nil"/>
            </w:tcBorders>
            <w:shd w:val="clear" w:color="auto" w:fill="auto"/>
            <w:noWrap/>
            <w:hideMark/>
          </w:tcPr>
          <w:p w14:paraId="43A94A3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$58,631</w:t>
            </w:r>
          </w:p>
        </w:tc>
        <w:tc>
          <w:tcPr>
            <w:tcW w:w="544" w:type="pct"/>
            <w:tcBorders>
              <w:bottom w:val="nil"/>
            </w:tcBorders>
            <w:shd w:val="clear" w:color="auto" w:fill="auto"/>
            <w:noWrap/>
            <w:hideMark/>
          </w:tcPr>
          <w:p w14:paraId="50914BF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$83,661</w:t>
            </w:r>
          </w:p>
        </w:tc>
        <w:tc>
          <w:tcPr>
            <w:tcW w:w="547" w:type="pct"/>
            <w:tcBorders>
              <w:bottom w:val="nil"/>
            </w:tcBorders>
            <w:shd w:val="clear" w:color="auto" w:fill="auto"/>
            <w:noWrap/>
            <w:hideMark/>
          </w:tcPr>
          <w:p w14:paraId="711B313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$177,638</w:t>
            </w:r>
          </w:p>
        </w:tc>
      </w:tr>
      <w:tr w:rsidR="00E47AB8" w:rsidRPr="008B2F8A" w14:paraId="0F046517" w14:textId="77777777" w:rsidTr="00E14AC4">
        <w:tc>
          <w:tcPr>
            <w:tcW w:w="1338" w:type="pct"/>
            <w:tcBorders>
              <w:top w:val="nil"/>
              <w:bottom w:val="nil"/>
            </w:tcBorders>
            <w:shd w:val="clear" w:color="auto" w:fill="auto"/>
            <w:noWrap/>
          </w:tcPr>
          <w:p w14:paraId="0AFB8B03" w14:textId="77777777" w:rsidR="00E47AB8" w:rsidRPr="008B2F8A" w:rsidRDefault="00E47AB8" w:rsidP="00422306">
            <w:pPr>
              <w:spacing w:before="40" w:after="80"/>
              <w:rPr>
                <w:rFonts w:ascii="Arial Narrow" w:eastAsia="Times New Roman" w:hAnsi="Arial Narrow"/>
                <w:sz w:val="20"/>
                <w:szCs w:val="20"/>
              </w:rPr>
            </w:pPr>
            <w:r w:rsidRPr="008D7ACA">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6F10AD6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w:t>
            </w:r>
          </w:p>
        </w:tc>
        <w:tc>
          <w:tcPr>
            <w:tcW w:w="546" w:type="pct"/>
            <w:tcBorders>
              <w:top w:val="nil"/>
              <w:bottom w:val="nil"/>
            </w:tcBorders>
            <w:shd w:val="clear" w:color="auto" w:fill="auto"/>
            <w:noWrap/>
            <w:hideMark/>
          </w:tcPr>
          <w:p w14:paraId="6DDA4FC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$35,715</w:t>
            </w:r>
          </w:p>
        </w:tc>
        <w:tc>
          <w:tcPr>
            <w:tcW w:w="546" w:type="pct"/>
            <w:tcBorders>
              <w:top w:val="nil"/>
              <w:bottom w:val="nil"/>
            </w:tcBorders>
            <w:shd w:val="clear" w:color="auto" w:fill="auto"/>
            <w:noWrap/>
            <w:hideMark/>
          </w:tcPr>
          <w:p w14:paraId="6B33075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$91,992</w:t>
            </w:r>
          </w:p>
        </w:tc>
        <w:tc>
          <w:tcPr>
            <w:tcW w:w="622" w:type="pct"/>
            <w:tcBorders>
              <w:top w:val="nil"/>
              <w:bottom w:val="nil"/>
            </w:tcBorders>
            <w:shd w:val="clear" w:color="auto" w:fill="auto"/>
            <w:noWrap/>
            <w:hideMark/>
          </w:tcPr>
          <w:p w14:paraId="1FAC84A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$58,413</w:t>
            </w:r>
          </w:p>
        </w:tc>
        <w:tc>
          <w:tcPr>
            <w:tcW w:w="544" w:type="pct"/>
            <w:tcBorders>
              <w:top w:val="nil"/>
              <w:bottom w:val="nil"/>
            </w:tcBorders>
            <w:shd w:val="clear" w:color="auto" w:fill="auto"/>
            <w:noWrap/>
            <w:hideMark/>
          </w:tcPr>
          <w:p w14:paraId="386A70A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$83,177</w:t>
            </w:r>
          </w:p>
        </w:tc>
        <w:tc>
          <w:tcPr>
            <w:tcW w:w="547" w:type="pct"/>
            <w:tcBorders>
              <w:top w:val="nil"/>
              <w:bottom w:val="nil"/>
            </w:tcBorders>
            <w:shd w:val="clear" w:color="auto" w:fill="auto"/>
            <w:noWrap/>
            <w:hideMark/>
          </w:tcPr>
          <w:p w14:paraId="6670C36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$177,024</w:t>
            </w:r>
          </w:p>
        </w:tc>
      </w:tr>
      <w:tr w:rsidR="00E47AB8" w:rsidRPr="008B2F8A" w14:paraId="2DF36AF5" w14:textId="77777777" w:rsidTr="00E14AC4">
        <w:tc>
          <w:tcPr>
            <w:tcW w:w="1338" w:type="pct"/>
            <w:tcBorders>
              <w:top w:val="nil"/>
              <w:bottom w:val="nil"/>
            </w:tcBorders>
            <w:shd w:val="clear" w:color="auto" w:fill="auto"/>
            <w:noWrap/>
          </w:tcPr>
          <w:p w14:paraId="36A6D8B5" w14:textId="77777777" w:rsidR="00E47AB8" w:rsidRPr="008B2F8A" w:rsidRDefault="00E47AB8" w:rsidP="00422306">
            <w:pPr>
              <w:spacing w:before="40" w:after="80"/>
              <w:rPr>
                <w:rFonts w:ascii="Arial Narrow" w:eastAsia="Times New Roman" w:hAnsi="Arial Narrow"/>
                <w:sz w:val="20"/>
                <w:szCs w:val="20"/>
              </w:rPr>
            </w:pPr>
            <w:r w:rsidRPr="008D7ACA">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39D457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w:t>
            </w:r>
          </w:p>
        </w:tc>
        <w:tc>
          <w:tcPr>
            <w:tcW w:w="546" w:type="pct"/>
            <w:tcBorders>
              <w:top w:val="nil"/>
              <w:bottom w:val="nil"/>
            </w:tcBorders>
            <w:shd w:val="clear" w:color="auto" w:fill="auto"/>
            <w:noWrap/>
            <w:hideMark/>
          </w:tcPr>
          <w:p w14:paraId="2239D26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$35,397</w:t>
            </w:r>
          </w:p>
        </w:tc>
        <w:tc>
          <w:tcPr>
            <w:tcW w:w="546" w:type="pct"/>
            <w:tcBorders>
              <w:top w:val="nil"/>
              <w:bottom w:val="nil"/>
            </w:tcBorders>
            <w:shd w:val="clear" w:color="auto" w:fill="auto"/>
            <w:noWrap/>
            <w:hideMark/>
          </w:tcPr>
          <w:p w14:paraId="1F48AAD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$91,363</w:t>
            </w:r>
          </w:p>
        </w:tc>
        <w:tc>
          <w:tcPr>
            <w:tcW w:w="622" w:type="pct"/>
            <w:tcBorders>
              <w:top w:val="nil"/>
              <w:bottom w:val="nil"/>
            </w:tcBorders>
            <w:shd w:val="clear" w:color="auto" w:fill="auto"/>
            <w:noWrap/>
            <w:hideMark/>
          </w:tcPr>
          <w:p w14:paraId="41CE6D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$58,197</w:t>
            </w:r>
          </w:p>
        </w:tc>
        <w:tc>
          <w:tcPr>
            <w:tcW w:w="544" w:type="pct"/>
            <w:tcBorders>
              <w:top w:val="nil"/>
              <w:bottom w:val="nil"/>
            </w:tcBorders>
            <w:shd w:val="clear" w:color="auto" w:fill="auto"/>
            <w:noWrap/>
            <w:hideMark/>
          </w:tcPr>
          <w:p w14:paraId="2757CCD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$82,698</w:t>
            </w:r>
          </w:p>
        </w:tc>
        <w:tc>
          <w:tcPr>
            <w:tcW w:w="547" w:type="pct"/>
            <w:tcBorders>
              <w:top w:val="nil"/>
              <w:bottom w:val="nil"/>
            </w:tcBorders>
            <w:shd w:val="clear" w:color="auto" w:fill="auto"/>
            <w:noWrap/>
            <w:hideMark/>
          </w:tcPr>
          <w:p w14:paraId="6E5AD6E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$176,415</w:t>
            </w:r>
          </w:p>
        </w:tc>
      </w:tr>
      <w:tr w:rsidR="00E47AB8" w:rsidRPr="008B2F8A" w14:paraId="148244E4" w14:textId="77777777" w:rsidTr="00E14AC4">
        <w:tc>
          <w:tcPr>
            <w:tcW w:w="1338" w:type="pct"/>
            <w:tcBorders>
              <w:top w:val="nil"/>
              <w:bottom w:val="nil"/>
            </w:tcBorders>
            <w:shd w:val="clear" w:color="auto" w:fill="auto"/>
            <w:noWrap/>
          </w:tcPr>
          <w:p w14:paraId="6E5B0966" w14:textId="77777777" w:rsidR="00E47AB8" w:rsidRPr="008B2F8A" w:rsidRDefault="00E47AB8" w:rsidP="00422306">
            <w:pPr>
              <w:spacing w:before="40" w:after="80"/>
              <w:rPr>
                <w:rFonts w:ascii="Arial Narrow" w:eastAsia="Times New Roman" w:hAnsi="Arial Narrow"/>
                <w:sz w:val="20"/>
                <w:szCs w:val="20"/>
              </w:rPr>
            </w:pPr>
            <w:r w:rsidRPr="008D7ACA">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35848A7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w:t>
            </w:r>
          </w:p>
        </w:tc>
        <w:tc>
          <w:tcPr>
            <w:tcW w:w="546" w:type="pct"/>
            <w:tcBorders>
              <w:top w:val="nil"/>
              <w:bottom w:val="nil"/>
            </w:tcBorders>
            <w:shd w:val="clear" w:color="auto" w:fill="auto"/>
            <w:noWrap/>
            <w:hideMark/>
          </w:tcPr>
          <w:p w14:paraId="38BFB23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$35,084</w:t>
            </w:r>
          </w:p>
        </w:tc>
        <w:tc>
          <w:tcPr>
            <w:tcW w:w="546" w:type="pct"/>
            <w:tcBorders>
              <w:top w:val="nil"/>
              <w:bottom w:val="nil"/>
            </w:tcBorders>
            <w:shd w:val="clear" w:color="auto" w:fill="auto"/>
            <w:noWrap/>
            <w:hideMark/>
          </w:tcPr>
          <w:p w14:paraId="2D25E04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$90,742</w:t>
            </w:r>
          </w:p>
        </w:tc>
        <w:tc>
          <w:tcPr>
            <w:tcW w:w="622" w:type="pct"/>
            <w:tcBorders>
              <w:top w:val="nil"/>
              <w:bottom w:val="nil"/>
            </w:tcBorders>
            <w:shd w:val="clear" w:color="auto" w:fill="auto"/>
            <w:noWrap/>
            <w:hideMark/>
          </w:tcPr>
          <w:p w14:paraId="2119988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$57,982</w:t>
            </w:r>
          </w:p>
        </w:tc>
        <w:tc>
          <w:tcPr>
            <w:tcW w:w="544" w:type="pct"/>
            <w:tcBorders>
              <w:top w:val="nil"/>
              <w:bottom w:val="nil"/>
            </w:tcBorders>
            <w:shd w:val="clear" w:color="auto" w:fill="auto"/>
            <w:noWrap/>
            <w:hideMark/>
          </w:tcPr>
          <w:p w14:paraId="6DFE18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$82,225</w:t>
            </w:r>
          </w:p>
        </w:tc>
        <w:tc>
          <w:tcPr>
            <w:tcW w:w="547" w:type="pct"/>
            <w:tcBorders>
              <w:top w:val="nil"/>
              <w:bottom w:val="nil"/>
            </w:tcBorders>
            <w:shd w:val="clear" w:color="auto" w:fill="auto"/>
            <w:noWrap/>
            <w:hideMark/>
          </w:tcPr>
          <w:p w14:paraId="4808CBE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$175,810</w:t>
            </w:r>
          </w:p>
        </w:tc>
      </w:tr>
      <w:tr w:rsidR="00E47AB8" w:rsidRPr="008B2F8A" w14:paraId="3B611CD3" w14:textId="77777777" w:rsidTr="00E14AC4">
        <w:tc>
          <w:tcPr>
            <w:tcW w:w="1338" w:type="pct"/>
            <w:tcBorders>
              <w:top w:val="nil"/>
              <w:bottom w:val="single" w:sz="4" w:space="0" w:color="auto"/>
            </w:tcBorders>
            <w:shd w:val="clear" w:color="auto" w:fill="auto"/>
            <w:noWrap/>
          </w:tcPr>
          <w:p w14:paraId="6499A39C" w14:textId="77777777" w:rsidR="00E47AB8" w:rsidRPr="008B2F8A" w:rsidRDefault="00E47AB8" w:rsidP="00422306">
            <w:pPr>
              <w:spacing w:before="40" w:after="80"/>
              <w:rPr>
                <w:rFonts w:ascii="Arial Narrow" w:eastAsia="Times New Roman" w:hAnsi="Arial Narrow"/>
                <w:sz w:val="20"/>
                <w:szCs w:val="20"/>
              </w:rPr>
            </w:pPr>
            <w:r w:rsidRPr="008D7ACA">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75268E2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w:t>
            </w:r>
          </w:p>
        </w:tc>
        <w:tc>
          <w:tcPr>
            <w:tcW w:w="546" w:type="pct"/>
            <w:tcBorders>
              <w:top w:val="nil"/>
              <w:bottom w:val="single" w:sz="4" w:space="0" w:color="auto"/>
            </w:tcBorders>
            <w:shd w:val="clear" w:color="auto" w:fill="auto"/>
            <w:noWrap/>
            <w:hideMark/>
          </w:tcPr>
          <w:p w14:paraId="63278ED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$34,777</w:t>
            </w:r>
          </w:p>
        </w:tc>
        <w:tc>
          <w:tcPr>
            <w:tcW w:w="546" w:type="pct"/>
            <w:tcBorders>
              <w:top w:val="nil"/>
              <w:bottom w:val="single" w:sz="4" w:space="0" w:color="auto"/>
            </w:tcBorders>
            <w:shd w:val="clear" w:color="auto" w:fill="auto"/>
            <w:noWrap/>
            <w:hideMark/>
          </w:tcPr>
          <w:p w14:paraId="7FA065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$90,130</w:t>
            </w:r>
          </w:p>
        </w:tc>
        <w:tc>
          <w:tcPr>
            <w:tcW w:w="622" w:type="pct"/>
            <w:tcBorders>
              <w:top w:val="nil"/>
              <w:bottom w:val="single" w:sz="4" w:space="0" w:color="auto"/>
            </w:tcBorders>
            <w:shd w:val="clear" w:color="auto" w:fill="auto"/>
            <w:noWrap/>
            <w:hideMark/>
          </w:tcPr>
          <w:p w14:paraId="4774789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$57,769</w:t>
            </w:r>
          </w:p>
        </w:tc>
        <w:tc>
          <w:tcPr>
            <w:tcW w:w="544" w:type="pct"/>
            <w:tcBorders>
              <w:top w:val="nil"/>
              <w:bottom w:val="single" w:sz="4" w:space="0" w:color="auto"/>
            </w:tcBorders>
            <w:shd w:val="clear" w:color="auto" w:fill="auto"/>
            <w:noWrap/>
            <w:hideMark/>
          </w:tcPr>
          <w:p w14:paraId="5A440EC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$81,758</w:t>
            </w:r>
          </w:p>
        </w:tc>
        <w:tc>
          <w:tcPr>
            <w:tcW w:w="547" w:type="pct"/>
            <w:tcBorders>
              <w:top w:val="nil"/>
              <w:bottom w:val="single" w:sz="4" w:space="0" w:color="auto"/>
            </w:tcBorders>
            <w:shd w:val="clear" w:color="auto" w:fill="auto"/>
            <w:noWrap/>
            <w:hideMark/>
          </w:tcPr>
          <w:p w14:paraId="7FF6D54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$175,209</w:t>
            </w:r>
          </w:p>
        </w:tc>
      </w:tr>
      <w:tr w:rsidR="00E47AB8" w:rsidRPr="008B2F8A" w14:paraId="4E62316D" w14:textId="77777777" w:rsidTr="00E14AC4">
        <w:tc>
          <w:tcPr>
            <w:tcW w:w="1338" w:type="pct"/>
            <w:tcBorders>
              <w:bottom w:val="nil"/>
            </w:tcBorders>
            <w:shd w:val="clear" w:color="auto" w:fill="auto"/>
            <w:noWrap/>
            <w:hideMark/>
          </w:tcPr>
          <w:p w14:paraId="179B9343" w14:textId="7D2AEA16"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Utility: False-pos (1-month duration)</w:t>
            </w:r>
          </w:p>
        </w:tc>
        <w:tc>
          <w:tcPr>
            <w:tcW w:w="857" w:type="pct"/>
            <w:tcBorders>
              <w:bottom w:val="nil"/>
            </w:tcBorders>
            <w:shd w:val="clear" w:color="auto" w:fill="auto"/>
            <w:noWrap/>
            <w:hideMark/>
          </w:tcPr>
          <w:p w14:paraId="466D253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w:t>
            </w:r>
          </w:p>
        </w:tc>
        <w:tc>
          <w:tcPr>
            <w:tcW w:w="546" w:type="pct"/>
            <w:tcBorders>
              <w:bottom w:val="nil"/>
            </w:tcBorders>
            <w:shd w:val="clear" w:color="auto" w:fill="auto"/>
            <w:noWrap/>
            <w:hideMark/>
          </w:tcPr>
          <w:p w14:paraId="643896F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$36,604</w:t>
            </w:r>
          </w:p>
        </w:tc>
        <w:tc>
          <w:tcPr>
            <w:tcW w:w="546" w:type="pct"/>
            <w:tcBorders>
              <w:bottom w:val="nil"/>
            </w:tcBorders>
            <w:shd w:val="clear" w:color="auto" w:fill="auto"/>
            <w:noWrap/>
            <w:hideMark/>
          </w:tcPr>
          <w:p w14:paraId="6A03D36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$108,111</w:t>
            </w:r>
          </w:p>
        </w:tc>
        <w:tc>
          <w:tcPr>
            <w:tcW w:w="622" w:type="pct"/>
            <w:tcBorders>
              <w:bottom w:val="nil"/>
            </w:tcBorders>
            <w:shd w:val="clear" w:color="auto" w:fill="auto"/>
            <w:noWrap/>
            <w:hideMark/>
          </w:tcPr>
          <w:p w14:paraId="2FD2CCB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$69,159</w:t>
            </w:r>
          </w:p>
        </w:tc>
        <w:tc>
          <w:tcPr>
            <w:tcW w:w="544" w:type="pct"/>
            <w:tcBorders>
              <w:bottom w:val="nil"/>
            </w:tcBorders>
            <w:shd w:val="clear" w:color="auto" w:fill="auto"/>
            <w:noWrap/>
            <w:hideMark/>
          </w:tcPr>
          <w:p w14:paraId="4503A92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$103,300</w:t>
            </w:r>
          </w:p>
        </w:tc>
        <w:tc>
          <w:tcPr>
            <w:tcW w:w="547" w:type="pct"/>
            <w:tcBorders>
              <w:bottom w:val="nil"/>
            </w:tcBorders>
            <w:shd w:val="clear" w:color="auto" w:fill="auto"/>
            <w:noWrap/>
            <w:hideMark/>
          </w:tcPr>
          <w:p w14:paraId="387DD50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$222,196</w:t>
            </w:r>
          </w:p>
        </w:tc>
      </w:tr>
      <w:tr w:rsidR="00E47AB8" w:rsidRPr="008B2F8A" w14:paraId="72D3565E" w14:textId="77777777" w:rsidTr="00E14AC4">
        <w:tc>
          <w:tcPr>
            <w:tcW w:w="1338" w:type="pct"/>
            <w:tcBorders>
              <w:top w:val="nil"/>
              <w:bottom w:val="single" w:sz="4" w:space="0" w:color="auto"/>
            </w:tcBorders>
            <w:shd w:val="clear" w:color="auto" w:fill="auto"/>
            <w:noWrap/>
            <w:hideMark/>
          </w:tcPr>
          <w:p w14:paraId="280F122B" w14:textId="77777777" w:rsidR="00E47AB8" w:rsidRPr="008B2F8A" w:rsidRDefault="00E47AB8" w:rsidP="00422306">
            <w:pPr>
              <w:spacing w:before="40" w:after="80"/>
              <w:rPr>
                <w:rFonts w:ascii="Arial Narrow" w:eastAsia="Times New Roman" w:hAnsi="Arial Narrow"/>
                <w:sz w:val="20"/>
                <w:szCs w:val="20"/>
              </w:rPr>
            </w:pPr>
            <w:r w:rsidRPr="00AA62E6">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6538C0D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w:t>
            </w:r>
          </w:p>
        </w:tc>
        <w:tc>
          <w:tcPr>
            <w:tcW w:w="546" w:type="pct"/>
            <w:tcBorders>
              <w:top w:val="nil"/>
              <w:bottom w:val="single" w:sz="4" w:space="0" w:color="auto"/>
            </w:tcBorders>
            <w:shd w:val="clear" w:color="auto" w:fill="auto"/>
            <w:noWrap/>
            <w:hideMark/>
          </w:tcPr>
          <w:p w14:paraId="4D4B651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$36,023</w:t>
            </w:r>
          </w:p>
        </w:tc>
        <w:tc>
          <w:tcPr>
            <w:tcW w:w="546" w:type="pct"/>
            <w:tcBorders>
              <w:top w:val="nil"/>
              <w:bottom w:val="single" w:sz="4" w:space="0" w:color="auto"/>
            </w:tcBorders>
            <w:shd w:val="clear" w:color="auto" w:fill="auto"/>
            <w:noWrap/>
            <w:hideMark/>
          </w:tcPr>
          <w:p w14:paraId="6072849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$99,107</w:t>
            </w:r>
          </w:p>
        </w:tc>
        <w:tc>
          <w:tcPr>
            <w:tcW w:w="622" w:type="pct"/>
            <w:tcBorders>
              <w:top w:val="nil"/>
              <w:bottom w:val="single" w:sz="4" w:space="0" w:color="auto"/>
            </w:tcBorders>
            <w:shd w:val="clear" w:color="auto" w:fill="auto"/>
            <w:noWrap/>
            <w:hideMark/>
          </w:tcPr>
          <w:p w14:paraId="24556F2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$63,231</w:t>
            </w:r>
          </w:p>
        </w:tc>
        <w:tc>
          <w:tcPr>
            <w:tcW w:w="544" w:type="pct"/>
            <w:tcBorders>
              <w:top w:val="nil"/>
              <w:bottom w:val="single" w:sz="4" w:space="0" w:color="auto"/>
            </w:tcBorders>
            <w:shd w:val="clear" w:color="auto" w:fill="auto"/>
            <w:noWrap/>
            <w:hideMark/>
          </w:tcPr>
          <w:p w14:paraId="7C95B38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$91,917</w:t>
            </w:r>
          </w:p>
        </w:tc>
        <w:tc>
          <w:tcPr>
            <w:tcW w:w="547" w:type="pct"/>
            <w:tcBorders>
              <w:top w:val="nil"/>
              <w:bottom w:val="single" w:sz="4" w:space="0" w:color="auto"/>
            </w:tcBorders>
            <w:shd w:val="clear" w:color="auto" w:fill="auto"/>
            <w:noWrap/>
            <w:hideMark/>
          </w:tcPr>
          <w:p w14:paraId="16165BF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$196,752</w:t>
            </w:r>
          </w:p>
        </w:tc>
      </w:tr>
      <w:tr w:rsidR="00E47AB8" w:rsidRPr="008B2F8A" w14:paraId="5F9BB73C" w14:textId="77777777" w:rsidTr="00E14AC4">
        <w:tc>
          <w:tcPr>
            <w:tcW w:w="1338" w:type="pct"/>
            <w:tcBorders>
              <w:bottom w:val="nil"/>
            </w:tcBorders>
            <w:shd w:val="clear" w:color="auto" w:fill="auto"/>
            <w:noWrap/>
            <w:hideMark/>
          </w:tcPr>
          <w:p w14:paraId="30A5381B" w14:textId="67487F7F"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Utility: False-neg (1-year duration)</w:t>
            </w:r>
          </w:p>
        </w:tc>
        <w:tc>
          <w:tcPr>
            <w:tcW w:w="857" w:type="pct"/>
            <w:tcBorders>
              <w:bottom w:val="nil"/>
            </w:tcBorders>
            <w:shd w:val="clear" w:color="auto" w:fill="auto"/>
            <w:noWrap/>
            <w:hideMark/>
          </w:tcPr>
          <w:p w14:paraId="4D66234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w:t>
            </w:r>
          </w:p>
        </w:tc>
        <w:tc>
          <w:tcPr>
            <w:tcW w:w="546" w:type="pct"/>
            <w:tcBorders>
              <w:bottom w:val="nil"/>
            </w:tcBorders>
            <w:shd w:val="clear" w:color="auto" w:fill="auto"/>
            <w:noWrap/>
            <w:hideMark/>
          </w:tcPr>
          <w:p w14:paraId="6264087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$31,308</w:t>
            </w:r>
          </w:p>
        </w:tc>
        <w:tc>
          <w:tcPr>
            <w:tcW w:w="546" w:type="pct"/>
            <w:tcBorders>
              <w:bottom w:val="nil"/>
            </w:tcBorders>
            <w:shd w:val="clear" w:color="auto" w:fill="auto"/>
            <w:noWrap/>
            <w:hideMark/>
          </w:tcPr>
          <w:p w14:paraId="32A6E8B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$78,699</w:t>
            </w:r>
          </w:p>
        </w:tc>
        <w:tc>
          <w:tcPr>
            <w:tcW w:w="622" w:type="pct"/>
            <w:tcBorders>
              <w:bottom w:val="nil"/>
            </w:tcBorders>
            <w:shd w:val="clear" w:color="auto" w:fill="auto"/>
            <w:noWrap/>
            <w:hideMark/>
          </w:tcPr>
          <w:p w14:paraId="4839D87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$50,632</w:t>
            </w:r>
          </w:p>
        </w:tc>
        <w:tc>
          <w:tcPr>
            <w:tcW w:w="544" w:type="pct"/>
            <w:tcBorders>
              <w:bottom w:val="nil"/>
            </w:tcBorders>
            <w:shd w:val="clear" w:color="auto" w:fill="auto"/>
            <w:noWrap/>
            <w:hideMark/>
          </w:tcPr>
          <w:p w14:paraId="6E324B5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$69,827</w:t>
            </w:r>
          </w:p>
        </w:tc>
        <w:tc>
          <w:tcPr>
            <w:tcW w:w="547" w:type="pct"/>
            <w:tcBorders>
              <w:bottom w:val="nil"/>
            </w:tcBorders>
            <w:shd w:val="clear" w:color="auto" w:fill="auto"/>
            <w:noWrap/>
            <w:hideMark/>
          </w:tcPr>
          <w:p w14:paraId="1A80F09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$156,301</w:t>
            </w:r>
          </w:p>
        </w:tc>
      </w:tr>
      <w:tr w:rsidR="00E47AB8" w:rsidRPr="008B2F8A" w14:paraId="512FBCB1" w14:textId="77777777" w:rsidTr="00E14AC4">
        <w:tc>
          <w:tcPr>
            <w:tcW w:w="1338" w:type="pct"/>
            <w:tcBorders>
              <w:top w:val="nil"/>
              <w:bottom w:val="single" w:sz="4" w:space="0" w:color="auto"/>
            </w:tcBorders>
            <w:shd w:val="clear" w:color="auto" w:fill="auto"/>
            <w:noWrap/>
            <w:hideMark/>
          </w:tcPr>
          <w:p w14:paraId="73D170D4" w14:textId="77777777" w:rsidR="00E47AB8" w:rsidRPr="008B2F8A" w:rsidRDefault="00E47AB8" w:rsidP="00422306">
            <w:pPr>
              <w:spacing w:before="40" w:after="80"/>
              <w:rPr>
                <w:rFonts w:ascii="Arial Narrow" w:eastAsia="Times New Roman" w:hAnsi="Arial Narrow"/>
                <w:sz w:val="20"/>
                <w:szCs w:val="20"/>
              </w:rPr>
            </w:pPr>
            <w:r w:rsidRPr="00AA62E6">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44E274C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w:t>
            </w:r>
          </w:p>
        </w:tc>
        <w:tc>
          <w:tcPr>
            <w:tcW w:w="546" w:type="pct"/>
            <w:tcBorders>
              <w:top w:val="nil"/>
              <w:bottom w:val="single" w:sz="4" w:space="0" w:color="auto"/>
            </w:tcBorders>
            <w:shd w:val="clear" w:color="auto" w:fill="auto"/>
            <w:noWrap/>
            <w:hideMark/>
          </w:tcPr>
          <w:p w14:paraId="3EA677D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$33,255</w:t>
            </w:r>
          </w:p>
        </w:tc>
        <w:tc>
          <w:tcPr>
            <w:tcW w:w="546" w:type="pct"/>
            <w:tcBorders>
              <w:top w:val="nil"/>
              <w:bottom w:val="single" w:sz="4" w:space="0" w:color="auto"/>
            </w:tcBorders>
            <w:shd w:val="clear" w:color="auto" w:fill="auto"/>
            <w:noWrap/>
            <w:hideMark/>
          </w:tcPr>
          <w:p w14:paraId="1351525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$84,613</w:t>
            </w:r>
          </w:p>
        </w:tc>
        <w:tc>
          <w:tcPr>
            <w:tcW w:w="622" w:type="pct"/>
            <w:tcBorders>
              <w:top w:val="nil"/>
              <w:bottom w:val="single" w:sz="4" w:space="0" w:color="auto"/>
            </w:tcBorders>
            <w:shd w:val="clear" w:color="auto" w:fill="auto"/>
            <w:noWrap/>
            <w:hideMark/>
          </w:tcPr>
          <w:p w14:paraId="31D1CE5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$54,170</w:t>
            </w:r>
          </w:p>
        </w:tc>
        <w:tc>
          <w:tcPr>
            <w:tcW w:w="544" w:type="pct"/>
            <w:tcBorders>
              <w:top w:val="nil"/>
              <w:bottom w:val="single" w:sz="4" w:space="0" w:color="auto"/>
            </w:tcBorders>
            <w:shd w:val="clear" w:color="auto" w:fill="auto"/>
            <w:noWrap/>
            <w:hideMark/>
          </w:tcPr>
          <w:p w14:paraId="58E6CD6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$75,759</w:t>
            </w:r>
          </w:p>
        </w:tc>
        <w:tc>
          <w:tcPr>
            <w:tcW w:w="547" w:type="pct"/>
            <w:tcBorders>
              <w:top w:val="nil"/>
              <w:bottom w:val="single" w:sz="4" w:space="0" w:color="auto"/>
            </w:tcBorders>
            <w:shd w:val="clear" w:color="auto" w:fill="auto"/>
            <w:noWrap/>
            <w:hideMark/>
          </w:tcPr>
          <w:p w14:paraId="2962DFC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$165,804</w:t>
            </w:r>
          </w:p>
        </w:tc>
      </w:tr>
      <w:tr w:rsidR="00E47AB8" w:rsidRPr="008B2F8A" w14:paraId="61937C41" w14:textId="77777777" w:rsidTr="00E14AC4">
        <w:tc>
          <w:tcPr>
            <w:tcW w:w="1338" w:type="pct"/>
            <w:tcBorders>
              <w:bottom w:val="nil"/>
            </w:tcBorders>
            <w:shd w:val="clear" w:color="auto" w:fill="auto"/>
            <w:noWrap/>
            <w:hideMark/>
          </w:tcPr>
          <w:p w14:paraId="2F66C59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Discount rate (costs and outcomes)</w:t>
            </w:r>
          </w:p>
        </w:tc>
        <w:tc>
          <w:tcPr>
            <w:tcW w:w="857" w:type="pct"/>
            <w:tcBorders>
              <w:bottom w:val="nil"/>
            </w:tcBorders>
            <w:shd w:val="clear" w:color="auto" w:fill="auto"/>
            <w:noWrap/>
            <w:hideMark/>
          </w:tcPr>
          <w:p w14:paraId="14B806C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w:t>
            </w:r>
          </w:p>
        </w:tc>
        <w:tc>
          <w:tcPr>
            <w:tcW w:w="546" w:type="pct"/>
            <w:tcBorders>
              <w:bottom w:val="nil"/>
            </w:tcBorders>
            <w:shd w:val="clear" w:color="auto" w:fill="auto"/>
            <w:noWrap/>
            <w:hideMark/>
          </w:tcPr>
          <w:p w14:paraId="72E8EB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$12,582</w:t>
            </w:r>
          </w:p>
        </w:tc>
        <w:tc>
          <w:tcPr>
            <w:tcW w:w="546" w:type="pct"/>
            <w:tcBorders>
              <w:bottom w:val="nil"/>
            </w:tcBorders>
            <w:shd w:val="clear" w:color="auto" w:fill="auto"/>
            <w:noWrap/>
            <w:hideMark/>
          </w:tcPr>
          <w:p w14:paraId="6CB13D3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$32,407</w:t>
            </w:r>
          </w:p>
        </w:tc>
        <w:tc>
          <w:tcPr>
            <w:tcW w:w="622" w:type="pct"/>
            <w:tcBorders>
              <w:bottom w:val="nil"/>
            </w:tcBorders>
            <w:shd w:val="clear" w:color="auto" w:fill="auto"/>
            <w:noWrap/>
            <w:hideMark/>
          </w:tcPr>
          <w:p w14:paraId="66875D8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$22,973</w:t>
            </w:r>
          </w:p>
        </w:tc>
        <w:tc>
          <w:tcPr>
            <w:tcW w:w="544" w:type="pct"/>
            <w:tcBorders>
              <w:bottom w:val="nil"/>
            </w:tcBorders>
            <w:shd w:val="clear" w:color="auto" w:fill="auto"/>
            <w:noWrap/>
            <w:hideMark/>
          </w:tcPr>
          <w:p w14:paraId="721C9E9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$32,531</w:t>
            </w:r>
          </w:p>
        </w:tc>
        <w:tc>
          <w:tcPr>
            <w:tcW w:w="547" w:type="pct"/>
            <w:tcBorders>
              <w:bottom w:val="nil"/>
            </w:tcBorders>
            <w:shd w:val="clear" w:color="auto" w:fill="auto"/>
            <w:noWrap/>
            <w:hideMark/>
          </w:tcPr>
          <w:p w14:paraId="4EFD2C2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$68,523</w:t>
            </w:r>
          </w:p>
        </w:tc>
      </w:tr>
      <w:tr w:rsidR="00E47AB8" w:rsidRPr="008B2F8A" w14:paraId="292786DF" w14:textId="77777777" w:rsidTr="00E14AC4">
        <w:tc>
          <w:tcPr>
            <w:tcW w:w="1338" w:type="pct"/>
            <w:tcBorders>
              <w:top w:val="nil"/>
              <w:bottom w:val="nil"/>
            </w:tcBorders>
            <w:shd w:val="clear" w:color="auto" w:fill="auto"/>
            <w:noWrap/>
          </w:tcPr>
          <w:p w14:paraId="7212AA45" w14:textId="77777777" w:rsidR="00E47AB8" w:rsidRPr="008B2F8A" w:rsidRDefault="00E47AB8" w:rsidP="00422306">
            <w:pPr>
              <w:spacing w:before="40" w:after="80"/>
              <w:rPr>
                <w:rFonts w:ascii="Arial Narrow" w:eastAsia="Times New Roman" w:hAnsi="Arial Narrow"/>
                <w:sz w:val="20"/>
                <w:szCs w:val="20"/>
              </w:rPr>
            </w:pPr>
            <w:r w:rsidRPr="00987A8E">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511AFF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0.035</w:t>
            </w:r>
          </w:p>
        </w:tc>
        <w:tc>
          <w:tcPr>
            <w:tcW w:w="546" w:type="pct"/>
            <w:tcBorders>
              <w:top w:val="nil"/>
              <w:bottom w:val="nil"/>
            </w:tcBorders>
            <w:shd w:val="clear" w:color="auto" w:fill="auto"/>
            <w:noWrap/>
            <w:hideMark/>
          </w:tcPr>
          <w:p w14:paraId="13B72B1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$26,783</w:t>
            </w:r>
          </w:p>
        </w:tc>
        <w:tc>
          <w:tcPr>
            <w:tcW w:w="546" w:type="pct"/>
            <w:tcBorders>
              <w:top w:val="nil"/>
              <w:bottom w:val="nil"/>
            </w:tcBorders>
            <w:shd w:val="clear" w:color="auto" w:fill="auto"/>
            <w:noWrap/>
            <w:hideMark/>
          </w:tcPr>
          <w:p w14:paraId="74FC6F2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$69,592</w:t>
            </w:r>
          </w:p>
        </w:tc>
        <w:tc>
          <w:tcPr>
            <w:tcW w:w="622" w:type="pct"/>
            <w:tcBorders>
              <w:top w:val="nil"/>
              <w:bottom w:val="nil"/>
            </w:tcBorders>
            <w:shd w:val="clear" w:color="auto" w:fill="auto"/>
            <w:noWrap/>
            <w:hideMark/>
          </w:tcPr>
          <w:p w14:paraId="134264E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$45,489</w:t>
            </w:r>
          </w:p>
        </w:tc>
        <w:tc>
          <w:tcPr>
            <w:tcW w:w="544" w:type="pct"/>
            <w:tcBorders>
              <w:top w:val="nil"/>
              <w:bottom w:val="nil"/>
            </w:tcBorders>
            <w:shd w:val="clear" w:color="auto" w:fill="auto"/>
            <w:noWrap/>
            <w:hideMark/>
          </w:tcPr>
          <w:p w14:paraId="7524902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$64,572</w:t>
            </w:r>
          </w:p>
        </w:tc>
        <w:tc>
          <w:tcPr>
            <w:tcW w:w="547" w:type="pct"/>
            <w:tcBorders>
              <w:top w:val="nil"/>
              <w:bottom w:val="nil"/>
            </w:tcBorders>
            <w:shd w:val="clear" w:color="auto" w:fill="auto"/>
            <w:noWrap/>
            <w:hideMark/>
          </w:tcPr>
          <w:p w14:paraId="16BB43D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$138,586</w:t>
            </w:r>
          </w:p>
        </w:tc>
      </w:tr>
      <w:tr w:rsidR="00E47AB8" w:rsidRPr="008B2F8A" w14:paraId="7308A41D" w14:textId="77777777" w:rsidTr="00E14AC4">
        <w:tc>
          <w:tcPr>
            <w:tcW w:w="1338" w:type="pct"/>
            <w:tcBorders>
              <w:top w:val="nil"/>
              <w:bottom w:val="single" w:sz="4" w:space="0" w:color="auto"/>
            </w:tcBorders>
            <w:shd w:val="clear" w:color="auto" w:fill="auto"/>
            <w:noWrap/>
          </w:tcPr>
          <w:p w14:paraId="6C6DF013" w14:textId="77777777" w:rsidR="00E47AB8" w:rsidRPr="008B2F8A" w:rsidRDefault="00E47AB8" w:rsidP="00422306">
            <w:pPr>
              <w:spacing w:before="40" w:after="80"/>
              <w:rPr>
                <w:rFonts w:ascii="Arial Narrow" w:eastAsia="Times New Roman" w:hAnsi="Arial Narrow"/>
                <w:sz w:val="20"/>
                <w:szCs w:val="20"/>
              </w:rPr>
            </w:pPr>
            <w:r w:rsidRPr="00987A8E">
              <w:rPr>
                <w:rFonts w:ascii="Arial Narrow" w:hAnsi="Arial Narrow"/>
                <w:color w:val="FFFFFF" w:themeColor="background1"/>
                <w:sz w:val="20"/>
                <w:szCs w:val="20"/>
              </w:rPr>
              <w:t>-</w:t>
            </w:r>
          </w:p>
        </w:tc>
        <w:tc>
          <w:tcPr>
            <w:tcW w:w="857" w:type="pct"/>
            <w:tcBorders>
              <w:top w:val="nil"/>
              <w:bottom w:val="single" w:sz="4" w:space="0" w:color="auto"/>
            </w:tcBorders>
            <w:shd w:val="clear" w:color="auto" w:fill="auto"/>
            <w:noWrap/>
            <w:hideMark/>
          </w:tcPr>
          <w:p w14:paraId="50A00BA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0.1</w:t>
            </w:r>
          </w:p>
        </w:tc>
        <w:tc>
          <w:tcPr>
            <w:tcW w:w="546" w:type="pct"/>
            <w:tcBorders>
              <w:top w:val="nil"/>
              <w:bottom w:val="single" w:sz="4" w:space="0" w:color="auto"/>
            </w:tcBorders>
            <w:shd w:val="clear" w:color="auto" w:fill="auto"/>
            <w:noWrap/>
            <w:hideMark/>
          </w:tcPr>
          <w:p w14:paraId="26EBDE2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$77,840</w:t>
            </w:r>
          </w:p>
        </w:tc>
        <w:tc>
          <w:tcPr>
            <w:tcW w:w="546" w:type="pct"/>
            <w:tcBorders>
              <w:top w:val="nil"/>
              <w:bottom w:val="single" w:sz="4" w:space="0" w:color="auto"/>
            </w:tcBorders>
            <w:shd w:val="clear" w:color="auto" w:fill="auto"/>
            <w:noWrap/>
            <w:hideMark/>
          </w:tcPr>
          <w:p w14:paraId="41B6923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$192,117</w:t>
            </w:r>
          </w:p>
        </w:tc>
        <w:tc>
          <w:tcPr>
            <w:tcW w:w="622" w:type="pct"/>
            <w:tcBorders>
              <w:top w:val="nil"/>
              <w:bottom w:val="single" w:sz="4" w:space="0" w:color="auto"/>
            </w:tcBorders>
            <w:shd w:val="clear" w:color="auto" w:fill="auto"/>
            <w:noWrap/>
            <w:hideMark/>
          </w:tcPr>
          <w:p w14:paraId="141491E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$115,080</w:t>
            </w:r>
          </w:p>
        </w:tc>
        <w:tc>
          <w:tcPr>
            <w:tcW w:w="544" w:type="pct"/>
            <w:tcBorders>
              <w:top w:val="nil"/>
              <w:bottom w:val="single" w:sz="4" w:space="0" w:color="auto"/>
            </w:tcBorders>
            <w:shd w:val="clear" w:color="auto" w:fill="auto"/>
            <w:noWrap/>
            <w:hideMark/>
          </w:tcPr>
          <w:p w14:paraId="742E857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$164,925</w:t>
            </w:r>
          </w:p>
        </w:tc>
        <w:tc>
          <w:tcPr>
            <w:tcW w:w="547" w:type="pct"/>
            <w:tcBorders>
              <w:top w:val="nil"/>
              <w:bottom w:val="single" w:sz="4" w:space="0" w:color="auto"/>
            </w:tcBorders>
            <w:shd w:val="clear" w:color="auto" w:fill="auto"/>
            <w:noWrap/>
            <w:hideMark/>
          </w:tcPr>
          <w:p w14:paraId="37C3F13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$332,142</w:t>
            </w:r>
          </w:p>
        </w:tc>
      </w:tr>
      <w:tr w:rsidR="00E47AB8" w:rsidRPr="008B2F8A" w14:paraId="19F34523" w14:textId="77777777" w:rsidTr="00E14AC4">
        <w:tc>
          <w:tcPr>
            <w:tcW w:w="1338" w:type="pct"/>
            <w:tcBorders>
              <w:bottom w:val="nil"/>
            </w:tcBorders>
            <w:shd w:val="clear" w:color="auto" w:fill="auto"/>
            <w:noWrap/>
            <w:hideMark/>
          </w:tcPr>
          <w:p w14:paraId="2D8CD90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Model follow-up/duration (to age …)</w:t>
            </w:r>
          </w:p>
        </w:tc>
        <w:tc>
          <w:tcPr>
            <w:tcW w:w="857" w:type="pct"/>
            <w:tcBorders>
              <w:bottom w:val="nil"/>
            </w:tcBorders>
            <w:shd w:val="clear" w:color="auto" w:fill="auto"/>
            <w:noWrap/>
            <w:hideMark/>
          </w:tcPr>
          <w:p w14:paraId="0F6EE25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60</w:t>
            </w:r>
          </w:p>
        </w:tc>
        <w:tc>
          <w:tcPr>
            <w:tcW w:w="546" w:type="pct"/>
            <w:tcBorders>
              <w:bottom w:val="nil"/>
            </w:tcBorders>
            <w:shd w:val="clear" w:color="auto" w:fill="auto"/>
            <w:noWrap/>
            <w:hideMark/>
          </w:tcPr>
          <w:p w14:paraId="2BEE2D0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$52,827</w:t>
            </w:r>
          </w:p>
        </w:tc>
        <w:tc>
          <w:tcPr>
            <w:tcW w:w="546" w:type="pct"/>
            <w:tcBorders>
              <w:bottom w:val="nil"/>
            </w:tcBorders>
            <w:shd w:val="clear" w:color="auto" w:fill="auto"/>
            <w:noWrap/>
            <w:hideMark/>
          </w:tcPr>
          <w:p w14:paraId="6B421D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$134,844</w:t>
            </w:r>
          </w:p>
        </w:tc>
        <w:tc>
          <w:tcPr>
            <w:tcW w:w="622" w:type="pct"/>
            <w:tcBorders>
              <w:bottom w:val="nil"/>
            </w:tcBorders>
            <w:shd w:val="clear" w:color="auto" w:fill="auto"/>
            <w:noWrap/>
            <w:hideMark/>
          </w:tcPr>
          <w:p w14:paraId="62845DF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$117,487</w:t>
            </w:r>
          </w:p>
        </w:tc>
        <w:tc>
          <w:tcPr>
            <w:tcW w:w="544" w:type="pct"/>
            <w:tcBorders>
              <w:bottom w:val="nil"/>
            </w:tcBorders>
            <w:shd w:val="clear" w:color="auto" w:fill="auto"/>
            <w:noWrap/>
            <w:hideMark/>
          </w:tcPr>
          <w:p w14:paraId="0B152F9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$168,109</w:t>
            </w:r>
          </w:p>
        </w:tc>
        <w:tc>
          <w:tcPr>
            <w:tcW w:w="547" w:type="pct"/>
            <w:tcBorders>
              <w:bottom w:val="nil"/>
            </w:tcBorders>
            <w:shd w:val="clear" w:color="auto" w:fill="auto"/>
            <w:noWrap/>
            <w:hideMark/>
          </w:tcPr>
          <w:p w14:paraId="46CF4E1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$243,081</w:t>
            </w:r>
          </w:p>
        </w:tc>
      </w:tr>
      <w:tr w:rsidR="00E47AB8" w:rsidRPr="008B2F8A" w14:paraId="0FCFF4D7" w14:textId="77777777" w:rsidTr="00E14AC4">
        <w:tc>
          <w:tcPr>
            <w:tcW w:w="1338" w:type="pct"/>
            <w:tcBorders>
              <w:top w:val="nil"/>
              <w:bottom w:val="nil"/>
            </w:tcBorders>
            <w:shd w:val="clear" w:color="auto" w:fill="auto"/>
            <w:noWrap/>
          </w:tcPr>
          <w:p w14:paraId="24B00A76" w14:textId="77777777" w:rsidR="00E47AB8" w:rsidRPr="008B2F8A" w:rsidRDefault="00E47AB8" w:rsidP="00422306">
            <w:pPr>
              <w:spacing w:before="40" w:after="80"/>
              <w:rPr>
                <w:rFonts w:ascii="Arial Narrow" w:eastAsia="Times New Roman" w:hAnsi="Arial Narrow"/>
                <w:sz w:val="20"/>
                <w:szCs w:val="20"/>
              </w:rPr>
            </w:pPr>
            <w:r w:rsidRPr="00A01B29">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108E13E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70</w:t>
            </w:r>
          </w:p>
        </w:tc>
        <w:tc>
          <w:tcPr>
            <w:tcW w:w="546" w:type="pct"/>
            <w:tcBorders>
              <w:top w:val="nil"/>
              <w:bottom w:val="nil"/>
            </w:tcBorders>
            <w:shd w:val="clear" w:color="auto" w:fill="auto"/>
            <w:noWrap/>
            <w:hideMark/>
          </w:tcPr>
          <w:p w14:paraId="359F5AB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$40,949</w:t>
            </w:r>
          </w:p>
        </w:tc>
        <w:tc>
          <w:tcPr>
            <w:tcW w:w="546" w:type="pct"/>
            <w:tcBorders>
              <w:top w:val="nil"/>
              <w:bottom w:val="nil"/>
            </w:tcBorders>
            <w:shd w:val="clear" w:color="auto" w:fill="auto"/>
            <w:noWrap/>
            <w:hideMark/>
          </w:tcPr>
          <w:p w14:paraId="3D68F73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$105,979</w:t>
            </w:r>
          </w:p>
        </w:tc>
        <w:tc>
          <w:tcPr>
            <w:tcW w:w="622" w:type="pct"/>
            <w:tcBorders>
              <w:top w:val="nil"/>
              <w:bottom w:val="nil"/>
            </w:tcBorders>
            <w:shd w:val="clear" w:color="auto" w:fill="auto"/>
            <w:noWrap/>
            <w:hideMark/>
          </w:tcPr>
          <w:p w14:paraId="7EE13B7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$74,316</w:t>
            </w:r>
          </w:p>
        </w:tc>
        <w:tc>
          <w:tcPr>
            <w:tcW w:w="544" w:type="pct"/>
            <w:tcBorders>
              <w:top w:val="nil"/>
              <w:bottom w:val="nil"/>
            </w:tcBorders>
            <w:shd w:val="clear" w:color="auto" w:fill="auto"/>
            <w:noWrap/>
            <w:hideMark/>
          </w:tcPr>
          <w:p w14:paraId="21B43F4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$105,827</w:t>
            </w:r>
          </w:p>
        </w:tc>
        <w:tc>
          <w:tcPr>
            <w:tcW w:w="547" w:type="pct"/>
            <w:tcBorders>
              <w:top w:val="nil"/>
              <w:bottom w:val="nil"/>
            </w:tcBorders>
            <w:shd w:val="clear" w:color="auto" w:fill="auto"/>
            <w:noWrap/>
            <w:hideMark/>
          </w:tcPr>
          <w:p w14:paraId="1AECF71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$200,086</w:t>
            </w:r>
          </w:p>
        </w:tc>
      </w:tr>
      <w:tr w:rsidR="00E47AB8" w:rsidRPr="008B2F8A" w14:paraId="236B8E67" w14:textId="77777777" w:rsidTr="00E14AC4">
        <w:tc>
          <w:tcPr>
            <w:tcW w:w="1338" w:type="pct"/>
            <w:tcBorders>
              <w:top w:val="nil"/>
              <w:bottom w:val="nil"/>
            </w:tcBorders>
            <w:shd w:val="clear" w:color="auto" w:fill="auto"/>
            <w:noWrap/>
          </w:tcPr>
          <w:p w14:paraId="37F09A86" w14:textId="77777777" w:rsidR="00E47AB8" w:rsidRPr="008B2F8A" w:rsidRDefault="00E47AB8" w:rsidP="00422306">
            <w:pPr>
              <w:spacing w:before="40" w:after="80"/>
              <w:rPr>
                <w:rFonts w:ascii="Arial Narrow" w:eastAsia="Times New Roman" w:hAnsi="Arial Narrow"/>
                <w:sz w:val="20"/>
                <w:szCs w:val="20"/>
              </w:rPr>
            </w:pPr>
            <w:r w:rsidRPr="00A01B29">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2464C5E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80</w:t>
            </w:r>
          </w:p>
        </w:tc>
        <w:tc>
          <w:tcPr>
            <w:tcW w:w="546" w:type="pct"/>
            <w:tcBorders>
              <w:top w:val="nil"/>
              <w:bottom w:val="nil"/>
            </w:tcBorders>
            <w:shd w:val="clear" w:color="auto" w:fill="auto"/>
            <w:noWrap/>
            <w:hideMark/>
          </w:tcPr>
          <w:p w14:paraId="4909ADE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$36,965</w:t>
            </w:r>
          </w:p>
        </w:tc>
        <w:tc>
          <w:tcPr>
            <w:tcW w:w="546" w:type="pct"/>
            <w:tcBorders>
              <w:top w:val="nil"/>
              <w:bottom w:val="nil"/>
            </w:tcBorders>
            <w:shd w:val="clear" w:color="auto" w:fill="auto"/>
            <w:noWrap/>
            <w:hideMark/>
          </w:tcPr>
          <w:p w14:paraId="13612F1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$95,602</w:t>
            </w:r>
          </w:p>
        </w:tc>
        <w:tc>
          <w:tcPr>
            <w:tcW w:w="622" w:type="pct"/>
            <w:tcBorders>
              <w:top w:val="nil"/>
              <w:bottom w:val="nil"/>
            </w:tcBorders>
            <w:shd w:val="clear" w:color="auto" w:fill="auto"/>
            <w:noWrap/>
            <w:hideMark/>
          </w:tcPr>
          <w:p w14:paraId="12594E3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$62,477</w:t>
            </w:r>
          </w:p>
        </w:tc>
        <w:tc>
          <w:tcPr>
            <w:tcW w:w="544" w:type="pct"/>
            <w:tcBorders>
              <w:top w:val="nil"/>
              <w:bottom w:val="nil"/>
            </w:tcBorders>
            <w:shd w:val="clear" w:color="auto" w:fill="auto"/>
            <w:noWrap/>
            <w:hideMark/>
          </w:tcPr>
          <w:p w14:paraId="071A764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$88,854</w:t>
            </w:r>
          </w:p>
        </w:tc>
        <w:tc>
          <w:tcPr>
            <w:tcW w:w="547" w:type="pct"/>
            <w:tcBorders>
              <w:top w:val="nil"/>
              <w:bottom w:val="nil"/>
            </w:tcBorders>
            <w:shd w:val="clear" w:color="auto" w:fill="auto"/>
            <w:noWrap/>
            <w:hideMark/>
          </w:tcPr>
          <w:p w14:paraId="1D38B45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$183,328</w:t>
            </w:r>
          </w:p>
        </w:tc>
      </w:tr>
      <w:tr w:rsidR="00E47AB8" w:rsidRPr="008B2F8A" w14:paraId="7D12F5A9" w14:textId="77777777" w:rsidTr="00E14AC4">
        <w:tc>
          <w:tcPr>
            <w:tcW w:w="1338" w:type="pct"/>
            <w:tcBorders>
              <w:top w:val="nil"/>
              <w:bottom w:val="nil"/>
            </w:tcBorders>
            <w:shd w:val="clear" w:color="auto" w:fill="auto"/>
            <w:noWrap/>
          </w:tcPr>
          <w:p w14:paraId="7042D79D" w14:textId="77777777" w:rsidR="00E47AB8" w:rsidRPr="008B2F8A" w:rsidRDefault="00E47AB8" w:rsidP="00422306">
            <w:pPr>
              <w:spacing w:before="40" w:after="80"/>
              <w:rPr>
                <w:rFonts w:ascii="Arial Narrow" w:eastAsia="Times New Roman" w:hAnsi="Arial Narrow"/>
                <w:sz w:val="20"/>
                <w:szCs w:val="20"/>
              </w:rPr>
            </w:pPr>
            <w:r w:rsidRPr="00A01B29">
              <w:rPr>
                <w:rFonts w:ascii="Arial Narrow" w:hAnsi="Arial Narrow"/>
                <w:color w:val="FFFFFF" w:themeColor="background1"/>
                <w:sz w:val="20"/>
                <w:szCs w:val="20"/>
              </w:rPr>
              <w:t>-</w:t>
            </w:r>
          </w:p>
        </w:tc>
        <w:tc>
          <w:tcPr>
            <w:tcW w:w="857" w:type="pct"/>
            <w:tcBorders>
              <w:top w:val="nil"/>
              <w:bottom w:val="nil"/>
            </w:tcBorders>
            <w:shd w:val="clear" w:color="auto" w:fill="auto"/>
            <w:noWrap/>
            <w:hideMark/>
          </w:tcPr>
          <w:p w14:paraId="4F5685D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90</w:t>
            </w:r>
          </w:p>
        </w:tc>
        <w:tc>
          <w:tcPr>
            <w:tcW w:w="546" w:type="pct"/>
            <w:tcBorders>
              <w:top w:val="nil"/>
              <w:bottom w:val="nil"/>
            </w:tcBorders>
            <w:shd w:val="clear" w:color="auto" w:fill="auto"/>
            <w:noWrap/>
            <w:hideMark/>
          </w:tcPr>
          <w:p w14:paraId="455960D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$35,701</w:t>
            </w:r>
          </w:p>
        </w:tc>
        <w:tc>
          <w:tcPr>
            <w:tcW w:w="546" w:type="pct"/>
            <w:tcBorders>
              <w:top w:val="nil"/>
              <w:bottom w:val="nil"/>
            </w:tcBorders>
            <w:shd w:val="clear" w:color="auto" w:fill="auto"/>
            <w:noWrap/>
            <w:hideMark/>
          </w:tcPr>
          <w:p w14:paraId="10E5333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$92,153</w:t>
            </w:r>
          </w:p>
        </w:tc>
        <w:tc>
          <w:tcPr>
            <w:tcW w:w="622" w:type="pct"/>
            <w:tcBorders>
              <w:top w:val="nil"/>
              <w:bottom w:val="nil"/>
            </w:tcBorders>
            <w:shd w:val="clear" w:color="auto" w:fill="auto"/>
            <w:noWrap/>
            <w:hideMark/>
          </w:tcPr>
          <w:p w14:paraId="43EA51F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$58,883</w:t>
            </w:r>
          </w:p>
        </w:tc>
        <w:tc>
          <w:tcPr>
            <w:tcW w:w="544" w:type="pct"/>
            <w:tcBorders>
              <w:top w:val="nil"/>
              <w:bottom w:val="nil"/>
            </w:tcBorders>
            <w:shd w:val="clear" w:color="auto" w:fill="auto"/>
            <w:noWrap/>
            <w:hideMark/>
          </w:tcPr>
          <w:p w14:paraId="0F5674A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$83,713</w:t>
            </w:r>
          </w:p>
        </w:tc>
        <w:tc>
          <w:tcPr>
            <w:tcW w:w="547" w:type="pct"/>
            <w:tcBorders>
              <w:top w:val="nil"/>
              <w:bottom w:val="nil"/>
            </w:tcBorders>
            <w:shd w:val="clear" w:color="auto" w:fill="auto"/>
            <w:noWrap/>
            <w:hideMark/>
          </w:tcPr>
          <w:p w14:paraId="02C5E5F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$177,607</w:t>
            </w:r>
          </w:p>
        </w:tc>
      </w:tr>
      <w:tr w:rsidR="00E47AB8" w:rsidRPr="008B2F8A" w14:paraId="1426459B" w14:textId="77777777" w:rsidTr="00E14AC4">
        <w:tc>
          <w:tcPr>
            <w:tcW w:w="1338" w:type="pct"/>
            <w:tcBorders>
              <w:top w:val="nil"/>
            </w:tcBorders>
            <w:shd w:val="clear" w:color="auto" w:fill="auto"/>
            <w:noWrap/>
          </w:tcPr>
          <w:p w14:paraId="5B674D8E" w14:textId="77777777" w:rsidR="00E47AB8" w:rsidRPr="008B2F8A" w:rsidRDefault="00E47AB8" w:rsidP="00422306">
            <w:pPr>
              <w:spacing w:before="40" w:after="80"/>
              <w:rPr>
                <w:rFonts w:ascii="Arial Narrow" w:eastAsia="Times New Roman" w:hAnsi="Arial Narrow"/>
                <w:sz w:val="20"/>
                <w:szCs w:val="20"/>
              </w:rPr>
            </w:pPr>
            <w:r w:rsidRPr="00A01B29">
              <w:rPr>
                <w:rFonts w:ascii="Arial Narrow" w:hAnsi="Arial Narrow"/>
                <w:color w:val="FFFFFF" w:themeColor="background1"/>
                <w:sz w:val="20"/>
                <w:szCs w:val="20"/>
              </w:rPr>
              <w:t>-</w:t>
            </w:r>
          </w:p>
        </w:tc>
        <w:tc>
          <w:tcPr>
            <w:tcW w:w="857" w:type="pct"/>
            <w:tcBorders>
              <w:top w:val="nil"/>
            </w:tcBorders>
            <w:shd w:val="clear" w:color="auto" w:fill="auto"/>
            <w:noWrap/>
            <w:hideMark/>
          </w:tcPr>
          <w:p w14:paraId="2517266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99</w:t>
            </w:r>
          </w:p>
        </w:tc>
        <w:tc>
          <w:tcPr>
            <w:tcW w:w="546" w:type="pct"/>
            <w:tcBorders>
              <w:top w:val="nil"/>
            </w:tcBorders>
            <w:shd w:val="clear" w:color="auto" w:fill="auto"/>
            <w:noWrap/>
            <w:hideMark/>
          </w:tcPr>
          <w:p w14:paraId="0429849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$35,460</w:t>
            </w:r>
          </w:p>
        </w:tc>
        <w:tc>
          <w:tcPr>
            <w:tcW w:w="546" w:type="pct"/>
            <w:tcBorders>
              <w:top w:val="nil"/>
            </w:tcBorders>
            <w:shd w:val="clear" w:color="auto" w:fill="auto"/>
            <w:noWrap/>
            <w:hideMark/>
          </w:tcPr>
          <w:p w14:paraId="47CFF3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tcBorders>
            <w:shd w:val="clear" w:color="auto" w:fill="auto"/>
            <w:noWrap/>
            <w:hideMark/>
          </w:tcPr>
          <w:p w14:paraId="0FCF082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$58,240</w:t>
            </w:r>
          </w:p>
        </w:tc>
        <w:tc>
          <w:tcPr>
            <w:tcW w:w="544" w:type="pct"/>
            <w:tcBorders>
              <w:top w:val="nil"/>
            </w:tcBorders>
            <w:shd w:val="clear" w:color="auto" w:fill="auto"/>
            <w:noWrap/>
            <w:hideMark/>
          </w:tcPr>
          <w:p w14:paraId="147957B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$82,793</w:t>
            </w:r>
          </w:p>
        </w:tc>
        <w:tc>
          <w:tcPr>
            <w:tcW w:w="547" w:type="pct"/>
            <w:tcBorders>
              <w:top w:val="nil"/>
            </w:tcBorders>
            <w:shd w:val="clear" w:color="auto" w:fill="auto"/>
            <w:noWrap/>
            <w:hideMark/>
          </w:tcPr>
          <w:p w14:paraId="0E2748F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$176,536</w:t>
            </w:r>
          </w:p>
        </w:tc>
      </w:tr>
    </w:tbl>
    <w:p w14:paraId="1B490F0C" w14:textId="77777777" w:rsidR="00E47AB8" w:rsidRPr="008B2F8A" w:rsidRDefault="00E47AB8" w:rsidP="00E14AC4">
      <w:pPr>
        <w:pStyle w:val="TableNotesLast"/>
        <w:rPr>
          <w:rFonts w:eastAsiaTheme="minorHAnsi"/>
        </w:rPr>
      </w:pPr>
      <w:bookmarkStart w:id="1267" w:name="OLE_LINK409"/>
      <w:bookmarkStart w:id="1268" w:name="OLE_LINK410"/>
      <w:bookmarkStart w:id="1269" w:name="_Ref375921698"/>
      <w:r w:rsidRPr="008B2F8A">
        <w:rPr>
          <w:rFonts w:eastAsiaTheme="minorHAnsi"/>
        </w:rPr>
        <w:t xml:space="preserve">DCIS = ductal carcinoma in situ; LCIS = lobular carcinoma in situ; MRI = magnetic resonance imaging; MAM = mammography; Sens = sensitivity; Spec = specificity; LCL = </w:t>
      </w:r>
      <w:bookmarkStart w:id="1270" w:name="OLE_LINK433"/>
      <w:bookmarkStart w:id="1271" w:name="OLE_LINK434"/>
      <w:r w:rsidRPr="008B2F8A">
        <w:rPr>
          <w:rFonts w:eastAsiaTheme="minorHAnsi"/>
        </w:rPr>
        <w:t>lower control limit; UCL = upper control limit</w:t>
      </w:r>
      <w:bookmarkEnd w:id="1270"/>
      <w:bookmarkEnd w:id="1271"/>
      <w:r w:rsidRPr="008B2F8A">
        <w:rPr>
          <w:rFonts w:eastAsiaTheme="minorHAnsi"/>
        </w:rPr>
        <w:t>.</w:t>
      </w:r>
      <w:bookmarkEnd w:id="1267"/>
      <w:bookmarkEnd w:id="1268"/>
    </w:p>
    <w:p w14:paraId="5CD2FAA0" w14:textId="14A1EA12" w:rsidR="00E47AB8" w:rsidRPr="008B2F8A" w:rsidRDefault="00E47AB8" w:rsidP="00422306">
      <w:pPr>
        <w:pStyle w:val="Caption"/>
      </w:pPr>
      <w:bookmarkStart w:id="1272" w:name="_Ref377646399"/>
      <w:bookmarkStart w:id="1273" w:name="_Ref256239256"/>
      <w:bookmarkStart w:id="1274" w:name="_Toc383424631"/>
      <w:r w:rsidRPr="008B2F8A">
        <w:lastRenderedPageBreak/>
        <w:t xml:space="preserve">Table </w:t>
      </w:r>
      <w:fldSimple w:instr=" STYLEREF 1 \s ">
        <w:r w:rsidR="00B81273">
          <w:rPr>
            <w:noProof/>
          </w:rPr>
          <w:t>D</w:t>
        </w:r>
      </w:fldSimple>
      <w:r w:rsidRPr="008B2F8A">
        <w:t>.</w:t>
      </w:r>
      <w:fldSimple w:instr=" SEQ Table \* ARABIC \s 1 ">
        <w:r w:rsidR="00B81273">
          <w:rPr>
            <w:noProof/>
          </w:rPr>
          <w:t>22</w:t>
        </w:r>
      </w:fldSimple>
      <w:bookmarkEnd w:id="1269"/>
      <w:bookmarkEnd w:id="1272"/>
      <w:r w:rsidRPr="008B2F8A">
        <w:tab/>
      </w:r>
      <w:bookmarkStart w:id="1275" w:name="OLE_LINK1127"/>
      <w:bookmarkStart w:id="1276" w:name="OLE_LINK1128"/>
      <w:r w:rsidRPr="008B2F8A">
        <w:t xml:space="preserve">Univariate sensitivity analysis (using </w:t>
      </w:r>
      <w:r>
        <w:t>HIQA, 2013</w:t>
      </w:r>
      <w:r w:rsidRPr="008B2F8A">
        <w:t xml:space="preserve"> accuracy data in all populations)</w:t>
      </w:r>
      <w:bookmarkEnd w:id="1275"/>
      <w:bookmarkEnd w:id="1276"/>
      <w:r w:rsidRPr="008B2F8A">
        <w:t>.</w:t>
      </w:r>
      <w:bookmarkEnd w:id="1273"/>
      <w:bookmarkEnd w:id="1274"/>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Univariate sensitivity analysis (using HIQA, 2013 accuracy data in all populations)"/>
      </w:tblPr>
      <w:tblGrid>
        <w:gridCol w:w="2443"/>
        <w:gridCol w:w="1560"/>
        <w:gridCol w:w="995"/>
        <w:gridCol w:w="995"/>
        <w:gridCol w:w="1135"/>
        <w:gridCol w:w="993"/>
        <w:gridCol w:w="1004"/>
      </w:tblGrid>
      <w:tr w:rsidR="00E47AB8" w:rsidRPr="008B2F8A" w14:paraId="0B09B831" w14:textId="77777777" w:rsidTr="00E14AC4">
        <w:trPr>
          <w:tblHeader/>
        </w:trPr>
        <w:tc>
          <w:tcPr>
            <w:tcW w:w="1338" w:type="pct"/>
            <w:tcBorders>
              <w:bottom w:val="nil"/>
            </w:tcBorders>
            <w:shd w:val="clear" w:color="auto" w:fill="EEECE1" w:themeFill="background2"/>
            <w:noWrap/>
            <w:hideMark/>
          </w:tcPr>
          <w:p w14:paraId="24E5BFF7"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Variable tested</w:t>
            </w:r>
          </w:p>
        </w:tc>
        <w:tc>
          <w:tcPr>
            <w:tcW w:w="855" w:type="pct"/>
            <w:tcBorders>
              <w:bottom w:val="nil"/>
            </w:tcBorders>
            <w:shd w:val="clear" w:color="auto" w:fill="EEECE1" w:themeFill="background2"/>
            <w:noWrap/>
            <w:hideMark/>
          </w:tcPr>
          <w:p w14:paraId="1D023987"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Value(s) used</w:t>
            </w:r>
          </w:p>
        </w:tc>
        <w:tc>
          <w:tcPr>
            <w:tcW w:w="545" w:type="pct"/>
            <w:tcBorders>
              <w:bottom w:val="nil"/>
            </w:tcBorders>
            <w:shd w:val="clear" w:color="auto" w:fill="EEECE1" w:themeFill="background2"/>
            <w:noWrap/>
            <w:hideMark/>
          </w:tcPr>
          <w:p w14:paraId="7965BEDD"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 1</w:t>
            </w:r>
          </w:p>
        </w:tc>
        <w:tc>
          <w:tcPr>
            <w:tcW w:w="545" w:type="pct"/>
            <w:tcBorders>
              <w:bottom w:val="nil"/>
            </w:tcBorders>
            <w:shd w:val="clear" w:color="auto" w:fill="EEECE1" w:themeFill="background2"/>
            <w:noWrap/>
            <w:hideMark/>
          </w:tcPr>
          <w:p w14:paraId="4F5827C9"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 2</w:t>
            </w:r>
          </w:p>
        </w:tc>
        <w:tc>
          <w:tcPr>
            <w:tcW w:w="622" w:type="pct"/>
            <w:tcBorders>
              <w:bottom w:val="nil"/>
            </w:tcBorders>
            <w:shd w:val="clear" w:color="auto" w:fill="EEECE1" w:themeFill="background2"/>
            <w:noWrap/>
            <w:hideMark/>
          </w:tcPr>
          <w:p w14:paraId="03FB1B78"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 3</w:t>
            </w:r>
          </w:p>
        </w:tc>
        <w:tc>
          <w:tcPr>
            <w:tcW w:w="544" w:type="pct"/>
            <w:tcBorders>
              <w:bottom w:val="nil"/>
            </w:tcBorders>
            <w:shd w:val="clear" w:color="auto" w:fill="EEECE1" w:themeFill="background2"/>
            <w:noWrap/>
            <w:hideMark/>
          </w:tcPr>
          <w:p w14:paraId="53598F14"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 4</w:t>
            </w:r>
          </w:p>
        </w:tc>
        <w:tc>
          <w:tcPr>
            <w:tcW w:w="550" w:type="pct"/>
            <w:tcBorders>
              <w:bottom w:val="nil"/>
            </w:tcBorders>
            <w:shd w:val="clear" w:color="auto" w:fill="EEECE1" w:themeFill="background2"/>
            <w:noWrap/>
            <w:hideMark/>
          </w:tcPr>
          <w:p w14:paraId="2DD2CCDB"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Pop. 5</w:t>
            </w:r>
          </w:p>
        </w:tc>
      </w:tr>
      <w:tr w:rsidR="00E47AB8" w:rsidRPr="008B2F8A" w14:paraId="7BF2CEF9" w14:textId="77777777" w:rsidTr="00E14AC4">
        <w:trPr>
          <w:tblHeader/>
        </w:trPr>
        <w:tc>
          <w:tcPr>
            <w:tcW w:w="1338" w:type="pct"/>
            <w:tcBorders>
              <w:top w:val="nil"/>
              <w:bottom w:val="single" w:sz="4" w:space="0" w:color="auto"/>
            </w:tcBorders>
            <w:shd w:val="clear" w:color="auto" w:fill="EEECE1" w:themeFill="background2"/>
            <w:noWrap/>
          </w:tcPr>
          <w:p w14:paraId="0EEBDFFC" w14:textId="77777777" w:rsidR="00E47AB8" w:rsidRPr="008B2F8A" w:rsidRDefault="00E47AB8" w:rsidP="00422306">
            <w:pPr>
              <w:spacing w:before="40" w:after="80"/>
              <w:rPr>
                <w:rFonts w:ascii="Arial Narrow" w:eastAsia="Times New Roman" w:hAnsi="Arial Narrow"/>
                <w:b/>
                <w:sz w:val="20"/>
                <w:szCs w:val="20"/>
              </w:rPr>
            </w:pPr>
          </w:p>
        </w:tc>
        <w:tc>
          <w:tcPr>
            <w:tcW w:w="855" w:type="pct"/>
            <w:tcBorders>
              <w:top w:val="nil"/>
              <w:bottom w:val="single" w:sz="4" w:space="0" w:color="auto"/>
            </w:tcBorders>
            <w:shd w:val="clear" w:color="auto" w:fill="EEECE1" w:themeFill="background2"/>
            <w:noWrap/>
          </w:tcPr>
          <w:p w14:paraId="09FC7229" w14:textId="77777777" w:rsidR="00E47AB8" w:rsidRPr="008B2F8A" w:rsidRDefault="00E47AB8" w:rsidP="00422306">
            <w:pPr>
              <w:spacing w:before="40" w:after="80"/>
              <w:rPr>
                <w:rFonts w:ascii="Arial Narrow" w:eastAsia="Times New Roman" w:hAnsi="Arial Narrow"/>
                <w:b/>
                <w:sz w:val="20"/>
                <w:szCs w:val="20"/>
              </w:rPr>
            </w:pPr>
          </w:p>
        </w:tc>
        <w:tc>
          <w:tcPr>
            <w:tcW w:w="545" w:type="pct"/>
            <w:tcBorders>
              <w:top w:val="nil"/>
              <w:bottom w:val="single" w:sz="4" w:space="0" w:color="auto"/>
            </w:tcBorders>
            <w:shd w:val="clear" w:color="auto" w:fill="EEECE1" w:themeFill="background2"/>
            <w:hideMark/>
          </w:tcPr>
          <w:p w14:paraId="34B4376F" w14:textId="77777777" w:rsidR="00E47AB8" w:rsidRPr="008B2F8A" w:rsidRDefault="00E47AB8" w:rsidP="00422306">
            <w:pPr>
              <w:spacing w:before="40" w:after="80"/>
              <w:rPr>
                <w:rFonts w:ascii="Arial Narrow" w:eastAsia="Times New Roman" w:hAnsi="Arial Narrow"/>
                <w:b/>
                <w:sz w:val="20"/>
                <w:szCs w:val="20"/>
              </w:rPr>
            </w:pPr>
            <w:r w:rsidRPr="00E14AC4">
              <w:rPr>
                <w:rFonts w:ascii="Arial Narrow" w:eastAsia="Times New Roman" w:hAnsi="Arial Narrow"/>
                <w:b/>
                <w:i/>
                <w:sz w:val="20"/>
                <w:szCs w:val="20"/>
              </w:rPr>
              <w:t>BRCA1</w:t>
            </w:r>
          </w:p>
        </w:tc>
        <w:tc>
          <w:tcPr>
            <w:tcW w:w="545" w:type="pct"/>
            <w:tcBorders>
              <w:top w:val="nil"/>
              <w:bottom w:val="single" w:sz="4" w:space="0" w:color="auto"/>
            </w:tcBorders>
            <w:shd w:val="clear" w:color="auto" w:fill="EEECE1" w:themeFill="background2"/>
            <w:hideMark/>
          </w:tcPr>
          <w:p w14:paraId="00BF5B12"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Current MBS pop.</w:t>
            </w:r>
          </w:p>
        </w:tc>
        <w:tc>
          <w:tcPr>
            <w:tcW w:w="622" w:type="pct"/>
            <w:tcBorders>
              <w:top w:val="nil"/>
              <w:bottom w:val="single" w:sz="4" w:space="0" w:color="auto"/>
            </w:tcBorders>
            <w:shd w:val="clear" w:color="auto" w:fill="EEECE1" w:themeFill="background2"/>
            <w:hideMark/>
          </w:tcPr>
          <w:p w14:paraId="4815686D" w14:textId="229D61A6"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Prior invasive breast cancer</w:t>
            </w:r>
          </w:p>
        </w:tc>
        <w:tc>
          <w:tcPr>
            <w:tcW w:w="544" w:type="pct"/>
            <w:tcBorders>
              <w:top w:val="nil"/>
              <w:bottom w:val="single" w:sz="4" w:space="0" w:color="auto"/>
            </w:tcBorders>
            <w:shd w:val="clear" w:color="auto" w:fill="EEECE1" w:themeFill="background2"/>
            <w:hideMark/>
          </w:tcPr>
          <w:p w14:paraId="785401DA"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Prior DCIS/LCIS</w:t>
            </w:r>
          </w:p>
        </w:tc>
        <w:tc>
          <w:tcPr>
            <w:tcW w:w="550" w:type="pct"/>
            <w:tcBorders>
              <w:top w:val="nil"/>
              <w:bottom w:val="single" w:sz="4" w:space="0" w:color="auto"/>
            </w:tcBorders>
            <w:shd w:val="clear" w:color="auto" w:fill="EEECE1" w:themeFill="background2"/>
            <w:hideMark/>
          </w:tcPr>
          <w:p w14:paraId="49D7EED9" w14:textId="77777777" w:rsidR="00E47AB8" w:rsidRPr="008B2F8A" w:rsidRDefault="00E47AB8" w:rsidP="00422306">
            <w:pPr>
              <w:spacing w:before="40" w:after="80"/>
              <w:rPr>
                <w:rFonts w:ascii="Arial Narrow" w:eastAsia="Times New Roman" w:hAnsi="Arial Narrow"/>
                <w:b/>
                <w:sz w:val="20"/>
                <w:szCs w:val="20"/>
              </w:rPr>
            </w:pPr>
            <w:r w:rsidRPr="008B2F8A">
              <w:rPr>
                <w:rFonts w:ascii="Arial Narrow" w:eastAsia="Times New Roman" w:hAnsi="Arial Narrow"/>
                <w:b/>
                <w:sz w:val="20"/>
                <w:szCs w:val="20"/>
              </w:rPr>
              <w:t xml:space="preserve">Prior chest </w:t>
            </w:r>
            <w:r>
              <w:rPr>
                <w:rFonts w:ascii="Arial Narrow" w:eastAsia="Times New Roman" w:hAnsi="Arial Narrow"/>
                <w:b/>
                <w:sz w:val="20"/>
                <w:szCs w:val="20"/>
              </w:rPr>
              <w:t>ir</w:t>
            </w:r>
            <w:r w:rsidRPr="008B2F8A">
              <w:rPr>
                <w:rFonts w:ascii="Arial Narrow" w:eastAsia="Times New Roman" w:hAnsi="Arial Narrow"/>
                <w:b/>
                <w:sz w:val="20"/>
                <w:szCs w:val="20"/>
              </w:rPr>
              <w:t>radiation</w:t>
            </w:r>
          </w:p>
        </w:tc>
      </w:tr>
      <w:tr w:rsidR="00E47AB8" w:rsidRPr="008B2F8A" w14:paraId="4394EC45" w14:textId="77777777" w:rsidTr="00E14AC4">
        <w:tc>
          <w:tcPr>
            <w:tcW w:w="1338" w:type="pct"/>
            <w:tcBorders>
              <w:bottom w:val="nil"/>
            </w:tcBorders>
            <w:shd w:val="clear" w:color="auto" w:fill="auto"/>
            <w:noWrap/>
            <w:hideMark/>
          </w:tcPr>
          <w:p w14:paraId="2CFB25F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Accuracy data</w:t>
            </w:r>
          </w:p>
        </w:tc>
        <w:tc>
          <w:tcPr>
            <w:tcW w:w="855" w:type="pct"/>
            <w:tcBorders>
              <w:bottom w:val="nil"/>
            </w:tcBorders>
            <w:shd w:val="clear" w:color="auto" w:fill="auto"/>
            <w:noWrap/>
            <w:hideMark/>
          </w:tcPr>
          <w:p w14:paraId="39ED146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Base case</w:t>
            </w:r>
          </w:p>
        </w:tc>
        <w:tc>
          <w:tcPr>
            <w:tcW w:w="545" w:type="pct"/>
            <w:tcBorders>
              <w:bottom w:val="nil"/>
            </w:tcBorders>
            <w:shd w:val="clear" w:color="auto" w:fill="auto"/>
            <w:noWrap/>
            <w:hideMark/>
          </w:tcPr>
          <w:p w14:paraId="5733B34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$36,440</w:t>
            </w:r>
          </w:p>
        </w:tc>
        <w:tc>
          <w:tcPr>
            <w:tcW w:w="545" w:type="pct"/>
            <w:tcBorders>
              <w:bottom w:val="nil"/>
            </w:tcBorders>
            <w:shd w:val="clear" w:color="auto" w:fill="auto"/>
            <w:noWrap/>
            <w:hideMark/>
          </w:tcPr>
          <w:p w14:paraId="757206D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bottom w:val="nil"/>
            </w:tcBorders>
            <w:shd w:val="clear" w:color="auto" w:fill="auto"/>
            <w:noWrap/>
            <w:hideMark/>
          </w:tcPr>
          <w:p w14:paraId="327DEB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44" w:type="pct"/>
            <w:tcBorders>
              <w:bottom w:val="nil"/>
            </w:tcBorders>
            <w:shd w:val="clear" w:color="auto" w:fill="auto"/>
            <w:noWrap/>
            <w:hideMark/>
          </w:tcPr>
          <w:p w14:paraId="23CA300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50" w:type="pct"/>
            <w:tcBorders>
              <w:bottom w:val="nil"/>
            </w:tcBorders>
            <w:shd w:val="clear" w:color="auto" w:fill="auto"/>
            <w:noWrap/>
            <w:hideMark/>
          </w:tcPr>
          <w:p w14:paraId="1EA1E32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$125,687</w:t>
            </w:r>
          </w:p>
        </w:tc>
      </w:tr>
      <w:tr w:rsidR="00E47AB8" w:rsidRPr="008B2F8A" w14:paraId="7F71328F" w14:textId="77777777" w:rsidTr="00E14AC4">
        <w:tc>
          <w:tcPr>
            <w:tcW w:w="1338" w:type="pct"/>
            <w:tcBorders>
              <w:top w:val="nil"/>
              <w:bottom w:val="nil"/>
            </w:tcBorders>
            <w:shd w:val="clear" w:color="auto" w:fill="auto"/>
            <w:noWrap/>
          </w:tcPr>
          <w:p w14:paraId="4338F260" w14:textId="77777777" w:rsidR="00E47AB8" w:rsidRPr="008B2F8A" w:rsidRDefault="00E47AB8" w:rsidP="00422306">
            <w:pPr>
              <w:spacing w:before="40" w:after="80"/>
              <w:rPr>
                <w:rFonts w:ascii="Arial Narrow" w:eastAsia="Times New Roman" w:hAnsi="Arial Narrow"/>
                <w:sz w:val="20"/>
                <w:szCs w:val="20"/>
              </w:rPr>
            </w:pPr>
            <w:r w:rsidRPr="005C319D">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7AB72882" w14:textId="0AB7DE1F"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Sens—95% LCL</w:t>
            </w:r>
          </w:p>
        </w:tc>
        <w:tc>
          <w:tcPr>
            <w:tcW w:w="545" w:type="pct"/>
            <w:tcBorders>
              <w:top w:val="nil"/>
              <w:bottom w:val="nil"/>
            </w:tcBorders>
            <w:shd w:val="clear" w:color="auto" w:fill="auto"/>
            <w:noWrap/>
            <w:hideMark/>
          </w:tcPr>
          <w:p w14:paraId="5F9A090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$42,289</w:t>
            </w:r>
          </w:p>
        </w:tc>
        <w:tc>
          <w:tcPr>
            <w:tcW w:w="545" w:type="pct"/>
            <w:tcBorders>
              <w:top w:val="nil"/>
              <w:bottom w:val="nil"/>
            </w:tcBorders>
            <w:shd w:val="clear" w:color="auto" w:fill="auto"/>
            <w:noWrap/>
            <w:hideMark/>
          </w:tcPr>
          <w:p w14:paraId="3359FB1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$111,466</w:t>
            </w:r>
          </w:p>
        </w:tc>
        <w:tc>
          <w:tcPr>
            <w:tcW w:w="622" w:type="pct"/>
            <w:tcBorders>
              <w:top w:val="nil"/>
              <w:bottom w:val="nil"/>
            </w:tcBorders>
            <w:shd w:val="clear" w:color="auto" w:fill="auto"/>
            <w:noWrap/>
            <w:hideMark/>
          </w:tcPr>
          <w:p w14:paraId="1E0239C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$84,494</w:t>
            </w:r>
          </w:p>
        </w:tc>
        <w:tc>
          <w:tcPr>
            <w:tcW w:w="544" w:type="pct"/>
            <w:tcBorders>
              <w:top w:val="nil"/>
              <w:bottom w:val="nil"/>
            </w:tcBorders>
            <w:shd w:val="clear" w:color="auto" w:fill="auto"/>
            <w:noWrap/>
            <w:hideMark/>
          </w:tcPr>
          <w:p w14:paraId="566F8FB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$84,494</w:t>
            </w:r>
          </w:p>
        </w:tc>
        <w:tc>
          <w:tcPr>
            <w:tcW w:w="550" w:type="pct"/>
            <w:tcBorders>
              <w:top w:val="nil"/>
              <w:bottom w:val="nil"/>
            </w:tcBorders>
            <w:shd w:val="clear" w:color="auto" w:fill="auto"/>
            <w:noWrap/>
            <w:hideMark/>
          </w:tcPr>
          <w:p w14:paraId="10EA169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$152,397</w:t>
            </w:r>
          </w:p>
        </w:tc>
      </w:tr>
      <w:tr w:rsidR="00E47AB8" w:rsidRPr="008B2F8A" w14:paraId="313D18EF" w14:textId="77777777" w:rsidTr="00E14AC4">
        <w:tc>
          <w:tcPr>
            <w:tcW w:w="1338" w:type="pct"/>
            <w:tcBorders>
              <w:top w:val="nil"/>
              <w:bottom w:val="nil"/>
            </w:tcBorders>
            <w:shd w:val="clear" w:color="auto" w:fill="auto"/>
            <w:noWrap/>
          </w:tcPr>
          <w:p w14:paraId="34AD8F63" w14:textId="77777777" w:rsidR="00E47AB8" w:rsidRPr="008B2F8A" w:rsidRDefault="00E47AB8" w:rsidP="00422306">
            <w:pPr>
              <w:spacing w:before="40" w:after="80"/>
              <w:rPr>
                <w:rFonts w:ascii="Arial Narrow" w:eastAsia="Times New Roman" w:hAnsi="Arial Narrow"/>
                <w:sz w:val="20"/>
                <w:szCs w:val="20"/>
              </w:rPr>
            </w:pPr>
            <w:r w:rsidRPr="005C319D">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01629120" w14:textId="4AD1034F"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Sens—95% UCL</w:t>
            </w:r>
          </w:p>
        </w:tc>
        <w:tc>
          <w:tcPr>
            <w:tcW w:w="545" w:type="pct"/>
            <w:tcBorders>
              <w:top w:val="nil"/>
              <w:bottom w:val="nil"/>
            </w:tcBorders>
            <w:shd w:val="clear" w:color="auto" w:fill="auto"/>
            <w:noWrap/>
            <w:hideMark/>
          </w:tcPr>
          <w:p w14:paraId="3D66290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$34,298</w:t>
            </w:r>
          </w:p>
        </w:tc>
        <w:tc>
          <w:tcPr>
            <w:tcW w:w="545" w:type="pct"/>
            <w:tcBorders>
              <w:top w:val="nil"/>
              <w:bottom w:val="nil"/>
            </w:tcBorders>
            <w:shd w:val="clear" w:color="auto" w:fill="auto"/>
            <w:noWrap/>
            <w:hideMark/>
          </w:tcPr>
          <w:p w14:paraId="1340D86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$83,965</w:t>
            </w:r>
          </w:p>
        </w:tc>
        <w:tc>
          <w:tcPr>
            <w:tcW w:w="622" w:type="pct"/>
            <w:tcBorders>
              <w:top w:val="nil"/>
              <w:bottom w:val="nil"/>
            </w:tcBorders>
            <w:shd w:val="clear" w:color="auto" w:fill="auto"/>
            <w:noWrap/>
            <w:hideMark/>
          </w:tcPr>
          <w:p w14:paraId="39BB753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$61,164</w:t>
            </w:r>
          </w:p>
        </w:tc>
        <w:tc>
          <w:tcPr>
            <w:tcW w:w="544" w:type="pct"/>
            <w:tcBorders>
              <w:top w:val="nil"/>
              <w:bottom w:val="nil"/>
            </w:tcBorders>
            <w:shd w:val="clear" w:color="auto" w:fill="auto"/>
            <w:noWrap/>
            <w:hideMark/>
          </w:tcPr>
          <w:p w14:paraId="678D5C0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$61,164</w:t>
            </w:r>
          </w:p>
        </w:tc>
        <w:tc>
          <w:tcPr>
            <w:tcW w:w="550" w:type="pct"/>
            <w:tcBorders>
              <w:top w:val="nil"/>
              <w:bottom w:val="nil"/>
            </w:tcBorders>
            <w:shd w:val="clear" w:color="auto" w:fill="auto"/>
            <w:noWrap/>
            <w:hideMark/>
          </w:tcPr>
          <w:p w14:paraId="350F911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$115,548</w:t>
            </w:r>
          </w:p>
        </w:tc>
      </w:tr>
      <w:tr w:rsidR="00E47AB8" w:rsidRPr="008B2F8A" w14:paraId="0A8E03F9" w14:textId="77777777" w:rsidTr="00E14AC4">
        <w:tc>
          <w:tcPr>
            <w:tcW w:w="1338" w:type="pct"/>
            <w:tcBorders>
              <w:top w:val="nil"/>
              <w:bottom w:val="nil"/>
            </w:tcBorders>
            <w:shd w:val="clear" w:color="auto" w:fill="auto"/>
            <w:noWrap/>
          </w:tcPr>
          <w:p w14:paraId="0FF267E9" w14:textId="77777777" w:rsidR="00E47AB8" w:rsidRPr="008B2F8A" w:rsidRDefault="00E47AB8" w:rsidP="00422306">
            <w:pPr>
              <w:spacing w:before="40" w:after="80"/>
              <w:rPr>
                <w:rFonts w:ascii="Arial Narrow" w:eastAsia="Times New Roman" w:hAnsi="Arial Narrow"/>
                <w:sz w:val="20"/>
                <w:szCs w:val="20"/>
              </w:rPr>
            </w:pPr>
            <w:r w:rsidRPr="005C319D">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61891C60" w14:textId="4F78C271"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Spec—95% LCL</w:t>
            </w:r>
          </w:p>
        </w:tc>
        <w:tc>
          <w:tcPr>
            <w:tcW w:w="545" w:type="pct"/>
            <w:tcBorders>
              <w:top w:val="nil"/>
              <w:bottom w:val="nil"/>
            </w:tcBorders>
            <w:shd w:val="clear" w:color="auto" w:fill="auto"/>
            <w:noWrap/>
            <w:hideMark/>
          </w:tcPr>
          <w:p w14:paraId="64127AB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$38,646</w:t>
            </w:r>
          </w:p>
        </w:tc>
        <w:tc>
          <w:tcPr>
            <w:tcW w:w="545" w:type="pct"/>
            <w:tcBorders>
              <w:top w:val="nil"/>
              <w:bottom w:val="nil"/>
            </w:tcBorders>
            <w:shd w:val="clear" w:color="auto" w:fill="auto"/>
            <w:noWrap/>
            <w:hideMark/>
          </w:tcPr>
          <w:p w14:paraId="33F9E71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$97,419</w:t>
            </w:r>
          </w:p>
        </w:tc>
        <w:tc>
          <w:tcPr>
            <w:tcW w:w="622" w:type="pct"/>
            <w:tcBorders>
              <w:top w:val="nil"/>
              <w:bottom w:val="nil"/>
            </w:tcBorders>
            <w:shd w:val="clear" w:color="auto" w:fill="auto"/>
            <w:noWrap/>
            <w:hideMark/>
          </w:tcPr>
          <w:p w14:paraId="1524255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$71,735</w:t>
            </w:r>
          </w:p>
        </w:tc>
        <w:tc>
          <w:tcPr>
            <w:tcW w:w="544" w:type="pct"/>
            <w:tcBorders>
              <w:top w:val="nil"/>
              <w:bottom w:val="nil"/>
            </w:tcBorders>
            <w:shd w:val="clear" w:color="auto" w:fill="auto"/>
            <w:noWrap/>
            <w:hideMark/>
          </w:tcPr>
          <w:p w14:paraId="26B86FD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$71,735</w:t>
            </w:r>
          </w:p>
        </w:tc>
        <w:tc>
          <w:tcPr>
            <w:tcW w:w="550" w:type="pct"/>
            <w:tcBorders>
              <w:top w:val="nil"/>
              <w:bottom w:val="nil"/>
            </w:tcBorders>
            <w:shd w:val="clear" w:color="auto" w:fill="auto"/>
            <w:noWrap/>
            <w:hideMark/>
          </w:tcPr>
          <w:p w14:paraId="0CA755A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$133,949</w:t>
            </w:r>
          </w:p>
        </w:tc>
      </w:tr>
      <w:tr w:rsidR="00E47AB8" w:rsidRPr="008B2F8A" w14:paraId="1A895DEF" w14:textId="77777777" w:rsidTr="00E14AC4">
        <w:tc>
          <w:tcPr>
            <w:tcW w:w="1338" w:type="pct"/>
            <w:tcBorders>
              <w:top w:val="nil"/>
              <w:bottom w:val="nil"/>
            </w:tcBorders>
            <w:shd w:val="clear" w:color="auto" w:fill="auto"/>
            <w:noWrap/>
          </w:tcPr>
          <w:p w14:paraId="053B1731" w14:textId="77777777" w:rsidR="00E47AB8" w:rsidRPr="008B2F8A" w:rsidRDefault="00E47AB8" w:rsidP="00422306">
            <w:pPr>
              <w:spacing w:before="40" w:after="80"/>
              <w:rPr>
                <w:rFonts w:ascii="Arial Narrow" w:eastAsia="Times New Roman" w:hAnsi="Arial Narrow"/>
                <w:sz w:val="20"/>
                <w:szCs w:val="20"/>
              </w:rPr>
            </w:pPr>
            <w:r w:rsidRPr="005C319D">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46F55AF6" w14:textId="66C85399"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Spec—95% UCL</w:t>
            </w:r>
          </w:p>
        </w:tc>
        <w:tc>
          <w:tcPr>
            <w:tcW w:w="545" w:type="pct"/>
            <w:tcBorders>
              <w:top w:val="nil"/>
              <w:bottom w:val="nil"/>
            </w:tcBorders>
            <w:shd w:val="clear" w:color="auto" w:fill="auto"/>
            <w:noWrap/>
            <w:hideMark/>
          </w:tcPr>
          <w:p w14:paraId="4DAF76F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$35,704</w:t>
            </w:r>
          </w:p>
        </w:tc>
        <w:tc>
          <w:tcPr>
            <w:tcW w:w="545" w:type="pct"/>
            <w:tcBorders>
              <w:top w:val="nil"/>
              <w:bottom w:val="nil"/>
            </w:tcBorders>
            <w:shd w:val="clear" w:color="auto" w:fill="auto"/>
            <w:noWrap/>
            <w:hideMark/>
          </w:tcPr>
          <w:p w14:paraId="5F74D02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$89,511</w:t>
            </w:r>
          </w:p>
        </w:tc>
        <w:tc>
          <w:tcPr>
            <w:tcW w:w="622" w:type="pct"/>
            <w:tcBorders>
              <w:top w:val="nil"/>
              <w:bottom w:val="nil"/>
            </w:tcBorders>
            <w:shd w:val="clear" w:color="auto" w:fill="auto"/>
            <w:noWrap/>
            <w:hideMark/>
          </w:tcPr>
          <w:p w14:paraId="1F61645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$65,912</w:t>
            </w:r>
          </w:p>
        </w:tc>
        <w:tc>
          <w:tcPr>
            <w:tcW w:w="544" w:type="pct"/>
            <w:tcBorders>
              <w:top w:val="nil"/>
              <w:bottom w:val="nil"/>
            </w:tcBorders>
            <w:shd w:val="clear" w:color="auto" w:fill="auto"/>
            <w:noWrap/>
            <w:hideMark/>
          </w:tcPr>
          <w:p w14:paraId="765456F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$65,912</w:t>
            </w:r>
          </w:p>
        </w:tc>
        <w:tc>
          <w:tcPr>
            <w:tcW w:w="550" w:type="pct"/>
            <w:tcBorders>
              <w:top w:val="nil"/>
              <w:bottom w:val="nil"/>
            </w:tcBorders>
            <w:shd w:val="clear" w:color="auto" w:fill="auto"/>
            <w:noWrap/>
            <w:hideMark/>
          </w:tcPr>
          <w:p w14:paraId="1C9851D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$122,933</w:t>
            </w:r>
          </w:p>
        </w:tc>
      </w:tr>
      <w:tr w:rsidR="00E47AB8" w:rsidRPr="008B2F8A" w14:paraId="711030F4" w14:textId="77777777" w:rsidTr="00E14AC4">
        <w:tc>
          <w:tcPr>
            <w:tcW w:w="1338" w:type="pct"/>
            <w:tcBorders>
              <w:top w:val="nil"/>
              <w:bottom w:val="nil"/>
            </w:tcBorders>
            <w:shd w:val="clear" w:color="auto" w:fill="auto"/>
            <w:noWrap/>
          </w:tcPr>
          <w:p w14:paraId="22E55AB7" w14:textId="77777777" w:rsidR="00E47AB8" w:rsidRPr="008B2F8A" w:rsidRDefault="00E47AB8" w:rsidP="00422306">
            <w:pPr>
              <w:spacing w:before="40" w:after="80"/>
              <w:rPr>
                <w:rFonts w:ascii="Arial Narrow" w:eastAsia="Times New Roman" w:hAnsi="Arial Narrow"/>
                <w:sz w:val="20"/>
                <w:szCs w:val="20"/>
              </w:rPr>
            </w:pPr>
            <w:r w:rsidRPr="005C319D">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53D5DD7F" w14:textId="7DBE8744"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Sens &amp; Spec—95% LCL</w:t>
            </w:r>
          </w:p>
        </w:tc>
        <w:tc>
          <w:tcPr>
            <w:tcW w:w="545" w:type="pct"/>
            <w:tcBorders>
              <w:top w:val="nil"/>
              <w:bottom w:val="nil"/>
            </w:tcBorders>
            <w:shd w:val="clear" w:color="auto" w:fill="auto"/>
            <w:noWrap/>
            <w:hideMark/>
          </w:tcPr>
          <w:p w14:paraId="4E9F21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$44,879</w:t>
            </w:r>
          </w:p>
        </w:tc>
        <w:tc>
          <w:tcPr>
            <w:tcW w:w="545" w:type="pct"/>
            <w:tcBorders>
              <w:top w:val="nil"/>
              <w:bottom w:val="nil"/>
            </w:tcBorders>
            <w:shd w:val="clear" w:color="auto" w:fill="auto"/>
            <w:noWrap/>
            <w:hideMark/>
          </w:tcPr>
          <w:p w14:paraId="49DEFA6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$118,719</w:t>
            </w:r>
          </w:p>
        </w:tc>
        <w:tc>
          <w:tcPr>
            <w:tcW w:w="622" w:type="pct"/>
            <w:tcBorders>
              <w:top w:val="nil"/>
              <w:bottom w:val="nil"/>
            </w:tcBorders>
            <w:shd w:val="clear" w:color="auto" w:fill="auto"/>
            <w:noWrap/>
            <w:hideMark/>
          </w:tcPr>
          <w:p w14:paraId="0A38FC9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$89,990</w:t>
            </w:r>
          </w:p>
        </w:tc>
        <w:tc>
          <w:tcPr>
            <w:tcW w:w="544" w:type="pct"/>
            <w:tcBorders>
              <w:top w:val="nil"/>
              <w:bottom w:val="nil"/>
            </w:tcBorders>
            <w:shd w:val="clear" w:color="auto" w:fill="auto"/>
            <w:noWrap/>
            <w:hideMark/>
          </w:tcPr>
          <w:p w14:paraId="473FD98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$89,990</w:t>
            </w:r>
          </w:p>
        </w:tc>
        <w:tc>
          <w:tcPr>
            <w:tcW w:w="550" w:type="pct"/>
            <w:tcBorders>
              <w:top w:val="nil"/>
              <w:bottom w:val="nil"/>
            </w:tcBorders>
            <w:shd w:val="clear" w:color="auto" w:fill="auto"/>
            <w:noWrap/>
            <w:hideMark/>
          </w:tcPr>
          <w:p w14:paraId="7789806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$162,434</w:t>
            </w:r>
          </w:p>
        </w:tc>
      </w:tr>
      <w:tr w:rsidR="00E47AB8" w:rsidRPr="008B2F8A" w14:paraId="4D18CC34" w14:textId="77777777" w:rsidTr="00E14AC4">
        <w:tc>
          <w:tcPr>
            <w:tcW w:w="1338" w:type="pct"/>
            <w:tcBorders>
              <w:top w:val="nil"/>
              <w:bottom w:val="single" w:sz="4" w:space="0" w:color="auto"/>
            </w:tcBorders>
            <w:shd w:val="clear" w:color="auto" w:fill="auto"/>
            <w:noWrap/>
          </w:tcPr>
          <w:p w14:paraId="153307BD" w14:textId="77777777" w:rsidR="00E47AB8" w:rsidRPr="008B2F8A" w:rsidRDefault="00E47AB8" w:rsidP="00422306">
            <w:pPr>
              <w:spacing w:before="40" w:after="80"/>
              <w:rPr>
                <w:rFonts w:ascii="Arial Narrow" w:eastAsia="Times New Roman" w:hAnsi="Arial Narrow"/>
                <w:sz w:val="20"/>
                <w:szCs w:val="20"/>
              </w:rPr>
            </w:pPr>
            <w:r w:rsidRPr="005C319D">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61BCA451" w14:textId="134232F5"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w:t>
            </w:r>
            <w:r w:rsidRPr="008B2F8A">
              <w:rPr>
                <w:rFonts w:ascii="Arial Narrow" w:hAnsi="Arial Narrow"/>
              </w:rPr>
              <w:t>​+​</w:t>
            </w:r>
            <w:r w:rsidRPr="008B2F8A">
              <w:rPr>
                <w:rFonts w:ascii="Arial Narrow" w:eastAsia="Times New Roman" w:hAnsi="Arial Narrow"/>
                <w:sz w:val="20"/>
                <w:szCs w:val="20"/>
              </w:rPr>
              <w:t>MAM Sens &amp; Spec—95% UCL</w:t>
            </w:r>
          </w:p>
        </w:tc>
        <w:tc>
          <w:tcPr>
            <w:tcW w:w="545" w:type="pct"/>
            <w:tcBorders>
              <w:top w:val="nil"/>
              <w:bottom w:val="single" w:sz="4" w:space="0" w:color="auto"/>
            </w:tcBorders>
            <w:shd w:val="clear" w:color="auto" w:fill="auto"/>
            <w:noWrap/>
            <w:hideMark/>
          </w:tcPr>
          <w:p w14:paraId="1CF89C4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$33,610</w:t>
            </w:r>
          </w:p>
        </w:tc>
        <w:tc>
          <w:tcPr>
            <w:tcW w:w="545" w:type="pct"/>
            <w:tcBorders>
              <w:top w:val="nil"/>
              <w:bottom w:val="single" w:sz="4" w:space="0" w:color="auto"/>
            </w:tcBorders>
            <w:shd w:val="clear" w:color="auto" w:fill="auto"/>
            <w:noWrap/>
            <w:hideMark/>
          </w:tcPr>
          <w:p w14:paraId="08903C5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$82,153</w:t>
            </w:r>
          </w:p>
        </w:tc>
        <w:tc>
          <w:tcPr>
            <w:tcW w:w="622" w:type="pct"/>
            <w:tcBorders>
              <w:top w:val="nil"/>
              <w:bottom w:val="single" w:sz="4" w:space="0" w:color="auto"/>
            </w:tcBorders>
            <w:shd w:val="clear" w:color="auto" w:fill="auto"/>
            <w:noWrap/>
            <w:hideMark/>
          </w:tcPr>
          <w:p w14:paraId="20689D3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$59,845</w:t>
            </w:r>
          </w:p>
        </w:tc>
        <w:tc>
          <w:tcPr>
            <w:tcW w:w="544" w:type="pct"/>
            <w:tcBorders>
              <w:top w:val="nil"/>
              <w:bottom w:val="single" w:sz="4" w:space="0" w:color="auto"/>
            </w:tcBorders>
            <w:shd w:val="clear" w:color="auto" w:fill="auto"/>
            <w:noWrap/>
            <w:hideMark/>
          </w:tcPr>
          <w:p w14:paraId="68633FB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$59,845</w:t>
            </w:r>
          </w:p>
        </w:tc>
        <w:tc>
          <w:tcPr>
            <w:tcW w:w="550" w:type="pct"/>
            <w:tcBorders>
              <w:top w:val="nil"/>
              <w:bottom w:val="single" w:sz="4" w:space="0" w:color="auto"/>
            </w:tcBorders>
            <w:shd w:val="clear" w:color="auto" w:fill="auto"/>
            <w:noWrap/>
            <w:hideMark/>
          </w:tcPr>
          <w:p w14:paraId="4290EE7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$113,018</w:t>
            </w:r>
          </w:p>
        </w:tc>
      </w:tr>
      <w:tr w:rsidR="00E47AB8" w:rsidRPr="008B2F8A" w14:paraId="5503A885" w14:textId="77777777" w:rsidTr="00E14AC4">
        <w:tc>
          <w:tcPr>
            <w:tcW w:w="1338" w:type="pct"/>
            <w:tcBorders>
              <w:bottom w:val="nil"/>
            </w:tcBorders>
            <w:shd w:val="clear" w:color="auto" w:fill="auto"/>
            <w:noWrap/>
            <w:hideMark/>
          </w:tcPr>
          <w:p w14:paraId="4B5ECE97" w14:textId="6DA9A7F6"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Baseline breast cancer risk (over 5 years form age 40)</w:t>
            </w:r>
          </w:p>
        </w:tc>
        <w:tc>
          <w:tcPr>
            <w:tcW w:w="855" w:type="pct"/>
            <w:tcBorders>
              <w:bottom w:val="nil"/>
            </w:tcBorders>
            <w:shd w:val="clear" w:color="auto" w:fill="auto"/>
            <w:noWrap/>
            <w:hideMark/>
          </w:tcPr>
          <w:p w14:paraId="0F285FA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45" w:type="pct"/>
            <w:tcBorders>
              <w:bottom w:val="nil"/>
            </w:tcBorders>
            <w:shd w:val="clear" w:color="auto" w:fill="auto"/>
            <w:noWrap/>
            <w:hideMark/>
          </w:tcPr>
          <w:p w14:paraId="1AEB747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$92,050</w:t>
            </w:r>
          </w:p>
        </w:tc>
        <w:tc>
          <w:tcPr>
            <w:tcW w:w="545" w:type="pct"/>
            <w:tcBorders>
              <w:bottom w:val="nil"/>
            </w:tcBorders>
            <w:shd w:val="clear" w:color="auto" w:fill="auto"/>
            <w:noWrap/>
            <w:hideMark/>
          </w:tcPr>
          <w:p w14:paraId="55E00CC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$112,823</w:t>
            </w:r>
          </w:p>
        </w:tc>
        <w:tc>
          <w:tcPr>
            <w:tcW w:w="622" w:type="pct"/>
            <w:tcBorders>
              <w:bottom w:val="nil"/>
            </w:tcBorders>
            <w:shd w:val="clear" w:color="auto" w:fill="auto"/>
            <w:noWrap/>
            <w:hideMark/>
          </w:tcPr>
          <w:p w14:paraId="0F5687A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$76,680</w:t>
            </w:r>
          </w:p>
        </w:tc>
        <w:tc>
          <w:tcPr>
            <w:tcW w:w="544" w:type="pct"/>
            <w:tcBorders>
              <w:bottom w:val="nil"/>
            </w:tcBorders>
            <w:shd w:val="clear" w:color="auto" w:fill="auto"/>
            <w:noWrap/>
            <w:hideMark/>
          </w:tcPr>
          <w:p w14:paraId="059E0FD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$76,680</w:t>
            </w:r>
          </w:p>
        </w:tc>
        <w:tc>
          <w:tcPr>
            <w:tcW w:w="550" w:type="pct"/>
            <w:tcBorders>
              <w:bottom w:val="nil"/>
            </w:tcBorders>
            <w:shd w:val="clear" w:color="auto" w:fill="auto"/>
            <w:noWrap/>
            <w:hideMark/>
          </w:tcPr>
          <w:p w14:paraId="1BD1A71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$67,955</w:t>
            </w:r>
          </w:p>
        </w:tc>
      </w:tr>
      <w:tr w:rsidR="00E47AB8" w:rsidRPr="008B2F8A" w14:paraId="4F76E326" w14:textId="77777777" w:rsidTr="00E14AC4">
        <w:tc>
          <w:tcPr>
            <w:tcW w:w="1338" w:type="pct"/>
            <w:tcBorders>
              <w:top w:val="nil"/>
              <w:bottom w:val="nil"/>
            </w:tcBorders>
            <w:shd w:val="clear" w:color="auto" w:fill="auto"/>
            <w:noWrap/>
          </w:tcPr>
          <w:p w14:paraId="0864D2A2" w14:textId="77777777" w:rsidR="00E47AB8" w:rsidRPr="008B2F8A" w:rsidRDefault="00E47AB8" w:rsidP="00422306">
            <w:pPr>
              <w:spacing w:before="40" w:after="80"/>
              <w:rPr>
                <w:rFonts w:ascii="Arial Narrow" w:eastAsia="Times New Roman" w:hAnsi="Arial Narrow"/>
                <w:sz w:val="20"/>
                <w:szCs w:val="20"/>
              </w:rPr>
            </w:pPr>
            <w:r w:rsidRPr="0015368A">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1EF13BF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w:t>
            </w:r>
          </w:p>
        </w:tc>
        <w:tc>
          <w:tcPr>
            <w:tcW w:w="545" w:type="pct"/>
            <w:tcBorders>
              <w:top w:val="nil"/>
              <w:bottom w:val="nil"/>
            </w:tcBorders>
            <w:shd w:val="clear" w:color="auto" w:fill="auto"/>
            <w:noWrap/>
            <w:hideMark/>
          </w:tcPr>
          <w:p w14:paraId="27952AA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$48,321</w:t>
            </w:r>
          </w:p>
        </w:tc>
        <w:tc>
          <w:tcPr>
            <w:tcW w:w="545" w:type="pct"/>
            <w:tcBorders>
              <w:top w:val="nil"/>
              <w:bottom w:val="nil"/>
            </w:tcBorders>
            <w:shd w:val="clear" w:color="auto" w:fill="auto"/>
            <w:noWrap/>
            <w:hideMark/>
          </w:tcPr>
          <w:p w14:paraId="2092E31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$57,774</w:t>
            </w:r>
          </w:p>
        </w:tc>
        <w:tc>
          <w:tcPr>
            <w:tcW w:w="622" w:type="pct"/>
            <w:tcBorders>
              <w:top w:val="nil"/>
              <w:bottom w:val="nil"/>
            </w:tcBorders>
            <w:shd w:val="clear" w:color="auto" w:fill="auto"/>
            <w:noWrap/>
            <w:hideMark/>
          </w:tcPr>
          <w:p w14:paraId="3E1E1A8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$38,740</w:t>
            </w:r>
          </w:p>
        </w:tc>
        <w:tc>
          <w:tcPr>
            <w:tcW w:w="544" w:type="pct"/>
            <w:tcBorders>
              <w:top w:val="nil"/>
              <w:bottom w:val="nil"/>
            </w:tcBorders>
            <w:shd w:val="clear" w:color="auto" w:fill="auto"/>
            <w:noWrap/>
            <w:hideMark/>
          </w:tcPr>
          <w:p w14:paraId="23ECA9F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$38,740</w:t>
            </w:r>
          </w:p>
        </w:tc>
        <w:tc>
          <w:tcPr>
            <w:tcW w:w="550" w:type="pct"/>
            <w:tcBorders>
              <w:top w:val="nil"/>
              <w:bottom w:val="nil"/>
            </w:tcBorders>
            <w:shd w:val="clear" w:color="auto" w:fill="auto"/>
            <w:noWrap/>
            <w:hideMark/>
          </w:tcPr>
          <w:p w14:paraId="4940A14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$34,996</w:t>
            </w:r>
          </w:p>
        </w:tc>
      </w:tr>
      <w:tr w:rsidR="00E47AB8" w:rsidRPr="008B2F8A" w14:paraId="6ABDDA67" w14:textId="77777777" w:rsidTr="00E14AC4">
        <w:tc>
          <w:tcPr>
            <w:tcW w:w="1338" w:type="pct"/>
            <w:tcBorders>
              <w:top w:val="nil"/>
              <w:bottom w:val="nil"/>
            </w:tcBorders>
            <w:shd w:val="clear" w:color="auto" w:fill="auto"/>
            <w:noWrap/>
          </w:tcPr>
          <w:p w14:paraId="1EF50CE9" w14:textId="77777777" w:rsidR="00E47AB8" w:rsidRPr="008B2F8A" w:rsidRDefault="00E47AB8" w:rsidP="00422306">
            <w:pPr>
              <w:spacing w:before="40" w:after="80"/>
              <w:rPr>
                <w:rFonts w:ascii="Arial Narrow" w:eastAsia="Times New Roman" w:hAnsi="Arial Narrow"/>
                <w:sz w:val="20"/>
                <w:szCs w:val="20"/>
              </w:rPr>
            </w:pPr>
            <w:r w:rsidRPr="0015368A">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39FD13E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5" w:type="pct"/>
            <w:tcBorders>
              <w:top w:val="nil"/>
              <w:bottom w:val="nil"/>
            </w:tcBorders>
            <w:shd w:val="clear" w:color="auto" w:fill="auto"/>
            <w:noWrap/>
            <w:hideMark/>
          </w:tcPr>
          <w:p w14:paraId="3CF11C7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$33,870</w:t>
            </w:r>
          </w:p>
        </w:tc>
        <w:tc>
          <w:tcPr>
            <w:tcW w:w="545" w:type="pct"/>
            <w:tcBorders>
              <w:top w:val="nil"/>
              <w:bottom w:val="nil"/>
            </w:tcBorders>
            <w:shd w:val="clear" w:color="auto" w:fill="auto"/>
            <w:noWrap/>
            <w:hideMark/>
          </w:tcPr>
          <w:p w14:paraId="08DD1C9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$39,527</w:t>
            </w:r>
          </w:p>
        </w:tc>
        <w:tc>
          <w:tcPr>
            <w:tcW w:w="622" w:type="pct"/>
            <w:tcBorders>
              <w:top w:val="nil"/>
              <w:bottom w:val="nil"/>
            </w:tcBorders>
            <w:shd w:val="clear" w:color="auto" w:fill="auto"/>
            <w:noWrap/>
            <w:hideMark/>
          </w:tcPr>
          <w:p w14:paraId="259F1B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$26,043</w:t>
            </w:r>
          </w:p>
        </w:tc>
        <w:tc>
          <w:tcPr>
            <w:tcW w:w="544" w:type="pct"/>
            <w:tcBorders>
              <w:top w:val="nil"/>
              <w:bottom w:val="nil"/>
            </w:tcBorders>
            <w:shd w:val="clear" w:color="auto" w:fill="auto"/>
            <w:noWrap/>
            <w:hideMark/>
          </w:tcPr>
          <w:p w14:paraId="640061F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$26,043</w:t>
            </w:r>
          </w:p>
        </w:tc>
        <w:tc>
          <w:tcPr>
            <w:tcW w:w="550" w:type="pct"/>
            <w:tcBorders>
              <w:top w:val="nil"/>
              <w:bottom w:val="nil"/>
            </w:tcBorders>
            <w:shd w:val="clear" w:color="auto" w:fill="auto"/>
            <w:noWrap/>
            <w:hideMark/>
          </w:tcPr>
          <w:p w14:paraId="7DBA2F8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$24,134</w:t>
            </w:r>
          </w:p>
        </w:tc>
      </w:tr>
      <w:tr w:rsidR="00E47AB8" w:rsidRPr="008B2F8A" w14:paraId="20B20B87" w14:textId="77777777" w:rsidTr="00E14AC4">
        <w:tc>
          <w:tcPr>
            <w:tcW w:w="1338" w:type="pct"/>
            <w:tcBorders>
              <w:top w:val="nil"/>
              <w:bottom w:val="single" w:sz="4" w:space="0" w:color="auto"/>
            </w:tcBorders>
            <w:shd w:val="clear" w:color="auto" w:fill="auto"/>
            <w:noWrap/>
          </w:tcPr>
          <w:p w14:paraId="1070A093" w14:textId="77777777" w:rsidR="00E47AB8" w:rsidRPr="008B2F8A" w:rsidRDefault="00E47AB8" w:rsidP="00422306">
            <w:pPr>
              <w:spacing w:before="40" w:after="80"/>
              <w:rPr>
                <w:rFonts w:ascii="Arial Narrow" w:eastAsia="Times New Roman" w:hAnsi="Arial Narrow"/>
                <w:sz w:val="20"/>
                <w:szCs w:val="20"/>
              </w:rPr>
            </w:pPr>
            <w:r w:rsidRPr="0015368A">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4BCCE43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w:t>
            </w:r>
          </w:p>
        </w:tc>
        <w:tc>
          <w:tcPr>
            <w:tcW w:w="545" w:type="pct"/>
            <w:tcBorders>
              <w:top w:val="nil"/>
              <w:bottom w:val="single" w:sz="4" w:space="0" w:color="auto"/>
            </w:tcBorders>
            <w:shd w:val="clear" w:color="auto" w:fill="auto"/>
            <w:noWrap/>
            <w:hideMark/>
          </w:tcPr>
          <w:p w14:paraId="0E5D0B3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$26,726</w:t>
            </w:r>
          </w:p>
        </w:tc>
        <w:tc>
          <w:tcPr>
            <w:tcW w:w="545" w:type="pct"/>
            <w:tcBorders>
              <w:top w:val="nil"/>
              <w:bottom w:val="single" w:sz="4" w:space="0" w:color="auto"/>
            </w:tcBorders>
            <w:shd w:val="clear" w:color="auto" w:fill="auto"/>
            <w:noWrap/>
            <w:hideMark/>
          </w:tcPr>
          <w:p w14:paraId="228538D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$30,464</w:t>
            </w:r>
          </w:p>
        </w:tc>
        <w:tc>
          <w:tcPr>
            <w:tcW w:w="622" w:type="pct"/>
            <w:tcBorders>
              <w:top w:val="nil"/>
              <w:bottom w:val="single" w:sz="4" w:space="0" w:color="auto"/>
            </w:tcBorders>
            <w:shd w:val="clear" w:color="auto" w:fill="auto"/>
            <w:noWrap/>
            <w:hideMark/>
          </w:tcPr>
          <w:p w14:paraId="6BE3735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$19,646</w:t>
            </w:r>
          </w:p>
        </w:tc>
        <w:tc>
          <w:tcPr>
            <w:tcW w:w="544" w:type="pct"/>
            <w:tcBorders>
              <w:top w:val="nil"/>
              <w:bottom w:val="single" w:sz="4" w:space="0" w:color="auto"/>
            </w:tcBorders>
            <w:shd w:val="clear" w:color="auto" w:fill="auto"/>
            <w:noWrap/>
            <w:hideMark/>
          </w:tcPr>
          <w:p w14:paraId="0FCCB08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$19,646</w:t>
            </w:r>
          </w:p>
        </w:tc>
        <w:tc>
          <w:tcPr>
            <w:tcW w:w="550" w:type="pct"/>
            <w:tcBorders>
              <w:top w:val="nil"/>
              <w:bottom w:val="single" w:sz="4" w:space="0" w:color="auto"/>
            </w:tcBorders>
            <w:shd w:val="clear" w:color="auto" w:fill="auto"/>
            <w:noWrap/>
            <w:hideMark/>
          </w:tcPr>
          <w:p w14:paraId="3A9C7E9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$18,786</w:t>
            </w:r>
          </w:p>
        </w:tc>
      </w:tr>
      <w:tr w:rsidR="00E47AB8" w:rsidRPr="008B2F8A" w14:paraId="3CE7337F" w14:textId="77777777" w:rsidTr="00E14AC4">
        <w:tc>
          <w:tcPr>
            <w:tcW w:w="1338" w:type="pct"/>
            <w:tcBorders>
              <w:bottom w:val="nil"/>
            </w:tcBorders>
            <w:shd w:val="clear" w:color="auto" w:fill="auto"/>
            <w:noWrap/>
            <w:hideMark/>
          </w:tcPr>
          <w:p w14:paraId="69710040" w14:textId="5453F464"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Decrement in 5-year overall survival due to delayed detection</w:t>
            </w:r>
          </w:p>
        </w:tc>
        <w:tc>
          <w:tcPr>
            <w:tcW w:w="855" w:type="pct"/>
            <w:tcBorders>
              <w:bottom w:val="nil"/>
            </w:tcBorders>
            <w:shd w:val="clear" w:color="auto" w:fill="auto"/>
            <w:noWrap/>
            <w:hideMark/>
          </w:tcPr>
          <w:p w14:paraId="2F2378A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w:t>
            </w:r>
          </w:p>
        </w:tc>
        <w:tc>
          <w:tcPr>
            <w:tcW w:w="545" w:type="pct"/>
            <w:tcBorders>
              <w:bottom w:val="nil"/>
            </w:tcBorders>
            <w:shd w:val="clear" w:color="auto" w:fill="auto"/>
            <w:noWrap/>
            <w:hideMark/>
          </w:tcPr>
          <w:p w14:paraId="7ED8A3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$113,268</w:t>
            </w:r>
          </w:p>
        </w:tc>
        <w:tc>
          <w:tcPr>
            <w:tcW w:w="545" w:type="pct"/>
            <w:tcBorders>
              <w:bottom w:val="nil"/>
            </w:tcBorders>
            <w:shd w:val="clear" w:color="auto" w:fill="auto"/>
            <w:noWrap/>
            <w:hideMark/>
          </w:tcPr>
          <w:p w14:paraId="581719E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$357,678</w:t>
            </w:r>
          </w:p>
        </w:tc>
        <w:tc>
          <w:tcPr>
            <w:tcW w:w="622" w:type="pct"/>
            <w:tcBorders>
              <w:bottom w:val="nil"/>
            </w:tcBorders>
            <w:shd w:val="clear" w:color="auto" w:fill="auto"/>
            <w:noWrap/>
            <w:hideMark/>
          </w:tcPr>
          <w:p w14:paraId="09490DA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$262,159</w:t>
            </w:r>
          </w:p>
        </w:tc>
        <w:tc>
          <w:tcPr>
            <w:tcW w:w="544" w:type="pct"/>
            <w:tcBorders>
              <w:bottom w:val="nil"/>
            </w:tcBorders>
            <w:shd w:val="clear" w:color="auto" w:fill="auto"/>
            <w:noWrap/>
            <w:hideMark/>
          </w:tcPr>
          <w:p w14:paraId="529E9B7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$262,159</w:t>
            </w:r>
          </w:p>
        </w:tc>
        <w:tc>
          <w:tcPr>
            <w:tcW w:w="550" w:type="pct"/>
            <w:tcBorders>
              <w:bottom w:val="nil"/>
            </w:tcBorders>
            <w:shd w:val="clear" w:color="auto" w:fill="auto"/>
            <w:noWrap/>
            <w:hideMark/>
          </w:tcPr>
          <w:p w14:paraId="29BFC4A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$493,139</w:t>
            </w:r>
          </w:p>
        </w:tc>
      </w:tr>
      <w:tr w:rsidR="00E47AB8" w:rsidRPr="008B2F8A" w14:paraId="110A2132" w14:textId="77777777" w:rsidTr="00E14AC4">
        <w:tc>
          <w:tcPr>
            <w:tcW w:w="1338" w:type="pct"/>
            <w:tcBorders>
              <w:top w:val="nil"/>
              <w:bottom w:val="nil"/>
            </w:tcBorders>
            <w:shd w:val="clear" w:color="auto" w:fill="auto"/>
            <w:noWrap/>
          </w:tcPr>
          <w:p w14:paraId="0CAF7544" w14:textId="77777777" w:rsidR="00E47AB8" w:rsidRPr="008B2F8A" w:rsidRDefault="00E47AB8" w:rsidP="00422306">
            <w:pPr>
              <w:spacing w:before="40" w:after="80"/>
              <w:rPr>
                <w:rFonts w:ascii="Arial Narrow" w:eastAsia="Times New Roman" w:hAnsi="Arial Narrow"/>
                <w:sz w:val="20"/>
                <w:szCs w:val="20"/>
              </w:rPr>
            </w:pPr>
            <w:r w:rsidRPr="00FB1B38">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42327B4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w:t>
            </w:r>
          </w:p>
        </w:tc>
        <w:tc>
          <w:tcPr>
            <w:tcW w:w="545" w:type="pct"/>
            <w:tcBorders>
              <w:top w:val="nil"/>
              <w:bottom w:val="nil"/>
            </w:tcBorders>
            <w:shd w:val="clear" w:color="auto" w:fill="auto"/>
            <w:noWrap/>
            <w:hideMark/>
          </w:tcPr>
          <w:p w14:paraId="25B0613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$55,159</w:t>
            </w:r>
          </w:p>
        </w:tc>
        <w:tc>
          <w:tcPr>
            <w:tcW w:w="545" w:type="pct"/>
            <w:tcBorders>
              <w:top w:val="nil"/>
              <w:bottom w:val="nil"/>
            </w:tcBorders>
            <w:shd w:val="clear" w:color="auto" w:fill="auto"/>
            <w:noWrap/>
            <w:hideMark/>
          </w:tcPr>
          <w:p w14:paraId="7A8EF9B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$174,247</w:t>
            </w:r>
          </w:p>
        </w:tc>
        <w:tc>
          <w:tcPr>
            <w:tcW w:w="622" w:type="pct"/>
            <w:tcBorders>
              <w:top w:val="nil"/>
              <w:bottom w:val="nil"/>
            </w:tcBorders>
            <w:shd w:val="clear" w:color="auto" w:fill="auto"/>
            <w:noWrap/>
            <w:hideMark/>
          </w:tcPr>
          <w:p w14:paraId="5A0F915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$128,454</w:t>
            </w:r>
          </w:p>
        </w:tc>
        <w:tc>
          <w:tcPr>
            <w:tcW w:w="544" w:type="pct"/>
            <w:tcBorders>
              <w:top w:val="nil"/>
              <w:bottom w:val="nil"/>
            </w:tcBorders>
            <w:shd w:val="clear" w:color="auto" w:fill="auto"/>
            <w:noWrap/>
            <w:hideMark/>
          </w:tcPr>
          <w:p w14:paraId="2246992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$128,454</w:t>
            </w:r>
          </w:p>
        </w:tc>
        <w:tc>
          <w:tcPr>
            <w:tcW w:w="550" w:type="pct"/>
            <w:tcBorders>
              <w:top w:val="nil"/>
              <w:bottom w:val="nil"/>
            </w:tcBorders>
            <w:shd w:val="clear" w:color="auto" w:fill="auto"/>
            <w:noWrap/>
            <w:hideMark/>
          </w:tcPr>
          <w:p w14:paraId="096F61D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$240,431</w:t>
            </w:r>
          </w:p>
        </w:tc>
      </w:tr>
      <w:tr w:rsidR="00E47AB8" w:rsidRPr="008B2F8A" w14:paraId="2D7FC93A" w14:textId="77777777" w:rsidTr="00E14AC4">
        <w:tc>
          <w:tcPr>
            <w:tcW w:w="1338" w:type="pct"/>
            <w:tcBorders>
              <w:top w:val="nil"/>
              <w:bottom w:val="nil"/>
            </w:tcBorders>
            <w:shd w:val="clear" w:color="auto" w:fill="auto"/>
            <w:noWrap/>
          </w:tcPr>
          <w:p w14:paraId="4CA840B2" w14:textId="77777777" w:rsidR="00E47AB8" w:rsidRPr="008B2F8A" w:rsidRDefault="00E47AB8" w:rsidP="00422306">
            <w:pPr>
              <w:spacing w:before="40" w:after="80"/>
              <w:rPr>
                <w:rFonts w:ascii="Arial Narrow" w:eastAsia="Times New Roman" w:hAnsi="Arial Narrow"/>
                <w:sz w:val="20"/>
                <w:szCs w:val="20"/>
              </w:rPr>
            </w:pPr>
            <w:r w:rsidRPr="00FB1B38">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6DC6DC1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5" w:type="pct"/>
            <w:tcBorders>
              <w:top w:val="nil"/>
              <w:bottom w:val="nil"/>
            </w:tcBorders>
            <w:shd w:val="clear" w:color="auto" w:fill="auto"/>
            <w:noWrap/>
            <w:hideMark/>
          </w:tcPr>
          <w:p w14:paraId="00F5EF4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$36,440</w:t>
            </w:r>
          </w:p>
        </w:tc>
        <w:tc>
          <w:tcPr>
            <w:tcW w:w="545" w:type="pct"/>
            <w:tcBorders>
              <w:top w:val="nil"/>
              <w:bottom w:val="nil"/>
            </w:tcBorders>
            <w:shd w:val="clear" w:color="auto" w:fill="auto"/>
            <w:noWrap/>
            <w:hideMark/>
          </w:tcPr>
          <w:p w14:paraId="75E9C5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$115,124</w:t>
            </w:r>
          </w:p>
        </w:tc>
        <w:tc>
          <w:tcPr>
            <w:tcW w:w="622" w:type="pct"/>
            <w:tcBorders>
              <w:top w:val="nil"/>
              <w:bottom w:val="nil"/>
            </w:tcBorders>
            <w:shd w:val="clear" w:color="auto" w:fill="auto"/>
            <w:noWrap/>
            <w:hideMark/>
          </w:tcPr>
          <w:p w14:paraId="2456DE4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$84,862</w:t>
            </w:r>
          </w:p>
        </w:tc>
        <w:tc>
          <w:tcPr>
            <w:tcW w:w="544" w:type="pct"/>
            <w:tcBorders>
              <w:top w:val="nil"/>
              <w:bottom w:val="nil"/>
            </w:tcBorders>
            <w:shd w:val="clear" w:color="auto" w:fill="auto"/>
            <w:noWrap/>
            <w:hideMark/>
          </w:tcPr>
          <w:p w14:paraId="33996E9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$84,862</w:t>
            </w:r>
          </w:p>
        </w:tc>
        <w:tc>
          <w:tcPr>
            <w:tcW w:w="550" w:type="pct"/>
            <w:tcBorders>
              <w:top w:val="nil"/>
              <w:bottom w:val="nil"/>
            </w:tcBorders>
            <w:shd w:val="clear" w:color="auto" w:fill="auto"/>
            <w:noWrap/>
            <w:hideMark/>
          </w:tcPr>
          <w:p w14:paraId="203507F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$158,504</w:t>
            </w:r>
          </w:p>
        </w:tc>
      </w:tr>
      <w:tr w:rsidR="00E47AB8" w:rsidRPr="008B2F8A" w14:paraId="5846AF71" w14:textId="77777777" w:rsidTr="00E14AC4">
        <w:tc>
          <w:tcPr>
            <w:tcW w:w="1338" w:type="pct"/>
            <w:tcBorders>
              <w:top w:val="nil"/>
              <w:bottom w:val="nil"/>
            </w:tcBorders>
            <w:shd w:val="clear" w:color="auto" w:fill="auto"/>
            <w:noWrap/>
          </w:tcPr>
          <w:p w14:paraId="1A5793E2" w14:textId="77777777" w:rsidR="00E47AB8" w:rsidRPr="008B2F8A" w:rsidRDefault="00E47AB8" w:rsidP="00422306">
            <w:pPr>
              <w:spacing w:before="40" w:after="80"/>
              <w:rPr>
                <w:rFonts w:ascii="Arial Narrow" w:eastAsia="Times New Roman" w:hAnsi="Arial Narrow"/>
                <w:sz w:val="20"/>
                <w:szCs w:val="20"/>
              </w:rPr>
            </w:pPr>
            <w:r w:rsidRPr="00FB1B38">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2CD1087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20%</w:t>
            </w:r>
          </w:p>
        </w:tc>
        <w:tc>
          <w:tcPr>
            <w:tcW w:w="545" w:type="pct"/>
            <w:tcBorders>
              <w:top w:val="nil"/>
              <w:bottom w:val="nil"/>
            </w:tcBorders>
            <w:shd w:val="clear" w:color="auto" w:fill="auto"/>
            <w:noWrap/>
            <w:hideMark/>
          </w:tcPr>
          <w:p w14:paraId="6A3E7C0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$27,136</w:t>
            </w:r>
          </w:p>
        </w:tc>
        <w:tc>
          <w:tcPr>
            <w:tcW w:w="545" w:type="pct"/>
            <w:tcBorders>
              <w:top w:val="nil"/>
              <w:bottom w:val="nil"/>
            </w:tcBorders>
            <w:shd w:val="clear" w:color="auto" w:fill="auto"/>
            <w:noWrap/>
            <w:hideMark/>
          </w:tcPr>
          <w:p w14:paraId="7A28ADE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$85,911</w:t>
            </w:r>
          </w:p>
        </w:tc>
        <w:tc>
          <w:tcPr>
            <w:tcW w:w="622" w:type="pct"/>
            <w:tcBorders>
              <w:top w:val="nil"/>
              <w:bottom w:val="nil"/>
            </w:tcBorders>
            <w:shd w:val="clear" w:color="auto" w:fill="auto"/>
            <w:noWrap/>
            <w:hideMark/>
          </w:tcPr>
          <w:p w14:paraId="05A4217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$63,234</w:t>
            </w:r>
          </w:p>
        </w:tc>
        <w:tc>
          <w:tcPr>
            <w:tcW w:w="544" w:type="pct"/>
            <w:tcBorders>
              <w:top w:val="nil"/>
              <w:bottom w:val="nil"/>
            </w:tcBorders>
            <w:shd w:val="clear" w:color="auto" w:fill="auto"/>
            <w:noWrap/>
            <w:hideMark/>
          </w:tcPr>
          <w:p w14:paraId="04A525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$63,234</w:t>
            </w:r>
          </w:p>
        </w:tc>
        <w:tc>
          <w:tcPr>
            <w:tcW w:w="550" w:type="pct"/>
            <w:tcBorders>
              <w:top w:val="nil"/>
              <w:bottom w:val="nil"/>
            </w:tcBorders>
            <w:shd w:val="clear" w:color="auto" w:fill="auto"/>
            <w:noWrap/>
            <w:hideMark/>
          </w:tcPr>
          <w:p w14:paraId="4EA62E2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$117,938</w:t>
            </w:r>
          </w:p>
        </w:tc>
      </w:tr>
      <w:tr w:rsidR="00E47AB8" w:rsidRPr="008B2F8A" w14:paraId="33BE18B7" w14:textId="77777777" w:rsidTr="00E14AC4">
        <w:tc>
          <w:tcPr>
            <w:tcW w:w="1338" w:type="pct"/>
            <w:tcBorders>
              <w:top w:val="nil"/>
              <w:bottom w:val="nil"/>
            </w:tcBorders>
            <w:shd w:val="clear" w:color="auto" w:fill="auto"/>
            <w:noWrap/>
          </w:tcPr>
          <w:p w14:paraId="2AC5713F" w14:textId="77777777" w:rsidR="00E47AB8" w:rsidRPr="008B2F8A" w:rsidRDefault="00E47AB8" w:rsidP="00422306">
            <w:pPr>
              <w:spacing w:before="40" w:after="80"/>
              <w:rPr>
                <w:rFonts w:ascii="Arial Narrow" w:eastAsia="Times New Roman" w:hAnsi="Arial Narrow"/>
                <w:sz w:val="20"/>
                <w:szCs w:val="20"/>
              </w:rPr>
            </w:pPr>
            <w:r w:rsidRPr="00FB1B38">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739646A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25%</w:t>
            </w:r>
          </w:p>
        </w:tc>
        <w:tc>
          <w:tcPr>
            <w:tcW w:w="545" w:type="pct"/>
            <w:tcBorders>
              <w:top w:val="nil"/>
              <w:bottom w:val="nil"/>
            </w:tcBorders>
            <w:shd w:val="clear" w:color="auto" w:fill="auto"/>
            <w:noWrap/>
            <w:hideMark/>
          </w:tcPr>
          <w:p w14:paraId="6720E9B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$21,506</w:t>
            </w:r>
          </w:p>
        </w:tc>
        <w:tc>
          <w:tcPr>
            <w:tcW w:w="545" w:type="pct"/>
            <w:tcBorders>
              <w:top w:val="nil"/>
              <w:bottom w:val="nil"/>
            </w:tcBorders>
            <w:shd w:val="clear" w:color="auto" w:fill="auto"/>
            <w:noWrap/>
            <w:hideMark/>
          </w:tcPr>
          <w:p w14:paraId="74B370F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$68,482</w:t>
            </w:r>
          </w:p>
        </w:tc>
        <w:tc>
          <w:tcPr>
            <w:tcW w:w="622" w:type="pct"/>
            <w:tcBorders>
              <w:top w:val="nil"/>
              <w:bottom w:val="nil"/>
            </w:tcBorders>
            <w:shd w:val="clear" w:color="auto" w:fill="auto"/>
            <w:noWrap/>
            <w:hideMark/>
          </w:tcPr>
          <w:p w14:paraId="230293B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$50,303</w:t>
            </w:r>
          </w:p>
        </w:tc>
        <w:tc>
          <w:tcPr>
            <w:tcW w:w="544" w:type="pct"/>
            <w:tcBorders>
              <w:top w:val="nil"/>
              <w:bottom w:val="nil"/>
            </w:tcBorders>
            <w:shd w:val="clear" w:color="auto" w:fill="auto"/>
            <w:noWrap/>
            <w:hideMark/>
          </w:tcPr>
          <w:p w14:paraId="34EAC75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$50,303</w:t>
            </w:r>
          </w:p>
        </w:tc>
        <w:tc>
          <w:tcPr>
            <w:tcW w:w="550" w:type="pct"/>
            <w:tcBorders>
              <w:top w:val="nil"/>
              <w:bottom w:val="nil"/>
            </w:tcBorders>
            <w:shd w:val="clear" w:color="auto" w:fill="auto"/>
            <w:noWrap/>
            <w:hideMark/>
          </w:tcPr>
          <w:p w14:paraId="2DEE8DA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$93,707</w:t>
            </w:r>
          </w:p>
        </w:tc>
      </w:tr>
      <w:tr w:rsidR="00E47AB8" w:rsidRPr="008B2F8A" w14:paraId="45A8E296" w14:textId="77777777" w:rsidTr="00E14AC4">
        <w:tc>
          <w:tcPr>
            <w:tcW w:w="1338" w:type="pct"/>
            <w:tcBorders>
              <w:top w:val="nil"/>
              <w:bottom w:val="single" w:sz="4" w:space="0" w:color="auto"/>
            </w:tcBorders>
            <w:shd w:val="clear" w:color="auto" w:fill="auto"/>
            <w:noWrap/>
          </w:tcPr>
          <w:p w14:paraId="1EC6E96B" w14:textId="77777777" w:rsidR="00E47AB8" w:rsidRPr="008B2F8A" w:rsidRDefault="00E47AB8" w:rsidP="00422306">
            <w:pPr>
              <w:spacing w:before="40" w:after="80"/>
              <w:rPr>
                <w:rFonts w:ascii="Arial Narrow" w:eastAsia="Times New Roman" w:hAnsi="Arial Narrow"/>
                <w:sz w:val="20"/>
                <w:szCs w:val="20"/>
              </w:rPr>
            </w:pPr>
            <w:r w:rsidRPr="00FB1B38">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4FF5658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w:t>
            </w:r>
          </w:p>
        </w:tc>
        <w:tc>
          <w:tcPr>
            <w:tcW w:w="545" w:type="pct"/>
            <w:tcBorders>
              <w:top w:val="nil"/>
              <w:bottom w:val="single" w:sz="4" w:space="0" w:color="auto"/>
            </w:tcBorders>
            <w:shd w:val="clear" w:color="auto" w:fill="auto"/>
            <w:noWrap/>
            <w:hideMark/>
          </w:tcPr>
          <w:p w14:paraId="14455DC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$17,648</w:t>
            </w:r>
          </w:p>
        </w:tc>
        <w:tc>
          <w:tcPr>
            <w:tcW w:w="545" w:type="pct"/>
            <w:tcBorders>
              <w:top w:val="nil"/>
              <w:bottom w:val="single" w:sz="4" w:space="0" w:color="auto"/>
            </w:tcBorders>
            <w:shd w:val="clear" w:color="auto" w:fill="auto"/>
            <w:noWrap/>
            <w:hideMark/>
          </w:tcPr>
          <w:p w14:paraId="442ADAA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$56,895</w:t>
            </w:r>
          </w:p>
        </w:tc>
        <w:tc>
          <w:tcPr>
            <w:tcW w:w="622" w:type="pct"/>
            <w:tcBorders>
              <w:top w:val="nil"/>
              <w:bottom w:val="single" w:sz="4" w:space="0" w:color="auto"/>
            </w:tcBorders>
            <w:shd w:val="clear" w:color="auto" w:fill="auto"/>
            <w:noWrap/>
            <w:hideMark/>
          </w:tcPr>
          <w:p w14:paraId="3B1235B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$41,694</w:t>
            </w:r>
          </w:p>
        </w:tc>
        <w:tc>
          <w:tcPr>
            <w:tcW w:w="544" w:type="pct"/>
            <w:tcBorders>
              <w:top w:val="nil"/>
              <w:bottom w:val="single" w:sz="4" w:space="0" w:color="auto"/>
            </w:tcBorders>
            <w:shd w:val="clear" w:color="auto" w:fill="auto"/>
            <w:noWrap/>
            <w:hideMark/>
          </w:tcPr>
          <w:p w14:paraId="44A2B40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$41,694</w:t>
            </w:r>
          </w:p>
        </w:tc>
        <w:tc>
          <w:tcPr>
            <w:tcW w:w="550" w:type="pct"/>
            <w:tcBorders>
              <w:top w:val="nil"/>
              <w:bottom w:val="single" w:sz="4" w:space="0" w:color="auto"/>
            </w:tcBorders>
            <w:shd w:val="clear" w:color="auto" w:fill="auto"/>
            <w:noWrap/>
            <w:hideMark/>
          </w:tcPr>
          <w:p w14:paraId="30E1132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$77,585</w:t>
            </w:r>
          </w:p>
        </w:tc>
      </w:tr>
      <w:tr w:rsidR="00E47AB8" w:rsidRPr="008B2F8A" w14:paraId="2A9E6F0F" w14:textId="77777777" w:rsidTr="00E14AC4">
        <w:tc>
          <w:tcPr>
            <w:tcW w:w="1338" w:type="pct"/>
            <w:tcBorders>
              <w:bottom w:val="nil"/>
            </w:tcBorders>
            <w:shd w:val="clear" w:color="auto" w:fill="auto"/>
            <w:noWrap/>
            <w:hideMark/>
          </w:tcPr>
          <w:p w14:paraId="7B09746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MRI age range</w:t>
            </w:r>
          </w:p>
        </w:tc>
        <w:tc>
          <w:tcPr>
            <w:tcW w:w="855" w:type="pct"/>
            <w:tcBorders>
              <w:bottom w:val="nil"/>
            </w:tcBorders>
            <w:shd w:val="clear" w:color="auto" w:fill="auto"/>
            <w:noWrap/>
            <w:hideMark/>
          </w:tcPr>
          <w:p w14:paraId="34C35A1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30–40</w:t>
            </w:r>
          </w:p>
        </w:tc>
        <w:tc>
          <w:tcPr>
            <w:tcW w:w="545" w:type="pct"/>
            <w:tcBorders>
              <w:bottom w:val="nil"/>
            </w:tcBorders>
            <w:shd w:val="clear" w:color="auto" w:fill="auto"/>
            <w:noWrap/>
            <w:hideMark/>
          </w:tcPr>
          <w:p w14:paraId="45636FD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$49,230</w:t>
            </w:r>
          </w:p>
        </w:tc>
        <w:tc>
          <w:tcPr>
            <w:tcW w:w="545" w:type="pct"/>
            <w:tcBorders>
              <w:bottom w:val="nil"/>
            </w:tcBorders>
            <w:shd w:val="clear" w:color="auto" w:fill="auto"/>
            <w:noWrap/>
            <w:hideMark/>
          </w:tcPr>
          <w:p w14:paraId="12C60B8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$106,522</w:t>
            </w:r>
          </w:p>
        </w:tc>
        <w:tc>
          <w:tcPr>
            <w:tcW w:w="622" w:type="pct"/>
            <w:tcBorders>
              <w:bottom w:val="nil"/>
            </w:tcBorders>
            <w:shd w:val="clear" w:color="auto" w:fill="auto"/>
            <w:noWrap/>
            <w:hideMark/>
          </w:tcPr>
          <w:p w14:paraId="52B623D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$55,190</w:t>
            </w:r>
          </w:p>
        </w:tc>
        <w:tc>
          <w:tcPr>
            <w:tcW w:w="544" w:type="pct"/>
            <w:tcBorders>
              <w:bottom w:val="nil"/>
            </w:tcBorders>
            <w:shd w:val="clear" w:color="auto" w:fill="auto"/>
            <w:noWrap/>
            <w:hideMark/>
          </w:tcPr>
          <w:p w14:paraId="308B015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$55,190</w:t>
            </w:r>
          </w:p>
        </w:tc>
        <w:tc>
          <w:tcPr>
            <w:tcW w:w="550" w:type="pct"/>
            <w:tcBorders>
              <w:bottom w:val="nil"/>
            </w:tcBorders>
            <w:shd w:val="clear" w:color="auto" w:fill="auto"/>
            <w:noWrap/>
            <w:hideMark/>
          </w:tcPr>
          <w:p w14:paraId="5FBE826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$109,392</w:t>
            </w:r>
          </w:p>
        </w:tc>
      </w:tr>
      <w:tr w:rsidR="00E47AB8" w:rsidRPr="008B2F8A" w14:paraId="2E123076" w14:textId="77777777" w:rsidTr="00E14AC4">
        <w:tc>
          <w:tcPr>
            <w:tcW w:w="1338" w:type="pct"/>
            <w:tcBorders>
              <w:top w:val="nil"/>
              <w:bottom w:val="nil"/>
            </w:tcBorders>
            <w:shd w:val="clear" w:color="auto" w:fill="auto"/>
            <w:noWrap/>
          </w:tcPr>
          <w:p w14:paraId="1B1755AA" w14:textId="77777777" w:rsidR="00E47AB8" w:rsidRPr="008B2F8A" w:rsidRDefault="00E47AB8" w:rsidP="00422306">
            <w:pPr>
              <w:spacing w:before="40" w:after="80"/>
              <w:rPr>
                <w:rFonts w:ascii="Arial Narrow" w:eastAsia="Times New Roman" w:hAnsi="Arial Narrow"/>
                <w:sz w:val="20"/>
                <w:szCs w:val="20"/>
              </w:rPr>
            </w:pPr>
            <w:r w:rsidRPr="00CA7B7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693E0B9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30–50</w:t>
            </w:r>
          </w:p>
        </w:tc>
        <w:tc>
          <w:tcPr>
            <w:tcW w:w="545" w:type="pct"/>
            <w:tcBorders>
              <w:top w:val="nil"/>
              <w:bottom w:val="nil"/>
            </w:tcBorders>
            <w:shd w:val="clear" w:color="auto" w:fill="auto"/>
            <w:noWrap/>
            <w:hideMark/>
          </w:tcPr>
          <w:p w14:paraId="0C504A0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$36,440</w:t>
            </w:r>
          </w:p>
        </w:tc>
        <w:tc>
          <w:tcPr>
            <w:tcW w:w="545" w:type="pct"/>
            <w:tcBorders>
              <w:top w:val="nil"/>
              <w:bottom w:val="nil"/>
            </w:tcBorders>
            <w:shd w:val="clear" w:color="auto" w:fill="auto"/>
            <w:noWrap/>
            <w:hideMark/>
          </w:tcPr>
          <w:p w14:paraId="7F338BC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bottom w:val="nil"/>
            </w:tcBorders>
            <w:shd w:val="clear" w:color="auto" w:fill="auto"/>
            <w:noWrap/>
            <w:hideMark/>
          </w:tcPr>
          <w:p w14:paraId="77876BA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$82,975</w:t>
            </w:r>
          </w:p>
        </w:tc>
        <w:tc>
          <w:tcPr>
            <w:tcW w:w="544" w:type="pct"/>
            <w:tcBorders>
              <w:top w:val="nil"/>
              <w:bottom w:val="nil"/>
            </w:tcBorders>
            <w:shd w:val="clear" w:color="auto" w:fill="auto"/>
            <w:noWrap/>
            <w:hideMark/>
          </w:tcPr>
          <w:p w14:paraId="213A9FD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$82,975</w:t>
            </w:r>
          </w:p>
        </w:tc>
        <w:tc>
          <w:tcPr>
            <w:tcW w:w="550" w:type="pct"/>
            <w:tcBorders>
              <w:top w:val="nil"/>
              <w:bottom w:val="nil"/>
            </w:tcBorders>
            <w:shd w:val="clear" w:color="auto" w:fill="auto"/>
            <w:noWrap/>
            <w:hideMark/>
          </w:tcPr>
          <w:p w14:paraId="6112ECC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$125,687</w:t>
            </w:r>
          </w:p>
        </w:tc>
      </w:tr>
      <w:tr w:rsidR="00E47AB8" w:rsidRPr="008B2F8A" w14:paraId="0BADFE06" w14:textId="77777777" w:rsidTr="00E14AC4">
        <w:tc>
          <w:tcPr>
            <w:tcW w:w="1338" w:type="pct"/>
            <w:tcBorders>
              <w:top w:val="nil"/>
              <w:bottom w:val="nil"/>
            </w:tcBorders>
            <w:shd w:val="clear" w:color="auto" w:fill="auto"/>
            <w:noWrap/>
          </w:tcPr>
          <w:p w14:paraId="0AD9F21E" w14:textId="77777777" w:rsidR="00E47AB8" w:rsidRPr="008B2F8A" w:rsidRDefault="00E47AB8" w:rsidP="00422306">
            <w:pPr>
              <w:spacing w:before="40" w:after="80"/>
              <w:rPr>
                <w:rFonts w:ascii="Arial Narrow" w:eastAsia="Times New Roman" w:hAnsi="Arial Narrow"/>
                <w:sz w:val="20"/>
                <w:szCs w:val="20"/>
              </w:rPr>
            </w:pPr>
            <w:r w:rsidRPr="00CA7B7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662A14C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30–60</w:t>
            </w:r>
          </w:p>
        </w:tc>
        <w:tc>
          <w:tcPr>
            <w:tcW w:w="545" w:type="pct"/>
            <w:tcBorders>
              <w:top w:val="nil"/>
              <w:bottom w:val="nil"/>
            </w:tcBorders>
            <w:shd w:val="clear" w:color="auto" w:fill="auto"/>
            <w:noWrap/>
            <w:hideMark/>
          </w:tcPr>
          <w:p w14:paraId="776D0D9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$37,200</w:t>
            </w:r>
          </w:p>
        </w:tc>
        <w:tc>
          <w:tcPr>
            <w:tcW w:w="545" w:type="pct"/>
            <w:tcBorders>
              <w:top w:val="nil"/>
              <w:bottom w:val="nil"/>
            </w:tcBorders>
            <w:shd w:val="clear" w:color="auto" w:fill="auto"/>
            <w:noWrap/>
            <w:hideMark/>
          </w:tcPr>
          <w:p w14:paraId="2DAFED4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$85,768</w:t>
            </w:r>
          </w:p>
        </w:tc>
        <w:tc>
          <w:tcPr>
            <w:tcW w:w="622" w:type="pct"/>
            <w:tcBorders>
              <w:top w:val="nil"/>
              <w:bottom w:val="nil"/>
            </w:tcBorders>
            <w:shd w:val="clear" w:color="auto" w:fill="auto"/>
            <w:noWrap/>
            <w:hideMark/>
          </w:tcPr>
          <w:p w14:paraId="512F24F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$99,445</w:t>
            </w:r>
          </w:p>
        </w:tc>
        <w:tc>
          <w:tcPr>
            <w:tcW w:w="544" w:type="pct"/>
            <w:tcBorders>
              <w:top w:val="nil"/>
              <w:bottom w:val="nil"/>
            </w:tcBorders>
            <w:shd w:val="clear" w:color="auto" w:fill="auto"/>
            <w:noWrap/>
            <w:hideMark/>
          </w:tcPr>
          <w:p w14:paraId="18AB20C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$99,445</w:t>
            </w:r>
          </w:p>
        </w:tc>
        <w:tc>
          <w:tcPr>
            <w:tcW w:w="550" w:type="pct"/>
            <w:tcBorders>
              <w:top w:val="nil"/>
              <w:bottom w:val="nil"/>
            </w:tcBorders>
            <w:shd w:val="clear" w:color="auto" w:fill="auto"/>
            <w:noWrap/>
            <w:hideMark/>
          </w:tcPr>
          <w:p w14:paraId="7816545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$137,298</w:t>
            </w:r>
          </w:p>
        </w:tc>
      </w:tr>
      <w:tr w:rsidR="00E47AB8" w:rsidRPr="008B2F8A" w14:paraId="4C110593" w14:textId="77777777" w:rsidTr="00E14AC4">
        <w:tc>
          <w:tcPr>
            <w:tcW w:w="1338" w:type="pct"/>
            <w:tcBorders>
              <w:top w:val="nil"/>
              <w:bottom w:val="nil"/>
            </w:tcBorders>
            <w:shd w:val="clear" w:color="auto" w:fill="auto"/>
            <w:noWrap/>
          </w:tcPr>
          <w:p w14:paraId="2CF6E80D" w14:textId="77777777" w:rsidR="00E47AB8" w:rsidRPr="008B2F8A" w:rsidRDefault="00E47AB8" w:rsidP="00422306">
            <w:pPr>
              <w:spacing w:before="40" w:after="80"/>
              <w:rPr>
                <w:rFonts w:ascii="Arial Narrow" w:eastAsia="Times New Roman" w:hAnsi="Arial Narrow"/>
                <w:sz w:val="20"/>
                <w:szCs w:val="20"/>
              </w:rPr>
            </w:pPr>
            <w:r w:rsidRPr="00CA7B7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1730F33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30–70</w:t>
            </w:r>
          </w:p>
        </w:tc>
        <w:tc>
          <w:tcPr>
            <w:tcW w:w="545" w:type="pct"/>
            <w:tcBorders>
              <w:top w:val="nil"/>
              <w:bottom w:val="nil"/>
            </w:tcBorders>
            <w:shd w:val="clear" w:color="auto" w:fill="auto"/>
            <w:noWrap/>
            <w:hideMark/>
          </w:tcPr>
          <w:p w14:paraId="4BEF838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$38,269</w:t>
            </w:r>
          </w:p>
        </w:tc>
        <w:tc>
          <w:tcPr>
            <w:tcW w:w="545" w:type="pct"/>
            <w:tcBorders>
              <w:top w:val="nil"/>
              <w:bottom w:val="nil"/>
            </w:tcBorders>
            <w:shd w:val="clear" w:color="auto" w:fill="auto"/>
            <w:noWrap/>
            <w:hideMark/>
          </w:tcPr>
          <w:p w14:paraId="3E95F09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$85,701</w:t>
            </w:r>
          </w:p>
        </w:tc>
        <w:tc>
          <w:tcPr>
            <w:tcW w:w="622" w:type="pct"/>
            <w:tcBorders>
              <w:top w:val="nil"/>
              <w:bottom w:val="nil"/>
            </w:tcBorders>
            <w:shd w:val="clear" w:color="auto" w:fill="auto"/>
            <w:noWrap/>
            <w:hideMark/>
          </w:tcPr>
          <w:p w14:paraId="193BB82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$109,234</w:t>
            </w:r>
          </w:p>
        </w:tc>
        <w:tc>
          <w:tcPr>
            <w:tcW w:w="544" w:type="pct"/>
            <w:tcBorders>
              <w:top w:val="nil"/>
              <w:bottom w:val="nil"/>
            </w:tcBorders>
            <w:shd w:val="clear" w:color="auto" w:fill="auto"/>
            <w:noWrap/>
            <w:hideMark/>
          </w:tcPr>
          <w:p w14:paraId="2315A90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$109,234</w:t>
            </w:r>
          </w:p>
        </w:tc>
        <w:tc>
          <w:tcPr>
            <w:tcW w:w="550" w:type="pct"/>
            <w:tcBorders>
              <w:top w:val="nil"/>
              <w:bottom w:val="nil"/>
            </w:tcBorders>
            <w:shd w:val="clear" w:color="auto" w:fill="auto"/>
            <w:noWrap/>
            <w:hideMark/>
          </w:tcPr>
          <w:p w14:paraId="110370F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$145,310</w:t>
            </w:r>
          </w:p>
        </w:tc>
      </w:tr>
      <w:tr w:rsidR="00E47AB8" w:rsidRPr="008B2F8A" w14:paraId="2DEF2C14" w14:textId="77777777" w:rsidTr="00E14AC4">
        <w:tc>
          <w:tcPr>
            <w:tcW w:w="1338" w:type="pct"/>
            <w:tcBorders>
              <w:top w:val="nil"/>
              <w:bottom w:val="nil"/>
            </w:tcBorders>
            <w:shd w:val="clear" w:color="auto" w:fill="auto"/>
            <w:noWrap/>
          </w:tcPr>
          <w:p w14:paraId="440FB670" w14:textId="77777777" w:rsidR="00E47AB8" w:rsidRPr="008B2F8A" w:rsidRDefault="00E47AB8" w:rsidP="00422306">
            <w:pPr>
              <w:spacing w:before="40" w:after="80"/>
              <w:rPr>
                <w:rFonts w:ascii="Arial Narrow" w:eastAsia="Times New Roman" w:hAnsi="Arial Narrow"/>
                <w:sz w:val="20"/>
                <w:szCs w:val="20"/>
              </w:rPr>
            </w:pPr>
            <w:r w:rsidRPr="00CA7B7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29D6BEF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40–50</w:t>
            </w:r>
          </w:p>
        </w:tc>
        <w:tc>
          <w:tcPr>
            <w:tcW w:w="545" w:type="pct"/>
            <w:tcBorders>
              <w:top w:val="nil"/>
              <w:bottom w:val="nil"/>
            </w:tcBorders>
            <w:shd w:val="clear" w:color="auto" w:fill="auto"/>
            <w:noWrap/>
            <w:hideMark/>
          </w:tcPr>
          <w:p w14:paraId="2E686F6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$21,883</w:t>
            </w:r>
          </w:p>
        </w:tc>
        <w:tc>
          <w:tcPr>
            <w:tcW w:w="545" w:type="pct"/>
            <w:tcBorders>
              <w:top w:val="nil"/>
              <w:bottom w:val="nil"/>
            </w:tcBorders>
            <w:shd w:val="clear" w:color="auto" w:fill="auto"/>
            <w:noWrap/>
            <w:hideMark/>
          </w:tcPr>
          <w:p w14:paraId="7787B22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$63,039</w:t>
            </w:r>
          </w:p>
        </w:tc>
        <w:tc>
          <w:tcPr>
            <w:tcW w:w="622" w:type="pct"/>
            <w:tcBorders>
              <w:top w:val="nil"/>
              <w:bottom w:val="nil"/>
            </w:tcBorders>
            <w:shd w:val="clear" w:color="auto" w:fill="auto"/>
            <w:noWrap/>
            <w:hideMark/>
          </w:tcPr>
          <w:p w14:paraId="2BCAE1F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$70,679</w:t>
            </w:r>
          </w:p>
        </w:tc>
        <w:tc>
          <w:tcPr>
            <w:tcW w:w="544" w:type="pct"/>
            <w:tcBorders>
              <w:top w:val="nil"/>
              <w:bottom w:val="nil"/>
            </w:tcBorders>
            <w:shd w:val="clear" w:color="auto" w:fill="auto"/>
            <w:noWrap/>
            <w:hideMark/>
          </w:tcPr>
          <w:p w14:paraId="214C233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$70,679</w:t>
            </w:r>
          </w:p>
        </w:tc>
        <w:tc>
          <w:tcPr>
            <w:tcW w:w="550" w:type="pct"/>
            <w:tcBorders>
              <w:top w:val="nil"/>
              <w:bottom w:val="nil"/>
            </w:tcBorders>
            <w:shd w:val="clear" w:color="auto" w:fill="auto"/>
            <w:noWrap/>
            <w:hideMark/>
          </w:tcPr>
          <w:p w14:paraId="00F0B8D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$143,125</w:t>
            </w:r>
          </w:p>
        </w:tc>
      </w:tr>
      <w:tr w:rsidR="00E47AB8" w:rsidRPr="008B2F8A" w14:paraId="2C0CCB16" w14:textId="77777777" w:rsidTr="00E14AC4">
        <w:tc>
          <w:tcPr>
            <w:tcW w:w="1338" w:type="pct"/>
            <w:tcBorders>
              <w:top w:val="nil"/>
              <w:bottom w:val="nil"/>
            </w:tcBorders>
            <w:shd w:val="clear" w:color="auto" w:fill="auto"/>
            <w:noWrap/>
          </w:tcPr>
          <w:p w14:paraId="4B7AC24C" w14:textId="77777777" w:rsidR="00E47AB8" w:rsidRPr="008B2F8A" w:rsidRDefault="00E47AB8" w:rsidP="00422306">
            <w:pPr>
              <w:spacing w:before="40" w:after="80"/>
              <w:rPr>
                <w:rFonts w:ascii="Arial Narrow" w:eastAsia="Times New Roman" w:hAnsi="Arial Narrow"/>
                <w:sz w:val="20"/>
                <w:szCs w:val="20"/>
              </w:rPr>
            </w:pPr>
            <w:r w:rsidRPr="00CA7B7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3F7CCA7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40–60</w:t>
            </w:r>
          </w:p>
        </w:tc>
        <w:tc>
          <w:tcPr>
            <w:tcW w:w="545" w:type="pct"/>
            <w:tcBorders>
              <w:top w:val="nil"/>
              <w:bottom w:val="nil"/>
            </w:tcBorders>
            <w:shd w:val="clear" w:color="auto" w:fill="auto"/>
            <w:noWrap/>
            <w:hideMark/>
          </w:tcPr>
          <w:p w14:paraId="316F37B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$26,146</w:t>
            </w:r>
          </w:p>
        </w:tc>
        <w:tc>
          <w:tcPr>
            <w:tcW w:w="545" w:type="pct"/>
            <w:tcBorders>
              <w:top w:val="nil"/>
              <w:bottom w:val="nil"/>
            </w:tcBorders>
            <w:shd w:val="clear" w:color="auto" w:fill="auto"/>
            <w:noWrap/>
            <w:hideMark/>
          </w:tcPr>
          <w:p w14:paraId="12B8C86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$64,373</w:t>
            </w:r>
          </w:p>
        </w:tc>
        <w:tc>
          <w:tcPr>
            <w:tcW w:w="622" w:type="pct"/>
            <w:tcBorders>
              <w:top w:val="nil"/>
              <w:bottom w:val="nil"/>
            </w:tcBorders>
            <w:shd w:val="clear" w:color="auto" w:fill="auto"/>
            <w:noWrap/>
            <w:hideMark/>
          </w:tcPr>
          <w:p w14:paraId="55EC493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$101,300</w:t>
            </w:r>
          </w:p>
        </w:tc>
        <w:tc>
          <w:tcPr>
            <w:tcW w:w="544" w:type="pct"/>
            <w:tcBorders>
              <w:top w:val="nil"/>
              <w:bottom w:val="nil"/>
            </w:tcBorders>
            <w:shd w:val="clear" w:color="auto" w:fill="auto"/>
            <w:noWrap/>
            <w:hideMark/>
          </w:tcPr>
          <w:p w14:paraId="64C0C4B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$101,300</w:t>
            </w:r>
          </w:p>
        </w:tc>
        <w:tc>
          <w:tcPr>
            <w:tcW w:w="550" w:type="pct"/>
            <w:tcBorders>
              <w:top w:val="nil"/>
              <w:bottom w:val="nil"/>
            </w:tcBorders>
            <w:shd w:val="clear" w:color="auto" w:fill="auto"/>
            <w:noWrap/>
            <w:hideMark/>
          </w:tcPr>
          <w:p w14:paraId="5247EAF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$167,170</w:t>
            </w:r>
          </w:p>
        </w:tc>
      </w:tr>
      <w:tr w:rsidR="00E47AB8" w:rsidRPr="008B2F8A" w14:paraId="0703838B" w14:textId="77777777" w:rsidTr="00E14AC4">
        <w:tc>
          <w:tcPr>
            <w:tcW w:w="1338" w:type="pct"/>
            <w:tcBorders>
              <w:top w:val="nil"/>
              <w:bottom w:val="single" w:sz="4" w:space="0" w:color="auto"/>
            </w:tcBorders>
            <w:shd w:val="clear" w:color="auto" w:fill="auto"/>
            <w:noWrap/>
          </w:tcPr>
          <w:p w14:paraId="01D7D2ED" w14:textId="77777777" w:rsidR="00E47AB8" w:rsidRPr="008B2F8A" w:rsidRDefault="00E47AB8" w:rsidP="00422306">
            <w:pPr>
              <w:spacing w:before="40" w:after="80"/>
              <w:rPr>
                <w:rFonts w:ascii="Arial Narrow" w:eastAsia="Times New Roman" w:hAnsi="Arial Narrow"/>
                <w:sz w:val="20"/>
                <w:szCs w:val="20"/>
              </w:rPr>
            </w:pPr>
            <w:r w:rsidRPr="00CA7B7F">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4FC38FF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40–70</w:t>
            </w:r>
          </w:p>
        </w:tc>
        <w:tc>
          <w:tcPr>
            <w:tcW w:w="545" w:type="pct"/>
            <w:tcBorders>
              <w:top w:val="nil"/>
              <w:bottom w:val="single" w:sz="4" w:space="0" w:color="auto"/>
            </w:tcBorders>
            <w:shd w:val="clear" w:color="auto" w:fill="auto"/>
            <w:noWrap/>
            <w:hideMark/>
          </w:tcPr>
          <w:p w14:paraId="1C769D4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$28,617</w:t>
            </w:r>
          </w:p>
        </w:tc>
        <w:tc>
          <w:tcPr>
            <w:tcW w:w="545" w:type="pct"/>
            <w:tcBorders>
              <w:top w:val="nil"/>
              <w:bottom w:val="single" w:sz="4" w:space="0" w:color="auto"/>
            </w:tcBorders>
            <w:shd w:val="clear" w:color="auto" w:fill="auto"/>
            <w:noWrap/>
            <w:hideMark/>
          </w:tcPr>
          <w:p w14:paraId="0D7B524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$67,234</w:t>
            </w:r>
          </w:p>
        </w:tc>
        <w:tc>
          <w:tcPr>
            <w:tcW w:w="622" w:type="pct"/>
            <w:tcBorders>
              <w:top w:val="nil"/>
              <w:bottom w:val="single" w:sz="4" w:space="0" w:color="auto"/>
            </w:tcBorders>
            <w:shd w:val="clear" w:color="auto" w:fill="auto"/>
            <w:noWrap/>
            <w:hideMark/>
          </w:tcPr>
          <w:p w14:paraId="4F113AB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$118,615</w:t>
            </w:r>
          </w:p>
        </w:tc>
        <w:tc>
          <w:tcPr>
            <w:tcW w:w="544" w:type="pct"/>
            <w:tcBorders>
              <w:top w:val="nil"/>
              <w:bottom w:val="single" w:sz="4" w:space="0" w:color="auto"/>
            </w:tcBorders>
            <w:shd w:val="clear" w:color="auto" w:fill="auto"/>
            <w:noWrap/>
            <w:hideMark/>
          </w:tcPr>
          <w:p w14:paraId="6305BFF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$118,615</w:t>
            </w:r>
          </w:p>
        </w:tc>
        <w:tc>
          <w:tcPr>
            <w:tcW w:w="550" w:type="pct"/>
            <w:tcBorders>
              <w:top w:val="nil"/>
              <w:bottom w:val="single" w:sz="4" w:space="0" w:color="auto"/>
            </w:tcBorders>
            <w:shd w:val="clear" w:color="auto" w:fill="auto"/>
            <w:noWrap/>
            <w:hideMark/>
          </w:tcPr>
          <w:p w14:paraId="6EA33A6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$182,618</w:t>
            </w:r>
          </w:p>
        </w:tc>
      </w:tr>
      <w:tr w:rsidR="00E47AB8" w:rsidRPr="008B2F8A" w14:paraId="3FFD84FC" w14:textId="77777777" w:rsidTr="00E14AC4">
        <w:tc>
          <w:tcPr>
            <w:tcW w:w="1338" w:type="pct"/>
            <w:tcBorders>
              <w:bottom w:val="nil"/>
            </w:tcBorders>
            <w:shd w:val="clear" w:color="auto" w:fill="auto"/>
            <w:noWrap/>
            <w:hideMark/>
          </w:tcPr>
          <w:p w14:paraId="2CDA18F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Cancer treatment costs Y1</w:t>
            </w:r>
          </w:p>
        </w:tc>
        <w:tc>
          <w:tcPr>
            <w:tcW w:w="855" w:type="pct"/>
            <w:tcBorders>
              <w:bottom w:val="nil"/>
            </w:tcBorders>
            <w:shd w:val="clear" w:color="auto" w:fill="auto"/>
            <w:noWrap/>
            <w:hideMark/>
          </w:tcPr>
          <w:p w14:paraId="45FD127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w:t>
            </w:r>
          </w:p>
        </w:tc>
        <w:tc>
          <w:tcPr>
            <w:tcW w:w="545" w:type="pct"/>
            <w:tcBorders>
              <w:bottom w:val="nil"/>
            </w:tcBorders>
            <w:shd w:val="clear" w:color="auto" w:fill="auto"/>
            <w:noWrap/>
            <w:hideMark/>
          </w:tcPr>
          <w:p w14:paraId="18BA9C2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$33,852</w:t>
            </w:r>
          </w:p>
        </w:tc>
        <w:tc>
          <w:tcPr>
            <w:tcW w:w="545" w:type="pct"/>
            <w:tcBorders>
              <w:bottom w:val="nil"/>
            </w:tcBorders>
            <w:shd w:val="clear" w:color="auto" w:fill="auto"/>
            <w:noWrap/>
            <w:hideMark/>
          </w:tcPr>
          <w:p w14:paraId="4A044E3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$89,511</w:t>
            </w:r>
          </w:p>
        </w:tc>
        <w:tc>
          <w:tcPr>
            <w:tcW w:w="622" w:type="pct"/>
            <w:tcBorders>
              <w:bottom w:val="nil"/>
            </w:tcBorders>
            <w:shd w:val="clear" w:color="auto" w:fill="auto"/>
            <w:noWrap/>
            <w:hideMark/>
          </w:tcPr>
          <w:p w14:paraId="223A797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$66,246</w:t>
            </w:r>
          </w:p>
        </w:tc>
        <w:tc>
          <w:tcPr>
            <w:tcW w:w="544" w:type="pct"/>
            <w:tcBorders>
              <w:bottom w:val="nil"/>
            </w:tcBorders>
            <w:shd w:val="clear" w:color="auto" w:fill="auto"/>
            <w:noWrap/>
            <w:hideMark/>
          </w:tcPr>
          <w:p w14:paraId="3852950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$66,246</w:t>
            </w:r>
          </w:p>
        </w:tc>
        <w:tc>
          <w:tcPr>
            <w:tcW w:w="550" w:type="pct"/>
            <w:tcBorders>
              <w:bottom w:val="nil"/>
            </w:tcBorders>
            <w:shd w:val="clear" w:color="auto" w:fill="auto"/>
            <w:noWrap/>
            <w:hideMark/>
          </w:tcPr>
          <w:p w14:paraId="532B523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$124,185</w:t>
            </w:r>
          </w:p>
        </w:tc>
      </w:tr>
      <w:tr w:rsidR="00E47AB8" w:rsidRPr="008B2F8A" w14:paraId="0109F035" w14:textId="77777777" w:rsidTr="00E14AC4">
        <w:tc>
          <w:tcPr>
            <w:tcW w:w="1338" w:type="pct"/>
            <w:tcBorders>
              <w:top w:val="nil"/>
              <w:bottom w:val="nil"/>
            </w:tcBorders>
            <w:shd w:val="clear" w:color="auto" w:fill="auto"/>
            <w:noWrap/>
          </w:tcPr>
          <w:p w14:paraId="7BE38731" w14:textId="77777777" w:rsidR="00E47AB8" w:rsidRPr="008B2F8A" w:rsidRDefault="00E47AB8" w:rsidP="00422306">
            <w:pPr>
              <w:spacing w:before="40" w:after="80"/>
              <w:rPr>
                <w:rFonts w:ascii="Arial Narrow" w:eastAsia="Times New Roman" w:hAnsi="Arial Narrow"/>
                <w:sz w:val="20"/>
                <w:szCs w:val="20"/>
              </w:rPr>
            </w:pPr>
            <w:r w:rsidRPr="00867D3C">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62C6663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w:t>
            </w:r>
          </w:p>
        </w:tc>
        <w:tc>
          <w:tcPr>
            <w:tcW w:w="545" w:type="pct"/>
            <w:tcBorders>
              <w:top w:val="nil"/>
              <w:bottom w:val="nil"/>
            </w:tcBorders>
            <w:shd w:val="clear" w:color="auto" w:fill="auto"/>
            <w:noWrap/>
            <w:hideMark/>
          </w:tcPr>
          <w:p w14:paraId="704C899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$35,146</w:t>
            </w:r>
          </w:p>
        </w:tc>
        <w:tc>
          <w:tcPr>
            <w:tcW w:w="545" w:type="pct"/>
            <w:tcBorders>
              <w:top w:val="nil"/>
              <w:bottom w:val="nil"/>
            </w:tcBorders>
            <w:shd w:val="clear" w:color="auto" w:fill="auto"/>
            <w:noWrap/>
            <w:hideMark/>
          </w:tcPr>
          <w:p w14:paraId="43488EB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$90,499</w:t>
            </w:r>
          </w:p>
        </w:tc>
        <w:tc>
          <w:tcPr>
            <w:tcW w:w="622" w:type="pct"/>
            <w:tcBorders>
              <w:top w:val="nil"/>
              <w:bottom w:val="nil"/>
            </w:tcBorders>
            <w:shd w:val="clear" w:color="auto" w:fill="auto"/>
            <w:noWrap/>
            <w:hideMark/>
          </w:tcPr>
          <w:p w14:paraId="51973F4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$66,807</w:t>
            </w:r>
          </w:p>
        </w:tc>
        <w:tc>
          <w:tcPr>
            <w:tcW w:w="544" w:type="pct"/>
            <w:tcBorders>
              <w:top w:val="nil"/>
              <w:bottom w:val="nil"/>
            </w:tcBorders>
            <w:shd w:val="clear" w:color="auto" w:fill="auto"/>
            <w:noWrap/>
            <w:hideMark/>
          </w:tcPr>
          <w:p w14:paraId="3263168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$66,807</w:t>
            </w:r>
          </w:p>
        </w:tc>
        <w:tc>
          <w:tcPr>
            <w:tcW w:w="550" w:type="pct"/>
            <w:tcBorders>
              <w:top w:val="nil"/>
              <w:bottom w:val="nil"/>
            </w:tcBorders>
            <w:shd w:val="clear" w:color="auto" w:fill="auto"/>
            <w:noWrap/>
            <w:hideMark/>
          </w:tcPr>
          <w:p w14:paraId="1E64186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$124,936</w:t>
            </w:r>
          </w:p>
        </w:tc>
      </w:tr>
      <w:tr w:rsidR="00E47AB8" w:rsidRPr="008B2F8A" w14:paraId="267517CD" w14:textId="77777777" w:rsidTr="00E14AC4">
        <w:tc>
          <w:tcPr>
            <w:tcW w:w="1338" w:type="pct"/>
            <w:tcBorders>
              <w:top w:val="nil"/>
              <w:bottom w:val="nil"/>
            </w:tcBorders>
            <w:shd w:val="clear" w:color="auto" w:fill="auto"/>
            <w:noWrap/>
          </w:tcPr>
          <w:p w14:paraId="7550D63A" w14:textId="77777777" w:rsidR="00E47AB8" w:rsidRPr="008B2F8A" w:rsidRDefault="00E47AB8" w:rsidP="00422306">
            <w:pPr>
              <w:spacing w:before="40" w:after="80"/>
              <w:rPr>
                <w:rFonts w:ascii="Arial Narrow" w:eastAsia="Times New Roman" w:hAnsi="Arial Narrow"/>
                <w:sz w:val="20"/>
                <w:szCs w:val="20"/>
              </w:rPr>
            </w:pPr>
            <w:r w:rsidRPr="00867D3C">
              <w:rPr>
                <w:rFonts w:ascii="Arial Narrow" w:hAnsi="Arial Narrow"/>
                <w:color w:val="FFFFFF" w:themeColor="background1"/>
                <w:sz w:val="20"/>
                <w:szCs w:val="20"/>
              </w:rPr>
              <w:lastRenderedPageBreak/>
              <w:t>-</w:t>
            </w:r>
          </w:p>
        </w:tc>
        <w:tc>
          <w:tcPr>
            <w:tcW w:w="855" w:type="pct"/>
            <w:tcBorders>
              <w:top w:val="nil"/>
              <w:bottom w:val="nil"/>
            </w:tcBorders>
            <w:shd w:val="clear" w:color="auto" w:fill="auto"/>
            <w:noWrap/>
            <w:hideMark/>
          </w:tcPr>
          <w:p w14:paraId="3937590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w:t>
            </w:r>
          </w:p>
        </w:tc>
        <w:tc>
          <w:tcPr>
            <w:tcW w:w="545" w:type="pct"/>
            <w:tcBorders>
              <w:top w:val="nil"/>
              <w:bottom w:val="nil"/>
            </w:tcBorders>
            <w:shd w:val="clear" w:color="auto" w:fill="auto"/>
            <w:noWrap/>
            <w:hideMark/>
          </w:tcPr>
          <w:p w14:paraId="1B5EF40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$36,440</w:t>
            </w:r>
          </w:p>
        </w:tc>
        <w:tc>
          <w:tcPr>
            <w:tcW w:w="545" w:type="pct"/>
            <w:tcBorders>
              <w:top w:val="nil"/>
              <w:bottom w:val="nil"/>
            </w:tcBorders>
            <w:shd w:val="clear" w:color="auto" w:fill="auto"/>
            <w:noWrap/>
            <w:hideMark/>
          </w:tcPr>
          <w:p w14:paraId="24C56B6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bottom w:val="nil"/>
            </w:tcBorders>
            <w:shd w:val="clear" w:color="auto" w:fill="auto"/>
            <w:noWrap/>
            <w:hideMark/>
          </w:tcPr>
          <w:p w14:paraId="44B5BEE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44" w:type="pct"/>
            <w:tcBorders>
              <w:top w:val="nil"/>
              <w:bottom w:val="nil"/>
            </w:tcBorders>
            <w:shd w:val="clear" w:color="auto" w:fill="auto"/>
            <w:noWrap/>
            <w:hideMark/>
          </w:tcPr>
          <w:p w14:paraId="0B69B37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50" w:type="pct"/>
            <w:tcBorders>
              <w:top w:val="nil"/>
              <w:bottom w:val="nil"/>
            </w:tcBorders>
            <w:shd w:val="clear" w:color="auto" w:fill="auto"/>
            <w:noWrap/>
            <w:hideMark/>
          </w:tcPr>
          <w:p w14:paraId="7117506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$125,687</w:t>
            </w:r>
          </w:p>
        </w:tc>
      </w:tr>
      <w:tr w:rsidR="00E47AB8" w:rsidRPr="008B2F8A" w14:paraId="78332E77" w14:textId="77777777" w:rsidTr="00E14AC4">
        <w:tc>
          <w:tcPr>
            <w:tcW w:w="1338" w:type="pct"/>
            <w:tcBorders>
              <w:top w:val="nil"/>
              <w:bottom w:val="nil"/>
            </w:tcBorders>
            <w:shd w:val="clear" w:color="auto" w:fill="auto"/>
            <w:noWrap/>
          </w:tcPr>
          <w:p w14:paraId="751EE1EB" w14:textId="77777777" w:rsidR="00E47AB8" w:rsidRPr="008B2F8A" w:rsidRDefault="00E47AB8" w:rsidP="00422306">
            <w:pPr>
              <w:spacing w:before="40" w:after="80"/>
              <w:rPr>
                <w:rFonts w:ascii="Arial Narrow" w:eastAsia="Times New Roman" w:hAnsi="Arial Narrow"/>
                <w:sz w:val="20"/>
                <w:szCs w:val="20"/>
              </w:rPr>
            </w:pPr>
            <w:r w:rsidRPr="00867D3C">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3CCDFB6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5" w:type="pct"/>
            <w:tcBorders>
              <w:top w:val="nil"/>
              <w:bottom w:val="nil"/>
            </w:tcBorders>
            <w:shd w:val="clear" w:color="auto" w:fill="auto"/>
            <w:noWrap/>
            <w:hideMark/>
          </w:tcPr>
          <w:p w14:paraId="4532117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$37,734</w:t>
            </w:r>
          </w:p>
        </w:tc>
        <w:tc>
          <w:tcPr>
            <w:tcW w:w="545" w:type="pct"/>
            <w:tcBorders>
              <w:top w:val="nil"/>
              <w:bottom w:val="nil"/>
            </w:tcBorders>
            <w:shd w:val="clear" w:color="auto" w:fill="auto"/>
            <w:noWrap/>
            <w:hideMark/>
          </w:tcPr>
          <w:p w14:paraId="2CD47F1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$92,477</w:t>
            </w:r>
          </w:p>
        </w:tc>
        <w:tc>
          <w:tcPr>
            <w:tcW w:w="622" w:type="pct"/>
            <w:tcBorders>
              <w:top w:val="nil"/>
              <w:bottom w:val="nil"/>
            </w:tcBorders>
            <w:shd w:val="clear" w:color="auto" w:fill="auto"/>
            <w:noWrap/>
            <w:hideMark/>
          </w:tcPr>
          <w:p w14:paraId="6F1C30B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$67,929</w:t>
            </w:r>
          </w:p>
        </w:tc>
        <w:tc>
          <w:tcPr>
            <w:tcW w:w="544" w:type="pct"/>
            <w:tcBorders>
              <w:top w:val="nil"/>
              <w:bottom w:val="nil"/>
            </w:tcBorders>
            <w:shd w:val="clear" w:color="auto" w:fill="auto"/>
            <w:noWrap/>
            <w:hideMark/>
          </w:tcPr>
          <w:p w14:paraId="27854EB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$67,929</w:t>
            </w:r>
          </w:p>
        </w:tc>
        <w:tc>
          <w:tcPr>
            <w:tcW w:w="550" w:type="pct"/>
            <w:tcBorders>
              <w:top w:val="nil"/>
              <w:bottom w:val="nil"/>
            </w:tcBorders>
            <w:shd w:val="clear" w:color="auto" w:fill="auto"/>
            <w:noWrap/>
            <w:hideMark/>
          </w:tcPr>
          <w:p w14:paraId="4028CC5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$126,438</w:t>
            </w:r>
          </w:p>
        </w:tc>
      </w:tr>
      <w:tr w:rsidR="00E47AB8" w:rsidRPr="008B2F8A" w14:paraId="11E9D122" w14:textId="77777777" w:rsidTr="00E14AC4">
        <w:tc>
          <w:tcPr>
            <w:tcW w:w="1338" w:type="pct"/>
            <w:tcBorders>
              <w:top w:val="nil"/>
              <w:bottom w:val="single" w:sz="4" w:space="0" w:color="auto"/>
            </w:tcBorders>
            <w:shd w:val="clear" w:color="auto" w:fill="auto"/>
            <w:noWrap/>
          </w:tcPr>
          <w:p w14:paraId="5E8A92C6" w14:textId="77777777" w:rsidR="00E47AB8" w:rsidRPr="008B2F8A" w:rsidRDefault="00E47AB8" w:rsidP="00422306">
            <w:pPr>
              <w:spacing w:before="40" w:after="80"/>
              <w:rPr>
                <w:rFonts w:ascii="Arial Narrow" w:eastAsia="Times New Roman" w:hAnsi="Arial Narrow"/>
                <w:sz w:val="20"/>
                <w:szCs w:val="20"/>
              </w:rPr>
            </w:pPr>
            <w:r w:rsidRPr="00867D3C">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052DA66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w:t>
            </w:r>
          </w:p>
        </w:tc>
        <w:tc>
          <w:tcPr>
            <w:tcW w:w="545" w:type="pct"/>
            <w:tcBorders>
              <w:top w:val="nil"/>
              <w:bottom w:val="single" w:sz="4" w:space="0" w:color="auto"/>
            </w:tcBorders>
            <w:shd w:val="clear" w:color="auto" w:fill="auto"/>
            <w:noWrap/>
            <w:hideMark/>
          </w:tcPr>
          <w:p w14:paraId="4355632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$39,027</w:t>
            </w:r>
          </w:p>
        </w:tc>
        <w:tc>
          <w:tcPr>
            <w:tcW w:w="545" w:type="pct"/>
            <w:tcBorders>
              <w:top w:val="nil"/>
              <w:bottom w:val="single" w:sz="4" w:space="0" w:color="auto"/>
            </w:tcBorders>
            <w:shd w:val="clear" w:color="auto" w:fill="auto"/>
            <w:noWrap/>
            <w:hideMark/>
          </w:tcPr>
          <w:p w14:paraId="3DCACA8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$93,465</w:t>
            </w:r>
          </w:p>
        </w:tc>
        <w:tc>
          <w:tcPr>
            <w:tcW w:w="622" w:type="pct"/>
            <w:tcBorders>
              <w:top w:val="nil"/>
              <w:bottom w:val="single" w:sz="4" w:space="0" w:color="auto"/>
            </w:tcBorders>
            <w:shd w:val="clear" w:color="auto" w:fill="auto"/>
            <w:noWrap/>
            <w:hideMark/>
          </w:tcPr>
          <w:p w14:paraId="27C88FA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$68,490</w:t>
            </w:r>
          </w:p>
        </w:tc>
        <w:tc>
          <w:tcPr>
            <w:tcW w:w="544" w:type="pct"/>
            <w:tcBorders>
              <w:top w:val="nil"/>
              <w:bottom w:val="single" w:sz="4" w:space="0" w:color="auto"/>
            </w:tcBorders>
            <w:shd w:val="clear" w:color="auto" w:fill="auto"/>
            <w:noWrap/>
            <w:hideMark/>
          </w:tcPr>
          <w:p w14:paraId="543D02F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$68,490</w:t>
            </w:r>
          </w:p>
        </w:tc>
        <w:tc>
          <w:tcPr>
            <w:tcW w:w="550" w:type="pct"/>
            <w:tcBorders>
              <w:top w:val="nil"/>
              <w:bottom w:val="single" w:sz="4" w:space="0" w:color="auto"/>
            </w:tcBorders>
            <w:shd w:val="clear" w:color="auto" w:fill="auto"/>
            <w:noWrap/>
            <w:hideMark/>
          </w:tcPr>
          <w:p w14:paraId="43A7A82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$127,189</w:t>
            </w:r>
          </w:p>
        </w:tc>
      </w:tr>
      <w:tr w:rsidR="00E47AB8" w:rsidRPr="008B2F8A" w14:paraId="63C3DC3B" w14:textId="77777777" w:rsidTr="00E14AC4">
        <w:tc>
          <w:tcPr>
            <w:tcW w:w="1338" w:type="pct"/>
            <w:tcBorders>
              <w:bottom w:val="nil"/>
            </w:tcBorders>
            <w:shd w:val="clear" w:color="auto" w:fill="auto"/>
            <w:noWrap/>
            <w:hideMark/>
          </w:tcPr>
          <w:p w14:paraId="5208C25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Cancer treatment costs subsequent years</w:t>
            </w:r>
          </w:p>
        </w:tc>
        <w:tc>
          <w:tcPr>
            <w:tcW w:w="855" w:type="pct"/>
            <w:tcBorders>
              <w:bottom w:val="nil"/>
            </w:tcBorders>
            <w:shd w:val="clear" w:color="auto" w:fill="auto"/>
            <w:noWrap/>
            <w:hideMark/>
          </w:tcPr>
          <w:p w14:paraId="35147E4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w:t>
            </w:r>
          </w:p>
        </w:tc>
        <w:tc>
          <w:tcPr>
            <w:tcW w:w="545" w:type="pct"/>
            <w:tcBorders>
              <w:bottom w:val="nil"/>
            </w:tcBorders>
            <w:shd w:val="clear" w:color="auto" w:fill="auto"/>
            <w:noWrap/>
            <w:hideMark/>
          </w:tcPr>
          <w:p w14:paraId="6E3CB77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$36,131</w:t>
            </w:r>
          </w:p>
        </w:tc>
        <w:tc>
          <w:tcPr>
            <w:tcW w:w="545" w:type="pct"/>
            <w:tcBorders>
              <w:bottom w:val="nil"/>
            </w:tcBorders>
            <w:shd w:val="clear" w:color="auto" w:fill="auto"/>
            <w:noWrap/>
            <w:hideMark/>
          </w:tcPr>
          <w:p w14:paraId="2A56417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$91,127</w:t>
            </w:r>
          </w:p>
        </w:tc>
        <w:tc>
          <w:tcPr>
            <w:tcW w:w="622" w:type="pct"/>
            <w:tcBorders>
              <w:bottom w:val="nil"/>
            </w:tcBorders>
            <w:shd w:val="clear" w:color="auto" w:fill="auto"/>
            <w:noWrap/>
            <w:hideMark/>
          </w:tcPr>
          <w:p w14:paraId="4A1B57B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$67,005</w:t>
            </w:r>
          </w:p>
        </w:tc>
        <w:tc>
          <w:tcPr>
            <w:tcW w:w="544" w:type="pct"/>
            <w:tcBorders>
              <w:bottom w:val="nil"/>
            </w:tcBorders>
            <w:shd w:val="clear" w:color="auto" w:fill="auto"/>
            <w:noWrap/>
            <w:hideMark/>
          </w:tcPr>
          <w:p w14:paraId="1600D24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$67,005</w:t>
            </w:r>
          </w:p>
        </w:tc>
        <w:tc>
          <w:tcPr>
            <w:tcW w:w="550" w:type="pct"/>
            <w:tcBorders>
              <w:bottom w:val="nil"/>
            </w:tcBorders>
            <w:shd w:val="clear" w:color="auto" w:fill="auto"/>
            <w:noWrap/>
            <w:hideMark/>
          </w:tcPr>
          <w:p w14:paraId="388F127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$125,347</w:t>
            </w:r>
          </w:p>
        </w:tc>
      </w:tr>
      <w:tr w:rsidR="00E47AB8" w:rsidRPr="008B2F8A" w14:paraId="51217852" w14:textId="77777777" w:rsidTr="00E14AC4">
        <w:tc>
          <w:tcPr>
            <w:tcW w:w="1338" w:type="pct"/>
            <w:tcBorders>
              <w:top w:val="nil"/>
              <w:bottom w:val="nil"/>
            </w:tcBorders>
            <w:shd w:val="clear" w:color="auto" w:fill="auto"/>
            <w:noWrap/>
          </w:tcPr>
          <w:p w14:paraId="6BE4B971" w14:textId="77777777" w:rsidR="00E47AB8" w:rsidRPr="008B2F8A" w:rsidRDefault="00E47AB8" w:rsidP="00422306">
            <w:pPr>
              <w:spacing w:before="40" w:after="80"/>
              <w:rPr>
                <w:rFonts w:ascii="Arial Narrow" w:eastAsia="Times New Roman" w:hAnsi="Arial Narrow"/>
                <w:sz w:val="20"/>
                <w:szCs w:val="20"/>
              </w:rPr>
            </w:pPr>
            <w:r w:rsidRPr="00B876D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40AB277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w:t>
            </w:r>
          </w:p>
        </w:tc>
        <w:tc>
          <w:tcPr>
            <w:tcW w:w="545" w:type="pct"/>
            <w:tcBorders>
              <w:top w:val="nil"/>
              <w:bottom w:val="nil"/>
            </w:tcBorders>
            <w:shd w:val="clear" w:color="auto" w:fill="auto"/>
            <w:noWrap/>
            <w:hideMark/>
          </w:tcPr>
          <w:p w14:paraId="01163DE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$36,285</w:t>
            </w:r>
          </w:p>
        </w:tc>
        <w:tc>
          <w:tcPr>
            <w:tcW w:w="545" w:type="pct"/>
            <w:tcBorders>
              <w:top w:val="nil"/>
              <w:bottom w:val="nil"/>
            </w:tcBorders>
            <w:shd w:val="clear" w:color="auto" w:fill="auto"/>
            <w:noWrap/>
            <w:hideMark/>
          </w:tcPr>
          <w:p w14:paraId="4D5089F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$91,308</w:t>
            </w:r>
          </w:p>
        </w:tc>
        <w:tc>
          <w:tcPr>
            <w:tcW w:w="622" w:type="pct"/>
            <w:tcBorders>
              <w:top w:val="nil"/>
              <w:bottom w:val="nil"/>
            </w:tcBorders>
            <w:shd w:val="clear" w:color="auto" w:fill="auto"/>
            <w:noWrap/>
            <w:hideMark/>
          </w:tcPr>
          <w:p w14:paraId="25C9055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$67,186</w:t>
            </w:r>
          </w:p>
        </w:tc>
        <w:tc>
          <w:tcPr>
            <w:tcW w:w="544" w:type="pct"/>
            <w:tcBorders>
              <w:top w:val="nil"/>
              <w:bottom w:val="nil"/>
            </w:tcBorders>
            <w:shd w:val="clear" w:color="auto" w:fill="auto"/>
            <w:noWrap/>
            <w:hideMark/>
          </w:tcPr>
          <w:p w14:paraId="2BDFE78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$67,186</w:t>
            </w:r>
          </w:p>
        </w:tc>
        <w:tc>
          <w:tcPr>
            <w:tcW w:w="550" w:type="pct"/>
            <w:tcBorders>
              <w:top w:val="nil"/>
              <w:bottom w:val="nil"/>
            </w:tcBorders>
            <w:shd w:val="clear" w:color="auto" w:fill="auto"/>
            <w:noWrap/>
            <w:hideMark/>
          </w:tcPr>
          <w:p w14:paraId="47C0F91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$125,517</w:t>
            </w:r>
          </w:p>
        </w:tc>
      </w:tr>
      <w:tr w:rsidR="00E47AB8" w:rsidRPr="008B2F8A" w14:paraId="65EA4EC3" w14:textId="77777777" w:rsidTr="00E14AC4">
        <w:tc>
          <w:tcPr>
            <w:tcW w:w="1338" w:type="pct"/>
            <w:tcBorders>
              <w:top w:val="nil"/>
              <w:bottom w:val="nil"/>
            </w:tcBorders>
            <w:shd w:val="clear" w:color="auto" w:fill="auto"/>
            <w:noWrap/>
          </w:tcPr>
          <w:p w14:paraId="0C11B0C4" w14:textId="77777777" w:rsidR="00E47AB8" w:rsidRPr="008B2F8A" w:rsidRDefault="00E47AB8" w:rsidP="00422306">
            <w:pPr>
              <w:spacing w:before="40" w:after="80"/>
              <w:rPr>
                <w:rFonts w:ascii="Arial Narrow" w:eastAsia="Times New Roman" w:hAnsi="Arial Narrow"/>
                <w:sz w:val="20"/>
                <w:szCs w:val="20"/>
              </w:rPr>
            </w:pPr>
            <w:r w:rsidRPr="00B876D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1DB713E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w:t>
            </w:r>
          </w:p>
        </w:tc>
        <w:tc>
          <w:tcPr>
            <w:tcW w:w="545" w:type="pct"/>
            <w:tcBorders>
              <w:top w:val="nil"/>
              <w:bottom w:val="nil"/>
            </w:tcBorders>
            <w:shd w:val="clear" w:color="auto" w:fill="auto"/>
            <w:noWrap/>
            <w:hideMark/>
          </w:tcPr>
          <w:p w14:paraId="1383C12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$36,440</w:t>
            </w:r>
          </w:p>
        </w:tc>
        <w:tc>
          <w:tcPr>
            <w:tcW w:w="545" w:type="pct"/>
            <w:tcBorders>
              <w:top w:val="nil"/>
              <w:bottom w:val="nil"/>
            </w:tcBorders>
            <w:shd w:val="clear" w:color="auto" w:fill="auto"/>
            <w:noWrap/>
            <w:hideMark/>
          </w:tcPr>
          <w:p w14:paraId="4095405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bottom w:val="nil"/>
            </w:tcBorders>
            <w:shd w:val="clear" w:color="auto" w:fill="auto"/>
            <w:noWrap/>
            <w:hideMark/>
          </w:tcPr>
          <w:p w14:paraId="38D247A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44" w:type="pct"/>
            <w:tcBorders>
              <w:top w:val="nil"/>
              <w:bottom w:val="nil"/>
            </w:tcBorders>
            <w:shd w:val="clear" w:color="auto" w:fill="auto"/>
            <w:noWrap/>
            <w:hideMark/>
          </w:tcPr>
          <w:p w14:paraId="7612FF9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50" w:type="pct"/>
            <w:tcBorders>
              <w:top w:val="nil"/>
              <w:bottom w:val="nil"/>
            </w:tcBorders>
            <w:shd w:val="clear" w:color="auto" w:fill="auto"/>
            <w:noWrap/>
            <w:hideMark/>
          </w:tcPr>
          <w:p w14:paraId="51E5549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$125,687</w:t>
            </w:r>
          </w:p>
        </w:tc>
      </w:tr>
      <w:tr w:rsidR="00E47AB8" w:rsidRPr="008B2F8A" w14:paraId="65242F29" w14:textId="77777777" w:rsidTr="00E14AC4">
        <w:tc>
          <w:tcPr>
            <w:tcW w:w="1338" w:type="pct"/>
            <w:tcBorders>
              <w:top w:val="nil"/>
              <w:bottom w:val="nil"/>
            </w:tcBorders>
            <w:shd w:val="clear" w:color="auto" w:fill="auto"/>
            <w:noWrap/>
          </w:tcPr>
          <w:p w14:paraId="68DC73FE" w14:textId="77777777" w:rsidR="00E47AB8" w:rsidRPr="008B2F8A" w:rsidRDefault="00E47AB8" w:rsidP="00422306">
            <w:pPr>
              <w:spacing w:before="40" w:after="80"/>
              <w:rPr>
                <w:rFonts w:ascii="Arial Narrow" w:eastAsia="Times New Roman" w:hAnsi="Arial Narrow"/>
                <w:sz w:val="20"/>
                <w:szCs w:val="20"/>
              </w:rPr>
            </w:pPr>
            <w:r w:rsidRPr="00B876D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6C5AB95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5" w:type="pct"/>
            <w:tcBorders>
              <w:top w:val="nil"/>
              <w:bottom w:val="nil"/>
            </w:tcBorders>
            <w:shd w:val="clear" w:color="auto" w:fill="auto"/>
            <w:noWrap/>
            <w:hideMark/>
          </w:tcPr>
          <w:p w14:paraId="6F85A8F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$36,594</w:t>
            </w:r>
          </w:p>
        </w:tc>
        <w:tc>
          <w:tcPr>
            <w:tcW w:w="545" w:type="pct"/>
            <w:tcBorders>
              <w:top w:val="nil"/>
              <w:bottom w:val="nil"/>
            </w:tcBorders>
            <w:shd w:val="clear" w:color="auto" w:fill="auto"/>
            <w:noWrap/>
            <w:hideMark/>
          </w:tcPr>
          <w:p w14:paraId="75B0859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$91,669</w:t>
            </w:r>
          </w:p>
        </w:tc>
        <w:tc>
          <w:tcPr>
            <w:tcW w:w="622" w:type="pct"/>
            <w:tcBorders>
              <w:top w:val="nil"/>
              <w:bottom w:val="nil"/>
            </w:tcBorders>
            <w:shd w:val="clear" w:color="auto" w:fill="auto"/>
            <w:noWrap/>
            <w:hideMark/>
          </w:tcPr>
          <w:p w14:paraId="1002CF8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$67,549</w:t>
            </w:r>
          </w:p>
        </w:tc>
        <w:tc>
          <w:tcPr>
            <w:tcW w:w="544" w:type="pct"/>
            <w:tcBorders>
              <w:top w:val="nil"/>
              <w:bottom w:val="nil"/>
            </w:tcBorders>
            <w:shd w:val="clear" w:color="auto" w:fill="auto"/>
            <w:noWrap/>
            <w:hideMark/>
          </w:tcPr>
          <w:p w14:paraId="56E0FCE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$67,549</w:t>
            </w:r>
          </w:p>
        </w:tc>
        <w:tc>
          <w:tcPr>
            <w:tcW w:w="550" w:type="pct"/>
            <w:tcBorders>
              <w:top w:val="nil"/>
              <w:bottom w:val="nil"/>
            </w:tcBorders>
            <w:shd w:val="clear" w:color="auto" w:fill="auto"/>
            <w:noWrap/>
            <w:hideMark/>
          </w:tcPr>
          <w:p w14:paraId="1053425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$125,857</w:t>
            </w:r>
          </w:p>
        </w:tc>
      </w:tr>
      <w:tr w:rsidR="00E47AB8" w:rsidRPr="008B2F8A" w14:paraId="5F56F69D" w14:textId="77777777" w:rsidTr="00E14AC4">
        <w:tc>
          <w:tcPr>
            <w:tcW w:w="1338" w:type="pct"/>
            <w:tcBorders>
              <w:top w:val="nil"/>
              <w:bottom w:val="single" w:sz="4" w:space="0" w:color="auto"/>
            </w:tcBorders>
            <w:shd w:val="clear" w:color="auto" w:fill="auto"/>
            <w:noWrap/>
          </w:tcPr>
          <w:p w14:paraId="38321CE6" w14:textId="77777777" w:rsidR="00E47AB8" w:rsidRPr="008B2F8A" w:rsidRDefault="00E47AB8" w:rsidP="00422306">
            <w:pPr>
              <w:spacing w:before="40" w:after="80"/>
              <w:rPr>
                <w:rFonts w:ascii="Arial Narrow" w:eastAsia="Times New Roman" w:hAnsi="Arial Narrow"/>
                <w:sz w:val="20"/>
                <w:szCs w:val="20"/>
              </w:rPr>
            </w:pPr>
            <w:r w:rsidRPr="00B876DF">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758B77B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w:t>
            </w:r>
          </w:p>
        </w:tc>
        <w:tc>
          <w:tcPr>
            <w:tcW w:w="545" w:type="pct"/>
            <w:tcBorders>
              <w:top w:val="nil"/>
              <w:bottom w:val="single" w:sz="4" w:space="0" w:color="auto"/>
            </w:tcBorders>
            <w:shd w:val="clear" w:color="auto" w:fill="auto"/>
            <w:noWrap/>
            <w:hideMark/>
          </w:tcPr>
          <w:p w14:paraId="027BE73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$36,749</w:t>
            </w:r>
          </w:p>
        </w:tc>
        <w:tc>
          <w:tcPr>
            <w:tcW w:w="545" w:type="pct"/>
            <w:tcBorders>
              <w:top w:val="nil"/>
              <w:bottom w:val="single" w:sz="4" w:space="0" w:color="auto"/>
            </w:tcBorders>
            <w:shd w:val="clear" w:color="auto" w:fill="auto"/>
            <w:noWrap/>
            <w:hideMark/>
          </w:tcPr>
          <w:p w14:paraId="666122A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$91,849</w:t>
            </w:r>
          </w:p>
        </w:tc>
        <w:tc>
          <w:tcPr>
            <w:tcW w:w="622" w:type="pct"/>
            <w:tcBorders>
              <w:top w:val="nil"/>
              <w:bottom w:val="single" w:sz="4" w:space="0" w:color="auto"/>
            </w:tcBorders>
            <w:shd w:val="clear" w:color="auto" w:fill="auto"/>
            <w:noWrap/>
            <w:hideMark/>
          </w:tcPr>
          <w:p w14:paraId="377A86E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$67,731</w:t>
            </w:r>
          </w:p>
        </w:tc>
        <w:tc>
          <w:tcPr>
            <w:tcW w:w="544" w:type="pct"/>
            <w:tcBorders>
              <w:top w:val="nil"/>
              <w:bottom w:val="single" w:sz="4" w:space="0" w:color="auto"/>
            </w:tcBorders>
            <w:shd w:val="clear" w:color="auto" w:fill="auto"/>
            <w:noWrap/>
            <w:hideMark/>
          </w:tcPr>
          <w:p w14:paraId="72964BE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$67,731</w:t>
            </w:r>
          </w:p>
        </w:tc>
        <w:tc>
          <w:tcPr>
            <w:tcW w:w="550" w:type="pct"/>
            <w:tcBorders>
              <w:top w:val="nil"/>
              <w:bottom w:val="single" w:sz="4" w:space="0" w:color="auto"/>
            </w:tcBorders>
            <w:shd w:val="clear" w:color="auto" w:fill="auto"/>
            <w:noWrap/>
            <w:hideMark/>
          </w:tcPr>
          <w:p w14:paraId="0AEA735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$126,027</w:t>
            </w:r>
          </w:p>
        </w:tc>
      </w:tr>
      <w:tr w:rsidR="00E47AB8" w:rsidRPr="008B2F8A" w14:paraId="04B4CB56" w14:textId="77777777" w:rsidTr="00E14AC4">
        <w:tc>
          <w:tcPr>
            <w:tcW w:w="1338" w:type="pct"/>
            <w:tcBorders>
              <w:bottom w:val="nil"/>
            </w:tcBorders>
            <w:shd w:val="clear" w:color="auto" w:fill="auto"/>
            <w:noWrap/>
            <w:hideMark/>
          </w:tcPr>
          <w:p w14:paraId="263FDF7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False-positive costs</w:t>
            </w:r>
          </w:p>
        </w:tc>
        <w:tc>
          <w:tcPr>
            <w:tcW w:w="855" w:type="pct"/>
            <w:tcBorders>
              <w:bottom w:val="nil"/>
            </w:tcBorders>
            <w:shd w:val="clear" w:color="auto" w:fill="auto"/>
            <w:noWrap/>
            <w:hideMark/>
          </w:tcPr>
          <w:p w14:paraId="7B6CD0C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w:t>
            </w:r>
          </w:p>
        </w:tc>
        <w:tc>
          <w:tcPr>
            <w:tcW w:w="545" w:type="pct"/>
            <w:tcBorders>
              <w:bottom w:val="nil"/>
            </w:tcBorders>
            <w:shd w:val="clear" w:color="auto" w:fill="auto"/>
            <w:noWrap/>
            <w:hideMark/>
          </w:tcPr>
          <w:p w14:paraId="1892B93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$35,107</w:t>
            </w:r>
          </w:p>
        </w:tc>
        <w:tc>
          <w:tcPr>
            <w:tcW w:w="545" w:type="pct"/>
            <w:tcBorders>
              <w:bottom w:val="nil"/>
            </w:tcBorders>
            <w:shd w:val="clear" w:color="auto" w:fill="auto"/>
            <w:noWrap/>
            <w:hideMark/>
          </w:tcPr>
          <w:p w14:paraId="4FD73E2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$87,920</w:t>
            </w:r>
          </w:p>
        </w:tc>
        <w:tc>
          <w:tcPr>
            <w:tcW w:w="622" w:type="pct"/>
            <w:tcBorders>
              <w:bottom w:val="nil"/>
            </w:tcBorders>
            <w:shd w:val="clear" w:color="auto" w:fill="auto"/>
            <w:noWrap/>
            <w:hideMark/>
          </w:tcPr>
          <w:p w14:paraId="0F79391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$64,737</w:t>
            </w:r>
          </w:p>
        </w:tc>
        <w:tc>
          <w:tcPr>
            <w:tcW w:w="544" w:type="pct"/>
            <w:tcBorders>
              <w:bottom w:val="nil"/>
            </w:tcBorders>
            <w:shd w:val="clear" w:color="auto" w:fill="auto"/>
            <w:noWrap/>
            <w:hideMark/>
          </w:tcPr>
          <w:p w14:paraId="388FDAA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$64,737</w:t>
            </w:r>
          </w:p>
        </w:tc>
        <w:tc>
          <w:tcPr>
            <w:tcW w:w="550" w:type="pct"/>
            <w:tcBorders>
              <w:bottom w:val="nil"/>
            </w:tcBorders>
            <w:shd w:val="clear" w:color="auto" w:fill="auto"/>
            <w:noWrap/>
            <w:hideMark/>
          </w:tcPr>
          <w:p w14:paraId="01C52F5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$120,720</w:t>
            </w:r>
          </w:p>
        </w:tc>
      </w:tr>
      <w:tr w:rsidR="00E47AB8" w:rsidRPr="008B2F8A" w14:paraId="6FA9BD43" w14:textId="77777777" w:rsidTr="00E14AC4">
        <w:tc>
          <w:tcPr>
            <w:tcW w:w="1338" w:type="pct"/>
            <w:tcBorders>
              <w:top w:val="nil"/>
              <w:bottom w:val="nil"/>
            </w:tcBorders>
            <w:shd w:val="clear" w:color="auto" w:fill="auto"/>
            <w:noWrap/>
          </w:tcPr>
          <w:p w14:paraId="26E9495C" w14:textId="77777777" w:rsidR="00E47AB8" w:rsidRPr="008B2F8A" w:rsidRDefault="00E47AB8" w:rsidP="00422306">
            <w:pPr>
              <w:spacing w:before="40" w:after="80"/>
              <w:rPr>
                <w:rFonts w:ascii="Arial Narrow" w:eastAsia="Times New Roman" w:hAnsi="Arial Narrow"/>
                <w:sz w:val="20"/>
                <w:szCs w:val="20"/>
              </w:rPr>
            </w:pPr>
            <w:r w:rsidRPr="00337A35">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5EB011D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w:t>
            </w:r>
          </w:p>
        </w:tc>
        <w:tc>
          <w:tcPr>
            <w:tcW w:w="545" w:type="pct"/>
            <w:tcBorders>
              <w:top w:val="nil"/>
              <w:bottom w:val="nil"/>
            </w:tcBorders>
            <w:shd w:val="clear" w:color="auto" w:fill="auto"/>
            <w:noWrap/>
            <w:hideMark/>
          </w:tcPr>
          <w:p w14:paraId="23A98EB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$35,773</w:t>
            </w:r>
          </w:p>
        </w:tc>
        <w:tc>
          <w:tcPr>
            <w:tcW w:w="545" w:type="pct"/>
            <w:tcBorders>
              <w:top w:val="nil"/>
              <w:bottom w:val="nil"/>
            </w:tcBorders>
            <w:shd w:val="clear" w:color="auto" w:fill="auto"/>
            <w:noWrap/>
            <w:hideMark/>
          </w:tcPr>
          <w:p w14:paraId="3AD481E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$89,704</w:t>
            </w:r>
          </w:p>
        </w:tc>
        <w:tc>
          <w:tcPr>
            <w:tcW w:w="622" w:type="pct"/>
            <w:tcBorders>
              <w:top w:val="nil"/>
              <w:bottom w:val="nil"/>
            </w:tcBorders>
            <w:shd w:val="clear" w:color="auto" w:fill="auto"/>
            <w:noWrap/>
            <w:hideMark/>
          </w:tcPr>
          <w:p w14:paraId="0587839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$66,052</w:t>
            </w:r>
          </w:p>
        </w:tc>
        <w:tc>
          <w:tcPr>
            <w:tcW w:w="544" w:type="pct"/>
            <w:tcBorders>
              <w:top w:val="nil"/>
              <w:bottom w:val="nil"/>
            </w:tcBorders>
            <w:shd w:val="clear" w:color="auto" w:fill="auto"/>
            <w:noWrap/>
            <w:hideMark/>
          </w:tcPr>
          <w:p w14:paraId="3ACED13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$66,052</w:t>
            </w:r>
          </w:p>
        </w:tc>
        <w:tc>
          <w:tcPr>
            <w:tcW w:w="550" w:type="pct"/>
            <w:tcBorders>
              <w:top w:val="nil"/>
              <w:bottom w:val="nil"/>
            </w:tcBorders>
            <w:shd w:val="clear" w:color="auto" w:fill="auto"/>
            <w:noWrap/>
            <w:hideMark/>
          </w:tcPr>
          <w:p w14:paraId="2B3D747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$123,203</w:t>
            </w:r>
          </w:p>
        </w:tc>
      </w:tr>
      <w:tr w:rsidR="00E47AB8" w:rsidRPr="008B2F8A" w14:paraId="4AAD3BBB" w14:textId="77777777" w:rsidTr="00E14AC4">
        <w:tc>
          <w:tcPr>
            <w:tcW w:w="1338" w:type="pct"/>
            <w:tcBorders>
              <w:top w:val="nil"/>
              <w:bottom w:val="nil"/>
            </w:tcBorders>
            <w:shd w:val="clear" w:color="auto" w:fill="auto"/>
            <w:noWrap/>
          </w:tcPr>
          <w:p w14:paraId="5DCEB0D8" w14:textId="77777777" w:rsidR="00E47AB8" w:rsidRPr="008B2F8A" w:rsidRDefault="00E47AB8" w:rsidP="00422306">
            <w:pPr>
              <w:spacing w:before="40" w:after="80"/>
              <w:rPr>
                <w:rFonts w:ascii="Arial Narrow" w:eastAsia="Times New Roman" w:hAnsi="Arial Narrow"/>
                <w:sz w:val="20"/>
                <w:szCs w:val="20"/>
              </w:rPr>
            </w:pPr>
            <w:r w:rsidRPr="00337A35">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5D6331E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w:t>
            </w:r>
          </w:p>
        </w:tc>
        <w:tc>
          <w:tcPr>
            <w:tcW w:w="545" w:type="pct"/>
            <w:tcBorders>
              <w:top w:val="nil"/>
              <w:bottom w:val="nil"/>
            </w:tcBorders>
            <w:shd w:val="clear" w:color="auto" w:fill="auto"/>
            <w:noWrap/>
            <w:hideMark/>
          </w:tcPr>
          <w:p w14:paraId="417E1F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$36,440</w:t>
            </w:r>
          </w:p>
        </w:tc>
        <w:tc>
          <w:tcPr>
            <w:tcW w:w="545" w:type="pct"/>
            <w:tcBorders>
              <w:top w:val="nil"/>
              <w:bottom w:val="nil"/>
            </w:tcBorders>
            <w:shd w:val="clear" w:color="auto" w:fill="auto"/>
            <w:noWrap/>
            <w:hideMark/>
          </w:tcPr>
          <w:p w14:paraId="1E9777E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bottom w:val="nil"/>
            </w:tcBorders>
            <w:shd w:val="clear" w:color="auto" w:fill="auto"/>
            <w:noWrap/>
            <w:hideMark/>
          </w:tcPr>
          <w:p w14:paraId="33DFD71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44" w:type="pct"/>
            <w:tcBorders>
              <w:top w:val="nil"/>
              <w:bottom w:val="nil"/>
            </w:tcBorders>
            <w:shd w:val="clear" w:color="auto" w:fill="auto"/>
            <w:noWrap/>
            <w:hideMark/>
          </w:tcPr>
          <w:p w14:paraId="2D4BAF6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50" w:type="pct"/>
            <w:tcBorders>
              <w:top w:val="nil"/>
              <w:bottom w:val="nil"/>
            </w:tcBorders>
            <w:shd w:val="clear" w:color="auto" w:fill="auto"/>
            <w:noWrap/>
            <w:hideMark/>
          </w:tcPr>
          <w:p w14:paraId="4B95BE2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$125,687</w:t>
            </w:r>
          </w:p>
        </w:tc>
      </w:tr>
      <w:tr w:rsidR="00E47AB8" w:rsidRPr="008B2F8A" w14:paraId="6CF6812B" w14:textId="77777777" w:rsidTr="00E14AC4">
        <w:tc>
          <w:tcPr>
            <w:tcW w:w="1338" w:type="pct"/>
            <w:tcBorders>
              <w:top w:val="nil"/>
              <w:bottom w:val="nil"/>
            </w:tcBorders>
            <w:shd w:val="clear" w:color="auto" w:fill="auto"/>
            <w:noWrap/>
          </w:tcPr>
          <w:p w14:paraId="72D9530A" w14:textId="77777777" w:rsidR="00E47AB8" w:rsidRPr="008B2F8A" w:rsidRDefault="00E47AB8" w:rsidP="00422306">
            <w:pPr>
              <w:spacing w:before="40" w:after="80"/>
              <w:rPr>
                <w:rFonts w:ascii="Arial Narrow" w:eastAsia="Times New Roman" w:hAnsi="Arial Narrow"/>
                <w:sz w:val="20"/>
                <w:szCs w:val="20"/>
              </w:rPr>
            </w:pPr>
            <w:r w:rsidRPr="00337A35">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1653AC3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w:t>
            </w:r>
          </w:p>
        </w:tc>
        <w:tc>
          <w:tcPr>
            <w:tcW w:w="545" w:type="pct"/>
            <w:tcBorders>
              <w:top w:val="nil"/>
              <w:bottom w:val="nil"/>
            </w:tcBorders>
            <w:shd w:val="clear" w:color="auto" w:fill="auto"/>
            <w:noWrap/>
            <w:hideMark/>
          </w:tcPr>
          <w:p w14:paraId="2303282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$37,106</w:t>
            </w:r>
          </w:p>
        </w:tc>
        <w:tc>
          <w:tcPr>
            <w:tcW w:w="545" w:type="pct"/>
            <w:tcBorders>
              <w:top w:val="nil"/>
              <w:bottom w:val="nil"/>
            </w:tcBorders>
            <w:shd w:val="clear" w:color="auto" w:fill="auto"/>
            <w:noWrap/>
            <w:hideMark/>
          </w:tcPr>
          <w:p w14:paraId="4B2930E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$93,272</w:t>
            </w:r>
          </w:p>
        </w:tc>
        <w:tc>
          <w:tcPr>
            <w:tcW w:w="622" w:type="pct"/>
            <w:tcBorders>
              <w:top w:val="nil"/>
              <w:bottom w:val="nil"/>
            </w:tcBorders>
            <w:shd w:val="clear" w:color="auto" w:fill="auto"/>
            <w:noWrap/>
            <w:hideMark/>
          </w:tcPr>
          <w:p w14:paraId="0645A64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$68,683</w:t>
            </w:r>
          </w:p>
        </w:tc>
        <w:tc>
          <w:tcPr>
            <w:tcW w:w="544" w:type="pct"/>
            <w:tcBorders>
              <w:top w:val="nil"/>
              <w:bottom w:val="nil"/>
            </w:tcBorders>
            <w:shd w:val="clear" w:color="auto" w:fill="auto"/>
            <w:noWrap/>
            <w:hideMark/>
          </w:tcPr>
          <w:p w14:paraId="3908802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$68,683</w:t>
            </w:r>
          </w:p>
        </w:tc>
        <w:tc>
          <w:tcPr>
            <w:tcW w:w="550" w:type="pct"/>
            <w:tcBorders>
              <w:top w:val="nil"/>
              <w:bottom w:val="nil"/>
            </w:tcBorders>
            <w:shd w:val="clear" w:color="auto" w:fill="auto"/>
            <w:noWrap/>
            <w:hideMark/>
          </w:tcPr>
          <w:p w14:paraId="162A39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$128,171</w:t>
            </w:r>
          </w:p>
        </w:tc>
      </w:tr>
      <w:tr w:rsidR="00E47AB8" w:rsidRPr="008B2F8A" w14:paraId="18D33941" w14:textId="77777777" w:rsidTr="00E14AC4">
        <w:tc>
          <w:tcPr>
            <w:tcW w:w="1338" w:type="pct"/>
            <w:tcBorders>
              <w:top w:val="nil"/>
              <w:bottom w:val="single" w:sz="4" w:space="0" w:color="auto"/>
            </w:tcBorders>
            <w:shd w:val="clear" w:color="auto" w:fill="auto"/>
            <w:noWrap/>
          </w:tcPr>
          <w:p w14:paraId="47C64994" w14:textId="77777777" w:rsidR="00E47AB8" w:rsidRPr="008B2F8A" w:rsidRDefault="00E47AB8" w:rsidP="00422306">
            <w:pPr>
              <w:spacing w:before="40" w:after="80"/>
              <w:rPr>
                <w:rFonts w:ascii="Arial Narrow" w:eastAsia="Times New Roman" w:hAnsi="Arial Narrow"/>
                <w:sz w:val="20"/>
                <w:szCs w:val="20"/>
              </w:rPr>
            </w:pPr>
            <w:r w:rsidRPr="00337A35">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1D018F7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w:t>
            </w:r>
          </w:p>
        </w:tc>
        <w:tc>
          <w:tcPr>
            <w:tcW w:w="545" w:type="pct"/>
            <w:tcBorders>
              <w:top w:val="nil"/>
              <w:bottom w:val="single" w:sz="4" w:space="0" w:color="auto"/>
            </w:tcBorders>
            <w:shd w:val="clear" w:color="auto" w:fill="auto"/>
            <w:noWrap/>
            <w:hideMark/>
          </w:tcPr>
          <w:p w14:paraId="5FE9231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$37,773</w:t>
            </w:r>
          </w:p>
        </w:tc>
        <w:tc>
          <w:tcPr>
            <w:tcW w:w="545" w:type="pct"/>
            <w:tcBorders>
              <w:top w:val="nil"/>
              <w:bottom w:val="single" w:sz="4" w:space="0" w:color="auto"/>
            </w:tcBorders>
            <w:shd w:val="clear" w:color="auto" w:fill="auto"/>
            <w:noWrap/>
            <w:hideMark/>
          </w:tcPr>
          <w:p w14:paraId="0DF3196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$95,057</w:t>
            </w:r>
          </w:p>
        </w:tc>
        <w:tc>
          <w:tcPr>
            <w:tcW w:w="622" w:type="pct"/>
            <w:tcBorders>
              <w:top w:val="nil"/>
              <w:bottom w:val="single" w:sz="4" w:space="0" w:color="auto"/>
            </w:tcBorders>
            <w:shd w:val="clear" w:color="auto" w:fill="auto"/>
            <w:noWrap/>
            <w:hideMark/>
          </w:tcPr>
          <w:p w14:paraId="4222FA5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$69,999</w:t>
            </w:r>
          </w:p>
        </w:tc>
        <w:tc>
          <w:tcPr>
            <w:tcW w:w="544" w:type="pct"/>
            <w:tcBorders>
              <w:top w:val="nil"/>
              <w:bottom w:val="single" w:sz="4" w:space="0" w:color="auto"/>
            </w:tcBorders>
            <w:shd w:val="clear" w:color="auto" w:fill="auto"/>
            <w:noWrap/>
            <w:hideMark/>
          </w:tcPr>
          <w:p w14:paraId="52EA6E4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$69,999</w:t>
            </w:r>
          </w:p>
        </w:tc>
        <w:tc>
          <w:tcPr>
            <w:tcW w:w="550" w:type="pct"/>
            <w:tcBorders>
              <w:top w:val="nil"/>
              <w:bottom w:val="single" w:sz="4" w:space="0" w:color="auto"/>
            </w:tcBorders>
            <w:shd w:val="clear" w:color="auto" w:fill="auto"/>
            <w:noWrap/>
            <w:hideMark/>
          </w:tcPr>
          <w:p w14:paraId="0694E2F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$130,655</w:t>
            </w:r>
          </w:p>
        </w:tc>
      </w:tr>
      <w:tr w:rsidR="00E47AB8" w:rsidRPr="008B2F8A" w14:paraId="32B2A369" w14:textId="77777777" w:rsidTr="00E14AC4">
        <w:tc>
          <w:tcPr>
            <w:tcW w:w="1338" w:type="pct"/>
            <w:tcBorders>
              <w:bottom w:val="nil"/>
            </w:tcBorders>
            <w:shd w:val="clear" w:color="auto" w:fill="auto"/>
            <w:noWrap/>
            <w:hideMark/>
          </w:tcPr>
          <w:p w14:paraId="7A48363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Utility in cancer treatment (Y1)</w:t>
            </w:r>
          </w:p>
        </w:tc>
        <w:tc>
          <w:tcPr>
            <w:tcW w:w="855" w:type="pct"/>
            <w:tcBorders>
              <w:bottom w:val="nil"/>
            </w:tcBorders>
            <w:shd w:val="clear" w:color="auto" w:fill="auto"/>
            <w:noWrap/>
            <w:hideMark/>
          </w:tcPr>
          <w:p w14:paraId="3F54163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0.5</w:t>
            </w:r>
          </w:p>
        </w:tc>
        <w:tc>
          <w:tcPr>
            <w:tcW w:w="545" w:type="pct"/>
            <w:tcBorders>
              <w:bottom w:val="nil"/>
            </w:tcBorders>
            <w:shd w:val="clear" w:color="auto" w:fill="auto"/>
            <w:noWrap/>
            <w:hideMark/>
          </w:tcPr>
          <w:p w14:paraId="17E55E8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$37,031</w:t>
            </w:r>
          </w:p>
        </w:tc>
        <w:tc>
          <w:tcPr>
            <w:tcW w:w="545" w:type="pct"/>
            <w:tcBorders>
              <w:bottom w:val="nil"/>
            </w:tcBorders>
            <w:shd w:val="clear" w:color="auto" w:fill="auto"/>
            <w:noWrap/>
            <w:hideMark/>
          </w:tcPr>
          <w:p w14:paraId="55672D8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$92,630</w:t>
            </w:r>
          </w:p>
        </w:tc>
        <w:tc>
          <w:tcPr>
            <w:tcW w:w="622" w:type="pct"/>
            <w:tcBorders>
              <w:bottom w:val="nil"/>
            </w:tcBorders>
            <w:shd w:val="clear" w:color="auto" w:fill="auto"/>
            <w:noWrap/>
            <w:hideMark/>
          </w:tcPr>
          <w:p w14:paraId="7249F2B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$67,908</w:t>
            </w:r>
          </w:p>
        </w:tc>
        <w:tc>
          <w:tcPr>
            <w:tcW w:w="544" w:type="pct"/>
            <w:tcBorders>
              <w:bottom w:val="nil"/>
            </w:tcBorders>
            <w:shd w:val="clear" w:color="auto" w:fill="auto"/>
            <w:noWrap/>
            <w:hideMark/>
          </w:tcPr>
          <w:p w14:paraId="19F09D6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$67,908</w:t>
            </w:r>
          </w:p>
        </w:tc>
        <w:tc>
          <w:tcPr>
            <w:tcW w:w="550" w:type="pct"/>
            <w:tcBorders>
              <w:bottom w:val="nil"/>
            </w:tcBorders>
            <w:shd w:val="clear" w:color="auto" w:fill="auto"/>
            <w:noWrap/>
            <w:hideMark/>
          </w:tcPr>
          <w:p w14:paraId="3ED2A93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$126,890</w:t>
            </w:r>
          </w:p>
        </w:tc>
      </w:tr>
      <w:tr w:rsidR="00E47AB8" w:rsidRPr="008B2F8A" w14:paraId="462195BF" w14:textId="77777777" w:rsidTr="00E14AC4">
        <w:tc>
          <w:tcPr>
            <w:tcW w:w="1338" w:type="pct"/>
            <w:tcBorders>
              <w:top w:val="nil"/>
              <w:bottom w:val="nil"/>
            </w:tcBorders>
            <w:shd w:val="clear" w:color="auto" w:fill="auto"/>
            <w:noWrap/>
          </w:tcPr>
          <w:p w14:paraId="0A33B35D" w14:textId="77777777" w:rsidR="00E47AB8" w:rsidRPr="008B2F8A" w:rsidRDefault="00E47AB8" w:rsidP="00422306">
            <w:pPr>
              <w:spacing w:before="40" w:after="80"/>
              <w:rPr>
                <w:rFonts w:ascii="Arial Narrow" w:eastAsia="Times New Roman" w:hAnsi="Arial Narrow"/>
                <w:sz w:val="20"/>
                <w:szCs w:val="20"/>
              </w:rPr>
            </w:pPr>
            <w:r w:rsidRPr="00B227A1">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7C749D7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0.6</w:t>
            </w:r>
          </w:p>
        </w:tc>
        <w:tc>
          <w:tcPr>
            <w:tcW w:w="545" w:type="pct"/>
            <w:tcBorders>
              <w:top w:val="nil"/>
              <w:bottom w:val="nil"/>
            </w:tcBorders>
            <w:shd w:val="clear" w:color="auto" w:fill="auto"/>
            <w:noWrap/>
            <w:hideMark/>
          </w:tcPr>
          <w:p w14:paraId="20C9142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$36,700</w:t>
            </w:r>
          </w:p>
        </w:tc>
        <w:tc>
          <w:tcPr>
            <w:tcW w:w="545" w:type="pct"/>
            <w:tcBorders>
              <w:top w:val="nil"/>
              <w:bottom w:val="nil"/>
            </w:tcBorders>
            <w:shd w:val="clear" w:color="auto" w:fill="auto"/>
            <w:noWrap/>
            <w:hideMark/>
          </w:tcPr>
          <w:p w14:paraId="5D15F74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$91,992</w:t>
            </w:r>
          </w:p>
        </w:tc>
        <w:tc>
          <w:tcPr>
            <w:tcW w:w="622" w:type="pct"/>
            <w:tcBorders>
              <w:top w:val="nil"/>
              <w:bottom w:val="nil"/>
            </w:tcBorders>
            <w:shd w:val="clear" w:color="auto" w:fill="auto"/>
            <w:noWrap/>
            <w:hideMark/>
          </w:tcPr>
          <w:p w14:paraId="2EBB341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$67,607</w:t>
            </w:r>
          </w:p>
        </w:tc>
        <w:tc>
          <w:tcPr>
            <w:tcW w:w="544" w:type="pct"/>
            <w:tcBorders>
              <w:top w:val="nil"/>
              <w:bottom w:val="nil"/>
            </w:tcBorders>
            <w:shd w:val="clear" w:color="auto" w:fill="auto"/>
            <w:noWrap/>
            <w:hideMark/>
          </w:tcPr>
          <w:p w14:paraId="5ECAD23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$67,607</w:t>
            </w:r>
          </w:p>
        </w:tc>
        <w:tc>
          <w:tcPr>
            <w:tcW w:w="550" w:type="pct"/>
            <w:tcBorders>
              <w:top w:val="nil"/>
              <w:bottom w:val="nil"/>
            </w:tcBorders>
            <w:shd w:val="clear" w:color="auto" w:fill="auto"/>
            <w:noWrap/>
            <w:hideMark/>
          </w:tcPr>
          <w:p w14:paraId="25EE683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$126,219</w:t>
            </w:r>
          </w:p>
        </w:tc>
      </w:tr>
      <w:tr w:rsidR="00E47AB8" w:rsidRPr="008B2F8A" w14:paraId="17F284D4" w14:textId="77777777" w:rsidTr="00E14AC4">
        <w:tc>
          <w:tcPr>
            <w:tcW w:w="1338" w:type="pct"/>
            <w:tcBorders>
              <w:top w:val="nil"/>
              <w:bottom w:val="nil"/>
            </w:tcBorders>
            <w:shd w:val="clear" w:color="auto" w:fill="auto"/>
            <w:noWrap/>
          </w:tcPr>
          <w:p w14:paraId="117A92F6" w14:textId="77777777" w:rsidR="00E47AB8" w:rsidRPr="008B2F8A" w:rsidRDefault="00E47AB8" w:rsidP="00422306">
            <w:pPr>
              <w:spacing w:before="40" w:after="80"/>
              <w:rPr>
                <w:rFonts w:ascii="Arial Narrow" w:eastAsia="Times New Roman" w:hAnsi="Arial Narrow"/>
                <w:sz w:val="20"/>
                <w:szCs w:val="20"/>
              </w:rPr>
            </w:pPr>
            <w:r w:rsidRPr="00B227A1">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2664A14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0.7</w:t>
            </w:r>
          </w:p>
        </w:tc>
        <w:tc>
          <w:tcPr>
            <w:tcW w:w="545" w:type="pct"/>
            <w:tcBorders>
              <w:top w:val="nil"/>
              <w:bottom w:val="nil"/>
            </w:tcBorders>
            <w:shd w:val="clear" w:color="auto" w:fill="auto"/>
            <w:noWrap/>
            <w:hideMark/>
          </w:tcPr>
          <w:p w14:paraId="7D8C570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$36,375</w:t>
            </w:r>
          </w:p>
        </w:tc>
        <w:tc>
          <w:tcPr>
            <w:tcW w:w="545" w:type="pct"/>
            <w:tcBorders>
              <w:top w:val="nil"/>
              <w:bottom w:val="nil"/>
            </w:tcBorders>
            <w:shd w:val="clear" w:color="auto" w:fill="auto"/>
            <w:noWrap/>
            <w:hideMark/>
          </w:tcPr>
          <w:p w14:paraId="0BF32B1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$91,363</w:t>
            </w:r>
          </w:p>
        </w:tc>
        <w:tc>
          <w:tcPr>
            <w:tcW w:w="622" w:type="pct"/>
            <w:tcBorders>
              <w:top w:val="nil"/>
              <w:bottom w:val="nil"/>
            </w:tcBorders>
            <w:shd w:val="clear" w:color="auto" w:fill="auto"/>
            <w:noWrap/>
            <w:hideMark/>
          </w:tcPr>
          <w:p w14:paraId="0AC7F35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$67,308</w:t>
            </w:r>
          </w:p>
        </w:tc>
        <w:tc>
          <w:tcPr>
            <w:tcW w:w="544" w:type="pct"/>
            <w:tcBorders>
              <w:top w:val="nil"/>
              <w:bottom w:val="nil"/>
            </w:tcBorders>
            <w:shd w:val="clear" w:color="auto" w:fill="auto"/>
            <w:noWrap/>
            <w:hideMark/>
          </w:tcPr>
          <w:p w14:paraId="33CEDAA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$67,308</w:t>
            </w:r>
          </w:p>
        </w:tc>
        <w:tc>
          <w:tcPr>
            <w:tcW w:w="550" w:type="pct"/>
            <w:tcBorders>
              <w:top w:val="nil"/>
              <w:bottom w:val="nil"/>
            </w:tcBorders>
            <w:shd w:val="clear" w:color="auto" w:fill="auto"/>
            <w:noWrap/>
            <w:hideMark/>
          </w:tcPr>
          <w:p w14:paraId="21A6D2D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$125,555</w:t>
            </w:r>
          </w:p>
        </w:tc>
      </w:tr>
      <w:tr w:rsidR="00E47AB8" w:rsidRPr="008B2F8A" w14:paraId="5EF8A20D" w14:textId="77777777" w:rsidTr="00E14AC4">
        <w:tc>
          <w:tcPr>
            <w:tcW w:w="1338" w:type="pct"/>
            <w:tcBorders>
              <w:top w:val="nil"/>
              <w:bottom w:val="nil"/>
            </w:tcBorders>
            <w:shd w:val="clear" w:color="auto" w:fill="auto"/>
            <w:noWrap/>
          </w:tcPr>
          <w:p w14:paraId="4DDE77E1" w14:textId="77777777" w:rsidR="00E47AB8" w:rsidRPr="008B2F8A" w:rsidRDefault="00E47AB8" w:rsidP="00422306">
            <w:pPr>
              <w:spacing w:before="40" w:after="80"/>
              <w:rPr>
                <w:rFonts w:ascii="Arial Narrow" w:eastAsia="Times New Roman" w:hAnsi="Arial Narrow"/>
                <w:sz w:val="20"/>
                <w:szCs w:val="20"/>
              </w:rPr>
            </w:pPr>
            <w:r w:rsidRPr="00B227A1">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6AA9DBC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w:t>
            </w:r>
          </w:p>
        </w:tc>
        <w:tc>
          <w:tcPr>
            <w:tcW w:w="545" w:type="pct"/>
            <w:tcBorders>
              <w:top w:val="nil"/>
              <w:bottom w:val="nil"/>
            </w:tcBorders>
            <w:shd w:val="clear" w:color="auto" w:fill="auto"/>
            <w:noWrap/>
            <w:hideMark/>
          </w:tcPr>
          <w:p w14:paraId="1161A13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$36,056</w:t>
            </w:r>
          </w:p>
        </w:tc>
        <w:tc>
          <w:tcPr>
            <w:tcW w:w="545" w:type="pct"/>
            <w:tcBorders>
              <w:top w:val="nil"/>
              <w:bottom w:val="nil"/>
            </w:tcBorders>
            <w:shd w:val="clear" w:color="auto" w:fill="auto"/>
            <w:noWrap/>
            <w:hideMark/>
          </w:tcPr>
          <w:p w14:paraId="697168E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$90,742</w:t>
            </w:r>
          </w:p>
        </w:tc>
        <w:tc>
          <w:tcPr>
            <w:tcW w:w="622" w:type="pct"/>
            <w:tcBorders>
              <w:top w:val="nil"/>
              <w:bottom w:val="nil"/>
            </w:tcBorders>
            <w:shd w:val="clear" w:color="auto" w:fill="auto"/>
            <w:noWrap/>
            <w:hideMark/>
          </w:tcPr>
          <w:p w14:paraId="3ED173A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$67,013</w:t>
            </w:r>
          </w:p>
        </w:tc>
        <w:tc>
          <w:tcPr>
            <w:tcW w:w="544" w:type="pct"/>
            <w:tcBorders>
              <w:top w:val="nil"/>
              <w:bottom w:val="nil"/>
            </w:tcBorders>
            <w:shd w:val="clear" w:color="auto" w:fill="auto"/>
            <w:noWrap/>
            <w:hideMark/>
          </w:tcPr>
          <w:p w14:paraId="044EA77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$67,013</w:t>
            </w:r>
          </w:p>
        </w:tc>
        <w:tc>
          <w:tcPr>
            <w:tcW w:w="550" w:type="pct"/>
            <w:tcBorders>
              <w:top w:val="nil"/>
              <w:bottom w:val="nil"/>
            </w:tcBorders>
            <w:shd w:val="clear" w:color="auto" w:fill="auto"/>
            <w:noWrap/>
            <w:hideMark/>
          </w:tcPr>
          <w:p w14:paraId="587A180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$124,897</w:t>
            </w:r>
          </w:p>
        </w:tc>
      </w:tr>
      <w:tr w:rsidR="00E47AB8" w:rsidRPr="008B2F8A" w14:paraId="05E30C28" w14:textId="77777777" w:rsidTr="00E14AC4">
        <w:tc>
          <w:tcPr>
            <w:tcW w:w="1338" w:type="pct"/>
            <w:tcBorders>
              <w:top w:val="nil"/>
              <w:bottom w:val="single" w:sz="4" w:space="0" w:color="auto"/>
            </w:tcBorders>
            <w:shd w:val="clear" w:color="auto" w:fill="auto"/>
            <w:noWrap/>
          </w:tcPr>
          <w:p w14:paraId="036DC0F1" w14:textId="77777777" w:rsidR="00E47AB8" w:rsidRPr="008B2F8A" w:rsidRDefault="00E47AB8" w:rsidP="00422306">
            <w:pPr>
              <w:spacing w:before="40" w:after="80"/>
              <w:rPr>
                <w:rFonts w:ascii="Arial Narrow" w:eastAsia="Times New Roman" w:hAnsi="Arial Narrow"/>
                <w:sz w:val="20"/>
                <w:szCs w:val="20"/>
              </w:rPr>
            </w:pPr>
            <w:r w:rsidRPr="00B227A1">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248F867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w:t>
            </w:r>
          </w:p>
        </w:tc>
        <w:tc>
          <w:tcPr>
            <w:tcW w:w="545" w:type="pct"/>
            <w:tcBorders>
              <w:top w:val="nil"/>
              <w:bottom w:val="single" w:sz="4" w:space="0" w:color="auto"/>
            </w:tcBorders>
            <w:shd w:val="clear" w:color="auto" w:fill="auto"/>
            <w:noWrap/>
            <w:hideMark/>
          </w:tcPr>
          <w:p w14:paraId="31263D7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$35,743</w:t>
            </w:r>
          </w:p>
        </w:tc>
        <w:tc>
          <w:tcPr>
            <w:tcW w:w="545" w:type="pct"/>
            <w:tcBorders>
              <w:top w:val="nil"/>
              <w:bottom w:val="single" w:sz="4" w:space="0" w:color="auto"/>
            </w:tcBorders>
            <w:shd w:val="clear" w:color="auto" w:fill="auto"/>
            <w:noWrap/>
            <w:hideMark/>
          </w:tcPr>
          <w:p w14:paraId="231043C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$90,130</w:t>
            </w:r>
          </w:p>
        </w:tc>
        <w:tc>
          <w:tcPr>
            <w:tcW w:w="622" w:type="pct"/>
            <w:tcBorders>
              <w:top w:val="nil"/>
              <w:bottom w:val="single" w:sz="4" w:space="0" w:color="auto"/>
            </w:tcBorders>
            <w:shd w:val="clear" w:color="auto" w:fill="auto"/>
            <w:noWrap/>
            <w:hideMark/>
          </w:tcPr>
          <w:p w14:paraId="42055C2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$66,720</w:t>
            </w:r>
          </w:p>
        </w:tc>
        <w:tc>
          <w:tcPr>
            <w:tcW w:w="544" w:type="pct"/>
            <w:tcBorders>
              <w:top w:val="nil"/>
              <w:bottom w:val="single" w:sz="4" w:space="0" w:color="auto"/>
            </w:tcBorders>
            <w:shd w:val="clear" w:color="auto" w:fill="auto"/>
            <w:noWrap/>
            <w:hideMark/>
          </w:tcPr>
          <w:p w14:paraId="62ACE76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$66,720</w:t>
            </w:r>
          </w:p>
        </w:tc>
        <w:tc>
          <w:tcPr>
            <w:tcW w:w="550" w:type="pct"/>
            <w:tcBorders>
              <w:top w:val="nil"/>
              <w:bottom w:val="single" w:sz="4" w:space="0" w:color="auto"/>
            </w:tcBorders>
            <w:shd w:val="clear" w:color="auto" w:fill="auto"/>
            <w:noWrap/>
            <w:hideMark/>
          </w:tcPr>
          <w:p w14:paraId="1E3582A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$124,247</w:t>
            </w:r>
          </w:p>
        </w:tc>
      </w:tr>
      <w:tr w:rsidR="00E47AB8" w:rsidRPr="008B2F8A" w14:paraId="57E48FFE" w14:textId="77777777" w:rsidTr="00E14AC4">
        <w:tc>
          <w:tcPr>
            <w:tcW w:w="1338" w:type="pct"/>
            <w:tcBorders>
              <w:bottom w:val="nil"/>
            </w:tcBorders>
            <w:shd w:val="clear" w:color="auto" w:fill="auto"/>
            <w:noWrap/>
            <w:hideMark/>
          </w:tcPr>
          <w:p w14:paraId="7255FDD2" w14:textId="55895832"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Utility: False-pos (1-month duration)</w:t>
            </w:r>
          </w:p>
        </w:tc>
        <w:tc>
          <w:tcPr>
            <w:tcW w:w="855" w:type="pct"/>
            <w:tcBorders>
              <w:bottom w:val="nil"/>
            </w:tcBorders>
            <w:shd w:val="clear" w:color="auto" w:fill="auto"/>
            <w:noWrap/>
            <w:hideMark/>
          </w:tcPr>
          <w:p w14:paraId="67F7505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w:t>
            </w:r>
          </w:p>
        </w:tc>
        <w:tc>
          <w:tcPr>
            <w:tcW w:w="545" w:type="pct"/>
            <w:tcBorders>
              <w:bottom w:val="nil"/>
            </w:tcBorders>
            <w:shd w:val="clear" w:color="auto" w:fill="auto"/>
            <w:noWrap/>
            <w:hideMark/>
          </w:tcPr>
          <w:p w14:paraId="15D1AE3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$38,656</w:t>
            </w:r>
          </w:p>
        </w:tc>
        <w:tc>
          <w:tcPr>
            <w:tcW w:w="545" w:type="pct"/>
            <w:tcBorders>
              <w:bottom w:val="nil"/>
            </w:tcBorders>
            <w:shd w:val="clear" w:color="auto" w:fill="auto"/>
            <w:noWrap/>
            <w:hideMark/>
          </w:tcPr>
          <w:p w14:paraId="28152596"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$108,111</w:t>
            </w:r>
          </w:p>
        </w:tc>
        <w:tc>
          <w:tcPr>
            <w:tcW w:w="622" w:type="pct"/>
            <w:tcBorders>
              <w:bottom w:val="nil"/>
            </w:tcBorders>
            <w:shd w:val="clear" w:color="auto" w:fill="auto"/>
            <w:noWrap/>
            <w:hideMark/>
          </w:tcPr>
          <w:p w14:paraId="4E4FA86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$75,346</w:t>
            </w:r>
          </w:p>
        </w:tc>
        <w:tc>
          <w:tcPr>
            <w:tcW w:w="544" w:type="pct"/>
            <w:tcBorders>
              <w:bottom w:val="nil"/>
            </w:tcBorders>
            <w:shd w:val="clear" w:color="auto" w:fill="auto"/>
            <w:noWrap/>
            <w:hideMark/>
          </w:tcPr>
          <w:p w14:paraId="60FC917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$75,346</w:t>
            </w:r>
          </w:p>
        </w:tc>
        <w:tc>
          <w:tcPr>
            <w:tcW w:w="550" w:type="pct"/>
            <w:tcBorders>
              <w:bottom w:val="nil"/>
            </w:tcBorders>
            <w:shd w:val="clear" w:color="auto" w:fill="auto"/>
            <w:noWrap/>
            <w:hideMark/>
          </w:tcPr>
          <w:p w14:paraId="546593D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$159,932</w:t>
            </w:r>
          </w:p>
        </w:tc>
      </w:tr>
      <w:tr w:rsidR="00E47AB8" w:rsidRPr="008B2F8A" w14:paraId="3084E652" w14:textId="77777777" w:rsidTr="00E14AC4">
        <w:tc>
          <w:tcPr>
            <w:tcW w:w="1338" w:type="pct"/>
            <w:tcBorders>
              <w:top w:val="nil"/>
              <w:bottom w:val="single" w:sz="4" w:space="0" w:color="auto"/>
            </w:tcBorders>
            <w:shd w:val="clear" w:color="auto" w:fill="auto"/>
            <w:noWrap/>
            <w:hideMark/>
          </w:tcPr>
          <w:p w14:paraId="7674DFA8" w14:textId="77777777" w:rsidR="00E47AB8" w:rsidRPr="008B2F8A" w:rsidRDefault="00E47AB8" w:rsidP="00422306">
            <w:pPr>
              <w:spacing w:before="40" w:after="80"/>
              <w:rPr>
                <w:rFonts w:ascii="Arial Narrow" w:eastAsia="Times New Roman" w:hAnsi="Arial Narrow"/>
                <w:sz w:val="20"/>
                <w:szCs w:val="20"/>
              </w:rPr>
            </w:pPr>
            <w:r w:rsidRPr="00AA62E6">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7CB52EC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w:t>
            </w:r>
          </w:p>
        </w:tc>
        <w:tc>
          <w:tcPr>
            <w:tcW w:w="545" w:type="pct"/>
            <w:tcBorders>
              <w:top w:val="nil"/>
              <w:bottom w:val="single" w:sz="4" w:space="0" w:color="auto"/>
            </w:tcBorders>
            <w:shd w:val="clear" w:color="auto" w:fill="auto"/>
            <w:noWrap/>
            <w:hideMark/>
          </w:tcPr>
          <w:p w14:paraId="4DD1A1E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$37,515</w:t>
            </w:r>
          </w:p>
        </w:tc>
        <w:tc>
          <w:tcPr>
            <w:tcW w:w="545" w:type="pct"/>
            <w:tcBorders>
              <w:top w:val="nil"/>
              <w:bottom w:val="single" w:sz="4" w:space="0" w:color="auto"/>
            </w:tcBorders>
            <w:shd w:val="clear" w:color="auto" w:fill="auto"/>
            <w:noWrap/>
            <w:hideMark/>
          </w:tcPr>
          <w:p w14:paraId="7E3DDC2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$99,107</w:t>
            </w:r>
          </w:p>
        </w:tc>
        <w:tc>
          <w:tcPr>
            <w:tcW w:w="622" w:type="pct"/>
            <w:tcBorders>
              <w:top w:val="nil"/>
              <w:bottom w:val="single" w:sz="4" w:space="0" w:color="auto"/>
            </w:tcBorders>
            <w:shd w:val="clear" w:color="auto" w:fill="auto"/>
            <w:noWrap/>
            <w:hideMark/>
          </w:tcPr>
          <w:p w14:paraId="2632F8C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$71,134</w:t>
            </w:r>
          </w:p>
        </w:tc>
        <w:tc>
          <w:tcPr>
            <w:tcW w:w="544" w:type="pct"/>
            <w:tcBorders>
              <w:top w:val="nil"/>
              <w:bottom w:val="single" w:sz="4" w:space="0" w:color="auto"/>
            </w:tcBorders>
            <w:shd w:val="clear" w:color="auto" w:fill="auto"/>
            <w:noWrap/>
            <w:hideMark/>
          </w:tcPr>
          <w:p w14:paraId="0C7F41B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$71,134</w:t>
            </w:r>
          </w:p>
        </w:tc>
        <w:tc>
          <w:tcPr>
            <w:tcW w:w="550" w:type="pct"/>
            <w:tcBorders>
              <w:top w:val="nil"/>
              <w:bottom w:val="single" w:sz="4" w:space="0" w:color="auto"/>
            </w:tcBorders>
            <w:shd w:val="clear" w:color="auto" w:fill="auto"/>
            <w:noWrap/>
            <w:hideMark/>
          </w:tcPr>
          <w:p w14:paraId="0908C54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$140,757</w:t>
            </w:r>
          </w:p>
        </w:tc>
      </w:tr>
      <w:tr w:rsidR="00E47AB8" w:rsidRPr="008B2F8A" w14:paraId="097C23A2" w14:textId="77777777" w:rsidTr="00E14AC4">
        <w:tc>
          <w:tcPr>
            <w:tcW w:w="1338" w:type="pct"/>
            <w:tcBorders>
              <w:bottom w:val="nil"/>
            </w:tcBorders>
            <w:shd w:val="clear" w:color="auto" w:fill="auto"/>
            <w:noWrap/>
            <w:hideMark/>
          </w:tcPr>
          <w:p w14:paraId="7584B419" w14:textId="2C43B410"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Utility: False-neg (1-year duration)</w:t>
            </w:r>
          </w:p>
        </w:tc>
        <w:tc>
          <w:tcPr>
            <w:tcW w:w="855" w:type="pct"/>
            <w:tcBorders>
              <w:bottom w:val="nil"/>
            </w:tcBorders>
            <w:shd w:val="clear" w:color="auto" w:fill="auto"/>
            <w:noWrap/>
            <w:hideMark/>
          </w:tcPr>
          <w:p w14:paraId="7EFE1AE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0.8</w:t>
            </w:r>
          </w:p>
        </w:tc>
        <w:tc>
          <w:tcPr>
            <w:tcW w:w="545" w:type="pct"/>
            <w:tcBorders>
              <w:bottom w:val="nil"/>
            </w:tcBorders>
            <w:shd w:val="clear" w:color="auto" w:fill="auto"/>
            <w:noWrap/>
            <w:hideMark/>
          </w:tcPr>
          <w:p w14:paraId="755A87B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$32,181</w:t>
            </w:r>
          </w:p>
        </w:tc>
        <w:tc>
          <w:tcPr>
            <w:tcW w:w="545" w:type="pct"/>
            <w:tcBorders>
              <w:bottom w:val="nil"/>
            </w:tcBorders>
            <w:shd w:val="clear" w:color="auto" w:fill="auto"/>
            <w:noWrap/>
            <w:hideMark/>
          </w:tcPr>
          <w:p w14:paraId="2D16B26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$78,699</w:t>
            </w:r>
          </w:p>
        </w:tc>
        <w:tc>
          <w:tcPr>
            <w:tcW w:w="622" w:type="pct"/>
            <w:tcBorders>
              <w:bottom w:val="nil"/>
            </w:tcBorders>
            <w:shd w:val="clear" w:color="auto" w:fill="auto"/>
            <w:noWrap/>
            <w:hideMark/>
          </w:tcPr>
          <w:p w14:paraId="5AC6272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$57,941</w:t>
            </w:r>
          </w:p>
        </w:tc>
        <w:tc>
          <w:tcPr>
            <w:tcW w:w="544" w:type="pct"/>
            <w:tcBorders>
              <w:bottom w:val="nil"/>
            </w:tcBorders>
            <w:shd w:val="clear" w:color="auto" w:fill="auto"/>
            <w:noWrap/>
            <w:hideMark/>
          </w:tcPr>
          <w:p w14:paraId="7ED8DCE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$57,941</w:t>
            </w:r>
          </w:p>
        </w:tc>
        <w:tc>
          <w:tcPr>
            <w:tcW w:w="550" w:type="pct"/>
            <w:tcBorders>
              <w:bottom w:val="nil"/>
            </w:tcBorders>
            <w:shd w:val="clear" w:color="auto" w:fill="auto"/>
            <w:noWrap/>
            <w:hideMark/>
          </w:tcPr>
          <w:p w14:paraId="60A0878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$108,496</w:t>
            </w:r>
          </w:p>
        </w:tc>
      </w:tr>
      <w:tr w:rsidR="00E47AB8" w:rsidRPr="008B2F8A" w14:paraId="5C9282A8" w14:textId="77777777" w:rsidTr="00E14AC4">
        <w:tc>
          <w:tcPr>
            <w:tcW w:w="1338" w:type="pct"/>
            <w:tcBorders>
              <w:top w:val="nil"/>
              <w:bottom w:val="single" w:sz="4" w:space="0" w:color="auto"/>
            </w:tcBorders>
            <w:shd w:val="clear" w:color="auto" w:fill="auto"/>
            <w:noWrap/>
            <w:hideMark/>
          </w:tcPr>
          <w:p w14:paraId="7A6FAC4E" w14:textId="77777777" w:rsidR="00E47AB8" w:rsidRPr="008B2F8A" w:rsidRDefault="00E47AB8" w:rsidP="00422306">
            <w:pPr>
              <w:spacing w:before="40" w:after="80"/>
              <w:rPr>
                <w:rFonts w:ascii="Arial Narrow" w:eastAsia="Times New Roman" w:hAnsi="Arial Narrow"/>
                <w:sz w:val="20"/>
                <w:szCs w:val="20"/>
              </w:rPr>
            </w:pPr>
            <w:r w:rsidRPr="00AA62E6">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29321DD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0.9</w:t>
            </w:r>
          </w:p>
        </w:tc>
        <w:tc>
          <w:tcPr>
            <w:tcW w:w="545" w:type="pct"/>
            <w:tcBorders>
              <w:top w:val="nil"/>
              <w:bottom w:val="single" w:sz="4" w:space="0" w:color="auto"/>
            </w:tcBorders>
            <w:shd w:val="clear" w:color="auto" w:fill="auto"/>
            <w:noWrap/>
            <w:hideMark/>
          </w:tcPr>
          <w:p w14:paraId="02B0153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$34,178</w:t>
            </w:r>
          </w:p>
        </w:tc>
        <w:tc>
          <w:tcPr>
            <w:tcW w:w="545" w:type="pct"/>
            <w:tcBorders>
              <w:top w:val="nil"/>
              <w:bottom w:val="single" w:sz="4" w:space="0" w:color="auto"/>
            </w:tcBorders>
            <w:shd w:val="clear" w:color="auto" w:fill="auto"/>
            <w:noWrap/>
            <w:hideMark/>
          </w:tcPr>
          <w:p w14:paraId="382B348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$84,613</w:t>
            </w:r>
          </w:p>
        </w:tc>
        <w:tc>
          <w:tcPr>
            <w:tcW w:w="622" w:type="pct"/>
            <w:tcBorders>
              <w:top w:val="nil"/>
              <w:bottom w:val="single" w:sz="4" w:space="0" w:color="auto"/>
            </w:tcBorders>
            <w:shd w:val="clear" w:color="auto" w:fill="auto"/>
            <w:noWrap/>
            <w:hideMark/>
          </w:tcPr>
          <w:p w14:paraId="6C8AEC7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$62,300</w:t>
            </w:r>
          </w:p>
        </w:tc>
        <w:tc>
          <w:tcPr>
            <w:tcW w:w="544" w:type="pct"/>
            <w:tcBorders>
              <w:top w:val="nil"/>
              <w:bottom w:val="single" w:sz="4" w:space="0" w:color="auto"/>
            </w:tcBorders>
            <w:shd w:val="clear" w:color="auto" w:fill="auto"/>
            <w:noWrap/>
            <w:hideMark/>
          </w:tcPr>
          <w:p w14:paraId="289DB43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$62,300</w:t>
            </w:r>
          </w:p>
        </w:tc>
        <w:tc>
          <w:tcPr>
            <w:tcW w:w="550" w:type="pct"/>
            <w:tcBorders>
              <w:top w:val="nil"/>
              <w:bottom w:val="single" w:sz="4" w:space="0" w:color="auto"/>
            </w:tcBorders>
            <w:shd w:val="clear" w:color="auto" w:fill="auto"/>
            <w:noWrap/>
            <w:hideMark/>
          </w:tcPr>
          <w:p w14:paraId="45189ED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$116,460</w:t>
            </w:r>
          </w:p>
        </w:tc>
      </w:tr>
      <w:tr w:rsidR="00E47AB8" w:rsidRPr="008B2F8A" w14:paraId="3B906BDC" w14:textId="77777777" w:rsidTr="00E14AC4">
        <w:tc>
          <w:tcPr>
            <w:tcW w:w="1338" w:type="pct"/>
            <w:tcBorders>
              <w:bottom w:val="nil"/>
            </w:tcBorders>
            <w:shd w:val="clear" w:color="auto" w:fill="auto"/>
            <w:noWrap/>
            <w:hideMark/>
          </w:tcPr>
          <w:p w14:paraId="7BAB5E1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Discount rate (costs and outcomes)</w:t>
            </w:r>
          </w:p>
        </w:tc>
        <w:tc>
          <w:tcPr>
            <w:tcW w:w="855" w:type="pct"/>
            <w:tcBorders>
              <w:bottom w:val="nil"/>
            </w:tcBorders>
            <w:shd w:val="clear" w:color="auto" w:fill="auto"/>
            <w:noWrap/>
            <w:hideMark/>
          </w:tcPr>
          <w:p w14:paraId="78458A3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w:t>
            </w:r>
          </w:p>
        </w:tc>
        <w:tc>
          <w:tcPr>
            <w:tcW w:w="545" w:type="pct"/>
            <w:tcBorders>
              <w:bottom w:val="nil"/>
            </w:tcBorders>
            <w:shd w:val="clear" w:color="auto" w:fill="auto"/>
            <w:noWrap/>
            <w:hideMark/>
          </w:tcPr>
          <w:p w14:paraId="1ED5705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$12,929</w:t>
            </w:r>
          </w:p>
        </w:tc>
        <w:tc>
          <w:tcPr>
            <w:tcW w:w="545" w:type="pct"/>
            <w:tcBorders>
              <w:bottom w:val="nil"/>
            </w:tcBorders>
            <w:shd w:val="clear" w:color="auto" w:fill="auto"/>
            <w:noWrap/>
            <w:hideMark/>
          </w:tcPr>
          <w:p w14:paraId="7D42E71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$32,407</w:t>
            </w:r>
          </w:p>
        </w:tc>
        <w:tc>
          <w:tcPr>
            <w:tcW w:w="622" w:type="pct"/>
            <w:tcBorders>
              <w:bottom w:val="nil"/>
            </w:tcBorders>
            <w:shd w:val="clear" w:color="auto" w:fill="auto"/>
            <w:noWrap/>
            <w:hideMark/>
          </w:tcPr>
          <w:p w14:paraId="0AA8F78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$26,534</w:t>
            </w:r>
          </w:p>
        </w:tc>
        <w:tc>
          <w:tcPr>
            <w:tcW w:w="544" w:type="pct"/>
            <w:tcBorders>
              <w:bottom w:val="nil"/>
            </w:tcBorders>
            <w:shd w:val="clear" w:color="auto" w:fill="auto"/>
            <w:noWrap/>
            <w:hideMark/>
          </w:tcPr>
          <w:p w14:paraId="0F2D1F0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$26,534</w:t>
            </w:r>
          </w:p>
        </w:tc>
        <w:tc>
          <w:tcPr>
            <w:tcW w:w="550" w:type="pct"/>
            <w:tcBorders>
              <w:bottom w:val="nil"/>
            </w:tcBorders>
            <w:shd w:val="clear" w:color="auto" w:fill="auto"/>
            <w:noWrap/>
            <w:hideMark/>
          </w:tcPr>
          <w:p w14:paraId="510B5A34"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$47,179</w:t>
            </w:r>
          </w:p>
        </w:tc>
      </w:tr>
      <w:tr w:rsidR="00E47AB8" w:rsidRPr="008B2F8A" w14:paraId="48936219" w14:textId="77777777" w:rsidTr="00E14AC4">
        <w:tc>
          <w:tcPr>
            <w:tcW w:w="1338" w:type="pct"/>
            <w:tcBorders>
              <w:top w:val="nil"/>
              <w:bottom w:val="nil"/>
            </w:tcBorders>
            <w:shd w:val="clear" w:color="auto" w:fill="auto"/>
            <w:noWrap/>
          </w:tcPr>
          <w:p w14:paraId="2E86B123" w14:textId="77777777" w:rsidR="00E47AB8" w:rsidRPr="008B2F8A" w:rsidRDefault="00E47AB8" w:rsidP="00422306">
            <w:pPr>
              <w:spacing w:before="40" w:after="80"/>
              <w:rPr>
                <w:rFonts w:ascii="Arial Narrow" w:eastAsia="Times New Roman" w:hAnsi="Arial Narrow"/>
                <w:sz w:val="20"/>
                <w:szCs w:val="20"/>
              </w:rPr>
            </w:pPr>
            <w:r w:rsidRPr="006622CF">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004659D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0.035</w:t>
            </w:r>
          </w:p>
        </w:tc>
        <w:tc>
          <w:tcPr>
            <w:tcW w:w="545" w:type="pct"/>
            <w:tcBorders>
              <w:top w:val="nil"/>
              <w:bottom w:val="nil"/>
            </w:tcBorders>
            <w:shd w:val="clear" w:color="auto" w:fill="auto"/>
            <w:noWrap/>
            <w:hideMark/>
          </w:tcPr>
          <w:p w14:paraId="25F25E6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$27,528</w:t>
            </w:r>
          </w:p>
        </w:tc>
        <w:tc>
          <w:tcPr>
            <w:tcW w:w="545" w:type="pct"/>
            <w:tcBorders>
              <w:top w:val="nil"/>
              <w:bottom w:val="nil"/>
            </w:tcBorders>
            <w:shd w:val="clear" w:color="auto" w:fill="auto"/>
            <w:noWrap/>
            <w:hideMark/>
          </w:tcPr>
          <w:p w14:paraId="5E1D986C"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$69,592</w:t>
            </w:r>
          </w:p>
        </w:tc>
        <w:tc>
          <w:tcPr>
            <w:tcW w:w="622" w:type="pct"/>
            <w:tcBorders>
              <w:top w:val="nil"/>
              <w:bottom w:val="nil"/>
            </w:tcBorders>
            <w:shd w:val="clear" w:color="auto" w:fill="auto"/>
            <w:noWrap/>
            <w:hideMark/>
          </w:tcPr>
          <w:p w14:paraId="306D562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$52,594</w:t>
            </w:r>
          </w:p>
        </w:tc>
        <w:tc>
          <w:tcPr>
            <w:tcW w:w="544" w:type="pct"/>
            <w:tcBorders>
              <w:top w:val="nil"/>
              <w:bottom w:val="nil"/>
            </w:tcBorders>
            <w:shd w:val="clear" w:color="auto" w:fill="auto"/>
            <w:noWrap/>
            <w:hideMark/>
          </w:tcPr>
          <w:p w14:paraId="6D8E033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$52,594</w:t>
            </w:r>
          </w:p>
        </w:tc>
        <w:tc>
          <w:tcPr>
            <w:tcW w:w="550" w:type="pct"/>
            <w:tcBorders>
              <w:top w:val="nil"/>
              <w:bottom w:val="nil"/>
            </w:tcBorders>
            <w:shd w:val="clear" w:color="auto" w:fill="auto"/>
            <w:noWrap/>
            <w:hideMark/>
          </w:tcPr>
          <w:p w14:paraId="7C1EE71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$97,577</w:t>
            </w:r>
          </w:p>
        </w:tc>
      </w:tr>
      <w:tr w:rsidR="00E47AB8" w:rsidRPr="008B2F8A" w14:paraId="033C6EC6" w14:textId="77777777" w:rsidTr="00E14AC4">
        <w:tc>
          <w:tcPr>
            <w:tcW w:w="1338" w:type="pct"/>
            <w:tcBorders>
              <w:top w:val="nil"/>
              <w:bottom w:val="single" w:sz="4" w:space="0" w:color="auto"/>
            </w:tcBorders>
            <w:shd w:val="clear" w:color="auto" w:fill="auto"/>
            <w:noWrap/>
          </w:tcPr>
          <w:p w14:paraId="59273AB6" w14:textId="77777777" w:rsidR="00E47AB8" w:rsidRPr="008B2F8A" w:rsidRDefault="00E47AB8" w:rsidP="00422306">
            <w:pPr>
              <w:spacing w:before="40" w:after="80"/>
              <w:rPr>
                <w:rFonts w:ascii="Arial Narrow" w:eastAsia="Times New Roman" w:hAnsi="Arial Narrow"/>
                <w:sz w:val="20"/>
                <w:szCs w:val="20"/>
              </w:rPr>
            </w:pPr>
            <w:r w:rsidRPr="006622CF">
              <w:rPr>
                <w:rFonts w:ascii="Arial Narrow" w:hAnsi="Arial Narrow"/>
                <w:color w:val="FFFFFF" w:themeColor="background1"/>
                <w:sz w:val="20"/>
                <w:szCs w:val="20"/>
              </w:rPr>
              <w:t>-</w:t>
            </w:r>
          </w:p>
        </w:tc>
        <w:tc>
          <w:tcPr>
            <w:tcW w:w="855" w:type="pct"/>
            <w:tcBorders>
              <w:top w:val="nil"/>
              <w:bottom w:val="single" w:sz="4" w:space="0" w:color="auto"/>
            </w:tcBorders>
            <w:shd w:val="clear" w:color="auto" w:fill="auto"/>
            <w:noWrap/>
            <w:hideMark/>
          </w:tcPr>
          <w:p w14:paraId="51044BF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0.1</w:t>
            </w:r>
          </w:p>
        </w:tc>
        <w:tc>
          <w:tcPr>
            <w:tcW w:w="545" w:type="pct"/>
            <w:tcBorders>
              <w:top w:val="nil"/>
              <w:bottom w:val="single" w:sz="4" w:space="0" w:color="auto"/>
            </w:tcBorders>
            <w:shd w:val="clear" w:color="auto" w:fill="auto"/>
            <w:noWrap/>
            <w:hideMark/>
          </w:tcPr>
          <w:p w14:paraId="2CE2C8C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$79,904</w:t>
            </w:r>
          </w:p>
        </w:tc>
        <w:tc>
          <w:tcPr>
            <w:tcW w:w="545" w:type="pct"/>
            <w:tcBorders>
              <w:top w:val="nil"/>
              <w:bottom w:val="single" w:sz="4" w:space="0" w:color="auto"/>
            </w:tcBorders>
            <w:shd w:val="clear" w:color="auto" w:fill="auto"/>
            <w:noWrap/>
            <w:hideMark/>
          </w:tcPr>
          <w:p w14:paraId="133E2F4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$192,117</w:t>
            </w:r>
          </w:p>
        </w:tc>
        <w:tc>
          <w:tcPr>
            <w:tcW w:w="622" w:type="pct"/>
            <w:tcBorders>
              <w:top w:val="nil"/>
              <w:bottom w:val="single" w:sz="4" w:space="0" w:color="auto"/>
            </w:tcBorders>
            <w:shd w:val="clear" w:color="auto" w:fill="auto"/>
            <w:noWrap/>
            <w:hideMark/>
          </w:tcPr>
          <w:p w14:paraId="53A953BF"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$133,458</w:t>
            </w:r>
          </w:p>
        </w:tc>
        <w:tc>
          <w:tcPr>
            <w:tcW w:w="544" w:type="pct"/>
            <w:tcBorders>
              <w:top w:val="nil"/>
              <w:bottom w:val="single" w:sz="4" w:space="0" w:color="auto"/>
            </w:tcBorders>
            <w:shd w:val="clear" w:color="auto" w:fill="auto"/>
            <w:noWrap/>
            <w:hideMark/>
          </w:tcPr>
          <w:p w14:paraId="21FE97C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$133,458</w:t>
            </w:r>
          </w:p>
        </w:tc>
        <w:tc>
          <w:tcPr>
            <w:tcW w:w="550" w:type="pct"/>
            <w:tcBorders>
              <w:top w:val="nil"/>
              <w:bottom w:val="single" w:sz="4" w:space="0" w:color="auto"/>
            </w:tcBorders>
            <w:shd w:val="clear" w:color="auto" w:fill="auto"/>
            <w:noWrap/>
            <w:hideMark/>
          </w:tcPr>
          <w:p w14:paraId="3F10D15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$245,752</w:t>
            </w:r>
          </w:p>
        </w:tc>
      </w:tr>
      <w:tr w:rsidR="00E47AB8" w:rsidRPr="008B2F8A" w14:paraId="1F322DD1" w14:textId="77777777" w:rsidTr="00E14AC4">
        <w:tc>
          <w:tcPr>
            <w:tcW w:w="1338" w:type="pct"/>
            <w:tcBorders>
              <w:bottom w:val="nil"/>
            </w:tcBorders>
            <w:shd w:val="clear" w:color="auto" w:fill="auto"/>
            <w:noWrap/>
            <w:hideMark/>
          </w:tcPr>
          <w:p w14:paraId="407245D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Model follow-up/duration (to age …)</w:t>
            </w:r>
          </w:p>
        </w:tc>
        <w:tc>
          <w:tcPr>
            <w:tcW w:w="855" w:type="pct"/>
            <w:tcBorders>
              <w:bottom w:val="nil"/>
            </w:tcBorders>
            <w:shd w:val="clear" w:color="auto" w:fill="auto"/>
            <w:noWrap/>
            <w:hideMark/>
          </w:tcPr>
          <w:p w14:paraId="7AED635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60</w:t>
            </w:r>
          </w:p>
        </w:tc>
        <w:tc>
          <w:tcPr>
            <w:tcW w:w="545" w:type="pct"/>
            <w:tcBorders>
              <w:bottom w:val="nil"/>
            </w:tcBorders>
            <w:shd w:val="clear" w:color="auto" w:fill="auto"/>
            <w:noWrap/>
            <w:hideMark/>
          </w:tcPr>
          <w:p w14:paraId="0009714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$54,271</w:t>
            </w:r>
          </w:p>
        </w:tc>
        <w:tc>
          <w:tcPr>
            <w:tcW w:w="545" w:type="pct"/>
            <w:tcBorders>
              <w:bottom w:val="nil"/>
            </w:tcBorders>
            <w:shd w:val="clear" w:color="auto" w:fill="auto"/>
            <w:noWrap/>
            <w:hideMark/>
          </w:tcPr>
          <w:p w14:paraId="054B74C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$134,844</w:t>
            </w:r>
          </w:p>
        </w:tc>
        <w:tc>
          <w:tcPr>
            <w:tcW w:w="622" w:type="pct"/>
            <w:tcBorders>
              <w:bottom w:val="nil"/>
            </w:tcBorders>
            <w:shd w:val="clear" w:color="auto" w:fill="auto"/>
            <w:noWrap/>
            <w:hideMark/>
          </w:tcPr>
          <w:p w14:paraId="3ACAE04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$136,186</w:t>
            </w:r>
          </w:p>
        </w:tc>
        <w:tc>
          <w:tcPr>
            <w:tcW w:w="544" w:type="pct"/>
            <w:tcBorders>
              <w:bottom w:val="nil"/>
            </w:tcBorders>
            <w:shd w:val="clear" w:color="auto" w:fill="auto"/>
            <w:noWrap/>
            <w:hideMark/>
          </w:tcPr>
          <w:p w14:paraId="140B45A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$136,186</w:t>
            </w:r>
          </w:p>
        </w:tc>
        <w:tc>
          <w:tcPr>
            <w:tcW w:w="550" w:type="pct"/>
            <w:tcBorders>
              <w:bottom w:val="nil"/>
            </w:tcBorders>
            <w:shd w:val="clear" w:color="auto" w:fill="auto"/>
            <w:noWrap/>
            <w:hideMark/>
          </w:tcPr>
          <w:p w14:paraId="0F7BE5F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$176,946</w:t>
            </w:r>
          </w:p>
        </w:tc>
      </w:tr>
      <w:tr w:rsidR="00E47AB8" w:rsidRPr="008B2F8A" w14:paraId="36E56FF1" w14:textId="77777777" w:rsidTr="00E14AC4">
        <w:tc>
          <w:tcPr>
            <w:tcW w:w="1338" w:type="pct"/>
            <w:tcBorders>
              <w:top w:val="nil"/>
              <w:bottom w:val="nil"/>
            </w:tcBorders>
            <w:shd w:val="clear" w:color="auto" w:fill="auto"/>
            <w:noWrap/>
          </w:tcPr>
          <w:p w14:paraId="631472C8" w14:textId="77777777" w:rsidR="00E47AB8" w:rsidRPr="008B2F8A" w:rsidRDefault="00E47AB8" w:rsidP="00422306">
            <w:pPr>
              <w:spacing w:before="40" w:after="80"/>
              <w:rPr>
                <w:rFonts w:ascii="Arial Narrow" w:eastAsia="Times New Roman" w:hAnsi="Arial Narrow"/>
                <w:sz w:val="20"/>
                <w:szCs w:val="20"/>
              </w:rPr>
            </w:pPr>
            <w:r w:rsidRPr="00345A6A">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228443EA"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70</w:t>
            </w:r>
          </w:p>
        </w:tc>
        <w:tc>
          <w:tcPr>
            <w:tcW w:w="545" w:type="pct"/>
            <w:tcBorders>
              <w:top w:val="nil"/>
              <w:bottom w:val="nil"/>
            </w:tcBorders>
            <w:shd w:val="clear" w:color="auto" w:fill="auto"/>
            <w:noWrap/>
            <w:hideMark/>
          </w:tcPr>
          <w:p w14:paraId="472E390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$42,086</w:t>
            </w:r>
          </w:p>
        </w:tc>
        <w:tc>
          <w:tcPr>
            <w:tcW w:w="545" w:type="pct"/>
            <w:tcBorders>
              <w:top w:val="nil"/>
              <w:bottom w:val="nil"/>
            </w:tcBorders>
            <w:shd w:val="clear" w:color="auto" w:fill="auto"/>
            <w:noWrap/>
            <w:hideMark/>
          </w:tcPr>
          <w:p w14:paraId="534DC2C3"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$105,979</w:t>
            </w:r>
          </w:p>
        </w:tc>
        <w:tc>
          <w:tcPr>
            <w:tcW w:w="622" w:type="pct"/>
            <w:tcBorders>
              <w:top w:val="nil"/>
              <w:bottom w:val="nil"/>
            </w:tcBorders>
            <w:shd w:val="clear" w:color="auto" w:fill="auto"/>
            <w:noWrap/>
            <w:hideMark/>
          </w:tcPr>
          <w:p w14:paraId="6935A62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$86,015</w:t>
            </w:r>
          </w:p>
        </w:tc>
        <w:tc>
          <w:tcPr>
            <w:tcW w:w="544" w:type="pct"/>
            <w:tcBorders>
              <w:top w:val="nil"/>
              <w:bottom w:val="nil"/>
            </w:tcBorders>
            <w:shd w:val="clear" w:color="auto" w:fill="auto"/>
            <w:noWrap/>
            <w:hideMark/>
          </w:tcPr>
          <w:p w14:paraId="4A3414E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$86,015</w:t>
            </w:r>
          </w:p>
        </w:tc>
        <w:tc>
          <w:tcPr>
            <w:tcW w:w="550" w:type="pct"/>
            <w:tcBorders>
              <w:top w:val="nil"/>
              <w:bottom w:val="nil"/>
            </w:tcBorders>
            <w:shd w:val="clear" w:color="auto" w:fill="auto"/>
            <w:noWrap/>
            <w:hideMark/>
          </w:tcPr>
          <w:p w14:paraId="4B131A5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$143,515</w:t>
            </w:r>
          </w:p>
        </w:tc>
      </w:tr>
      <w:tr w:rsidR="00E47AB8" w:rsidRPr="008B2F8A" w14:paraId="501F325F" w14:textId="77777777" w:rsidTr="00E14AC4">
        <w:tc>
          <w:tcPr>
            <w:tcW w:w="1338" w:type="pct"/>
            <w:tcBorders>
              <w:top w:val="nil"/>
              <w:bottom w:val="nil"/>
            </w:tcBorders>
            <w:shd w:val="clear" w:color="auto" w:fill="auto"/>
            <w:noWrap/>
          </w:tcPr>
          <w:p w14:paraId="1B043437" w14:textId="77777777" w:rsidR="00E47AB8" w:rsidRPr="008B2F8A" w:rsidRDefault="00E47AB8" w:rsidP="00422306">
            <w:pPr>
              <w:spacing w:before="40" w:after="80"/>
              <w:rPr>
                <w:rFonts w:ascii="Arial Narrow" w:eastAsia="Times New Roman" w:hAnsi="Arial Narrow"/>
                <w:sz w:val="20"/>
                <w:szCs w:val="20"/>
              </w:rPr>
            </w:pPr>
            <w:r w:rsidRPr="00345A6A">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0B53D64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80</w:t>
            </w:r>
          </w:p>
        </w:tc>
        <w:tc>
          <w:tcPr>
            <w:tcW w:w="545" w:type="pct"/>
            <w:tcBorders>
              <w:top w:val="nil"/>
              <w:bottom w:val="nil"/>
            </w:tcBorders>
            <w:shd w:val="clear" w:color="auto" w:fill="auto"/>
            <w:noWrap/>
            <w:hideMark/>
          </w:tcPr>
          <w:p w14:paraId="2A5059C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$37,990</w:t>
            </w:r>
          </w:p>
        </w:tc>
        <w:tc>
          <w:tcPr>
            <w:tcW w:w="545" w:type="pct"/>
            <w:tcBorders>
              <w:top w:val="nil"/>
              <w:bottom w:val="nil"/>
            </w:tcBorders>
            <w:shd w:val="clear" w:color="auto" w:fill="auto"/>
            <w:noWrap/>
            <w:hideMark/>
          </w:tcPr>
          <w:p w14:paraId="6790138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$95,602</w:t>
            </w:r>
          </w:p>
        </w:tc>
        <w:tc>
          <w:tcPr>
            <w:tcW w:w="622" w:type="pct"/>
            <w:tcBorders>
              <w:top w:val="nil"/>
              <w:bottom w:val="nil"/>
            </w:tcBorders>
            <w:shd w:val="clear" w:color="auto" w:fill="auto"/>
            <w:noWrap/>
            <w:hideMark/>
          </w:tcPr>
          <w:p w14:paraId="1D4A411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$72,280</w:t>
            </w:r>
          </w:p>
        </w:tc>
        <w:tc>
          <w:tcPr>
            <w:tcW w:w="544" w:type="pct"/>
            <w:tcBorders>
              <w:top w:val="nil"/>
              <w:bottom w:val="nil"/>
            </w:tcBorders>
            <w:shd w:val="clear" w:color="auto" w:fill="auto"/>
            <w:noWrap/>
            <w:hideMark/>
          </w:tcPr>
          <w:p w14:paraId="44B0E747"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$72,280</w:t>
            </w:r>
          </w:p>
        </w:tc>
        <w:tc>
          <w:tcPr>
            <w:tcW w:w="550" w:type="pct"/>
            <w:tcBorders>
              <w:top w:val="nil"/>
              <w:bottom w:val="nil"/>
            </w:tcBorders>
            <w:shd w:val="clear" w:color="auto" w:fill="auto"/>
            <w:noWrap/>
            <w:hideMark/>
          </w:tcPr>
          <w:p w14:paraId="51A55E4B"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$130,787</w:t>
            </w:r>
          </w:p>
        </w:tc>
      </w:tr>
      <w:tr w:rsidR="00E47AB8" w:rsidRPr="008B2F8A" w14:paraId="77FC622B" w14:textId="77777777" w:rsidTr="00E14AC4">
        <w:tc>
          <w:tcPr>
            <w:tcW w:w="1338" w:type="pct"/>
            <w:tcBorders>
              <w:top w:val="nil"/>
              <w:bottom w:val="nil"/>
            </w:tcBorders>
            <w:shd w:val="clear" w:color="auto" w:fill="auto"/>
            <w:noWrap/>
          </w:tcPr>
          <w:p w14:paraId="57DC3928" w14:textId="77777777" w:rsidR="00E47AB8" w:rsidRPr="008B2F8A" w:rsidRDefault="00E47AB8" w:rsidP="00422306">
            <w:pPr>
              <w:spacing w:before="40" w:after="80"/>
              <w:rPr>
                <w:rFonts w:ascii="Arial Narrow" w:eastAsia="Times New Roman" w:hAnsi="Arial Narrow"/>
                <w:sz w:val="20"/>
                <w:szCs w:val="20"/>
              </w:rPr>
            </w:pPr>
            <w:r w:rsidRPr="00345A6A">
              <w:rPr>
                <w:rFonts w:ascii="Arial Narrow" w:hAnsi="Arial Narrow"/>
                <w:color w:val="FFFFFF" w:themeColor="background1"/>
                <w:sz w:val="20"/>
                <w:szCs w:val="20"/>
              </w:rPr>
              <w:t>-</w:t>
            </w:r>
          </w:p>
        </w:tc>
        <w:tc>
          <w:tcPr>
            <w:tcW w:w="855" w:type="pct"/>
            <w:tcBorders>
              <w:top w:val="nil"/>
              <w:bottom w:val="nil"/>
            </w:tcBorders>
            <w:shd w:val="clear" w:color="auto" w:fill="auto"/>
            <w:noWrap/>
            <w:hideMark/>
          </w:tcPr>
          <w:p w14:paraId="36899AC9"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90</w:t>
            </w:r>
          </w:p>
        </w:tc>
        <w:tc>
          <w:tcPr>
            <w:tcW w:w="545" w:type="pct"/>
            <w:tcBorders>
              <w:top w:val="nil"/>
              <w:bottom w:val="nil"/>
            </w:tcBorders>
            <w:shd w:val="clear" w:color="auto" w:fill="auto"/>
            <w:noWrap/>
            <w:hideMark/>
          </w:tcPr>
          <w:p w14:paraId="5803D00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$36,688</w:t>
            </w:r>
          </w:p>
        </w:tc>
        <w:tc>
          <w:tcPr>
            <w:tcW w:w="545" w:type="pct"/>
            <w:tcBorders>
              <w:top w:val="nil"/>
              <w:bottom w:val="nil"/>
            </w:tcBorders>
            <w:shd w:val="clear" w:color="auto" w:fill="auto"/>
            <w:noWrap/>
            <w:hideMark/>
          </w:tcPr>
          <w:p w14:paraId="2550B9E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$92,153</w:t>
            </w:r>
          </w:p>
        </w:tc>
        <w:tc>
          <w:tcPr>
            <w:tcW w:w="622" w:type="pct"/>
            <w:tcBorders>
              <w:top w:val="nil"/>
              <w:bottom w:val="nil"/>
            </w:tcBorders>
            <w:shd w:val="clear" w:color="auto" w:fill="auto"/>
            <w:noWrap/>
            <w:hideMark/>
          </w:tcPr>
          <w:p w14:paraId="24F84AC1"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$68,114</w:t>
            </w:r>
          </w:p>
        </w:tc>
        <w:tc>
          <w:tcPr>
            <w:tcW w:w="544" w:type="pct"/>
            <w:tcBorders>
              <w:top w:val="nil"/>
              <w:bottom w:val="nil"/>
            </w:tcBorders>
            <w:shd w:val="clear" w:color="auto" w:fill="auto"/>
            <w:noWrap/>
            <w:hideMark/>
          </w:tcPr>
          <w:p w14:paraId="6458894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$68,114</w:t>
            </w:r>
          </w:p>
        </w:tc>
        <w:tc>
          <w:tcPr>
            <w:tcW w:w="550" w:type="pct"/>
            <w:tcBorders>
              <w:top w:val="nil"/>
              <w:bottom w:val="nil"/>
            </w:tcBorders>
            <w:shd w:val="clear" w:color="auto" w:fill="auto"/>
            <w:noWrap/>
            <w:hideMark/>
          </w:tcPr>
          <w:p w14:paraId="33986235"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$126,487</w:t>
            </w:r>
          </w:p>
        </w:tc>
      </w:tr>
      <w:tr w:rsidR="00E47AB8" w:rsidRPr="008B2F8A" w14:paraId="1526D914" w14:textId="77777777" w:rsidTr="00E14AC4">
        <w:tc>
          <w:tcPr>
            <w:tcW w:w="1338" w:type="pct"/>
            <w:tcBorders>
              <w:top w:val="nil"/>
            </w:tcBorders>
            <w:shd w:val="clear" w:color="auto" w:fill="auto"/>
            <w:noWrap/>
          </w:tcPr>
          <w:p w14:paraId="284F0070" w14:textId="77777777" w:rsidR="00E47AB8" w:rsidRPr="008B2F8A" w:rsidRDefault="00E47AB8" w:rsidP="00422306">
            <w:pPr>
              <w:spacing w:before="40" w:after="80"/>
              <w:rPr>
                <w:rFonts w:ascii="Arial Narrow" w:eastAsia="Times New Roman" w:hAnsi="Arial Narrow"/>
                <w:sz w:val="20"/>
                <w:szCs w:val="20"/>
              </w:rPr>
            </w:pPr>
            <w:r w:rsidRPr="00345A6A">
              <w:rPr>
                <w:rFonts w:ascii="Arial Narrow" w:hAnsi="Arial Narrow"/>
                <w:color w:val="FFFFFF" w:themeColor="background1"/>
                <w:sz w:val="20"/>
                <w:szCs w:val="20"/>
              </w:rPr>
              <w:t>-</w:t>
            </w:r>
          </w:p>
        </w:tc>
        <w:tc>
          <w:tcPr>
            <w:tcW w:w="855" w:type="pct"/>
            <w:tcBorders>
              <w:top w:val="nil"/>
            </w:tcBorders>
            <w:shd w:val="clear" w:color="auto" w:fill="auto"/>
            <w:noWrap/>
            <w:hideMark/>
          </w:tcPr>
          <w:p w14:paraId="79D0830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99</w:t>
            </w:r>
          </w:p>
        </w:tc>
        <w:tc>
          <w:tcPr>
            <w:tcW w:w="545" w:type="pct"/>
            <w:tcBorders>
              <w:top w:val="nil"/>
            </w:tcBorders>
            <w:shd w:val="clear" w:color="auto" w:fill="auto"/>
            <w:noWrap/>
            <w:hideMark/>
          </w:tcPr>
          <w:p w14:paraId="4F409D08"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$36,440</w:t>
            </w:r>
          </w:p>
        </w:tc>
        <w:tc>
          <w:tcPr>
            <w:tcW w:w="545" w:type="pct"/>
            <w:tcBorders>
              <w:top w:val="nil"/>
            </w:tcBorders>
            <w:shd w:val="clear" w:color="auto" w:fill="auto"/>
            <w:noWrap/>
            <w:hideMark/>
          </w:tcPr>
          <w:p w14:paraId="7CD519F0"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$91,488</w:t>
            </w:r>
          </w:p>
        </w:tc>
        <w:tc>
          <w:tcPr>
            <w:tcW w:w="622" w:type="pct"/>
            <w:tcBorders>
              <w:top w:val="nil"/>
            </w:tcBorders>
            <w:shd w:val="clear" w:color="auto" w:fill="auto"/>
            <w:noWrap/>
            <w:hideMark/>
          </w:tcPr>
          <w:p w14:paraId="16510AD2"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44" w:type="pct"/>
            <w:tcBorders>
              <w:top w:val="nil"/>
            </w:tcBorders>
            <w:shd w:val="clear" w:color="auto" w:fill="auto"/>
            <w:noWrap/>
            <w:hideMark/>
          </w:tcPr>
          <w:p w14:paraId="3E18CCDE"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$67,368</w:t>
            </w:r>
          </w:p>
        </w:tc>
        <w:tc>
          <w:tcPr>
            <w:tcW w:w="550" w:type="pct"/>
            <w:tcBorders>
              <w:top w:val="nil"/>
            </w:tcBorders>
            <w:shd w:val="clear" w:color="auto" w:fill="auto"/>
            <w:noWrap/>
            <w:hideMark/>
          </w:tcPr>
          <w:p w14:paraId="58782B6D" w14:textId="77777777" w:rsidR="00E47AB8" w:rsidRPr="008B2F8A" w:rsidRDefault="00E47AB8" w:rsidP="00422306">
            <w:pPr>
              <w:spacing w:before="40" w:after="80"/>
              <w:rPr>
                <w:rFonts w:ascii="Arial Narrow" w:eastAsia="Times New Roman" w:hAnsi="Arial Narrow"/>
                <w:sz w:val="20"/>
                <w:szCs w:val="20"/>
              </w:rPr>
            </w:pPr>
            <w:r w:rsidRPr="008B2F8A">
              <w:rPr>
                <w:rFonts w:ascii="Arial Narrow" w:eastAsia="Times New Roman" w:hAnsi="Arial Narrow"/>
                <w:sz w:val="20"/>
                <w:szCs w:val="20"/>
              </w:rPr>
              <w:t>$125,687</w:t>
            </w:r>
          </w:p>
        </w:tc>
      </w:tr>
    </w:tbl>
    <w:p w14:paraId="0E629E00" w14:textId="77777777" w:rsidR="00E47AB8" w:rsidRPr="008B2F8A" w:rsidRDefault="00E47AB8" w:rsidP="00E14AC4">
      <w:pPr>
        <w:pStyle w:val="TableNotesLast"/>
        <w:rPr>
          <w:rFonts w:eastAsiaTheme="minorHAnsi"/>
        </w:rPr>
      </w:pPr>
      <w:r w:rsidRPr="008B2F8A">
        <w:rPr>
          <w:rFonts w:eastAsiaTheme="minorHAnsi"/>
        </w:rPr>
        <w:lastRenderedPageBreak/>
        <w:t>DCIS = ductal carcinoma in situ; LCIS = lobular carcinoma in situ; MRI = magnetic resonance imaging; MAM = mammography; Sens = sensitivity; Spec = specificity; LCL = lower control limit; UCL = upper control limit.</w:t>
      </w:r>
    </w:p>
    <w:p w14:paraId="78540F48" w14:textId="77777777" w:rsidR="00E47AB8" w:rsidRPr="008B2F8A" w:rsidRDefault="00E47AB8" w:rsidP="00E47AB8">
      <w:pPr>
        <w:pStyle w:val="Heading2"/>
        <w:rPr>
          <w:rFonts w:eastAsiaTheme="majorEastAsia"/>
        </w:rPr>
      </w:pPr>
      <w:bookmarkStart w:id="1277" w:name="_Toc383424516"/>
      <w:r w:rsidRPr="008B2F8A">
        <w:rPr>
          <w:rFonts w:eastAsiaTheme="majorEastAsia"/>
        </w:rPr>
        <w:t>Discussion of the results of the economic evaluation</w:t>
      </w:r>
      <w:bookmarkEnd w:id="1277"/>
    </w:p>
    <w:p w14:paraId="4BDB4095" w14:textId="3C5FA2D4" w:rsidR="00E47AB8" w:rsidRPr="007C6E89" w:rsidRDefault="00E47AB8" w:rsidP="00422306">
      <w:pPr>
        <w:spacing w:after="200"/>
        <w:rPr>
          <w:rFonts w:eastAsiaTheme="minorHAnsi" w:cstheme="minorBidi"/>
        </w:rPr>
      </w:pPr>
      <w:r w:rsidRPr="007C6E89">
        <w:rPr>
          <w:rFonts w:eastAsiaTheme="minorHAnsi" w:cstheme="minorBidi"/>
        </w:rPr>
        <w:t>The incremental costs per QALY of adding MRI to mammography in breast cancer screening estimated in the economic model were as follows:</w:t>
      </w:r>
    </w:p>
    <w:p w14:paraId="35495EAF" w14:textId="77777777" w:rsidR="00E47AB8" w:rsidRPr="008B2F8A" w:rsidRDefault="00E47AB8" w:rsidP="00E47AB8">
      <w:pPr>
        <w:numPr>
          <w:ilvl w:val="0"/>
          <w:numId w:val="76"/>
        </w:numPr>
        <w:spacing w:after="200"/>
        <w:contextualSpacing/>
      </w:pPr>
      <w:r w:rsidRPr="008B2F8A">
        <w:t xml:space="preserve">$35,460 in the </w:t>
      </w:r>
      <w:r w:rsidRPr="00E14AC4">
        <w:rPr>
          <w:i/>
        </w:rPr>
        <w:t>BRCA1</w:t>
      </w:r>
      <w:r w:rsidRPr="008B2F8A">
        <w:t xml:space="preserve"> population (interim funded).</w:t>
      </w:r>
    </w:p>
    <w:p w14:paraId="5AC22F26" w14:textId="77777777" w:rsidR="00E47AB8" w:rsidRPr="008B2F8A" w:rsidRDefault="00E47AB8" w:rsidP="00E47AB8">
      <w:pPr>
        <w:numPr>
          <w:ilvl w:val="0"/>
          <w:numId w:val="76"/>
        </w:numPr>
        <w:spacing w:after="200"/>
        <w:contextualSpacing/>
      </w:pPr>
      <w:r w:rsidRPr="008B2F8A">
        <w:t>$91,488 in the familial high-risk population (interim funded).</w:t>
      </w:r>
    </w:p>
    <w:p w14:paraId="66979AE5" w14:textId="77777777" w:rsidR="00E47AB8" w:rsidRPr="008B2F8A" w:rsidRDefault="00E47AB8" w:rsidP="00E47AB8">
      <w:pPr>
        <w:numPr>
          <w:ilvl w:val="0"/>
          <w:numId w:val="76"/>
        </w:numPr>
        <w:spacing w:after="200"/>
        <w:contextualSpacing/>
      </w:pPr>
      <w:r w:rsidRPr="008B2F8A">
        <w:t>$58,240 in the population with prior invasive breast cancer (not currently funded).</w:t>
      </w:r>
    </w:p>
    <w:p w14:paraId="611E3814" w14:textId="3BF670C3" w:rsidR="00E47AB8" w:rsidRPr="008B2F8A" w:rsidRDefault="00E47AB8" w:rsidP="00E47AB8">
      <w:pPr>
        <w:numPr>
          <w:ilvl w:val="0"/>
          <w:numId w:val="76"/>
        </w:numPr>
        <w:spacing w:after="200"/>
        <w:contextualSpacing/>
      </w:pPr>
      <w:r w:rsidRPr="008B2F8A">
        <w:t>$82,793 in the population with prior noninvasive breast cancer</w:t>
      </w:r>
      <w:r>
        <w:t xml:space="preserve"> </w:t>
      </w:r>
      <w:r w:rsidRPr="008B2F8A">
        <w:t>(not currently funded).</w:t>
      </w:r>
    </w:p>
    <w:p w14:paraId="5F5A3EE4" w14:textId="77777777" w:rsidR="00E47AB8" w:rsidRPr="008B2F8A" w:rsidRDefault="00E47AB8" w:rsidP="00E14AC4">
      <w:pPr>
        <w:numPr>
          <w:ilvl w:val="0"/>
          <w:numId w:val="76"/>
        </w:numPr>
        <w:spacing w:after="200"/>
        <w:ind w:left="714" w:hanging="357"/>
      </w:pPr>
      <w:r w:rsidRPr="008B2F8A">
        <w:t xml:space="preserve">$176,536 in the population with prior chest </w:t>
      </w:r>
      <w:r>
        <w:t>ir</w:t>
      </w:r>
      <w:r w:rsidRPr="008B2F8A">
        <w:t>radiation (not currently funded).</w:t>
      </w:r>
    </w:p>
    <w:p w14:paraId="242B92B0" w14:textId="475E4EBE" w:rsidR="00E47AB8" w:rsidRPr="007C6E89" w:rsidRDefault="00E47AB8" w:rsidP="00422306">
      <w:pPr>
        <w:spacing w:after="200"/>
        <w:rPr>
          <w:rFonts w:eastAsiaTheme="minorHAnsi" w:cstheme="minorBidi"/>
        </w:rPr>
      </w:pPr>
      <w:r w:rsidRPr="007C6E89">
        <w:rPr>
          <w:rFonts w:eastAsiaTheme="minorHAnsi" w:cstheme="minorBidi"/>
        </w:rPr>
        <w:t>Importantly, these results were similar to corresponding results in the United Kingdom using the NICE model upon which this model is based. In the NICE (2013) assessment, the cost-effectiveness ratios for MRI in addition to mammography were £13,486 (</w:t>
      </w:r>
      <w:r w:rsidRPr="007C6E89">
        <w:rPr>
          <w:rFonts w:eastAsiaTheme="minorHAnsi" w:cstheme="minorBidi"/>
          <w:noProof/>
        </w:rPr>
        <w:t>A$24,949</w:t>
      </w:r>
      <w:r w:rsidRPr="007C6E89">
        <w:rPr>
          <w:rFonts w:eastAsiaTheme="minorHAnsi" w:cstheme="minorBidi"/>
        </w:rPr>
        <w:t xml:space="preserve"> at </w:t>
      </w:r>
      <w:r w:rsidRPr="007C6E89">
        <w:rPr>
          <w:rFonts w:eastAsiaTheme="minorHAnsi" w:cstheme="minorBidi"/>
          <w:noProof/>
        </w:rPr>
        <w:t>GB£1 = A$1.85</w:t>
      </w:r>
      <w:r w:rsidRPr="007C6E89">
        <w:rPr>
          <w:rFonts w:eastAsiaTheme="minorHAnsi" w:cstheme="minorBidi"/>
        </w:rPr>
        <w:t xml:space="preserve">) for the </w:t>
      </w:r>
      <w:r w:rsidRPr="007C6E89">
        <w:rPr>
          <w:rFonts w:eastAsiaTheme="minorHAnsi" w:cstheme="minorBidi"/>
          <w:i/>
        </w:rPr>
        <w:t>BRCA1</w:t>
      </w:r>
      <w:r w:rsidRPr="007C6E89">
        <w:rPr>
          <w:rFonts w:eastAsiaTheme="minorHAnsi" w:cstheme="minorBidi"/>
        </w:rPr>
        <w:t xml:space="preserve"> population and £38,919 (</w:t>
      </w:r>
      <w:r w:rsidRPr="007C6E89">
        <w:rPr>
          <w:rFonts w:eastAsiaTheme="minorHAnsi" w:cstheme="minorBidi"/>
          <w:noProof/>
        </w:rPr>
        <w:t>A$72,000</w:t>
      </w:r>
      <w:r w:rsidRPr="007C6E89">
        <w:rPr>
          <w:rFonts w:eastAsiaTheme="minorHAnsi" w:cstheme="minorBidi"/>
        </w:rPr>
        <w:t>) for the high-familial-risk population (Tables 2.16 and 2.17 of NICE, 2013). The corresponding ICERs here were slightly higher for each population (</w:t>
      </w:r>
      <w:r w:rsidRPr="007C6E89">
        <w:rPr>
          <w:rFonts w:eastAsiaTheme="minorHAnsi" w:cstheme="minorBidi"/>
          <w:noProof/>
        </w:rPr>
        <w:t>A$35,460</w:t>
      </w:r>
      <w:r w:rsidRPr="007C6E89">
        <w:rPr>
          <w:rFonts w:eastAsiaTheme="minorHAnsi" w:cstheme="minorBidi"/>
        </w:rPr>
        <w:t xml:space="preserve"> and </w:t>
      </w:r>
      <w:r w:rsidRPr="007C6E89">
        <w:rPr>
          <w:rFonts w:eastAsiaTheme="minorHAnsi" w:cstheme="minorBidi"/>
          <w:noProof/>
        </w:rPr>
        <w:t>A$91,488</w:t>
      </w:r>
      <w:r w:rsidRPr="007C6E89">
        <w:rPr>
          <w:rFonts w:eastAsiaTheme="minorHAnsi" w:cstheme="minorBidi"/>
        </w:rPr>
        <w:t>). The increases can be explained by:</w:t>
      </w:r>
    </w:p>
    <w:p w14:paraId="36A725F5" w14:textId="77777777" w:rsidR="00E47AB8" w:rsidRPr="008B2F8A" w:rsidRDefault="00E47AB8" w:rsidP="00E47AB8">
      <w:pPr>
        <w:numPr>
          <w:ilvl w:val="0"/>
          <w:numId w:val="74"/>
        </w:numPr>
        <w:spacing w:after="200"/>
        <w:contextualSpacing/>
      </w:pPr>
      <w:r w:rsidRPr="008B2F8A">
        <w:t>a higher cost for MRI in Australia (</w:t>
      </w:r>
      <w:r w:rsidRPr="008B2F8A">
        <w:rPr>
          <w:noProof/>
        </w:rPr>
        <w:t>A$690</w:t>
      </w:r>
      <w:r w:rsidRPr="008B2F8A">
        <w:t xml:space="preserve">) than in the NICE model (£224 ≈ </w:t>
      </w:r>
      <w:r w:rsidRPr="008B2F8A">
        <w:rPr>
          <w:noProof/>
        </w:rPr>
        <w:t>A$414</w:t>
      </w:r>
      <w:r w:rsidRPr="008B2F8A">
        <w:t>)</w:t>
      </w:r>
    </w:p>
    <w:p w14:paraId="4567EE70" w14:textId="07FFAEB6" w:rsidR="00E47AB8" w:rsidRPr="008B2F8A" w:rsidRDefault="00E47AB8" w:rsidP="00E47AB8">
      <w:pPr>
        <w:numPr>
          <w:ilvl w:val="0"/>
          <w:numId w:val="74"/>
        </w:numPr>
        <w:spacing w:after="200"/>
        <w:contextualSpacing/>
      </w:pPr>
      <w:r w:rsidRPr="008B2F8A">
        <w:t>a higher discount rate in Australia, which puts more emphasis on the upfront costs of MRI and less emphasis on the downstream benefits relative to the NICE model, which uses a discount rate of 3.5%</w:t>
      </w:r>
    </w:p>
    <w:p w14:paraId="3F330EA3" w14:textId="44928EDD" w:rsidR="00E47AB8" w:rsidRPr="008B2F8A" w:rsidRDefault="00E47AB8" w:rsidP="00E14AC4">
      <w:pPr>
        <w:numPr>
          <w:ilvl w:val="0"/>
          <w:numId w:val="74"/>
        </w:numPr>
        <w:spacing w:after="200"/>
        <w:ind w:left="714" w:hanging="357"/>
      </w:pPr>
      <w:r w:rsidRPr="008B2F8A">
        <w:t>the costs of chemotherapy in this model, which are higher than the costs used in the NICE model, meaning there are more costs in the MRI arm of the model owing to the detection of more cancers.</w:t>
      </w:r>
    </w:p>
    <w:p w14:paraId="24C555CA" w14:textId="77777777" w:rsidR="00E47AB8" w:rsidRPr="007C6E89" w:rsidRDefault="00E47AB8" w:rsidP="00422306">
      <w:pPr>
        <w:spacing w:after="200"/>
        <w:rPr>
          <w:rFonts w:eastAsiaTheme="minorHAnsi" w:cstheme="minorBidi"/>
        </w:rPr>
      </w:pPr>
      <w:r w:rsidRPr="007C6E89">
        <w:rPr>
          <w:rFonts w:eastAsiaTheme="minorHAnsi" w:cstheme="minorBidi"/>
        </w:rPr>
        <w:t>Nevertheless, the cost-effectiveness results for MRI are similar to what has been predicted in this comparable, and important, jurisdiction.</w:t>
      </w:r>
    </w:p>
    <w:p w14:paraId="4178E04D" w14:textId="457F9FCF" w:rsidR="00E47AB8" w:rsidRPr="007C6E89" w:rsidRDefault="00E47AB8" w:rsidP="00422306">
      <w:pPr>
        <w:spacing w:after="200"/>
        <w:rPr>
          <w:rFonts w:eastAsiaTheme="minorHAnsi" w:cstheme="minorBidi"/>
        </w:rPr>
      </w:pPr>
      <w:r w:rsidRPr="007C6E89">
        <w:rPr>
          <w:rFonts w:eastAsiaTheme="minorHAnsi" w:cstheme="minorBidi"/>
        </w:rPr>
        <w:t>The main drivers of the results of this model may be biased in favour of MRI. For example:</w:t>
      </w:r>
    </w:p>
    <w:p w14:paraId="5541D379" w14:textId="65B26231" w:rsidR="00E47AB8" w:rsidRPr="008B2F8A" w:rsidRDefault="00E47AB8" w:rsidP="00E47AB8">
      <w:pPr>
        <w:numPr>
          <w:ilvl w:val="0"/>
          <w:numId w:val="75"/>
        </w:numPr>
        <w:spacing w:after="200"/>
        <w:contextualSpacing/>
      </w:pPr>
      <w:r w:rsidRPr="008B2F8A">
        <w:t xml:space="preserve">The data for the accuracy of mammography used in the model </w:t>
      </w:r>
      <w:r>
        <w:t>are</w:t>
      </w:r>
      <w:r w:rsidRPr="008B2F8A">
        <w:t xml:space="preserve"> based largely on evidence using film screen mammography</w:t>
      </w:r>
      <w:r>
        <w:t>,</w:t>
      </w:r>
      <w:r w:rsidRPr="008B2F8A">
        <w:t xml:space="preserve"> which may be inferior to the more commonly used digital mammography</w:t>
      </w:r>
      <w:r>
        <w:t>,</w:t>
      </w:r>
      <w:r w:rsidRPr="008B2F8A">
        <w:t xml:space="preserve"> thus overestimating the benefit of adding MRI to screening.</w:t>
      </w:r>
    </w:p>
    <w:p w14:paraId="595A9934" w14:textId="77777777" w:rsidR="00E47AB8" w:rsidRPr="008B2F8A" w:rsidRDefault="00E47AB8" w:rsidP="00E47AB8">
      <w:pPr>
        <w:numPr>
          <w:ilvl w:val="0"/>
          <w:numId w:val="75"/>
        </w:numPr>
        <w:spacing w:after="200"/>
        <w:contextualSpacing/>
      </w:pPr>
      <w:r w:rsidRPr="008B2F8A">
        <w:t>The model does not incorporate the use of ultrasound, the inclusion of which is expected to reduce the incremental sensitivity of adding MRI to screening.</w:t>
      </w:r>
    </w:p>
    <w:p w14:paraId="03B44E57" w14:textId="58D7B68C" w:rsidR="00E47AB8" w:rsidRPr="008B2F8A" w:rsidRDefault="00E47AB8" w:rsidP="00E14AC4">
      <w:pPr>
        <w:numPr>
          <w:ilvl w:val="0"/>
          <w:numId w:val="75"/>
        </w:numPr>
        <w:spacing w:after="0"/>
        <w:ind w:left="714" w:hanging="357"/>
        <w:contextualSpacing/>
      </w:pPr>
      <w:r w:rsidRPr="008B2F8A">
        <w:t xml:space="preserve">The breast cancer risks used in the </w:t>
      </w:r>
      <w:r w:rsidRPr="00E14AC4">
        <w:rPr>
          <w:i/>
        </w:rPr>
        <w:t>BRCA1</w:t>
      </w:r>
      <w:r w:rsidRPr="008B2F8A">
        <w:t xml:space="preserve"> and high-familial</w:t>
      </w:r>
      <w:r>
        <w:t>-</w:t>
      </w:r>
      <w:r w:rsidRPr="008B2F8A">
        <w:t xml:space="preserve">risk populations imply a lifetime risk of breast cancer at the upper end </w:t>
      </w:r>
      <w:r>
        <w:t xml:space="preserve">of </w:t>
      </w:r>
      <w:r w:rsidRPr="008B2F8A">
        <w:t>(or slightly higher than) rates reported in the literature. This overestimate in breast cancer risk will overestimate the benefit of the additional sensitivity with MRI.</w:t>
      </w:r>
    </w:p>
    <w:p w14:paraId="372E090B" w14:textId="01F1FED7" w:rsidR="00E47AB8" w:rsidRPr="008B2F8A" w:rsidRDefault="00E47AB8" w:rsidP="00E47AB8">
      <w:pPr>
        <w:pStyle w:val="ListParagraph"/>
        <w:numPr>
          <w:ilvl w:val="0"/>
          <w:numId w:val="75"/>
        </w:numPr>
      </w:pPr>
      <w:r w:rsidRPr="008B2F8A">
        <w:t>The model is driven by an assumption that early detection will improve 5-year overall survival by 18.8%. The benefits and harms of breast cancer screening in the general population are controversial</w:t>
      </w:r>
      <w:r>
        <w:t>,</w:t>
      </w:r>
      <w:r w:rsidRPr="008B2F8A">
        <w:t xml:space="preserve"> and an accurate estimate in these high-risk populations is not possible; however, it is clear that the cost-effectiveness of MRI relies heavily upon accurate estimation of this assumption.</w:t>
      </w:r>
    </w:p>
    <w:p w14:paraId="7C1DAFA1" w14:textId="58489010" w:rsidR="00E47AB8" w:rsidRPr="007C6E89" w:rsidRDefault="00E47AB8" w:rsidP="00422306">
      <w:pPr>
        <w:spacing w:after="200"/>
        <w:rPr>
          <w:rFonts w:eastAsiaTheme="minorHAnsi" w:cstheme="minorBidi"/>
        </w:rPr>
      </w:pPr>
      <w:r w:rsidRPr="007C6E89">
        <w:rPr>
          <w:rFonts w:eastAsiaTheme="minorHAnsi" w:cstheme="minorBidi"/>
        </w:rPr>
        <w:lastRenderedPageBreak/>
        <w:t xml:space="preserve">At $91,488 per QALY, the ICER for MRI screening is relatively high in the high-familial-risk population when considered against traditional thresholds of cost-effectiveness used in Australia. This suggests that alternative options to better stratify these women (eg, genetic testing for the </w:t>
      </w:r>
      <w:r w:rsidRPr="00E14AC4">
        <w:rPr>
          <w:rFonts w:eastAsiaTheme="minorHAnsi" w:cstheme="minorBidi"/>
          <w:i/>
        </w:rPr>
        <w:t>BRCA1</w:t>
      </w:r>
      <w:r w:rsidRPr="007C6E89">
        <w:rPr>
          <w:rFonts w:eastAsiaTheme="minorHAnsi" w:cstheme="minorBidi"/>
        </w:rPr>
        <w:t xml:space="preserve"> mutation) or a shorter duration of MRI screening in older women will help to improve the cost-effectiveness of MRI in this group. In sensitivity analyses where MRI screening is limited to a population aged 40 to 50 years, the ICER improves to $63,039. If MRI is used for only 5 years in women aged 40 to 45 years, the ICER improves again, to $53,915.</w:t>
      </w:r>
    </w:p>
    <w:p w14:paraId="19E79C04" w14:textId="0296A67E" w:rsidR="00E47AB8" w:rsidRPr="007C6E89" w:rsidRDefault="00E47AB8" w:rsidP="00422306">
      <w:pPr>
        <w:spacing w:after="200"/>
        <w:rPr>
          <w:rFonts w:eastAsiaTheme="minorHAnsi" w:cstheme="minorBidi"/>
        </w:rPr>
      </w:pPr>
      <w:r w:rsidRPr="007C6E89">
        <w:rPr>
          <w:rFonts w:eastAsiaTheme="minorHAnsi" w:cstheme="minorBidi"/>
        </w:rPr>
        <w:t xml:space="preserve">Despite having the lowest lifetime risk of breast cancer, the population with prior invasive cancer has a better ICER for MRI ($58,240) than all other populations except the </w:t>
      </w:r>
      <w:r w:rsidRPr="00E14AC4">
        <w:rPr>
          <w:rFonts w:eastAsiaTheme="minorHAnsi" w:cstheme="minorBidi"/>
          <w:i/>
        </w:rPr>
        <w:t>BRCA1</w:t>
      </w:r>
      <w:r w:rsidRPr="007C6E89">
        <w:rPr>
          <w:rFonts w:eastAsiaTheme="minorHAnsi" w:cstheme="minorBidi"/>
        </w:rPr>
        <w:t xml:space="preserve"> population. This appears to be because the duration of MRI screening is shorter (6 years) and is targeted to the period of time when the risk of disease recurrence is greatest (the period immediately following the original diagnosis and treatment).</w:t>
      </w:r>
    </w:p>
    <w:p w14:paraId="655907EA" w14:textId="3ECEF395" w:rsidR="00E47AB8" w:rsidRPr="007C6E89" w:rsidRDefault="00E47AB8" w:rsidP="00422306">
      <w:pPr>
        <w:spacing w:after="200"/>
        <w:rPr>
          <w:rFonts w:eastAsiaTheme="minorHAnsi" w:cstheme="minorBidi"/>
        </w:rPr>
      </w:pPr>
      <w:r w:rsidRPr="007C6E89">
        <w:rPr>
          <w:rFonts w:eastAsiaTheme="minorHAnsi" w:cstheme="minorBidi"/>
        </w:rPr>
        <w:t>In the population with prior chest irradiation, the model had to assume a constant risk of breast cancer over time owing to lack of data. This assumption means it is difficult for the model to appropriately target the use of MRI within this population, and the ICER for MRI in this population is consequently very high (close to $200,000 per QALY). Results from the other populations show that MRI use should be targeted to the period when the population is most at risk of breast cancer.</w:t>
      </w:r>
    </w:p>
    <w:p w14:paraId="3B2CB0CD" w14:textId="66BB017D" w:rsidR="00E47AB8" w:rsidRPr="007C6E89" w:rsidRDefault="00E47AB8" w:rsidP="00422306">
      <w:pPr>
        <w:spacing w:after="200"/>
        <w:rPr>
          <w:rFonts w:eastAsiaTheme="minorHAnsi" w:cstheme="minorBidi"/>
        </w:rPr>
      </w:pPr>
      <w:r w:rsidRPr="007C6E89">
        <w:rPr>
          <w:rFonts w:eastAsiaTheme="minorHAnsi" w:cstheme="minorBidi"/>
        </w:rPr>
        <w:t xml:space="preserve">Overall, the results of the economic model suggest that (with the exception of the </w:t>
      </w:r>
      <w:r w:rsidRPr="00E14AC4">
        <w:rPr>
          <w:rFonts w:eastAsiaTheme="minorHAnsi" w:cstheme="minorBidi"/>
          <w:i/>
        </w:rPr>
        <w:t>BRCA1</w:t>
      </w:r>
      <w:r w:rsidRPr="007C6E89">
        <w:rPr>
          <w:rFonts w:eastAsiaTheme="minorHAnsi" w:cstheme="minorBidi"/>
        </w:rPr>
        <w:t xml:space="preserve"> population) MRI screening needs to be better targeted to shorter time periods when the risk of developing breast cancer is greatest, and not necessarily when mammography is least effective. The use of MRI in younger patients in whom the sensitivity of mammography is lower is not necessarily cost-effective, because the risk of breast cancer is lower and the lifetime costs of MRI will be greatest in these younger cohorts.</w:t>
      </w:r>
    </w:p>
    <w:p w14:paraId="3C878CCD" w14:textId="77777777" w:rsidR="00E47AB8" w:rsidRPr="008B2F8A" w:rsidRDefault="00E47AB8" w:rsidP="00422306">
      <w:pPr>
        <w:spacing w:after="200"/>
        <w:rPr>
          <w:rFonts w:ascii="Tahoma" w:eastAsia="Times New Roman" w:hAnsi="Tahoma" w:cs="Tahoma"/>
          <w:b/>
          <w:bCs/>
          <w:color w:val="000000"/>
          <w:sz w:val="44"/>
          <w:szCs w:val="44"/>
        </w:rPr>
      </w:pPr>
      <w:r w:rsidRPr="008B2F8A">
        <w:rPr>
          <w:rFonts w:ascii="Tahoma" w:eastAsia="Times New Roman" w:hAnsi="Tahoma" w:cs="Tahoma"/>
          <w:b/>
          <w:bCs/>
          <w:color w:val="000000"/>
          <w:sz w:val="44"/>
          <w:szCs w:val="44"/>
        </w:rPr>
        <w:br w:type="page"/>
      </w:r>
    </w:p>
    <w:p w14:paraId="373176A1" w14:textId="77777777" w:rsidR="00E47AB8" w:rsidRPr="008B2F8A" w:rsidRDefault="00E47AB8" w:rsidP="00E47AB8">
      <w:pPr>
        <w:pStyle w:val="Heading1"/>
        <w:numPr>
          <w:ilvl w:val="0"/>
          <w:numId w:val="42"/>
        </w:numPr>
        <w:spacing w:after="0"/>
      </w:pPr>
      <w:bookmarkStart w:id="1278" w:name="_Toc383424517"/>
      <w:r w:rsidRPr="008B2F8A">
        <w:lastRenderedPageBreak/>
        <w:t>Estimated extent of use and financial implications</w:t>
      </w:r>
      <w:bookmarkEnd w:id="1278"/>
    </w:p>
    <w:p w14:paraId="7FA0D660" w14:textId="77777777" w:rsidR="00E47AB8" w:rsidRPr="008B2F8A" w:rsidRDefault="00E47AB8" w:rsidP="00E47AB8">
      <w:pPr>
        <w:pStyle w:val="Heading2"/>
      </w:pPr>
      <w:bookmarkStart w:id="1279" w:name="_Ref377464269"/>
      <w:bookmarkStart w:id="1280" w:name="_Toc383424518"/>
      <w:r w:rsidRPr="008B2F8A">
        <w:t>Description of data sources used in the analysis</w:t>
      </w:r>
      <w:bookmarkEnd w:id="1279"/>
      <w:bookmarkEnd w:id="1280"/>
    </w:p>
    <w:p w14:paraId="584D238C" w14:textId="77777777" w:rsidR="00E47AB8" w:rsidRPr="008B2F8A" w:rsidRDefault="00E47AB8" w:rsidP="00E47AB8">
      <w:pPr>
        <w:pStyle w:val="Heading3"/>
        <w:numPr>
          <w:ilvl w:val="2"/>
          <w:numId w:val="42"/>
        </w:numPr>
      </w:pPr>
      <w:bookmarkStart w:id="1281" w:name="_Toc383424519"/>
      <w:r w:rsidRPr="008B2F8A">
        <w:t>Estimation of the size of the eligible populations</w:t>
      </w:r>
      <w:bookmarkEnd w:id="1281"/>
    </w:p>
    <w:p w14:paraId="2259A9AC" w14:textId="77777777" w:rsidR="00E47AB8" w:rsidRPr="008B2F8A" w:rsidRDefault="00E47AB8" w:rsidP="00422306">
      <w:r w:rsidRPr="008B2F8A">
        <w:t>In Australia, data collection on the incidence and prevalence of different types of breast cancer is variable. Consequently, a range of sources have been used to support the estimation of the size</w:t>
      </w:r>
      <w:r>
        <w:t>s</w:t>
      </w:r>
      <w:r w:rsidRPr="008B2F8A">
        <w:t xml:space="preserve"> of the following four eligible populations:</w:t>
      </w:r>
    </w:p>
    <w:p w14:paraId="64CEEFF8" w14:textId="77777777" w:rsidR="00E47AB8" w:rsidRPr="008B2F8A" w:rsidRDefault="00E47AB8" w:rsidP="00E47AB8">
      <w:pPr>
        <w:pStyle w:val="ListParagraph"/>
        <w:numPr>
          <w:ilvl w:val="0"/>
          <w:numId w:val="56"/>
        </w:numPr>
      </w:pPr>
      <w:r w:rsidRPr="008B2F8A">
        <w:t>Women with gene mutations and family history (population for the existing interim items).</w:t>
      </w:r>
    </w:p>
    <w:p w14:paraId="71D8D7AE" w14:textId="77777777" w:rsidR="00E47AB8" w:rsidRPr="008B2F8A" w:rsidRDefault="00E47AB8" w:rsidP="00E47AB8">
      <w:pPr>
        <w:pStyle w:val="ListParagraph"/>
        <w:numPr>
          <w:ilvl w:val="0"/>
          <w:numId w:val="56"/>
        </w:numPr>
        <w:rPr>
          <w:rFonts w:cs="Garamond"/>
          <w:sz w:val="24"/>
          <w:szCs w:val="24"/>
        </w:rPr>
      </w:pPr>
      <w:r w:rsidRPr="00E14AC4">
        <w:rPr>
          <w:rFonts w:cs="Garamond"/>
        </w:rPr>
        <w:t>Women with a p</w:t>
      </w:r>
      <w:r w:rsidRPr="008B2F8A">
        <w:t>rior history of invasive breast cancer.</w:t>
      </w:r>
    </w:p>
    <w:p w14:paraId="26D71F34" w14:textId="2F3517B7" w:rsidR="00E47AB8" w:rsidRPr="008B2F8A" w:rsidRDefault="00E47AB8" w:rsidP="00E47AB8">
      <w:pPr>
        <w:pStyle w:val="ListParagraph"/>
        <w:numPr>
          <w:ilvl w:val="0"/>
          <w:numId w:val="56"/>
        </w:numPr>
      </w:pPr>
      <w:r w:rsidRPr="008B2F8A">
        <w:t xml:space="preserve">Women with a prior history of DCIS </w:t>
      </w:r>
      <w:r>
        <w:t>or</w:t>
      </w:r>
      <w:r w:rsidRPr="008B2F8A">
        <w:t xml:space="preserve"> LCIS.</w:t>
      </w:r>
    </w:p>
    <w:p w14:paraId="25D4E46F" w14:textId="77777777" w:rsidR="00E47AB8" w:rsidRPr="008B2F8A" w:rsidRDefault="00E47AB8" w:rsidP="00E47AB8">
      <w:pPr>
        <w:pStyle w:val="ListParagraph"/>
        <w:numPr>
          <w:ilvl w:val="0"/>
          <w:numId w:val="56"/>
        </w:numPr>
      </w:pPr>
      <w:r w:rsidRPr="008B2F8A">
        <w:t>Women with a prior history of irradiation to the chest from 10 to 35 years of age.</w:t>
      </w:r>
    </w:p>
    <w:p w14:paraId="734C484B" w14:textId="3B449C3C" w:rsidR="00E47AB8" w:rsidRPr="008B2F8A" w:rsidRDefault="00E47AB8" w:rsidP="00422306">
      <w:r w:rsidRPr="008B2F8A">
        <w:t xml:space="preserve">All four populations are restricted to women aged &lt;50 years. The data sources used for each population </w:t>
      </w:r>
      <w:r>
        <w:t>are summarised</w:t>
      </w:r>
      <w:r w:rsidRPr="008B2F8A">
        <w:t xml:space="preserve"> below.</w:t>
      </w:r>
    </w:p>
    <w:p w14:paraId="507E5A82" w14:textId="77777777" w:rsidR="00E47AB8" w:rsidRPr="008B2F8A" w:rsidRDefault="00E47AB8" w:rsidP="00422306">
      <w:pPr>
        <w:pStyle w:val="Heading4"/>
      </w:pPr>
      <w:r w:rsidRPr="008B2F8A">
        <w:t>Gene mutations or family history</w:t>
      </w:r>
    </w:p>
    <w:p w14:paraId="1A631169" w14:textId="4281E77A" w:rsidR="00E47AB8" w:rsidRPr="008B2F8A" w:rsidRDefault="00E47AB8" w:rsidP="00422306">
      <w:pPr>
        <w:rPr>
          <w:lang w:eastAsia="ja-JP"/>
        </w:rPr>
      </w:pPr>
      <w:r w:rsidRPr="008B2F8A">
        <w:rPr>
          <w:lang w:eastAsia="ja-JP"/>
        </w:rPr>
        <w:t>Estimation of the future use of the current interim items for breast MRI (MBS item numbers 63464 and 63467) is based on a projection of the actual use of the interim items since July 2009.</w:t>
      </w:r>
    </w:p>
    <w:p w14:paraId="659F9700" w14:textId="77777777" w:rsidR="00E47AB8" w:rsidRPr="008B2F8A" w:rsidRDefault="00E47AB8" w:rsidP="00422306">
      <w:pPr>
        <w:pStyle w:val="Heading4"/>
      </w:pPr>
      <w:r w:rsidRPr="008B2F8A">
        <w:t>Prior history of invasive breast cancer</w:t>
      </w:r>
    </w:p>
    <w:p w14:paraId="3670BB22" w14:textId="02CB8FC4" w:rsidR="00E47AB8" w:rsidRPr="008B2F8A" w:rsidRDefault="00E47AB8" w:rsidP="00422306">
      <w:pPr>
        <w:rPr>
          <w:lang w:eastAsia="ja-JP"/>
        </w:rPr>
      </w:pPr>
      <w:r w:rsidRPr="008B2F8A">
        <w:rPr>
          <w:lang w:eastAsia="ja-JP"/>
        </w:rPr>
        <w:t xml:space="preserve">There is little data available on the prevalence of breast cancer in Australia. To estimate the number of women aged &lt;50 years who have a prior history of invasive breast cancer, data on the prevalence of breast cancer and the type of breast cancer at diagnosis were taken from </w:t>
      </w:r>
      <w:r w:rsidRPr="008B2F8A">
        <w:rPr>
          <w:noProof/>
          <w:lang w:eastAsia="ja-JP"/>
        </w:rPr>
        <w:t xml:space="preserve">AIHW </w:t>
      </w:r>
      <w:r>
        <w:rPr>
          <w:noProof/>
          <w:lang w:eastAsia="ja-JP"/>
        </w:rPr>
        <w:t>(</w:t>
      </w:r>
      <w:r w:rsidRPr="008B2F8A">
        <w:rPr>
          <w:noProof/>
          <w:lang w:eastAsia="ja-JP"/>
        </w:rPr>
        <w:t>2012b)</w:t>
      </w:r>
      <w:r w:rsidRPr="008B2F8A">
        <w:rPr>
          <w:lang w:eastAsia="ja-JP"/>
        </w:rPr>
        <w:t xml:space="preserve">. The data used in the analyses </w:t>
      </w:r>
      <w:r>
        <w:rPr>
          <w:lang w:eastAsia="ja-JP"/>
        </w:rPr>
        <w:t>are</w:t>
      </w:r>
      <w:r w:rsidRPr="008B2F8A">
        <w:rPr>
          <w:lang w:eastAsia="ja-JP"/>
        </w:rPr>
        <w:t xml:space="preserve"> presented in </w:t>
      </w:r>
      <w:r w:rsidRPr="008B2F8A">
        <w:rPr>
          <w:highlight w:val="yellow"/>
          <w:lang w:eastAsia="ja-JP"/>
        </w:rPr>
        <w:fldChar w:fldCharType="begin"/>
      </w:r>
      <w:r w:rsidRPr="008B2F8A">
        <w:rPr>
          <w:lang w:eastAsia="ja-JP"/>
        </w:rPr>
        <w:instrText xml:space="preserve"> REF _Ref373916362 \h </w:instrText>
      </w:r>
      <w:r w:rsidRPr="008B2F8A">
        <w:rPr>
          <w:highlight w:val="yellow"/>
          <w:lang w:eastAsia="ja-JP"/>
        </w:rPr>
      </w:r>
      <w:r w:rsidRPr="008B2F8A">
        <w:rPr>
          <w:highlight w:val="yellow"/>
          <w:lang w:eastAsia="ja-JP"/>
        </w:rPr>
        <w:fldChar w:fldCharType="separate"/>
      </w:r>
      <w:r w:rsidR="00B81273" w:rsidRPr="008B2F8A">
        <w:t xml:space="preserve">Table </w:t>
      </w:r>
      <w:r w:rsidR="00B81273">
        <w:rPr>
          <w:noProof/>
        </w:rPr>
        <w:t>E</w:t>
      </w:r>
      <w:r w:rsidR="00B81273" w:rsidRPr="008B2F8A">
        <w:t>.</w:t>
      </w:r>
      <w:r w:rsidR="00B81273">
        <w:rPr>
          <w:noProof/>
        </w:rPr>
        <w:t>1</w:t>
      </w:r>
      <w:r w:rsidRPr="008B2F8A">
        <w:rPr>
          <w:highlight w:val="yellow"/>
          <w:lang w:eastAsia="ja-JP"/>
        </w:rPr>
        <w:fldChar w:fldCharType="end"/>
      </w:r>
      <w:r w:rsidRPr="008B2F8A">
        <w:rPr>
          <w:lang w:eastAsia="ja-JP"/>
        </w:rPr>
        <w:t xml:space="preserve"> and the calculations are explained in detail in Section </w:t>
      </w:r>
      <w:r w:rsidRPr="008B2F8A">
        <w:rPr>
          <w:noProof/>
          <w:lang w:eastAsia="ja-JP"/>
        </w:rPr>
        <w:fldChar w:fldCharType="begin"/>
      </w:r>
      <w:r w:rsidRPr="008B2F8A">
        <w:rPr>
          <w:noProof/>
          <w:lang w:eastAsia="ja-JP"/>
        </w:rPr>
        <w:instrText xml:space="preserve"> REF _Ref376855502 \r \h </w:instrText>
      </w:r>
      <w:r w:rsidRPr="008B2F8A">
        <w:rPr>
          <w:noProof/>
          <w:lang w:eastAsia="ja-JP"/>
        </w:rPr>
      </w:r>
      <w:r w:rsidRPr="008B2F8A">
        <w:rPr>
          <w:noProof/>
          <w:lang w:eastAsia="ja-JP"/>
        </w:rPr>
        <w:fldChar w:fldCharType="separate"/>
      </w:r>
      <w:r w:rsidR="00B81273">
        <w:rPr>
          <w:noProof/>
          <w:lang w:eastAsia="ja-JP"/>
        </w:rPr>
        <w:t>E.2.1</w:t>
      </w:r>
      <w:r w:rsidRPr="008B2F8A">
        <w:rPr>
          <w:noProof/>
          <w:lang w:eastAsia="ja-JP"/>
        </w:rPr>
        <w:fldChar w:fldCharType="end"/>
      </w:r>
      <w:r w:rsidRPr="008B2F8A">
        <w:rPr>
          <w:lang w:eastAsia="ja-JP"/>
        </w:rPr>
        <w:t xml:space="preserve">. Approximately 5% of breast cancer diagnoses are </w:t>
      </w:r>
      <w:r>
        <w:rPr>
          <w:lang w:eastAsia="ja-JP"/>
        </w:rPr>
        <w:t xml:space="preserve">diagnosed </w:t>
      </w:r>
      <w:r w:rsidRPr="008B2F8A">
        <w:rPr>
          <w:lang w:eastAsia="ja-JP"/>
        </w:rPr>
        <w:t xml:space="preserve">in women with gene mutations or family history </w:t>
      </w:r>
      <w:r w:rsidRPr="008B2F8A">
        <w:rPr>
          <w:noProof/>
          <w:lang w:eastAsia="ja-JP"/>
        </w:rPr>
        <w:t>(NBOCC, 2009)</w:t>
      </w:r>
      <w:r w:rsidRPr="008B2F8A">
        <w:rPr>
          <w:lang w:eastAsia="ja-JP"/>
        </w:rPr>
        <w:t xml:space="preserve">. These women are already eligible to receive breast MRI under the current interim items and were excluded from this population. The projected number of women in Australia was taken from </w:t>
      </w:r>
      <w:r w:rsidRPr="008B2F8A">
        <w:rPr>
          <w:noProof/>
          <w:lang w:eastAsia="ja-JP"/>
        </w:rPr>
        <w:t xml:space="preserve">ABS </w:t>
      </w:r>
      <w:r>
        <w:rPr>
          <w:noProof/>
          <w:lang w:eastAsia="ja-JP"/>
        </w:rPr>
        <w:t>(</w:t>
      </w:r>
      <w:r w:rsidRPr="008B2F8A">
        <w:rPr>
          <w:noProof/>
          <w:lang w:eastAsia="ja-JP"/>
        </w:rPr>
        <w:t>2013)</w:t>
      </w:r>
      <w:r w:rsidRPr="008B2F8A">
        <w:rPr>
          <w:lang w:eastAsia="ja-JP"/>
        </w:rPr>
        <w:t>.</w:t>
      </w:r>
    </w:p>
    <w:p w14:paraId="1DC7E2EB" w14:textId="77777777" w:rsidR="00E47AB8" w:rsidRPr="008B2F8A" w:rsidRDefault="00E47AB8" w:rsidP="00422306">
      <w:pPr>
        <w:pStyle w:val="Caption"/>
        <w:ind w:left="1440" w:hanging="1440"/>
        <w:rPr>
          <w:lang w:eastAsia="ja-JP"/>
        </w:rPr>
      </w:pPr>
      <w:bookmarkStart w:id="1282" w:name="_Ref373916362"/>
      <w:bookmarkStart w:id="1283" w:name="_Toc383424632"/>
      <w:r w:rsidRPr="008B2F8A">
        <w:t xml:space="preserve">Table </w:t>
      </w:r>
      <w:fldSimple w:instr=" STYLEREF 1 \s ">
        <w:r w:rsidR="00B81273">
          <w:rPr>
            <w:noProof/>
          </w:rPr>
          <w:t>E</w:t>
        </w:r>
      </w:fldSimple>
      <w:r w:rsidRPr="008B2F8A">
        <w:t>.</w:t>
      </w:r>
      <w:fldSimple w:instr=" SEQ Table \* ARABIC \s 1 ">
        <w:r w:rsidR="00B81273">
          <w:rPr>
            <w:noProof/>
          </w:rPr>
          <w:t>1</w:t>
        </w:r>
      </w:fldSimple>
      <w:bookmarkEnd w:id="1282"/>
      <w:r w:rsidRPr="008B2F8A">
        <w:tab/>
      </w:r>
      <w:r w:rsidRPr="008B2F8A">
        <w:rPr>
          <w:lang w:eastAsia="ja-JP"/>
        </w:rPr>
        <w:t xml:space="preserve">Data used to </w:t>
      </w:r>
      <w:r w:rsidRPr="008B2F8A">
        <w:t>estimate</w:t>
      </w:r>
      <w:r w:rsidRPr="008B2F8A">
        <w:rPr>
          <w:lang w:eastAsia="ja-JP"/>
        </w:rPr>
        <w:t xml:space="preserve"> the number of women aged &lt;50 years with a prior history of invasive breast cancer.</w:t>
      </w:r>
      <w:bookmarkEnd w:id="1283"/>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80" w:firstRow="0" w:lastRow="0" w:firstColumn="1" w:lastColumn="0" w:noHBand="0" w:noVBand="1"/>
      </w:tblPr>
      <w:tblGrid>
        <w:gridCol w:w="5992"/>
        <w:gridCol w:w="2272"/>
        <w:gridCol w:w="806"/>
      </w:tblGrid>
      <w:tr w:rsidR="00E47AB8" w:rsidRPr="008B2F8A" w14:paraId="4B313830" w14:textId="77777777" w:rsidTr="00E14AC4">
        <w:trPr>
          <w:tblHeader/>
        </w:trPr>
        <w:tc>
          <w:tcPr>
            <w:tcW w:w="5992" w:type="dxa"/>
            <w:shd w:val="clear" w:color="auto" w:fill="auto"/>
            <w:vAlign w:val="bottom"/>
          </w:tcPr>
          <w:p w14:paraId="18590380" w14:textId="77777777" w:rsidR="00E47AB8" w:rsidRPr="008B2F8A" w:rsidRDefault="00E47AB8" w:rsidP="00422306">
            <w:pPr>
              <w:pStyle w:val="Tableheaderrow"/>
              <w:spacing w:before="40" w:after="80" w:line="276" w:lineRule="auto"/>
              <w:rPr>
                <w:lang w:eastAsia="en-AU"/>
              </w:rPr>
            </w:pPr>
            <w:r w:rsidRPr="008B2F8A">
              <w:rPr>
                <w:lang w:eastAsia="en-AU"/>
              </w:rPr>
              <w:t xml:space="preserve">Description </w:t>
            </w:r>
          </w:p>
        </w:tc>
        <w:tc>
          <w:tcPr>
            <w:tcW w:w="2272" w:type="dxa"/>
            <w:shd w:val="clear" w:color="auto" w:fill="auto"/>
            <w:vAlign w:val="bottom"/>
          </w:tcPr>
          <w:p w14:paraId="29E80CD5" w14:textId="77777777" w:rsidR="00E47AB8" w:rsidRPr="008B2F8A" w:rsidRDefault="00E47AB8" w:rsidP="00422306">
            <w:pPr>
              <w:pStyle w:val="Tableheaderrow"/>
              <w:spacing w:before="40" w:after="80" w:line="276" w:lineRule="auto"/>
              <w:rPr>
                <w:lang w:eastAsia="en-AU"/>
              </w:rPr>
            </w:pPr>
            <w:r w:rsidRPr="008B2F8A">
              <w:rPr>
                <w:lang w:eastAsia="en-AU"/>
              </w:rPr>
              <w:t>Source</w:t>
            </w:r>
          </w:p>
        </w:tc>
        <w:tc>
          <w:tcPr>
            <w:tcW w:w="806" w:type="dxa"/>
            <w:shd w:val="clear" w:color="auto" w:fill="auto"/>
            <w:noWrap/>
            <w:vAlign w:val="bottom"/>
          </w:tcPr>
          <w:p w14:paraId="46411E39" w14:textId="5656FC63" w:rsidR="00E47AB8" w:rsidRPr="008B2F8A" w:rsidRDefault="00E47AB8" w:rsidP="00422306">
            <w:pPr>
              <w:pStyle w:val="Tableheaderrow"/>
              <w:spacing w:before="40" w:after="80" w:line="276" w:lineRule="auto"/>
              <w:rPr>
                <w:lang w:eastAsia="en-AU"/>
              </w:rPr>
            </w:pPr>
            <w:r>
              <w:rPr>
                <w:lang w:eastAsia="en-AU"/>
              </w:rPr>
              <w:t>Value</w:t>
            </w:r>
          </w:p>
        </w:tc>
      </w:tr>
      <w:tr w:rsidR="00E47AB8" w:rsidRPr="008B2F8A" w14:paraId="38226197" w14:textId="77777777" w:rsidTr="00E14AC4">
        <w:tc>
          <w:tcPr>
            <w:tcW w:w="5992" w:type="dxa"/>
            <w:shd w:val="clear" w:color="auto" w:fill="auto"/>
            <w:hideMark/>
          </w:tcPr>
          <w:p w14:paraId="3A456E37" w14:textId="621D45EB"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27-year prevalence of breast cancer (number), 31 Dec 2008</w:t>
            </w:r>
          </w:p>
        </w:tc>
        <w:tc>
          <w:tcPr>
            <w:tcW w:w="2272" w:type="dxa"/>
            <w:shd w:val="clear" w:color="auto" w:fill="auto"/>
            <w:hideMark/>
          </w:tcPr>
          <w:p w14:paraId="14A21996"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 xml:space="preserve">AIHW </w:t>
            </w:r>
            <w:bookmarkStart w:id="1284" w:name="OLE_LINK151"/>
            <w:bookmarkStart w:id="1285" w:name="OLE_LINK152"/>
            <w:r w:rsidRPr="008B2F8A">
              <w:rPr>
                <w:rFonts w:ascii="Arial Narrow" w:eastAsia="Times New Roman" w:hAnsi="Arial Narrow"/>
                <w:color w:val="000000"/>
                <w:sz w:val="20"/>
                <w:szCs w:val="20"/>
                <w:lang w:eastAsia="en-AU"/>
              </w:rPr>
              <w:t xml:space="preserve">2012b </w:t>
            </w:r>
            <w:bookmarkEnd w:id="1284"/>
            <w:bookmarkEnd w:id="1285"/>
            <w:r w:rsidRPr="008B2F8A">
              <w:rPr>
                <w:rFonts w:ascii="Arial Narrow" w:eastAsia="Times New Roman" w:hAnsi="Arial Narrow"/>
                <w:color w:val="000000"/>
                <w:sz w:val="20"/>
                <w:szCs w:val="20"/>
                <w:lang w:eastAsia="en-AU"/>
              </w:rPr>
              <w:t>Table 5.1 p. 61</w:t>
            </w:r>
          </w:p>
        </w:tc>
        <w:tc>
          <w:tcPr>
            <w:tcW w:w="806" w:type="dxa"/>
            <w:shd w:val="clear" w:color="auto" w:fill="auto"/>
            <w:noWrap/>
            <w:hideMark/>
          </w:tcPr>
          <w:p w14:paraId="29BC4EA9"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159325</w:t>
            </w:r>
          </w:p>
        </w:tc>
      </w:tr>
      <w:tr w:rsidR="00E47AB8" w:rsidRPr="008B2F8A" w14:paraId="5CB4DA00" w14:textId="77777777" w:rsidTr="00E14AC4">
        <w:tc>
          <w:tcPr>
            <w:tcW w:w="5992" w:type="dxa"/>
            <w:shd w:val="clear" w:color="auto" w:fill="auto"/>
            <w:hideMark/>
          </w:tcPr>
          <w:p w14:paraId="1A06C08A" w14:textId="1810450E"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27-year prevalence of breast cancer (rate per 10,000 females), 31 Dec 2008</w:t>
            </w:r>
          </w:p>
        </w:tc>
        <w:tc>
          <w:tcPr>
            <w:tcW w:w="2272" w:type="dxa"/>
            <w:shd w:val="clear" w:color="auto" w:fill="auto"/>
            <w:hideMark/>
          </w:tcPr>
          <w:p w14:paraId="10152A14"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AIHW 2012b Table 5.1 p. 61</w:t>
            </w:r>
          </w:p>
        </w:tc>
        <w:tc>
          <w:tcPr>
            <w:tcW w:w="806" w:type="dxa"/>
            <w:shd w:val="clear" w:color="auto" w:fill="auto"/>
            <w:noWrap/>
            <w:hideMark/>
          </w:tcPr>
          <w:p w14:paraId="16FC00BC"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146.5</w:t>
            </w:r>
          </w:p>
        </w:tc>
      </w:tr>
      <w:tr w:rsidR="00E47AB8" w:rsidRPr="008B2F8A" w14:paraId="0366E1F0" w14:textId="77777777" w:rsidTr="00E14AC4">
        <w:tc>
          <w:tcPr>
            <w:tcW w:w="5992" w:type="dxa"/>
            <w:shd w:val="clear" w:color="auto" w:fill="auto"/>
            <w:hideMark/>
          </w:tcPr>
          <w:p w14:paraId="211C2A90" w14:textId="4335E72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5-year prevalence of breast cancer (number), 31 Dec 2008</w:t>
            </w:r>
          </w:p>
        </w:tc>
        <w:tc>
          <w:tcPr>
            <w:tcW w:w="2272" w:type="dxa"/>
            <w:shd w:val="clear" w:color="auto" w:fill="auto"/>
            <w:hideMark/>
          </w:tcPr>
          <w:p w14:paraId="509993C1"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AIHW 2012b Table 5.2 p. 62</w:t>
            </w:r>
          </w:p>
        </w:tc>
        <w:tc>
          <w:tcPr>
            <w:tcW w:w="806" w:type="dxa"/>
            <w:shd w:val="clear" w:color="auto" w:fill="auto"/>
            <w:noWrap/>
            <w:hideMark/>
          </w:tcPr>
          <w:p w14:paraId="2EC62ADB"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57327</w:t>
            </w:r>
          </w:p>
        </w:tc>
      </w:tr>
      <w:tr w:rsidR="00E47AB8" w:rsidRPr="008B2F8A" w14:paraId="4A7F7184" w14:textId="77777777" w:rsidTr="00E14AC4">
        <w:tc>
          <w:tcPr>
            <w:tcW w:w="5992" w:type="dxa"/>
            <w:shd w:val="clear" w:color="auto" w:fill="auto"/>
            <w:hideMark/>
          </w:tcPr>
          <w:p w14:paraId="1CF66784" w14:textId="2157C4F2"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 xml:space="preserve">5-year prevalence of breast cancer </w:t>
            </w:r>
            <w:r>
              <w:rPr>
                <w:rFonts w:ascii="Arial Narrow" w:eastAsia="Times New Roman" w:hAnsi="Arial Narrow"/>
                <w:color w:val="000000"/>
                <w:sz w:val="20"/>
                <w:szCs w:val="20"/>
                <w:lang w:eastAsia="en-AU"/>
              </w:rPr>
              <w:t>at</w:t>
            </w:r>
            <w:r w:rsidRPr="008B2F8A">
              <w:rPr>
                <w:rFonts w:ascii="Arial Narrow" w:eastAsia="Times New Roman" w:hAnsi="Arial Narrow"/>
                <w:color w:val="000000"/>
                <w:sz w:val="20"/>
                <w:szCs w:val="20"/>
                <w:lang w:eastAsia="en-AU"/>
              </w:rPr>
              <w:t xml:space="preserve"> &lt;50 </w:t>
            </w:r>
            <w:r>
              <w:rPr>
                <w:rFonts w:ascii="Arial Narrow" w:eastAsia="Times New Roman" w:hAnsi="Arial Narrow"/>
                <w:color w:val="000000"/>
                <w:sz w:val="20"/>
                <w:szCs w:val="20"/>
                <w:lang w:eastAsia="en-AU"/>
              </w:rPr>
              <w:t xml:space="preserve">years </w:t>
            </w:r>
            <w:r w:rsidRPr="008B2F8A">
              <w:rPr>
                <w:rFonts w:ascii="Arial Narrow" w:eastAsia="Times New Roman" w:hAnsi="Arial Narrow"/>
                <w:color w:val="000000"/>
                <w:sz w:val="20"/>
                <w:szCs w:val="20"/>
                <w:lang w:eastAsia="en-AU"/>
              </w:rPr>
              <w:t>(number), 31 Dec 2008</w:t>
            </w:r>
          </w:p>
        </w:tc>
        <w:tc>
          <w:tcPr>
            <w:tcW w:w="2272" w:type="dxa"/>
            <w:shd w:val="clear" w:color="auto" w:fill="auto"/>
            <w:hideMark/>
          </w:tcPr>
          <w:p w14:paraId="33EDF6B0"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AIHW 2012b Table 5.2 p. 62</w:t>
            </w:r>
          </w:p>
        </w:tc>
        <w:tc>
          <w:tcPr>
            <w:tcW w:w="806" w:type="dxa"/>
            <w:shd w:val="clear" w:color="auto" w:fill="auto"/>
            <w:noWrap/>
            <w:hideMark/>
          </w:tcPr>
          <w:p w14:paraId="4B1D9F92"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11376</w:t>
            </w:r>
          </w:p>
        </w:tc>
      </w:tr>
      <w:tr w:rsidR="00E47AB8" w:rsidRPr="008B2F8A" w14:paraId="3D04CA81" w14:textId="77777777" w:rsidTr="00E14AC4">
        <w:tc>
          <w:tcPr>
            <w:tcW w:w="5992" w:type="dxa"/>
            <w:shd w:val="clear" w:color="auto" w:fill="auto"/>
            <w:hideMark/>
          </w:tcPr>
          <w:p w14:paraId="1632A7C0" w14:textId="3F2B295E"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 xml:space="preserve">Proportion of 5-year prevalence of breast cancer </w:t>
            </w:r>
            <w:r>
              <w:rPr>
                <w:rFonts w:ascii="Arial Narrow" w:eastAsia="Times New Roman" w:hAnsi="Arial Narrow"/>
                <w:color w:val="000000"/>
                <w:sz w:val="20"/>
                <w:szCs w:val="20"/>
                <w:lang w:eastAsia="en-AU"/>
              </w:rPr>
              <w:t>at</w:t>
            </w:r>
            <w:r w:rsidRPr="008B2F8A">
              <w:rPr>
                <w:rFonts w:ascii="Arial Narrow" w:eastAsia="Times New Roman" w:hAnsi="Arial Narrow"/>
                <w:color w:val="000000"/>
                <w:sz w:val="20"/>
                <w:szCs w:val="20"/>
                <w:lang w:eastAsia="en-AU"/>
              </w:rPr>
              <w:t xml:space="preserve"> &lt;50</w:t>
            </w:r>
            <w:r>
              <w:rPr>
                <w:rFonts w:ascii="Arial Narrow" w:eastAsia="Times New Roman" w:hAnsi="Arial Narrow"/>
                <w:color w:val="000000"/>
                <w:sz w:val="20"/>
                <w:szCs w:val="20"/>
                <w:lang w:eastAsia="en-AU"/>
              </w:rPr>
              <w:t xml:space="preserve"> years</w:t>
            </w:r>
          </w:p>
        </w:tc>
        <w:tc>
          <w:tcPr>
            <w:tcW w:w="2272" w:type="dxa"/>
            <w:shd w:val="clear" w:color="auto" w:fill="auto"/>
            <w:hideMark/>
          </w:tcPr>
          <w:p w14:paraId="305A3F93"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Calculated</w:t>
            </w:r>
          </w:p>
        </w:tc>
        <w:tc>
          <w:tcPr>
            <w:tcW w:w="806" w:type="dxa"/>
            <w:shd w:val="clear" w:color="auto" w:fill="auto"/>
            <w:noWrap/>
            <w:hideMark/>
          </w:tcPr>
          <w:p w14:paraId="1145C78B"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19.8%</w:t>
            </w:r>
          </w:p>
        </w:tc>
      </w:tr>
      <w:tr w:rsidR="00E47AB8" w:rsidRPr="008B2F8A" w14:paraId="28C7AA4A" w14:textId="77777777" w:rsidTr="00E14AC4">
        <w:tc>
          <w:tcPr>
            <w:tcW w:w="5992" w:type="dxa"/>
            <w:shd w:val="clear" w:color="auto" w:fill="auto"/>
            <w:hideMark/>
          </w:tcPr>
          <w:p w14:paraId="7BD99ABD" w14:textId="7FF1475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 xml:space="preserve">Proportion of diagnoses </w:t>
            </w:r>
            <w:r>
              <w:rPr>
                <w:rFonts w:ascii="Arial Narrow" w:eastAsia="Times New Roman" w:hAnsi="Arial Narrow"/>
                <w:color w:val="000000"/>
                <w:sz w:val="20"/>
                <w:szCs w:val="20"/>
                <w:lang w:eastAsia="en-AU"/>
              </w:rPr>
              <w:t>at</w:t>
            </w:r>
            <w:r w:rsidRPr="008B2F8A">
              <w:rPr>
                <w:rFonts w:ascii="Arial Narrow" w:eastAsia="Times New Roman" w:hAnsi="Arial Narrow"/>
                <w:color w:val="000000"/>
                <w:sz w:val="20"/>
                <w:szCs w:val="20"/>
                <w:lang w:eastAsia="en-AU"/>
              </w:rPr>
              <w:t xml:space="preserve"> &lt;50 </w:t>
            </w:r>
            <w:r>
              <w:rPr>
                <w:rFonts w:ascii="Arial Narrow" w:eastAsia="Times New Roman" w:hAnsi="Arial Narrow"/>
                <w:color w:val="000000"/>
                <w:sz w:val="20"/>
                <w:szCs w:val="20"/>
                <w:lang w:eastAsia="en-AU"/>
              </w:rPr>
              <w:t xml:space="preserve">years </w:t>
            </w:r>
            <w:r w:rsidRPr="008B2F8A">
              <w:rPr>
                <w:rFonts w:ascii="Arial Narrow" w:eastAsia="Times New Roman" w:hAnsi="Arial Narrow"/>
                <w:color w:val="000000"/>
                <w:sz w:val="20"/>
                <w:szCs w:val="20"/>
                <w:lang w:eastAsia="en-AU"/>
              </w:rPr>
              <w:t>that are invasive ductal or lobular cancer</w:t>
            </w:r>
          </w:p>
        </w:tc>
        <w:tc>
          <w:tcPr>
            <w:tcW w:w="2272" w:type="dxa"/>
            <w:shd w:val="clear" w:color="auto" w:fill="auto"/>
            <w:hideMark/>
          </w:tcPr>
          <w:p w14:paraId="661249BB"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AIHW 2012b Table 2.4 p. 15</w:t>
            </w:r>
          </w:p>
        </w:tc>
        <w:tc>
          <w:tcPr>
            <w:tcW w:w="806" w:type="dxa"/>
            <w:shd w:val="clear" w:color="auto" w:fill="auto"/>
            <w:noWrap/>
            <w:hideMark/>
          </w:tcPr>
          <w:p w14:paraId="66A37B8C" w14:textId="77777777" w:rsidR="00E47AB8" w:rsidRPr="008B2F8A" w:rsidRDefault="00E47AB8" w:rsidP="00E14AC4">
            <w:pPr>
              <w:spacing w:before="40" w:after="4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90.6%</w:t>
            </w:r>
          </w:p>
        </w:tc>
      </w:tr>
      <w:tr w:rsidR="00E47AB8" w:rsidRPr="008B2F8A" w14:paraId="1EA51BDF" w14:textId="77777777" w:rsidTr="00E14AC4">
        <w:tc>
          <w:tcPr>
            <w:tcW w:w="5992" w:type="dxa"/>
            <w:shd w:val="clear" w:color="auto" w:fill="auto"/>
          </w:tcPr>
          <w:p w14:paraId="0EDC991A" w14:textId="5C914073"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Proportion of diagnoses in women without gene mutations or family history</w:t>
            </w:r>
          </w:p>
        </w:tc>
        <w:tc>
          <w:tcPr>
            <w:tcW w:w="2272" w:type="dxa"/>
            <w:shd w:val="clear" w:color="auto" w:fill="auto"/>
          </w:tcPr>
          <w:p w14:paraId="3FEA211C"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NBOCC 2009 p. 16</w:t>
            </w:r>
          </w:p>
        </w:tc>
        <w:tc>
          <w:tcPr>
            <w:tcW w:w="806" w:type="dxa"/>
            <w:shd w:val="clear" w:color="auto" w:fill="auto"/>
            <w:noWrap/>
          </w:tcPr>
          <w:p w14:paraId="1404FE86"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95.0%</w:t>
            </w:r>
          </w:p>
        </w:tc>
      </w:tr>
    </w:tbl>
    <w:p w14:paraId="3F2AEE89" w14:textId="4B6261FB" w:rsidR="00E47AB8" w:rsidRPr="008B2F8A" w:rsidRDefault="00E47AB8" w:rsidP="00E14AC4">
      <w:pPr>
        <w:pStyle w:val="TableNotesLast"/>
      </w:pPr>
      <w:r w:rsidRPr="008B2F8A">
        <w:t>AIHW = Australian Institute of Health and Welfare.</w:t>
      </w:r>
    </w:p>
    <w:p w14:paraId="6D0DE445" w14:textId="1855AABC" w:rsidR="00E47AB8" w:rsidRPr="008B2F8A" w:rsidRDefault="00E47AB8" w:rsidP="00422306">
      <w:pPr>
        <w:pStyle w:val="Heading4"/>
      </w:pPr>
      <w:r w:rsidRPr="008B2F8A">
        <w:lastRenderedPageBreak/>
        <w:t xml:space="preserve">Prior history of DCIS </w:t>
      </w:r>
      <w:r>
        <w:t>or</w:t>
      </w:r>
      <w:r w:rsidRPr="008B2F8A">
        <w:t xml:space="preserve"> LCIS</w:t>
      </w:r>
    </w:p>
    <w:p w14:paraId="48FB177D" w14:textId="62EA28CC" w:rsidR="00E47AB8" w:rsidRPr="008B2F8A" w:rsidRDefault="00E47AB8" w:rsidP="00422306">
      <w:pPr>
        <w:rPr>
          <w:lang w:eastAsia="ja-JP"/>
        </w:rPr>
      </w:pPr>
      <w:r w:rsidRPr="008B2F8A">
        <w:rPr>
          <w:lang w:eastAsia="ja-JP"/>
        </w:rPr>
        <w:t xml:space="preserve">Women with a history of DCIS </w:t>
      </w:r>
      <w:r>
        <w:rPr>
          <w:lang w:eastAsia="ja-JP"/>
        </w:rPr>
        <w:t>or</w:t>
      </w:r>
      <w:r w:rsidRPr="008B2F8A">
        <w:rPr>
          <w:lang w:eastAsia="ja-JP"/>
        </w:rPr>
        <w:t xml:space="preserve"> LCIS are a much smaller group. A recent report </w:t>
      </w:r>
      <w:r w:rsidRPr="008B2F8A">
        <w:rPr>
          <w:noProof/>
          <w:lang w:eastAsia="ja-JP"/>
        </w:rPr>
        <w:t>(AIHW &amp; NBOCC, 2010)</w:t>
      </w:r>
      <w:r w:rsidRPr="008B2F8A">
        <w:rPr>
          <w:lang w:eastAsia="ja-JP"/>
        </w:rPr>
        <w:t xml:space="preserve"> found that 326 women &lt;50 years of age were diagnosed with DCIS in 2005. No sources for the incidence of LCIS were identified, so it was assumed to be 50% of the DCIS incidence. The</w:t>
      </w:r>
      <w:r>
        <w:rPr>
          <w:lang w:eastAsia="ja-JP"/>
        </w:rPr>
        <w:t>se</w:t>
      </w:r>
      <w:r w:rsidRPr="008B2F8A">
        <w:rPr>
          <w:lang w:eastAsia="ja-JP"/>
        </w:rPr>
        <w:t xml:space="preserve"> incidence data have been used to estimate the size of this population. Increases in the population over time were estimated using the ABS </w:t>
      </w:r>
      <w:r w:rsidRPr="008B2F8A">
        <w:rPr>
          <w:noProof/>
          <w:lang w:eastAsia="ja-JP"/>
        </w:rPr>
        <w:t>(2013)</w:t>
      </w:r>
      <w:r w:rsidRPr="008B2F8A">
        <w:rPr>
          <w:lang w:eastAsia="ja-JP"/>
        </w:rPr>
        <w:t xml:space="preserve"> population projections.</w:t>
      </w:r>
    </w:p>
    <w:p w14:paraId="63C0E9F4" w14:textId="77777777" w:rsidR="00E47AB8" w:rsidRPr="008B2F8A" w:rsidRDefault="00E47AB8" w:rsidP="00422306">
      <w:pPr>
        <w:pStyle w:val="Heading4"/>
      </w:pPr>
      <w:r w:rsidRPr="008B2F8A">
        <w:t>Prior history of irradiation to the chest from 10 to 35 years of age</w:t>
      </w:r>
    </w:p>
    <w:p w14:paraId="7ADC23C8" w14:textId="48120D76" w:rsidR="00E47AB8" w:rsidRPr="008B2F8A" w:rsidRDefault="00E47AB8" w:rsidP="00422306">
      <w:pPr>
        <w:rPr>
          <w:lang w:eastAsia="ja-JP"/>
        </w:rPr>
      </w:pPr>
      <w:r w:rsidRPr="008B2F8A">
        <w:rPr>
          <w:lang w:eastAsia="ja-JP"/>
        </w:rPr>
        <w:t xml:space="preserve">The </w:t>
      </w:r>
      <w:bookmarkStart w:id="1286" w:name="OLE_LINK898"/>
      <w:bookmarkStart w:id="1287" w:name="OLE_LINK899"/>
      <w:r w:rsidRPr="008B2F8A">
        <w:rPr>
          <w:lang w:eastAsia="ja-JP"/>
        </w:rPr>
        <w:t xml:space="preserve">Faculty of Radiation Oncology </w:t>
      </w:r>
      <w:r w:rsidRPr="008B2F8A">
        <w:rPr>
          <w:noProof/>
          <w:lang w:eastAsia="ja-JP"/>
        </w:rPr>
        <w:t>(2010</w:t>
      </w:r>
      <w:bookmarkEnd w:id="1286"/>
      <w:bookmarkEnd w:id="1287"/>
      <w:r w:rsidRPr="008B2F8A">
        <w:rPr>
          <w:noProof/>
          <w:lang w:eastAsia="ja-JP"/>
        </w:rPr>
        <w:t>)</w:t>
      </w:r>
      <w:r w:rsidRPr="008B2F8A">
        <w:rPr>
          <w:lang w:eastAsia="ja-JP"/>
        </w:rPr>
        <w:t xml:space="preserve"> estimate that there may be</w:t>
      </w:r>
      <w:r>
        <w:rPr>
          <w:lang w:eastAsia="ja-JP"/>
        </w:rPr>
        <w:t>,</w:t>
      </w:r>
      <w:r w:rsidRPr="008B2F8A">
        <w:rPr>
          <w:lang w:eastAsia="ja-JP"/>
        </w:rPr>
        <w:t xml:space="preserve"> at most, 1000 additional women who would be considered </w:t>
      </w:r>
      <w:r>
        <w:rPr>
          <w:lang w:eastAsia="ja-JP"/>
        </w:rPr>
        <w:t xml:space="preserve">as being at </w:t>
      </w:r>
      <w:r w:rsidRPr="008B2F8A">
        <w:rPr>
          <w:lang w:eastAsia="ja-JP"/>
        </w:rPr>
        <w:t xml:space="preserve">high risk as a result of receiving chest irradiation for Hodgkin’s lymphoma and therefore potentially eligible for screening with MRI. This </w:t>
      </w:r>
      <w:r w:rsidR="00F3323E">
        <w:rPr>
          <w:lang w:eastAsia="ja-JP"/>
        </w:rPr>
        <w:t>number</w:t>
      </w:r>
      <w:r w:rsidR="00F3323E" w:rsidRPr="008B2F8A">
        <w:rPr>
          <w:lang w:eastAsia="ja-JP"/>
        </w:rPr>
        <w:t xml:space="preserve"> </w:t>
      </w:r>
      <w:r w:rsidRPr="008B2F8A">
        <w:rPr>
          <w:lang w:eastAsia="ja-JP"/>
        </w:rPr>
        <w:t xml:space="preserve">has been used to estimate the size of this population. Increases in the population over time were estimated using the </w:t>
      </w:r>
      <w:r w:rsidRPr="008B2F8A">
        <w:rPr>
          <w:noProof/>
          <w:lang w:eastAsia="ja-JP"/>
        </w:rPr>
        <w:t>ABS (2013)</w:t>
      </w:r>
      <w:r w:rsidRPr="008B2F8A">
        <w:rPr>
          <w:lang w:eastAsia="ja-JP"/>
        </w:rPr>
        <w:t xml:space="preserve"> population projections.</w:t>
      </w:r>
    </w:p>
    <w:p w14:paraId="6A55B04E" w14:textId="77777777" w:rsidR="00E47AB8" w:rsidRPr="008B2F8A" w:rsidRDefault="00E47AB8" w:rsidP="00E47AB8">
      <w:pPr>
        <w:pStyle w:val="Heading3"/>
        <w:numPr>
          <w:ilvl w:val="2"/>
          <w:numId w:val="42"/>
        </w:numPr>
      </w:pPr>
      <w:bookmarkStart w:id="1288" w:name="_Ref376953935"/>
      <w:bookmarkStart w:id="1289" w:name="_Toc383424520"/>
      <w:r w:rsidRPr="008B2F8A">
        <w:t>Screening uptake rates for the new populations</w:t>
      </w:r>
      <w:bookmarkEnd w:id="1288"/>
      <w:bookmarkEnd w:id="1289"/>
    </w:p>
    <w:p w14:paraId="74599BE4" w14:textId="1C28B7ED" w:rsidR="00E47AB8" w:rsidRPr="008B2F8A" w:rsidRDefault="00E47AB8" w:rsidP="00422306">
      <w:pPr>
        <w:rPr>
          <w:lang w:eastAsia="ja-JP"/>
        </w:rPr>
      </w:pPr>
      <w:r w:rsidRPr="008B2F8A">
        <w:rPr>
          <w:lang w:eastAsia="ja-JP"/>
        </w:rPr>
        <w:t xml:space="preserve">The rate of uptake of breast MRI for women with a prior history of invasive breast cancer or of DCIS or LCIS was estimated from the participation rate of the BreastScreen Australia program. The most recent monitoring report for BreastScreen Australia </w:t>
      </w:r>
      <w:r w:rsidRPr="008B2F8A">
        <w:rPr>
          <w:noProof/>
          <w:lang w:eastAsia="ja-JP"/>
        </w:rPr>
        <w:t>(AIHW, 2013)</w:t>
      </w:r>
      <w:r w:rsidRPr="008B2F8A">
        <w:rPr>
          <w:lang w:eastAsia="ja-JP"/>
        </w:rPr>
        <w:t xml:space="preserve"> indicated that in 2010–11</w:t>
      </w:r>
      <w:r>
        <w:rPr>
          <w:lang w:eastAsia="ja-JP"/>
        </w:rPr>
        <w:t>,</w:t>
      </w:r>
      <w:r w:rsidRPr="008B2F8A">
        <w:rPr>
          <w:lang w:eastAsia="ja-JP"/>
        </w:rPr>
        <w:t xml:space="preserve"> the age-standardised participation rate was 54.6%. For both populations it was assumed that this uptake rate will begin at 20% in Year 1 of listing, increasing to 54.6% in Year 5. The BreastScreen target participation rate of 70.0% was used in sensitivity analyses (see Section </w:t>
      </w:r>
      <w:r w:rsidRPr="008B2F8A">
        <w:rPr>
          <w:noProof/>
          <w:lang w:eastAsia="ja-JP"/>
        </w:rPr>
        <w:fldChar w:fldCharType="begin"/>
      </w:r>
      <w:r w:rsidRPr="008B2F8A">
        <w:rPr>
          <w:noProof/>
          <w:lang w:eastAsia="ja-JP"/>
        </w:rPr>
        <w:instrText xml:space="preserve"> REF _Ref377463958 \r \h  \* MERGEFORMAT </w:instrText>
      </w:r>
      <w:r w:rsidRPr="008B2F8A">
        <w:rPr>
          <w:noProof/>
          <w:lang w:eastAsia="ja-JP"/>
        </w:rPr>
      </w:r>
      <w:r w:rsidRPr="008B2F8A">
        <w:rPr>
          <w:noProof/>
          <w:lang w:eastAsia="ja-JP"/>
        </w:rPr>
        <w:fldChar w:fldCharType="separate"/>
      </w:r>
      <w:r w:rsidR="00B81273">
        <w:rPr>
          <w:noProof/>
          <w:lang w:eastAsia="ja-JP"/>
        </w:rPr>
        <w:t>E.6.1</w:t>
      </w:r>
      <w:r w:rsidRPr="008B2F8A">
        <w:rPr>
          <w:noProof/>
          <w:lang w:eastAsia="ja-JP"/>
        </w:rPr>
        <w:fldChar w:fldCharType="end"/>
      </w:r>
      <w:r w:rsidRPr="008B2F8A">
        <w:rPr>
          <w:lang w:eastAsia="ja-JP"/>
        </w:rPr>
        <w:t xml:space="preserve"> for details).</w:t>
      </w:r>
    </w:p>
    <w:p w14:paraId="2CBE67D3" w14:textId="712DF385" w:rsidR="00E47AB8" w:rsidRPr="008B2F8A" w:rsidRDefault="00E47AB8" w:rsidP="00422306">
      <w:pPr>
        <w:rPr>
          <w:lang w:eastAsia="ja-JP"/>
        </w:rPr>
      </w:pPr>
      <w:r w:rsidRPr="008B2F8A">
        <w:rPr>
          <w:lang w:eastAsia="ja-JP"/>
        </w:rPr>
        <w:t>The rate of uptake for women with a prior history of chest irradiation was based on the published literature of breast cancer screening for survivors of Hodgkin</w:t>
      </w:r>
      <w:r>
        <w:rPr>
          <w:lang w:eastAsia="ja-JP"/>
        </w:rPr>
        <w:t>’</w:t>
      </w:r>
      <w:r w:rsidRPr="008B2F8A">
        <w:rPr>
          <w:lang w:eastAsia="ja-JP"/>
        </w:rPr>
        <w:t>s lymphoma. A number of studies have reported the participation rates for women with a history of Hodgkin</w:t>
      </w:r>
      <w:r>
        <w:rPr>
          <w:lang w:eastAsia="ja-JP"/>
        </w:rPr>
        <w:t>’</w:t>
      </w:r>
      <w:r w:rsidRPr="008B2F8A">
        <w:rPr>
          <w:lang w:eastAsia="ja-JP"/>
        </w:rPr>
        <w:t xml:space="preserve">s lymphoma who were invited to participate in a mammography screening program. The UK National Breast Cancer Screening Programme achieved a participation rate of 58.3% </w:t>
      </w:r>
      <w:r w:rsidRPr="008B2F8A">
        <w:rPr>
          <w:noProof/>
          <w:lang w:eastAsia="ja-JP"/>
        </w:rPr>
        <w:t>(</w:t>
      </w:r>
      <w:bookmarkStart w:id="1290" w:name="OLE_LINK900"/>
      <w:bookmarkStart w:id="1291" w:name="OLE_LINK901"/>
      <w:r w:rsidRPr="008B2F8A">
        <w:rPr>
          <w:noProof/>
          <w:lang w:eastAsia="ja-JP"/>
        </w:rPr>
        <w:t>Howell &amp; Sebek, 2009</w:t>
      </w:r>
      <w:bookmarkEnd w:id="1290"/>
      <w:bookmarkEnd w:id="1291"/>
      <w:r w:rsidRPr="008B2F8A">
        <w:rPr>
          <w:noProof/>
          <w:lang w:eastAsia="ja-JP"/>
        </w:rPr>
        <w:t>)</w:t>
      </w:r>
      <w:r w:rsidRPr="008B2F8A">
        <w:rPr>
          <w:lang w:eastAsia="ja-JP"/>
        </w:rPr>
        <w:t>. Three similar studies conducted in North America</w:t>
      </w:r>
      <w:r>
        <w:rPr>
          <w:lang w:eastAsia="ja-JP"/>
        </w:rPr>
        <w:t>, which also invited participants,</w:t>
      </w:r>
      <w:r w:rsidRPr="008B2F8A">
        <w:rPr>
          <w:lang w:eastAsia="ja-JP"/>
        </w:rPr>
        <w:t xml:space="preserve"> published participation rates of 75.0%</w:t>
      </w:r>
      <w:r>
        <w:rPr>
          <w:lang w:eastAsia="ja-JP"/>
        </w:rPr>
        <w:t xml:space="preserve"> </w:t>
      </w:r>
      <w:r w:rsidRPr="008B2F8A">
        <w:rPr>
          <w:lang w:eastAsia="ja-JP"/>
        </w:rPr>
        <w:t>(90</w:t>
      </w:r>
      <w:r>
        <w:rPr>
          <w:lang w:eastAsia="ja-JP"/>
        </w:rPr>
        <w:t>/</w:t>
      </w:r>
      <w:r w:rsidRPr="008B2F8A">
        <w:rPr>
          <w:lang w:eastAsia="ja-JP"/>
        </w:rPr>
        <w:t xml:space="preserve">120) </w:t>
      </w:r>
      <w:r w:rsidRPr="008B2F8A">
        <w:rPr>
          <w:noProof/>
          <w:lang w:eastAsia="ja-JP"/>
        </w:rPr>
        <w:t>(</w:t>
      </w:r>
      <w:bookmarkStart w:id="1292" w:name="OLE_LINK902"/>
      <w:bookmarkStart w:id="1293" w:name="OLE_LINK903"/>
      <w:r w:rsidRPr="008B2F8A">
        <w:rPr>
          <w:noProof/>
          <w:lang w:eastAsia="ja-JP"/>
        </w:rPr>
        <w:t>Diller et al, 2002</w:t>
      </w:r>
      <w:bookmarkEnd w:id="1292"/>
      <w:bookmarkEnd w:id="1293"/>
      <w:r w:rsidRPr="008B2F8A">
        <w:rPr>
          <w:noProof/>
          <w:lang w:eastAsia="ja-JP"/>
        </w:rPr>
        <w:t>)</w:t>
      </w:r>
      <w:r w:rsidRPr="008B2F8A">
        <w:rPr>
          <w:lang w:eastAsia="ja-JP"/>
        </w:rPr>
        <w:t>, 68.9%</w:t>
      </w:r>
      <w:r>
        <w:rPr>
          <w:lang w:eastAsia="ja-JP"/>
        </w:rPr>
        <w:t xml:space="preserve"> </w:t>
      </w:r>
      <w:r w:rsidRPr="008B2F8A">
        <w:rPr>
          <w:lang w:eastAsia="ja-JP"/>
        </w:rPr>
        <w:t>(115</w:t>
      </w:r>
      <w:r>
        <w:rPr>
          <w:lang w:eastAsia="ja-JP"/>
        </w:rPr>
        <w:t>/</w:t>
      </w:r>
      <w:r w:rsidRPr="008B2F8A">
        <w:rPr>
          <w:lang w:eastAsia="ja-JP"/>
        </w:rPr>
        <w:t xml:space="preserve">167) </w:t>
      </w:r>
      <w:r w:rsidRPr="008B2F8A">
        <w:rPr>
          <w:noProof/>
          <w:lang w:eastAsia="ja-JP"/>
        </w:rPr>
        <w:t>(</w:t>
      </w:r>
      <w:bookmarkStart w:id="1294" w:name="OLE_LINK904"/>
      <w:bookmarkStart w:id="1295" w:name="OLE_LINK905"/>
      <w:r w:rsidRPr="008B2F8A">
        <w:rPr>
          <w:noProof/>
          <w:lang w:eastAsia="ja-JP"/>
        </w:rPr>
        <w:t>Kwong et al, 2008</w:t>
      </w:r>
      <w:bookmarkEnd w:id="1294"/>
      <w:bookmarkEnd w:id="1295"/>
      <w:r w:rsidRPr="008B2F8A">
        <w:rPr>
          <w:noProof/>
          <w:lang w:eastAsia="ja-JP"/>
        </w:rPr>
        <w:t>)</w:t>
      </w:r>
      <w:r w:rsidRPr="008B2F8A">
        <w:rPr>
          <w:lang w:eastAsia="ja-JP"/>
        </w:rPr>
        <w:t xml:space="preserve"> and 31.9%</w:t>
      </w:r>
      <w:r>
        <w:rPr>
          <w:lang w:eastAsia="ja-JP"/>
        </w:rPr>
        <w:t xml:space="preserve"> </w:t>
      </w:r>
      <w:r w:rsidRPr="008B2F8A">
        <w:rPr>
          <w:lang w:eastAsia="ja-JP"/>
        </w:rPr>
        <w:t>(115</w:t>
      </w:r>
      <w:r>
        <w:rPr>
          <w:lang w:eastAsia="ja-JP"/>
        </w:rPr>
        <w:t>/</w:t>
      </w:r>
      <w:r w:rsidRPr="008B2F8A">
        <w:rPr>
          <w:lang w:eastAsia="ja-JP"/>
        </w:rPr>
        <w:t xml:space="preserve">360) </w:t>
      </w:r>
      <w:r w:rsidRPr="008B2F8A">
        <w:rPr>
          <w:noProof/>
          <w:lang w:eastAsia="ja-JP"/>
        </w:rPr>
        <w:t>(Lee et al, 2008)</w:t>
      </w:r>
      <w:r w:rsidRPr="008B2F8A">
        <w:rPr>
          <w:lang w:eastAsia="ja-JP"/>
        </w:rPr>
        <w:t>.</w:t>
      </w:r>
    </w:p>
    <w:p w14:paraId="1FA1D602" w14:textId="2AE5A9B9" w:rsidR="00E47AB8" w:rsidRPr="008B2F8A" w:rsidRDefault="00E47AB8" w:rsidP="00422306">
      <w:pPr>
        <w:rPr>
          <w:lang w:eastAsia="ja-JP"/>
        </w:rPr>
      </w:pPr>
      <w:r w:rsidRPr="008B2F8A">
        <w:rPr>
          <w:lang w:eastAsia="ja-JP"/>
        </w:rPr>
        <w:t xml:space="preserve">The base-case analysis </w:t>
      </w:r>
      <w:r>
        <w:rPr>
          <w:lang w:eastAsia="ja-JP"/>
        </w:rPr>
        <w:t xml:space="preserve">used </w:t>
      </w:r>
      <w:r w:rsidRPr="008B2F8A">
        <w:rPr>
          <w:lang w:eastAsia="ja-JP"/>
        </w:rPr>
        <w:t xml:space="preserve">the participation rate from </w:t>
      </w:r>
      <w:bookmarkStart w:id="1296" w:name="OLE_LINK906"/>
      <w:bookmarkStart w:id="1297" w:name="OLE_LINK907"/>
      <w:r w:rsidRPr="008B2F8A">
        <w:rPr>
          <w:noProof/>
          <w:lang w:eastAsia="ja-JP"/>
        </w:rPr>
        <w:t xml:space="preserve">Lee et al </w:t>
      </w:r>
      <w:r>
        <w:rPr>
          <w:noProof/>
          <w:lang w:eastAsia="ja-JP"/>
        </w:rPr>
        <w:t>(</w:t>
      </w:r>
      <w:r w:rsidRPr="008B2F8A">
        <w:rPr>
          <w:noProof/>
          <w:lang w:eastAsia="ja-JP"/>
        </w:rPr>
        <w:t>2008</w:t>
      </w:r>
      <w:bookmarkEnd w:id="1296"/>
      <w:bookmarkEnd w:id="1297"/>
      <w:r w:rsidRPr="008B2F8A">
        <w:rPr>
          <w:noProof/>
          <w:lang w:eastAsia="ja-JP"/>
        </w:rPr>
        <w:t>)</w:t>
      </w:r>
      <w:r w:rsidRPr="008B2F8A">
        <w:rPr>
          <w:lang w:eastAsia="ja-JP"/>
        </w:rPr>
        <w:t>. This study reported the lowest participation rate</w:t>
      </w:r>
      <w:r>
        <w:rPr>
          <w:lang w:eastAsia="ja-JP"/>
        </w:rPr>
        <w:t>,</w:t>
      </w:r>
      <w:r w:rsidRPr="008B2F8A">
        <w:rPr>
          <w:lang w:eastAsia="ja-JP"/>
        </w:rPr>
        <w:t xml:space="preserve"> </w:t>
      </w:r>
      <w:r>
        <w:rPr>
          <w:lang w:eastAsia="ja-JP"/>
        </w:rPr>
        <w:t>which</w:t>
      </w:r>
      <w:r w:rsidRPr="008B2F8A">
        <w:rPr>
          <w:lang w:eastAsia="ja-JP"/>
        </w:rPr>
        <w:t xml:space="preserve"> was considered to be the best estimat</w:t>
      </w:r>
      <w:r>
        <w:rPr>
          <w:lang w:eastAsia="ja-JP"/>
        </w:rPr>
        <w:t>e</w:t>
      </w:r>
      <w:r w:rsidRPr="008B2F8A">
        <w:rPr>
          <w:lang w:eastAsia="ja-JP"/>
        </w:rPr>
        <w:t xml:space="preserve"> of participation whe</w:t>
      </w:r>
      <w:r>
        <w:rPr>
          <w:lang w:eastAsia="ja-JP"/>
        </w:rPr>
        <w:t>n</w:t>
      </w:r>
      <w:r w:rsidRPr="008B2F8A">
        <w:rPr>
          <w:lang w:eastAsia="ja-JP"/>
        </w:rPr>
        <w:t xml:space="preserve"> women </w:t>
      </w:r>
      <w:r>
        <w:rPr>
          <w:lang w:eastAsia="ja-JP"/>
        </w:rPr>
        <w:t>are</w:t>
      </w:r>
      <w:r w:rsidRPr="008B2F8A">
        <w:rPr>
          <w:lang w:eastAsia="ja-JP"/>
        </w:rPr>
        <w:t xml:space="preserve"> not invited for screening. It was assumed that the uptake rate will begin at 7% in Year 1 of listing, increasing to 31.9% in Year 5. The participation rate from </w:t>
      </w:r>
      <w:bookmarkStart w:id="1298" w:name="OLE_LINK908"/>
      <w:bookmarkStart w:id="1299" w:name="OLE_LINK909"/>
      <w:r w:rsidRPr="008B2F8A">
        <w:rPr>
          <w:lang w:eastAsia="ja-JP"/>
        </w:rPr>
        <w:t xml:space="preserve">Howell </w:t>
      </w:r>
      <w:r>
        <w:rPr>
          <w:lang w:eastAsia="ja-JP"/>
        </w:rPr>
        <w:t xml:space="preserve">and Sebek </w:t>
      </w:r>
      <w:r w:rsidRPr="008B2F8A">
        <w:rPr>
          <w:noProof/>
          <w:lang w:eastAsia="ja-JP"/>
        </w:rPr>
        <w:t>(2009</w:t>
      </w:r>
      <w:bookmarkEnd w:id="1298"/>
      <w:bookmarkEnd w:id="1299"/>
      <w:r w:rsidRPr="008B2F8A">
        <w:rPr>
          <w:noProof/>
          <w:lang w:eastAsia="ja-JP"/>
        </w:rPr>
        <w:t>)</w:t>
      </w:r>
      <w:r w:rsidRPr="008B2F8A">
        <w:rPr>
          <w:lang w:eastAsia="ja-JP"/>
        </w:rPr>
        <w:t xml:space="preserve"> was used in sensitivity analyses (see Section </w:t>
      </w:r>
      <w:r w:rsidRPr="008B2F8A">
        <w:rPr>
          <w:lang w:eastAsia="ja-JP"/>
        </w:rPr>
        <w:fldChar w:fldCharType="begin"/>
      </w:r>
      <w:r w:rsidRPr="008B2F8A">
        <w:rPr>
          <w:lang w:eastAsia="ja-JP"/>
        </w:rPr>
        <w:instrText xml:space="preserve"> REF _Ref377463958 \r \h  \* MERGEFORMAT </w:instrText>
      </w:r>
      <w:r w:rsidRPr="008B2F8A">
        <w:rPr>
          <w:lang w:eastAsia="ja-JP"/>
        </w:rPr>
      </w:r>
      <w:r w:rsidRPr="008B2F8A">
        <w:rPr>
          <w:lang w:eastAsia="ja-JP"/>
        </w:rPr>
        <w:fldChar w:fldCharType="separate"/>
      </w:r>
      <w:r w:rsidR="00B81273">
        <w:rPr>
          <w:noProof/>
          <w:lang w:eastAsia="ja-JP"/>
        </w:rPr>
        <w:t>E.6.1</w:t>
      </w:r>
      <w:r w:rsidRPr="008B2F8A">
        <w:rPr>
          <w:lang w:eastAsia="ja-JP"/>
        </w:rPr>
        <w:fldChar w:fldCharType="end"/>
      </w:r>
      <w:r w:rsidRPr="008B2F8A">
        <w:rPr>
          <w:lang w:eastAsia="ja-JP"/>
        </w:rPr>
        <w:t xml:space="preserve"> for details).</w:t>
      </w:r>
    </w:p>
    <w:p w14:paraId="1E9BC1BA" w14:textId="47ACEE28" w:rsidR="00E47AB8" w:rsidRPr="008B2F8A" w:rsidRDefault="00E47AB8" w:rsidP="00422306">
      <w:pPr>
        <w:rPr>
          <w:lang w:eastAsia="ja-JP"/>
        </w:rPr>
      </w:pPr>
      <w:r w:rsidRPr="008B2F8A">
        <w:rPr>
          <w:lang w:eastAsia="ja-JP"/>
        </w:rPr>
        <w:t xml:space="preserve">The uptake rates for the first 5 years of listing for each population are shown in </w:t>
      </w:r>
      <w:r w:rsidRPr="008B2F8A">
        <w:rPr>
          <w:lang w:eastAsia="ja-JP"/>
        </w:rPr>
        <w:fldChar w:fldCharType="begin"/>
      </w:r>
      <w:r w:rsidRPr="008B2F8A">
        <w:rPr>
          <w:lang w:eastAsia="ja-JP"/>
        </w:rPr>
        <w:instrText xml:space="preserve"> REF _Ref373916548 \h </w:instrText>
      </w:r>
      <w:r w:rsidRPr="008B2F8A">
        <w:rPr>
          <w:lang w:eastAsia="ja-JP"/>
        </w:rPr>
      </w:r>
      <w:r w:rsidRPr="008B2F8A">
        <w:rPr>
          <w:lang w:eastAsia="ja-JP"/>
        </w:rPr>
        <w:fldChar w:fldCharType="separate"/>
      </w:r>
      <w:r w:rsidR="00B81273" w:rsidRPr="008B2F8A">
        <w:t xml:space="preserve">Table </w:t>
      </w:r>
      <w:r w:rsidR="00B81273">
        <w:rPr>
          <w:noProof/>
        </w:rPr>
        <w:t>E</w:t>
      </w:r>
      <w:r w:rsidR="00B81273" w:rsidRPr="008B2F8A">
        <w:t>.</w:t>
      </w:r>
      <w:r w:rsidR="00B81273">
        <w:rPr>
          <w:noProof/>
        </w:rPr>
        <w:t>2</w:t>
      </w:r>
      <w:r w:rsidRPr="008B2F8A">
        <w:rPr>
          <w:lang w:eastAsia="ja-JP"/>
        </w:rPr>
        <w:fldChar w:fldCharType="end"/>
      </w:r>
      <w:r w:rsidRPr="008B2F8A">
        <w:rPr>
          <w:lang w:eastAsia="ja-JP"/>
        </w:rPr>
        <w:t>.</w:t>
      </w:r>
    </w:p>
    <w:p w14:paraId="5863BC7C" w14:textId="77777777" w:rsidR="00E47AB8" w:rsidRPr="008B2F8A" w:rsidRDefault="00E47AB8" w:rsidP="00422306">
      <w:pPr>
        <w:pStyle w:val="Caption"/>
        <w:rPr>
          <w:lang w:eastAsia="ja-JP"/>
        </w:rPr>
      </w:pPr>
      <w:bookmarkStart w:id="1300" w:name="_Ref373916548"/>
      <w:bookmarkStart w:id="1301" w:name="_Toc383424633"/>
      <w:r w:rsidRPr="008B2F8A">
        <w:t xml:space="preserve">Table </w:t>
      </w:r>
      <w:fldSimple w:instr=" STYLEREF 1 \s ">
        <w:r w:rsidR="00B81273">
          <w:rPr>
            <w:noProof/>
          </w:rPr>
          <w:t>E</w:t>
        </w:r>
      </w:fldSimple>
      <w:r w:rsidRPr="008B2F8A">
        <w:t>.</w:t>
      </w:r>
      <w:fldSimple w:instr=" SEQ Table \* ARABIC \s 1 ">
        <w:r w:rsidR="00B81273">
          <w:rPr>
            <w:noProof/>
          </w:rPr>
          <w:t>2</w:t>
        </w:r>
      </w:fldSimple>
      <w:bookmarkEnd w:id="1300"/>
      <w:r w:rsidRPr="008B2F8A">
        <w:tab/>
      </w:r>
      <w:r w:rsidRPr="008B2F8A">
        <w:rPr>
          <w:rFonts w:cs="Times New Roman"/>
          <w:color w:val="000000"/>
          <w:sz w:val="20"/>
          <w:szCs w:val="20"/>
          <w:lang w:eastAsia="en-AU"/>
        </w:rPr>
        <w:t>Uptake rates for breast MRI across 5 years.</w:t>
      </w:r>
      <w:bookmarkEnd w:id="1301"/>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84"/>
        <w:gridCol w:w="2272"/>
        <w:gridCol w:w="852"/>
        <w:gridCol w:w="852"/>
        <w:gridCol w:w="852"/>
        <w:gridCol w:w="852"/>
        <w:gridCol w:w="806"/>
      </w:tblGrid>
      <w:tr w:rsidR="00E47AB8" w:rsidRPr="008B2F8A" w14:paraId="22F14D27" w14:textId="77777777" w:rsidTr="00E14AC4">
        <w:trPr>
          <w:tblHeader/>
        </w:trPr>
        <w:tc>
          <w:tcPr>
            <w:tcW w:w="2584" w:type="dxa"/>
            <w:shd w:val="clear" w:color="auto" w:fill="auto"/>
            <w:vAlign w:val="bottom"/>
            <w:hideMark/>
          </w:tcPr>
          <w:p w14:paraId="0542B891" w14:textId="77777777" w:rsidR="00E47AB8" w:rsidRPr="008B2F8A" w:rsidRDefault="00E47AB8" w:rsidP="00422306">
            <w:pPr>
              <w:pStyle w:val="Tableheaderrow"/>
              <w:spacing w:before="40" w:after="80" w:line="276" w:lineRule="auto"/>
              <w:rPr>
                <w:lang w:eastAsia="en-AU"/>
              </w:rPr>
            </w:pPr>
            <w:r w:rsidRPr="008B2F8A">
              <w:rPr>
                <w:lang w:eastAsia="en-AU"/>
              </w:rPr>
              <w:t>Population</w:t>
            </w:r>
          </w:p>
        </w:tc>
        <w:tc>
          <w:tcPr>
            <w:tcW w:w="2272" w:type="dxa"/>
            <w:shd w:val="clear" w:color="auto" w:fill="auto"/>
            <w:vAlign w:val="bottom"/>
            <w:hideMark/>
          </w:tcPr>
          <w:p w14:paraId="6BAF4C25" w14:textId="77777777" w:rsidR="00E47AB8" w:rsidRPr="008B2F8A" w:rsidRDefault="00E47AB8" w:rsidP="00422306">
            <w:pPr>
              <w:pStyle w:val="Tableheaderrow"/>
              <w:spacing w:before="40" w:after="80" w:line="276" w:lineRule="auto"/>
              <w:rPr>
                <w:lang w:eastAsia="en-AU"/>
              </w:rPr>
            </w:pPr>
            <w:r w:rsidRPr="008B2F8A">
              <w:rPr>
                <w:lang w:eastAsia="en-AU"/>
              </w:rPr>
              <w:t>Data source</w:t>
            </w:r>
          </w:p>
        </w:tc>
        <w:tc>
          <w:tcPr>
            <w:tcW w:w="852" w:type="dxa"/>
            <w:shd w:val="clear" w:color="auto" w:fill="auto"/>
            <w:noWrap/>
            <w:vAlign w:val="bottom"/>
            <w:hideMark/>
          </w:tcPr>
          <w:p w14:paraId="3F090D7E" w14:textId="77777777" w:rsidR="00E47AB8" w:rsidRPr="008B2F8A" w:rsidRDefault="00E47AB8" w:rsidP="00422306">
            <w:pPr>
              <w:pStyle w:val="Tableheaderrow"/>
              <w:spacing w:before="40" w:after="80" w:line="276" w:lineRule="auto"/>
              <w:jc w:val="center"/>
              <w:rPr>
                <w:lang w:eastAsia="en-AU"/>
              </w:rPr>
            </w:pPr>
            <w:r w:rsidRPr="008B2F8A">
              <w:rPr>
                <w:lang w:eastAsia="en-AU"/>
              </w:rPr>
              <w:t>FY 2015</w:t>
            </w:r>
          </w:p>
        </w:tc>
        <w:tc>
          <w:tcPr>
            <w:tcW w:w="852" w:type="dxa"/>
            <w:shd w:val="clear" w:color="auto" w:fill="auto"/>
            <w:noWrap/>
            <w:vAlign w:val="bottom"/>
            <w:hideMark/>
          </w:tcPr>
          <w:p w14:paraId="595783E6" w14:textId="77777777" w:rsidR="00E47AB8" w:rsidRPr="008B2F8A" w:rsidRDefault="00E47AB8" w:rsidP="00422306">
            <w:pPr>
              <w:pStyle w:val="Tableheaderrow"/>
              <w:spacing w:before="40" w:after="80" w:line="276" w:lineRule="auto"/>
              <w:jc w:val="center"/>
              <w:rPr>
                <w:lang w:eastAsia="en-AU"/>
              </w:rPr>
            </w:pPr>
            <w:r w:rsidRPr="008B2F8A">
              <w:rPr>
                <w:lang w:eastAsia="en-AU"/>
              </w:rPr>
              <w:t>FY 2016</w:t>
            </w:r>
          </w:p>
        </w:tc>
        <w:tc>
          <w:tcPr>
            <w:tcW w:w="852" w:type="dxa"/>
            <w:shd w:val="clear" w:color="auto" w:fill="auto"/>
            <w:noWrap/>
            <w:vAlign w:val="bottom"/>
            <w:hideMark/>
          </w:tcPr>
          <w:p w14:paraId="0D6BE254" w14:textId="77777777" w:rsidR="00E47AB8" w:rsidRPr="008B2F8A" w:rsidRDefault="00E47AB8" w:rsidP="00422306">
            <w:pPr>
              <w:pStyle w:val="Tableheaderrow"/>
              <w:spacing w:before="40" w:after="80" w:line="276" w:lineRule="auto"/>
              <w:jc w:val="center"/>
              <w:rPr>
                <w:lang w:eastAsia="en-AU"/>
              </w:rPr>
            </w:pPr>
            <w:r w:rsidRPr="008B2F8A">
              <w:rPr>
                <w:lang w:eastAsia="en-AU"/>
              </w:rPr>
              <w:t>FY 2017</w:t>
            </w:r>
          </w:p>
        </w:tc>
        <w:tc>
          <w:tcPr>
            <w:tcW w:w="852" w:type="dxa"/>
            <w:shd w:val="clear" w:color="auto" w:fill="auto"/>
            <w:noWrap/>
            <w:vAlign w:val="bottom"/>
            <w:hideMark/>
          </w:tcPr>
          <w:p w14:paraId="7ED666D6" w14:textId="77777777" w:rsidR="00E47AB8" w:rsidRPr="008B2F8A" w:rsidRDefault="00E47AB8" w:rsidP="00422306">
            <w:pPr>
              <w:pStyle w:val="Tableheaderrow"/>
              <w:spacing w:before="40" w:after="80" w:line="276" w:lineRule="auto"/>
              <w:jc w:val="center"/>
              <w:rPr>
                <w:lang w:eastAsia="en-AU"/>
              </w:rPr>
            </w:pPr>
            <w:r w:rsidRPr="008B2F8A">
              <w:rPr>
                <w:lang w:eastAsia="en-AU"/>
              </w:rPr>
              <w:t>FY 2018</w:t>
            </w:r>
          </w:p>
        </w:tc>
        <w:tc>
          <w:tcPr>
            <w:tcW w:w="806" w:type="dxa"/>
            <w:shd w:val="clear" w:color="auto" w:fill="auto"/>
            <w:noWrap/>
            <w:vAlign w:val="bottom"/>
            <w:hideMark/>
          </w:tcPr>
          <w:p w14:paraId="02341409" w14:textId="77777777" w:rsidR="00E47AB8" w:rsidRPr="008B2F8A" w:rsidRDefault="00E47AB8" w:rsidP="00422306">
            <w:pPr>
              <w:pStyle w:val="Tableheaderrow"/>
              <w:spacing w:before="40" w:after="80" w:line="276" w:lineRule="auto"/>
              <w:jc w:val="center"/>
              <w:rPr>
                <w:lang w:eastAsia="en-AU"/>
              </w:rPr>
            </w:pPr>
            <w:r w:rsidRPr="008B2F8A">
              <w:rPr>
                <w:lang w:eastAsia="en-AU"/>
              </w:rPr>
              <w:t>FY 2019</w:t>
            </w:r>
          </w:p>
        </w:tc>
      </w:tr>
      <w:tr w:rsidR="00E47AB8" w:rsidRPr="008B2F8A" w14:paraId="4666AE13" w14:textId="77777777" w:rsidTr="00E14AC4">
        <w:tc>
          <w:tcPr>
            <w:tcW w:w="2584" w:type="dxa"/>
            <w:shd w:val="clear" w:color="auto" w:fill="auto"/>
            <w:hideMark/>
          </w:tcPr>
          <w:p w14:paraId="1E298745"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History of invasive breast cancer</w:t>
            </w:r>
          </w:p>
        </w:tc>
        <w:tc>
          <w:tcPr>
            <w:tcW w:w="2272" w:type="dxa"/>
            <w:shd w:val="clear" w:color="auto" w:fill="auto"/>
            <w:hideMark/>
          </w:tcPr>
          <w:p w14:paraId="3A373217"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AIHW 2013 Table 1.1 p. 11</w:t>
            </w:r>
          </w:p>
        </w:tc>
        <w:tc>
          <w:tcPr>
            <w:tcW w:w="852" w:type="dxa"/>
            <w:shd w:val="clear" w:color="auto" w:fill="auto"/>
            <w:noWrap/>
            <w:hideMark/>
          </w:tcPr>
          <w:p w14:paraId="728975E4"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20.0%</w:t>
            </w:r>
          </w:p>
        </w:tc>
        <w:tc>
          <w:tcPr>
            <w:tcW w:w="852" w:type="dxa"/>
            <w:shd w:val="clear" w:color="auto" w:fill="auto"/>
            <w:noWrap/>
            <w:hideMark/>
          </w:tcPr>
          <w:p w14:paraId="1E7CAE5B"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30.0%</w:t>
            </w:r>
          </w:p>
        </w:tc>
        <w:tc>
          <w:tcPr>
            <w:tcW w:w="852" w:type="dxa"/>
            <w:shd w:val="clear" w:color="auto" w:fill="auto"/>
            <w:noWrap/>
            <w:hideMark/>
          </w:tcPr>
          <w:p w14:paraId="30399CB8"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40.0%</w:t>
            </w:r>
          </w:p>
        </w:tc>
        <w:tc>
          <w:tcPr>
            <w:tcW w:w="852" w:type="dxa"/>
            <w:shd w:val="clear" w:color="auto" w:fill="auto"/>
            <w:noWrap/>
            <w:hideMark/>
          </w:tcPr>
          <w:p w14:paraId="2D3E1982"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50.0%</w:t>
            </w:r>
          </w:p>
        </w:tc>
        <w:tc>
          <w:tcPr>
            <w:tcW w:w="806" w:type="dxa"/>
            <w:shd w:val="clear" w:color="auto" w:fill="auto"/>
            <w:noWrap/>
            <w:hideMark/>
          </w:tcPr>
          <w:p w14:paraId="426561D3"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54.6%</w:t>
            </w:r>
          </w:p>
        </w:tc>
      </w:tr>
      <w:tr w:rsidR="00E47AB8" w:rsidRPr="008B2F8A" w14:paraId="5D72E07E" w14:textId="77777777" w:rsidTr="00E14AC4">
        <w:tc>
          <w:tcPr>
            <w:tcW w:w="2584" w:type="dxa"/>
            <w:shd w:val="clear" w:color="auto" w:fill="auto"/>
            <w:hideMark/>
          </w:tcPr>
          <w:p w14:paraId="6C30E13F" w14:textId="5039471A"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 xml:space="preserve">History of DCIS </w:t>
            </w:r>
            <w:r>
              <w:rPr>
                <w:rFonts w:ascii="Arial Narrow" w:eastAsia="Times New Roman" w:hAnsi="Arial Narrow"/>
                <w:color w:val="000000"/>
                <w:sz w:val="20"/>
                <w:szCs w:val="20"/>
                <w:lang w:eastAsia="en-AU"/>
              </w:rPr>
              <w:t>or</w:t>
            </w:r>
            <w:r w:rsidRPr="008B2F8A">
              <w:rPr>
                <w:rFonts w:ascii="Arial Narrow" w:eastAsia="Times New Roman" w:hAnsi="Arial Narrow"/>
                <w:color w:val="000000"/>
                <w:sz w:val="20"/>
                <w:szCs w:val="20"/>
                <w:lang w:eastAsia="en-AU"/>
              </w:rPr>
              <w:t xml:space="preserve"> LCIS</w:t>
            </w:r>
          </w:p>
        </w:tc>
        <w:tc>
          <w:tcPr>
            <w:tcW w:w="2272" w:type="dxa"/>
            <w:shd w:val="clear" w:color="auto" w:fill="auto"/>
            <w:hideMark/>
          </w:tcPr>
          <w:p w14:paraId="2A3E1FA1"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AIHW 2013 Table 1.1 p. 11</w:t>
            </w:r>
          </w:p>
        </w:tc>
        <w:tc>
          <w:tcPr>
            <w:tcW w:w="852" w:type="dxa"/>
            <w:shd w:val="clear" w:color="auto" w:fill="auto"/>
            <w:noWrap/>
            <w:hideMark/>
          </w:tcPr>
          <w:p w14:paraId="2C503323"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20.0%</w:t>
            </w:r>
          </w:p>
        </w:tc>
        <w:tc>
          <w:tcPr>
            <w:tcW w:w="852" w:type="dxa"/>
            <w:shd w:val="clear" w:color="auto" w:fill="auto"/>
            <w:noWrap/>
            <w:hideMark/>
          </w:tcPr>
          <w:p w14:paraId="1BC6A2C7"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30.0%</w:t>
            </w:r>
          </w:p>
        </w:tc>
        <w:tc>
          <w:tcPr>
            <w:tcW w:w="852" w:type="dxa"/>
            <w:shd w:val="clear" w:color="auto" w:fill="auto"/>
            <w:noWrap/>
            <w:hideMark/>
          </w:tcPr>
          <w:p w14:paraId="2E5F76B3"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40.0%</w:t>
            </w:r>
          </w:p>
        </w:tc>
        <w:tc>
          <w:tcPr>
            <w:tcW w:w="852" w:type="dxa"/>
            <w:shd w:val="clear" w:color="auto" w:fill="auto"/>
            <w:noWrap/>
            <w:hideMark/>
          </w:tcPr>
          <w:p w14:paraId="1F5972AB"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50.0%</w:t>
            </w:r>
          </w:p>
        </w:tc>
        <w:tc>
          <w:tcPr>
            <w:tcW w:w="806" w:type="dxa"/>
            <w:shd w:val="clear" w:color="auto" w:fill="auto"/>
            <w:noWrap/>
            <w:hideMark/>
          </w:tcPr>
          <w:p w14:paraId="4590C218"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54.6%</w:t>
            </w:r>
          </w:p>
        </w:tc>
      </w:tr>
      <w:tr w:rsidR="00E47AB8" w:rsidRPr="008B2F8A" w14:paraId="6DD58446" w14:textId="77777777" w:rsidTr="00E14AC4">
        <w:tc>
          <w:tcPr>
            <w:tcW w:w="2584" w:type="dxa"/>
            <w:shd w:val="clear" w:color="auto" w:fill="auto"/>
            <w:hideMark/>
          </w:tcPr>
          <w:p w14:paraId="1B1B3072"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History of chest irradiation</w:t>
            </w:r>
          </w:p>
        </w:tc>
        <w:tc>
          <w:tcPr>
            <w:tcW w:w="2272" w:type="dxa"/>
            <w:shd w:val="clear" w:color="auto" w:fill="auto"/>
            <w:hideMark/>
          </w:tcPr>
          <w:p w14:paraId="7D1E43C0"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Lee 2008 p. 63</w:t>
            </w:r>
          </w:p>
        </w:tc>
        <w:tc>
          <w:tcPr>
            <w:tcW w:w="852" w:type="dxa"/>
            <w:shd w:val="clear" w:color="auto" w:fill="auto"/>
            <w:noWrap/>
            <w:hideMark/>
          </w:tcPr>
          <w:p w14:paraId="0D1A21C0"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7.0%</w:t>
            </w:r>
          </w:p>
        </w:tc>
        <w:tc>
          <w:tcPr>
            <w:tcW w:w="852" w:type="dxa"/>
            <w:shd w:val="clear" w:color="auto" w:fill="auto"/>
            <w:noWrap/>
            <w:hideMark/>
          </w:tcPr>
          <w:p w14:paraId="3E8D861C"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14.0%</w:t>
            </w:r>
          </w:p>
        </w:tc>
        <w:tc>
          <w:tcPr>
            <w:tcW w:w="852" w:type="dxa"/>
            <w:shd w:val="clear" w:color="auto" w:fill="auto"/>
            <w:noWrap/>
            <w:hideMark/>
          </w:tcPr>
          <w:p w14:paraId="565EC553"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21.0%</w:t>
            </w:r>
          </w:p>
        </w:tc>
        <w:tc>
          <w:tcPr>
            <w:tcW w:w="852" w:type="dxa"/>
            <w:shd w:val="clear" w:color="auto" w:fill="auto"/>
            <w:noWrap/>
            <w:hideMark/>
          </w:tcPr>
          <w:p w14:paraId="0CC4E33D"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28.0%</w:t>
            </w:r>
          </w:p>
        </w:tc>
        <w:tc>
          <w:tcPr>
            <w:tcW w:w="806" w:type="dxa"/>
            <w:shd w:val="clear" w:color="auto" w:fill="auto"/>
            <w:noWrap/>
            <w:hideMark/>
          </w:tcPr>
          <w:p w14:paraId="784E45B7"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31.9%</w:t>
            </w:r>
          </w:p>
        </w:tc>
      </w:tr>
    </w:tbl>
    <w:p w14:paraId="334068F1" w14:textId="2CE21912" w:rsidR="00E47AB8" w:rsidRPr="008B2F8A" w:rsidRDefault="00E47AB8" w:rsidP="00E14AC4">
      <w:pPr>
        <w:pStyle w:val="TableNotesLast"/>
        <w:rPr>
          <w:rFonts w:ascii="Calibri" w:hAnsi="Calibri" w:cs="Tahoma"/>
          <w:b/>
          <w:sz w:val="24"/>
          <w:szCs w:val="24"/>
        </w:rPr>
      </w:pPr>
      <w:r w:rsidRPr="008B2F8A">
        <w:t>AIHW = Australian Institute of Health and Welfare; DCIS = ductal carcinoma in situ; FY = financial year; LCIS = lobular carcinoma in situ.</w:t>
      </w:r>
    </w:p>
    <w:p w14:paraId="4906B49A" w14:textId="78E897C9" w:rsidR="00E47AB8" w:rsidRPr="008B2F8A" w:rsidRDefault="00E47AB8" w:rsidP="00E47AB8">
      <w:pPr>
        <w:pStyle w:val="Heading3"/>
        <w:numPr>
          <w:ilvl w:val="2"/>
          <w:numId w:val="42"/>
        </w:numPr>
      </w:pPr>
      <w:bookmarkStart w:id="1302" w:name="_Ref377464211"/>
      <w:bookmarkStart w:id="1303" w:name="_Toc383424521"/>
      <w:r w:rsidRPr="008B2F8A">
        <w:lastRenderedPageBreak/>
        <w:t>Follow-up MRI rates</w:t>
      </w:r>
      <w:bookmarkEnd w:id="1302"/>
      <w:bookmarkEnd w:id="1303"/>
    </w:p>
    <w:p w14:paraId="214B43A0" w14:textId="5997108A" w:rsidR="00E47AB8" w:rsidRPr="008B2F8A" w:rsidRDefault="00E47AB8" w:rsidP="00422306">
      <w:pPr>
        <w:rPr>
          <w:lang w:eastAsia="ja-JP"/>
        </w:rPr>
      </w:pPr>
      <w:r w:rsidRPr="008B2F8A">
        <w:rPr>
          <w:lang w:eastAsia="ja-JP"/>
        </w:rPr>
        <w:t>The proportion of women in all populations who undergo follow-up MRI was estimated on the basis of the available data for the interim MBS items 63464 and 63467. Between July 2009 and June 2013 there were 9516 services for breast MRI (item 63464). During the same time, 708 follow-up MRI services (item 63467) were claimed, representing a follow-up imaging rate of 7.4%.</w:t>
      </w:r>
    </w:p>
    <w:p w14:paraId="5F6E1622" w14:textId="77777777" w:rsidR="00E47AB8" w:rsidRPr="008B2F8A" w:rsidRDefault="00E47AB8" w:rsidP="00E47AB8">
      <w:pPr>
        <w:pStyle w:val="Heading3"/>
        <w:numPr>
          <w:ilvl w:val="2"/>
          <w:numId w:val="42"/>
        </w:numPr>
      </w:pPr>
      <w:bookmarkStart w:id="1304" w:name="_Toc383424522"/>
      <w:r w:rsidRPr="008B2F8A">
        <w:t>Annual risk of breast cancer</w:t>
      </w:r>
      <w:bookmarkEnd w:id="1304"/>
    </w:p>
    <w:p w14:paraId="1D53FB5B" w14:textId="407BE335" w:rsidR="00E47AB8" w:rsidRPr="008B2F8A" w:rsidRDefault="00E47AB8" w:rsidP="00422306">
      <w:r w:rsidRPr="008B2F8A">
        <w:t>The annual risk of breast cancer in each of the four populations in the base-case analysis was based on the 5-year risk calculated in the economic model. For women with gene mutations or family history and women with prior history of chest irradiation</w:t>
      </w:r>
      <w:r>
        <w:t>,</w:t>
      </w:r>
      <w:r w:rsidRPr="008B2F8A">
        <w:t xml:space="preserve"> the risk selected was </w:t>
      </w:r>
      <w:r>
        <w:t xml:space="preserve">that </w:t>
      </w:r>
      <w:r w:rsidRPr="008B2F8A">
        <w:t xml:space="preserve">for a 40-year-old woman. For women with prior DCIS or LCIS, or a prior history of invasive breast cancer, the risk was </w:t>
      </w:r>
      <w:r>
        <w:t xml:space="preserve">that </w:t>
      </w:r>
      <w:r w:rsidRPr="008B2F8A">
        <w:t>for a 44 year-old woman. For each population, the 5-year risk was divided by 5 to give an estimate of the annual risk of breast cancer.</w:t>
      </w:r>
    </w:p>
    <w:p w14:paraId="39DEA634" w14:textId="77777777" w:rsidR="00E47AB8" w:rsidRPr="008B2F8A" w:rsidRDefault="00E47AB8" w:rsidP="00422306">
      <w:pPr>
        <w:pStyle w:val="Caption"/>
      </w:pPr>
      <w:bookmarkStart w:id="1305" w:name="_Toc383424634"/>
      <w:r w:rsidRPr="008B2F8A">
        <w:t xml:space="preserve">Table </w:t>
      </w:r>
      <w:fldSimple w:instr=" STYLEREF 1 \s ">
        <w:r w:rsidR="00B81273">
          <w:rPr>
            <w:noProof/>
          </w:rPr>
          <w:t>E</w:t>
        </w:r>
      </w:fldSimple>
      <w:r w:rsidRPr="008B2F8A">
        <w:t>.</w:t>
      </w:r>
      <w:fldSimple w:instr=" SEQ Table \* ARABIC \s 1 ">
        <w:r w:rsidR="00B81273">
          <w:rPr>
            <w:noProof/>
          </w:rPr>
          <w:t>3</w:t>
        </w:r>
      </w:fldSimple>
      <w:r w:rsidRPr="008B2F8A">
        <w:tab/>
        <w:t>Annual risk of breast cancer in each of the included populations.</w:t>
      </w:r>
      <w:bookmarkEnd w:id="1305"/>
    </w:p>
    <w:tbl>
      <w:tblPr>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36"/>
        <w:gridCol w:w="1420"/>
      </w:tblGrid>
      <w:tr w:rsidR="00E47AB8" w:rsidRPr="008B2F8A" w14:paraId="69BC77AE" w14:textId="77777777" w:rsidTr="00E14AC4">
        <w:trPr>
          <w:tblHeader/>
        </w:trPr>
        <w:tc>
          <w:tcPr>
            <w:tcW w:w="3436" w:type="dxa"/>
            <w:shd w:val="clear" w:color="auto" w:fill="auto"/>
          </w:tcPr>
          <w:p w14:paraId="2D9AF20F" w14:textId="77777777" w:rsidR="00E47AB8" w:rsidRPr="008B2F8A" w:rsidRDefault="00E47AB8" w:rsidP="00422306">
            <w:pPr>
              <w:pStyle w:val="Tableheaderrow"/>
              <w:spacing w:before="40" w:after="80" w:line="276" w:lineRule="auto"/>
              <w:rPr>
                <w:lang w:eastAsia="en-AU"/>
              </w:rPr>
            </w:pPr>
            <w:r w:rsidRPr="008B2F8A">
              <w:rPr>
                <w:lang w:eastAsia="en-AU"/>
              </w:rPr>
              <w:t>Population</w:t>
            </w:r>
          </w:p>
        </w:tc>
        <w:tc>
          <w:tcPr>
            <w:tcW w:w="1420" w:type="dxa"/>
          </w:tcPr>
          <w:p w14:paraId="2C44E2C5" w14:textId="77777777" w:rsidR="00E47AB8" w:rsidRPr="008B2F8A" w:rsidRDefault="00E47AB8" w:rsidP="00422306">
            <w:pPr>
              <w:pStyle w:val="Tableheaderrow"/>
              <w:spacing w:before="40" w:after="80" w:line="276" w:lineRule="auto"/>
              <w:jc w:val="center"/>
              <w:rPr>
                <w:lang w:eastAsia="en-AU"/>
              </w:rPr>
            </w:pPr>
            <w:r w:rsidRPr="008B2F8A">
              <w:rPr>
                <w:lang w:eastAsia="en-AU"/>
              </w:rPr>
              <w:t>Risk estimate</w:t>
            </w:r>
          </w:p>
        </w:tc>
      </w:tr>
      <w:tr w:rsidR="00E47AB8" w:rsidRPr="008B2F8A" w14:paraId="4A91A61E" w14:textId="77777777" w:rsidTr="00E14AC4">
        <w:tc>
          <w:tcPr>
            <w:tcW w:w="3436" w:type="dxa"/>
            <w:shd w:val="clear" w:color="auto" w:fill="auto"/>
            <w:hideMark/>
          </w:tcPr>
          <w:p w14:paraId="7E483F6D"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Women with gene mutations or family history</w:t>
            </w:r>
          </w:p>
        </w:tc>
        <w:tc>
          <w:tcPr>
            <w:tcW w:w="1420" w:type="dxa"/>
          </w:tcPr>
          <w:p w14:paraId="34B6240C"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1.2%</w:t>
            </w:r>
          </w:p>
        </w:tc>
      </w:tr>
      <w:tr w:rsidR="00E47AB8" w:rsidRPr="008B2F8A" w14:paraId="0CA2C042" w14:textId="77777777" w:rsidTr="00E14AC4">
        <w:tc>
          <w:tcPr>
            <w:tcW w:w="3436" w:type="dxa"/>
            <w:tcBorders>
              <w:bottom w:val="single" w:sz="4" w:space="0" w:color="auto"/>
            </w:tcBorders>
            <w:shd w:val="clear" w:color="auto" w:fill="auto"/>
          </w:tcPr>
          <w:p w14:paraId="509EAADC"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Women with history of invasive breast cancer</w:t>
            </w:r>
          </w:p>
        </w:tc>
        <w:tc>
          <w:tcPr>
            <w:tcW w:w="1420" w:type="dxa"/>
          </w:tcPr>
          <w:p w14:paraId="720D8B37"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1.1%</w:t>
            </w:r>
          </w:p>
        </w:tc>
      </w:tr>
      <w:tr w:rsidR="00E47AB8" w:rsidRPr="008B2F8A" w14:paraId="621D7DD4" w14:textId="77777777" w:rsidTr="00E14AC4">
        <w:tc>
          <w:tcPr>
            <w:tcW w:w="3436" w:type="dxa"/>
            <w:tcBorders>
              <w:bottom w:val="nil"/>
            </w:tcBorders>
            <w:shd w:val="clear" w:color="auto" w:fill="auto"/>
          </w:tcPr>
          <w:p w14:paraId="5AB66071"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Women with previous DCIS or LCIS</w:t>
            </w:r>
          </w:p>
        </w:tc>
        <w:tc>
          <w:tcPr>
            <w:tcW w:w="1420" w:type="dxa"/>
          </w:tcPr>
          <w:p w14:paraId="219EBF4C"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1.1%</w:t>
            </w:r>
          </w:p>
        </w:tc>
      </w:tr>
      <w:tr w:rsidR="00E47AB8" w:rsidRPr="008B2F8A" w14:paraId="152B782C" w14:textId="77777777" w:rsidTr="00E14AC4">
        <w:tc>
          <w:tcPr>
            <w:tcW w:w="3436" w:type="dxa"/>
            <w:shd w:val="clear" w:color="auto" w:fill="auto"/>
          </w:tcPr>
          <w:p w14:paraId="20712933" w14:textId="77777777" w:rsidR="00E47AB8" w:rsidRPr="008B2F8A" w:rsidRDefault="00E47AB8" w:rsidP="00422306">
            <w:pPr>
              <w:spacing w:before="40" w:after="80"/>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Women with previous chest irradiation</w:t>
            </w:r>
          </w:p>
        </w:tc>
        <w:tc>
          <w:tcPr>
            <w:tcW w:w="1420" w:type="dxa"/>
          </w:tcPr>
          <w:p w14:paraId="304654AF" w14:textId="77777777" w:rsidR="00E47AB8" w:rsidRPr="008B2F8A" w:rsidRDefault="00E47AB8" w:rsidP="00422306">
            <w:pPr>
              <w:spacing w:before="40" w:after="80"/>
              <w:jc w:val="center"/>
              <w:rPr>
                <w:rFonts w:ascii="Arial Narrow" w:eastAsia="Times New Roman" w:hAnsi="Arial Narrow"/>
                <w:color w:val="000000"/>
                <w:sz w:val="20"/>
                <w:szCs w:val="20"/>
                <w:lang w:eastAsia="en-AU"/>
              </w:rPr>
            </w:pPr>
            <w:r w:rsidRPr="008B2F8A">
              <w:rPr>
                <w:rFonts w:ascii="Arial Narrow" w:eastAsia="Times New Roman" w:hAnsi="Arial Narrow"/>
                <w:color w:val="000000"/>
                <w:sz w:val="20"/>
                <w:szCs w:val="20"/>
                <w:lang w:eastAsia="en-AU"/>
              </w:rPr>
              <w:t>0.5%</w:t>
            </w:r>
          </w:p>
        </w:tc>
      </w:tr>
    </w:tbl>
    <w:p w14:paraId="3FADE51C" w14:textId="6BC8344E" w:rsidR="00E47AB8" w:rsidRPr="008B2F8A" w:rsidRDefault="00E47AB8" w:rsidP="00E14AC4">
      <w:pPr>
        <w:pStyle w:val="TableNotesLast"/>
      </w:pPr>
      <w:r w:rsidRPr="008B2F8A">
        <w:t>DCIS = ductal carcinoma in situ; LCIS = lobular carcinoma in situ.</w:t>
      </w:r>
    </w:p>
    <w:p w14:paraId="0D3B34B3" w14:textId="77777777" w:rsidR="00E47AB8" w:rsidRPr="008B2F8A" w:rsidRDefault="00E47AB8" w:rsidP="00E47AB8">
      <w:pPr>
        <w:pStyle w:val="Heading3"/>
        <w:numPr>
          <w:ilvl w:val="2"/>
          <w:numId w:val="42"/>
        </w:numPr>
      </w:pPr>
      <w:bookmarkStart w:id="1306" w:name="_Toc383424523"/>
      <w:r w:rsidRPr="008B2F8A">
        <w:t>Diagnostic accuracy of mammography and MRI</w:t>
      </w:r>
      <w:bookmarkEnd w:id="1306"/>
    </w:p>
    <w:p w14:paraId="33615C1E" w14:textId="4972BFBA" w:rsidR="00E47AB8" w:rsidRPr="008B2F8A" w:rsidRDefault="00E47AB8" w:rsidP="00422306">
      <w:r w:rsidRPr="008B2F8A">
        <w:t>The diagnostic accuracy of mammography and MRI in each of the four populations was based on the data presented in Section B</w:t>
      </w:r>
      <w:r w:rsidR="00BE187F">
        <w:t xml:space="preserve"> (</w:t>
      </w:r>
      <w:r w:rsidR="00BE187F">
        <w:fldChar w:fldCharType="begin"/>
      </w:r>
      <w:r w:rsidR="00BE187F">
        <w:instrText xml:space="preserve"> REF _Ref377390687 \h </w:instrText>
      </w:r>
      <w:r w:rsidR="00BE187F">
        <w:fldChar w:fldCharType="separate"/>
      </w:r>
      <w:r w:rsidR="00B81273" w:rsidRPr="008B2F8A">
        <w:t xml:space="preserve">Table </w:t>
      </w:r>
      <w:r w:rsidR="00B81273">
        <w:rPr>
          <w:noProof/>
        </w:rPr>
        <w:t>E</w:t>
      </w:r>
      <w:r w:rsidR="00B81273" w:rsidRPr="008B2F8A">
        <w:t>.</w:t>
      </w:r>
      <w:r w:rsidR="00B81273">
        <w:rPr>
          <w:noProof/>
        </w:rPr>
        <w:t>4</w:t>
      </w:r>
      <w:r w:rsidR="00BE187F">
        <w:fldChar w:fldCharType="end"/>
      </w:r>
      <w:r w:rsidR="00BE187F">
        <w:t>)</w:t>
      </w:r>
      <w:r w:rsidRPr="008B2F8A">
        <w:t xml:space="preserve">. Where available, the data used for MRI </w:t>
      </w:r>
      <w:r>
        <w:t>were</w:t>
      </w:r>
      <w:r w:rsidRPr="008B2F8A">
        <w:t xml:space="preserve"> taken from studies where MRI was used in addition to mammography.</w:t>
      </w:r>
    </w:p>
    <w:p w14:paraId="3917C15E" w14:textId="77777777" w:rsidR="00E47AB8" w:rsidRPr="008B2F8A" w:rsidRDefault="00E47AB8" w:rsidP="00422306">
      <w:pPr>
        <w:pStyle w:val="Caption"/>
      </w:pPr>
      <w:bookmarkStart w:id="1307" w:name="_Ref377390687"/>
      <w:bookmarkStart w:id="1308" w:name="_Toc383424635"/>
      <w:r w:rsidRPr="008B2F8A">
        <w:t xml:space="preserve">Table </w:t>
      </w:r>
      <w:fldSimple w:instr=" STYLEREF 1 \s ">
        <w:r w:rsidR="00B81273">
          <w:rPr>
            <w:noProof/>
          </w:rPr>
          <w:t>E</w:t>
        </w:r>
      </w:fldSimple>
      <w:r w:rsidRPr="008B2F8A">
        <w:t>.</w:t>
      </w:r>
      <w:fldSimple w:instr=" SEQ Table \* ARABIC \s 1 ">
        <w:r w:rsidR="00B81273">
          <w:rPr>
            <w:noProof/>
          </w:rPr>
          <w:t>4</w:t>
        </w:r>
      </w:fldSimple>
      <w:bookmarkEnd w:id="1307"/>
      <w:r w:rsidRPr="008B2F8A">
        <w:tab/>
        <w:t>Sensitivity and specificity of mammography and MRI in each population.</w:t>
      </w:r>
      <w:bookmarkEnd w:id="1308"/>
    </w:p>
    <w:tbl>
      <w:tblPr>
        <w:tblStyle w:val="TableGrid"/>
        <w:tblW w:w="9070" w:type="dxa"/>
        <w:tblCellMar>
          <w:left w:w="28" w:type="dxa"/>
          <w:right w:w="28" w:type="dxa"/>
        </w:tblCellMar>
        <w:tblLook w:val="04A0" w:firstRow="1" w:lastRow="0" w:firstColumn="1" w:lastColumn="0" w:noHBand="0" w:noVBand="1"/>
        <w:tblCaption w:val="Sensitivity and specificity of mammography and MRI in each population."/>
      </w:tblPr>
      <w:tblGrid>
        <w:gridCol w:w="3720"/>
        <w:gridCol w:w="1647"/>
        <w:gridCol w:w="1125"/>
        <w:gridCol w:w="1125"/>
        <w:gridCol w:w="1453"/>
      </w:tblGrid>
      <w:tr w:rsidR="00E47AB8" w:rsidRPr="008B2F8A" w14:paraId="3E8FC77E" w14:textId="77777777" w:rsidTr="00E14AC4">
        <w:trPr>
          <w:tblHeader/>
        </w:trPr>
        <w:tc>
          <w:tcPr>
            <w:tcW w:w="3720" w:type="dxa"/>
            <w:tcBorders>
              <w:bottom w:val="single" w:sz="4" w:space="0" w:color="auto"/>
            </w:tcBorders>
          </w:tcPr>
          <w:p w14:paraId="5F61FE26" w14:textId="77777777" w:rsidR="00E47AB8" w:rsidRPr="008B2F8A" w:rsidRDefault="00E47AB8" w:rsidP="00422306">
            <w:pPr>
              <w:pStyle w:val="Tableheaderrow"/>
              <w:spacing w:before="40" w:after="80" w:line="276" w:lineRule="auto"/>
            </w:pPr>
            <w:r w:rsidRPr="008B2F8A">
              <w:t>Population</w:t>
            </w:r>
          </w:p>
        </w:tc>
        <w:tc>
          <w:tcPr>
            <w:tcW w:w="1647" w:type="dxa"/>
          </w:tcPr>
          <w:p w14:paraId="4D5FF130" w14:textId="77777777" w:rsidR="00E47AB8" w:rsidRPr="008B2F8A" w:rsidRDefault="00E47AB8" w:rsidP="00422306">
            <w:pPr>
              <w:pStyle w:val="Tableheaderrow"/>
              <w:spacing w:before="40" w:after="80" w:line="276" w:lineRule="auto"/>
            </w:pPr>
            <w:r w:rsidRPr="008B2F8A">
              <w:t>Imaging modality</w:t>
            </w:r>
          </w:p>
        </w:tc>
        <w:tc>
          <w:tcPr>
            <w:tcW w:w="1125" w:type="dxa"/>
          </w:tcPr>
          <w:p w14:paraId="74B4A22A" w14:textId="77777777" w:rsidR="00E47AB8" w:rsidRPr="008B2F8A" w:rsidRDefault="00E47AB8" w:rsidP="00422306">
            <w:pPr>
              <w:pStyle w:val="Tableheaderrow"/>
              <w:spacing w:before="40" w:after="80" w:line="276" w:lineRule="auto"/>
            </w:pPr>
            <w:r w:rsidRPr="008B2F8A">
              <w:t>Sensitivity</w:t>
            </w:r>
          </w:p>
        </w:tc>
        <w:tc>
          <w:tcPr>
            <w:tcW w:w="1125" w:type="dxa"/>
          </w:tcPr>
          <w:p w14:paraId="50BE1C65" w14:textId="77777777" w:rsidR="00E47AB8" w:rsidRPr="008B2F8A" w:rsidRDefault="00E47AB8" w:rsidP="00422306">
            <w:pPr>
              <w:pStyle w:val="Tableheaderrow"/>
              <w:spacing w:before="40" w:after="80" w:line="276" w:lineRule="auto"/>
            </w:pPr>
            <w:r w:rsidRPr="008B2F8A">
              <w:t>Specificity</w:t>
            </w:r>
          </w:p>
        </w:tc>
        <w:tc>
          <w:tcPr>
            <w:tcW w:w="1453" w:type="dxa"/>
            <w:tcBorders>
              <w:bottom w:val="single" w:sz="4" w:space="0" w:color="auto"/>
            </w:tcBorders>
          </w:tcPr>
          <w:p w14:paraId="28542157" w14:textId="77777777" w:rsidR="00E47AB8" w:rsidRPr="008B2F8A" w:rsidRDefault="00E47AB8" w:rsidP="00422306">
            <w:pPr>
              <w:pStyle w:val="Tableheaderrow"/>
              <w:spacing w:before="40" w:after="80" w:line="276" w:lineRule="auto"/>
            </w:pPr>
            <w:r w:rsidRPr="008B2F8A">
              <w:t>Source</w:t>
            </w:r>
          </w:p>
        </w:tc>
      </w:tr>
      <w:tr w:rsidR="00E47AB8" w:rsidRPr="008B2F8A" w14:paraId="75BF20E9" w14:textId="77777777" w:rsidTr="00E14AC4">
        <w:tc>
          <w:tcPr>
            <w:tcW w:w="3720" w:type="dxa"/>
            <w:tcBorders>
              <w:bottom w:val="nil"/>
            </w:tcBorders>
          </w:tcPr>
          <w:p w14:paraId="2CE51227" w14:textId="77777777" w:rsidR="00E47AB8" w:rsidRPr="008B2F8A" w:rsidRDefault="00E47AB8" w:rsidP="00422306">
            <w:pPr>
              <w:spacing w:before="40" w:after="80"/>
              <w:rPr>
                <w:rFonts w:ascii="Arial Narrow" w:hAnsi="Arial Narrow"/>
              </w:rPr>
            </w:pPr>
            <w:r w:rsidRPr="008B2F8A">
              <w:rPr>
                <w:rFonts w:ascii="Arial Narrow" w:hAnsi="Arial Narrow"/>
              </w:rPr>
              <w:t>Women with gene mutations or family history</w:t>
            </w:r>
          </w:p>
        </w:tc>
        <w:tc>
          <w:tcPr>
            <w:tcW w:w="1647" w:type="dxa"/>
          </w:tcPr>
          <w:p w14:paraId="6AF632CA" w14:textId="77777777" w:rsidR="00E47AB8" w:rsidRPr="008B2F8A" w:rsidRDefault="00E47AB8" w:rsidP="00422306">
            <w:pPr>
              <w:spacing w:before="40" w:after="80"/>
              <w:rPr>
                <w:rFonts w:ascii="Arial Narrow" w:hAnsi="Arial Narrow"/>
              </w:rPr>
            </w:pPr>
            <w:r w:rsidRPr="008B2F8A">
              <w:rPr>
                <w:rFonts w:ascii="Arial Narrow" w:hAnsi="Arial Narrow"/>
              </w:rPr>
              <w:t>MRI​+​MAM</w:t>
            </w:r>
          </w:p>
        </w:tc>
        <w:tc>
          <w:tcPr>
            <w:tcW w:w="1125" w:type="dxa"/>
          </w:tcPr>
          <w:p w14:paraId="02075A4F" w14:textId="77777777" w:rsidR="00E47AB8" w:rsidRPr="008B2F8A" w:rsidRDefault="00E47AB8" w:rsidP="00422306">
            <w:pPr>
              <w:spacing w:before="40" w:after="80"/>
              <w:rPr>
                <w:rFonts w:ascii="Arial Narrow" w:hAnsi="Arial Narrow"/>
              </w:rPr>
            </w:pPr>
            <w:r w:rsidRPr="008B2F8A">
              <w:rPr>
                <w:rFonts w:ascii="Arial Narrow" w:hAnsi="Arial Narrow"/>
              </w:rPr>
              <w:t>0.88</w:t>
            </w:r>
          </w:p>
        </w:tc>
        <w:tc>
          <w:tcPr>
            <w:tcW w:w="1125" w:type="dxa"/>
          </w:tcPr>
          <w:p w14:paraId="6F2043F7" w14:textId="77777777" w:rsidR="00E47AB8" w:rsidRPr="008B2F8A" w:rsidRDefault="00E47AB8" w:rsidP="00422306">
            <w:pPr>
              <w:spacing w:before="40" w:after="80"/>
              <w:rPr>
                <w:rFonts w:ascii="Arial Narrow" w:hAnsi="Arial Narrow"/>
              </w:rPr>
            </w:pPr>
            <w:r w:rsidRPr="008B2F8A">
              <w:rPr>
                <w:rFonts w:ascii="Arial Narrow" w:hAnsi="Arial Narrow"/>
              </w:rPr>
              <w:t>0.88</w:t>
            </w:r>
          </w:p>
        </w:tc>
        <w:tc>
          <w:tcPr>
            <w:tcW w:w="1453" w:type="dxa"/>
            <w:tcBorders>
              <w:bottom w:val="nil"/>
            </w:tcBorders>
          </w:tcPr>
          <w:p w14:paraId="43DC4E92" w14:textId="54280DD6" w:rsidR="00E47AB8" w:rsidRPr="008B2F8A" w:rsidRDefault="00E47AB8" w:rsidP="00422306">
            <w:pPr>
              <w:spacing w:before="40" w:after="80"/>
              <w:rPr>
                <w:rFonts w:ascii="Arial Narrow" w:hAnsi="Arial Narrow"/>
                <w:color w:val="000000"/>
              </w:rPr>
            </w:pPr>
            <w:r>
              <w:rPr>
                <w:rFonts w:ascii="Arial Narrow" w:hAnsi="Arial Narrow"/>
                <w:color w:val="000000"/>
              </w:rPr>
              <w:t>HIQA, 2013</w:t>
            </w:r>
          </w:p>
        </w:tc>
      </w:tr>
      <w:tr w:rsidR="00E47AB8" w:rsidRPr="008B2F8A" w14:paraId="5D701F45" w14:textId="77777777" w:rsidTr="00E14AC4">
        <w:tc>
          <w:tcPr>
            <w:tcW w:w="3720" w:type="dxa"/>
            <w:tcBorders>
              <w:top w:val="nil"/>
              <w:bottom w:val="single" w:sz="4" w:space="0" w:color="auto"/>
            </w:tcBorders>
          </w:tcPr>
          <w:p w14:paraId="405E7DBC" w14:textId="1FA7A0D6" w:rsidR="00E47AB8" w:rsidRPr="008B2F8A" w:rsidRDefault="00E47AB8" w:rsidP="00422306">
            <w:pPr>
              <w:spacing w:before="40" w:after="80"/>
              <w:rPr>
                <w:rFonts w:ascii="Arial Narrow" w:hAnsi="Arial Narrow"/>
              </w:rPr>
            </w:pPr>
            <w:r w:rsidRPr="00AA62E6">
              <w:rPr>
                <w:rFonts w:ascii="Arial Narrow" w:hAnsi="Arial Narrow"/>
                <w:color w:val="FFFFFF" w:themeColor="background1"/>
              </w:rPr>
              <w:t>-</w:t>
            </w:r>
          </w:p>
        </w:tc>
        <w:tc>
          <w:tcPr>
            <w:tcW w:w="1647" w:type="dxa"/>
          </w:tcPr>
          <w:p w14:paraId="040A6F24" w14:textId="77777777" w:rsidR="00E47AB8" w:rsidRPr="008B2F8A" w:rsidRDefault="00E47AB8" w:rsidP="00422306">
            <w:pPr>
              <w:spacing w:before="40" w:after="80"/>
              <w:rPr>
                <w:rFonts w:ascii="Arial Narrow" w:hAnsi="Arial Narrow"/>
              </w:rPr>
            </w:pPr>
            <w:r w:rsidRPr="008B2F8A">
              <w:rPr>
                <w:rFonts w:ascii="Arial Narrow" w:hAnsi="Arial Narrow"/>
              </w:rPr>
              <w:t>MAM</w:t>
            </w:r>
          </w:p>
        </w:tc>
        <w:tc>
          <w:tcPr>
            <w:tcW w:w="1125" w:type="dxa"/>
          </w:tcPr>
          <w:p w14:paraId="1F566364" w14:textId="77777777" w:rsidR="00E47AB8" w:rsidRPr="008B2F8A" w:rsidRDefault="00E47AB8" w:rsidP="00422306">
            <w:pPr>
              <w:spacing w:before="40" w:after="80"/>
              <w:rPr>
                <w:rFonts w:ascii="Arial Narrow" w:hAnsi="Arial Narrow"/>
              </w:rPr>
            </w:pPr>
            <w:r w:rsidRPr="008B2F8A">
              <w:rPr>
                <w:rFonts w:ascii="Arial Narrow" w:hAnsi="Arial Narrow"/>
              </w:rPr>
              <w:t>0.38</w:t>
            </w:r>
          </w:p>
        </w:tc>
        <w:tc>
          <w:tcPr>
            <w:tcW w:w="1125" w:type="dxa"/>
          </w:tcPr>
          <w:p w14:paraId="502FA65B" w14:textId="77777777" w:rsidR="00E47AB8" w:rsidRPr="008B2F8A" w:rsidRDefault="00E47AB8" w:rsidP="00422306">
            <w:pPr>
              <w:spacing w:before="40" w:after="80"/>
              <w:rPr>
                <w:rFonts w:ascii="Arial Narrow" w:hAnsi="Arial Narrow"/>
              </w:rPr>
            </w:pPr>
            <w:r w:rsidRPr="008B2F8A">
              <w:rPr>
                <w:rFonts w:ascii="Arial Narrow" w:hAnsi="Arial Narrow"/>
              </w:rPr>
              <w:t>0.92</w:t>
            </w:r>
          </w:p>
        </w:tc>
        <w:tc>
          <w:tcPr>
            <w:tcW w:w="1453" w:type="dxa"/>
            <w:tcBorders>
              <w:top w:val="nil"/>
              <w:bottom w:val="single" w:sz="4" w:space="0" w:color="auto"/>
            </w:tcBorders>
          </w:tcPr>
          <w:p w14:paraId="4F0DBF48" w14:textId="7CD20043" w:rsidR="00E47AB8" w:rsidRPr="008B2F8A" w:rsidRDefault="00E47AB8" w:rsidP="00422306">
            <w:pPr>
              <w:spacing w:before="40" w:after="80"/>
              <w:rPr>
                <w:rFonts w:ascii="Arial Narrow" w:hAnsi="Arial Narrow"/>
              </w:rPr>
            </w:pPr>
            <w:r w:rsidRPr="00AA62E6">
              <w:rPr>
                <w:rFonts w:ascii="Arial Narrow" w:hAnsi="Arial Narrow"/>
                <w:color w:val="FFFFFF" w:themeColor="background1"/>
              </w:rPr>
              <w:t>-</w:t>
            </w:r>
          </w:p>
        </w:tc>
      </w:tr>
      <w:tr w:rsidR="00E47AB8" w:rsidRPr="008B2F8A" w14:paraId="6E311931" w14:textId="77777777" w:rsidTr="00E14AC4">
        <w:tc>
          <w:tcPr>
            <w:tcW w:w="3720" w:type="dxa"/>
            <w:tcBorders>
              <w:bottom w:val="nil"/>
            </w:tcBorders>
          </w:tcPr>
          <w:p w14:paraId="316C8C68" w14:textId="77777777" w:rsidR="00E47AB8" w:rsidRPr="008B2F8A" w:rsidRDefault="00E47AB8" w:rsidP="00422306">
            <w:pPr>
              <w:spacing w:before="40" w:after="80"/>
              <w:rPr>
                <w:rFonts w:ascii="Arial Narrow" w:hAnsi="Arial Narrow"/>
              </w:rPr>
            </w:pPr>
            <w:r w:rsidRPr="008B2F8A">
              <w:rPr>
                <w:rFonts w:ascii="Arial Narrow" w:hAnsi="Arial Narrow"/>
              </w:rPr>
              <w:t>Women with history of invasive breast cancer</w:t>
            </w:r>
          </w:p>
        </w:tc>
        <w:tc>
          <w:tcPr>
            <w:tcW w:w="1647" w:type="dxa"/>
          </w:tcPr>
          <w:p w14:paraId="2C5352AA" w14:textId="77777777" w:rsidR="00E47AB8" w:rsidRPr="008B2F8A" w:rsidRDefault="00E47AB8" w:rsidP="00422306">
            <w:pPr>
              <w:spacing w:before="40" w:after="80"/>
              <w:rPr>
                <w:rFonts w:ascii="Arial Narrow" w:hAnsi="Arial Narrow"/>
              </w:rPr>
            </w:pPr>
            <w:r w:rsidRPr="008B2F8A">
              <w:rPr>
                <w:rFonts w:ascii="Arial Narrow" w:hAnsi="Arial Narrow"/>
              </w:rPr>
              <w:t>MRI​+​MAM</w:t>
            </w:r>
          </w:p>
        </w:tc>
        <w:tc>
          <w:tcPr>
            <w:tcW w:w="1125" w:type="dxa"/>
          </w:tcPr>
          <w:p w14:paraId="13971848" w14:textId="77777777" w:rsidR="00E47AB8" w:rsidRPr="008B2F8A" w:rsidRDefault="00E47AB8" w:rsidP="00422306">
            <w:pPr>
              <w:spacing w:before="40" w:after="80"/>
              <w:rPr>
                <w:rFonts w:ascii="Arial Narrow" w:hAnsi="Arial Narrow"/>
              </w:rPr>
            </w:pPr>
            <w:r w:rsidRPr="008B2F8A">
              <w:rPr>
                <w:rFonts w:ascii="Arial Narrow" w:hAnsi="Arial Narrow"/>
              </w:rPr>
              <w:t>1.00</w:t>
            </w:r>
          </w:p>
        </w:tc>
        <w:tc>
          <w:tcPr>
            <w:tcW w:w="1125" w:type="dxa"/>
          </w:tcPr>
          <w:p w14:paraId="268B3170" w14:textId="77777777" w:rsidR="00E47AB8" w:rsidRPr="008B2F8A" w:rsidRDefault="00E47AB8" w:rsidP="00422306">
            <w:pPr>
              <w:spacing w:before="40" w:after="80"/>
              <w:rPr>
                <w:rFonts w:ascii="Arial Narrow" w:hAnsi="Arial Narrow"/>
              </w:rPr>
            </w:pPr>
            <w:r w:rsidRPr="008B2F8A">
              <w:rPr>
                <w:rFonts w:ascii="Arial Narrow" w:hAnsi="Arial Narrow"/>
              </w:rPr>
              <w:t>0.79</w:t>
            </w:r>
          </w:p>
        </w:tc>
        <w:tc>
          <w:tcPr>
            <w:tcW w:w="1453" w:type="dxa"/>
            <w:tcBorders>
              <w:bottom w:val="nil"/>
            </w:tcBorders>
          </w:tcPr>
          <w:p w14:paraId="44F460C4" w14:textId="1F611855" w:rsidR="00E47AB8" w:rsidRPr="008B2F8A" w:rsidRDefault="00E47AB8" w:rsidP="00422306">
            <w:pPr>
              <w:spacing w:before="40" w:after="80"/>
              <w:rPr>
                <w:rFonts w:ascii="Arial Narrow" w:hAnsi="Arial Narrow"/>
              </w:rPr>
            </w:pPr>
            <w:r>
              <w:rPr>
                <w:rFonts w:ascii="Arial Narrow" w:hAnsi="Arial Narrow"/>
              </w:rPr>
              <w:t>Berg et al, 2012</w:t>
            </w:r>
          </w:p>
        </w:tc>
      </w:tr>
      <w:tr w:rsidR="00E47AB8" w:rsidRPr="008B2F8A" w14:paraId="13243AD6" w14:textId="77777777" w:rsidTr="00E14AC4">
        <w:tc>
          <w:tcPr>
            <w:tcW w:w="3720" w:type="dxa"/>
            <w:tcBorders>
              <w:top w:val="nil"/>
              <w:bottom w:val="single" w:sz="4" w:space="0" w:color="auto"/>
            </w:tcBorders>
          </w:tcPr>
          <w:p w14:paraId="6CA04C68" w14:textId="6AEF3072" w:rsidR="00E47AB8" w:rsidRPr="008B2F8A" w:rsidRDefault="00E47AB8" w:rsidP="00422306">
            <w:pPr>
              <w:spacing w:before="40" w:after="80"/>
              <w:rPr>
                <w:rFonts w:ascii="Arial Narrow" w:hAnsi="Arial Narrow"/>
              </w:rPr>
            </w:pPr>
            <w:r w:rsidRPr="00AA62E6">
              <w:rPr>
                <w:rFonts w:ascii="Arial Narrow" w:hAnsi="Arial Narrow"/>
                <w:color w:val="FFFFFF" w:themeColor="background1"/>
              </w:rPr>
              <w:t>-</w:t>
            </w:r>
          </w:p>
        </w:tc>
        <w:tc>
          <w:tcPr>
            <w:tcW w:w="1647" w:type="dxa"/>
          </w:tcPr>
          <w:p w14:paraId="5CA0294A" w14:textId="77777777" w:rsidR="00E47AB8" w:rsidRPr="008B2F8A" w:rsidRDefault="00E47AB8" w:rsidP="00422306">
            <w:pPr>
              <w:spacing w:before="40" w:after="80"/>
              <w:rPr>
                <w:rFonts w:ascii="Arial Narrow" w:hAnsi="Arial Narrow"/>
              </w:rPr>
            </w:pPr>
            <w:r w:rsidRPr="008B2F8A">
              <w:rPr>
                <w:rFonts w:ascii="Arial Narrow" w:hAnsi="Arial Narrow"/>
              </w:rPr>
              <w:t>MAM</w:t>
            </w:r>
          </w:p>
        </w:tc>
        <w:tc>
          <w:tcPr>
            <w:tcW w:w="1125" w:type="dxa"/>
          </w:tcPr>
          <w:p w14:paraId="075CF14D" w14:textId="77777777" w:rsidR="00E47AB8" w:rsidRPr="008B2F8A" w:rsidRDefault="00E47AB8" w:rsidP="00422306">
            <w:pPr>
              <w:spacing w:before="40" w:after="80"/>
              <w:rPr>
                <w:rFonts w:ascii="Arial Narrow" w:hAnsi="Arial Narrow"/>
              </w:rPr>
            </w:pPr>
            <w:r w:rsidRPr="008B2F8A">
              <w:rPr>
                <w:rFonts w:ascii="Arial Narrow" w:hAnsi="Arial Narrow"/>
              </w:rPr>
              <w:t>0.50</w:t>
            </w:r>
          </w:p>
        </w:tc>
        <w:tc>
          <w:tcPr>
            <w:tcW w:w="1125" w:type="dxa"/>
          </w:tcPr>
          <w:p w14:paraId="13A1BC4A" w14:textId="77777777" w:rsidR="00E47AB8" w:rsidRPr="008B2F8A" w:rsidRDefault="00E47AB8" w:rsidP="00422306">
            <w:pPr>
              <w:spacing w:before="40" w:after="80"/>
              <w:rPr>
                <w:rFonts w:ascii="Arial Narrow" w:hAnsi="Arial Narrow"/>
              </w:rPr>
            </w:pPr>
            <w:r w:rsidRPr="008B2F8A">
              <w:rPr>
                <w:rFonts w:ascii="Arial Narrow" w:hAnsi="Arial Narrow"/>
              </w:rPr>
              <w:t>0.95</w:t>
            </w:r>
          </w:p>
        </w:tc>
        <w:tc>
          <w:tcPr>
            <w:tcW w:w="1453" w:type="dxa"/>
            <w:tcBorders>
              <w:top w:val="nil"/>
              <w:bottom w:val="single" w:sz="4" w:space="0" w:color="auto"/>
            </w:tcBorders>
          </w:tcPr>
          <w:p w14:paraId="3EC127E4" w14:textId="75226EC3" w:rsidR="00E47AB8" w:rsidRPr="008B2F8A" w:rsidRDefault="00E47AB8" w:rsidP="00422306">
            <w:pPr>
              <w:spacing w:before="40" w:after="80"/>
              <w:rPr>
                <w:rFonts w:ascii="Arial Narrow" w:hAnsi="Arial Narrow"/>
              </w:rPr>
            </w:pPr>
            <w:r w:rsidRPr="00AA62E6">
              <w:rPr>
                <w:rFonts w:ascii="Arial Narrow" w:hAnsi="Arial Narrow"/>
                <w:color w:val="FFFFFF" w:themeColor="background1"/>
              </w:rPr>
              <w:t>-</w:t>
            </w:r>
          </w:p>
        </w:tc>
      </w:tr>
      <w:tr w:rsidR="00E47AB8" w:rsidRPr="008B2F8A" w14:paraId="229A1771" w14:textId="77777777" w:rsidTr="00E14AC4">
        <w:tc>
          <w:tcPr>
            <w:tcW w:w="3720" w:type="dxa"/>
            <w:tcBorders>
              <w:bottom w:val="nil"/>
            </w:tcBorders>
          </w:tcPr>
          <w:p w14:paraId="6FF1D185" w14:textId="77777777" w:rsidR="00E47AB8" w:rsidRPr="008B2F8A" w:rsidRDefault="00E47AB8" w:rsidP="00422306">
            <w:pPr>
              <w:spacing w:before="40" w:after="80"/>
              <w:rPr>
                <w:rFonts w:ascii="Arial Narrow" w:hAnsi="Arial Narrow"/>
              </w:rPr>
            </w:pPr>
            <w:r w:rsidRPr="008B2F8A">
              <w:rPr>
                <w:rFonts w:ascii="Arial Narrow" w:hAnsi="Arial Narrow"/>
              </w:rPr>
              <w:t>Women with previous DCIS or LCIS</w:t>
            </w:r>
          </w:p>
        </w:tc>
        <w:tc>
          <w:tcPr>
            <w:tcW w:w="1647" w:type="dxa"/>
          </w:tcPr>
          <w:p w14:paraId="2AFFDAD9" w14:textId="77777777" w:rsidR="00E47AB8" w:rsidRPr="008B2F8A" w:rsidRDefault="00E47AB8" w:rsidP="00422306">
            <w:pPr>
              <w:spacing w:before="40" w:after="80"/>
              <w:rPr>
                <w:rFonts w:ascii="Arial Narrow" w:hAnsi="Arial Narrow"/>
              </w:rPr>
            </w:pPr>
            <w:r w:rsidRPr="008B2F8A">
              <w:rPr>
                <w:rFonts w:ascii="Arial Narrow" w:hAnsi="Arial Narrow"/>
              </w:rPr>
              <w:t>MRI</w:t>
            </w:r>
          </w:p>
        </w:tc>
        <w:tc>
          <w:tcPr>
            <w:tcW w:w="1125" w:type="dxa"/>
          </w:tcPr>
          <w:p w14:paraId="347B704E" w14:textId="77777777" w:rsidR="00E47AB8" w:rsidRPr="008B2F8A" w:rsidRDefault="00E47AB8" w:rsidP="00422306">
            <w:pPr>
              <w:spacing w:before="40" w:after="80"/>
              <w:rPr>
                <w:rFonts w:ascii="Arial Narrow" w:hAnsi="Arial Narrow"/>
              </w:rPr>
            </w:pPr>
            <w:r w:rsidRPr="008B2F8A">
              <w:rPr>
                <w:rFonts w:ascii="Arial Narrow" w:hAnsi="Arial Narrow"/>
              </w:rPr>
              <w:t>0.71</w:t>
            </w:r>
          </w:p>
        </w:tc>
        <w:tc>
          <w:tcPr>
            <w:tcW w:w="1125" w:type="dxa"/>
          </w:tcPr>
          <w:p w14:paraId="7E902006" w14:textId="77777777" w:rsidR="00E47AB8" w:rsidRPr="008B2F8A" w:rsidRDefault="00E47AB8" w:rsidP="00422306">
            <w:pPr>
              <w:spacing w:before="40" w:after="80"/>
              <w:rPr>
                <w:rFonts w:ascii="Arial Narrow" w:hAnsi="Arial Narrow"/>
              </w:rPr>
            </w:pPr>
            <w:r w:rsidRPr="008B2F8A">
              <w:rPr>
                <w:rFonts w:ascii="Arial Narrow" w:hAnsi="Arial Narrow"/>
              </w:rPr>
              <w:t>0.76</w:t>
            </w:r>
          </w:p>
        </w:tc>
        <w:tc>
          <w:tcPr>
            <w:tcW w:w="1453" w:type="dxa"/>
            <w:tcBorders>
              <w:bottom w:val="nil"/>
            </w:tcBorders>
          </w:tcPr>
          <w:p w14:paraId="7A296F27" w14:textId="45001784" w:rsidR="00E47AB8" w:rsidRPr="008B2F8A" w:rsidRDefault="00E47AB8" w:rsidP="00422306">
            <w:pPr>
              <w:spacing w:before="40" w:after="80"/>
              <w:rPr>
                <w:rFonts w:ascii="Arial Narrow" w:hAnsi="Arial Narrow"/>
              </w:rPr>
            </w:pPr>
            <w:r>
              <w:rPr>
                <w:rFonts w:ascii="Arial Narrow" w:hAnsi="Arial Narrow"/>
              </w:rPr>
              <w:t>Sung et al, 2011</w:t>
            </w:r>
          </w:p>
        </w:tc>
      </w:tr>
      <w:tr w:rsidR="00E47AB8" w:rsidRPr="008B2F8A" w14:paraId="5F96783C" w14:textId="77777777" w:rsidTr="00E14AC4">
        <w:tc>
          <w:tcPr>
            <w:tcW w:w="3720" w:type="dxa"/>
            <w:tcBorders>
              <w:top w:val="nil"/>
              <w:bottom w:val="single" w:sz="4" w:space="0" w:color="auto"/>
            </w:tcBorders>
          </w:tcPr>
          <w:p w14:paraId="0C820FAA" w14:textId="2F92F35A" w:rsidR="00E47AB8" w:rsidRPr="008B2F8A" w:rsidRDefault="00E47AB8" w:rsidP="00422306">
            <w:pPr>
              <w:spacing w:before="40" w:after="80"/>
              <w:rPr>
                <w:rFonts w:ascii="Arial Narrow" w:hAnsi="Arial Narrow"/>
              </w:rPr>
            </w:pPr>
            <w:r w:rsidRPr="00AA62E6">
              <w:rPr>
                <w:rFonts w:ascii="Arial Narrow" w:hAnsi="Arial Narrow"/>
                <w:color w:val="FFFFFF" w:themeColor="background1"/>
              </w:rPr>
              <w:t>-</w:t>
            </w:r>
          </w:p>
        </w:tc>
        <w:tc>
          <w:tcPr>
            <w:tcW w:w="1647" w:type="dxa"/>
          </w:tcPr>
          <w:p w14:paraId="749F966A" w14:textId="77777777" w:rsidR="00E47AB8" w:rsidRPr="008B2F8A" w:rsidRDefault="00E47AB8" w:rsidP="00422306">
            <w:pPr>
              <w:spacing w:before="40" w:after="80"/>
              <w:rPr>
                <w:rFonts w:ascii="Arial Narrow" w:hAnsi="Arial Narrow"/>
              </w:rPr>
            </w:pPr>
            <w:r w:rsidRPr="008B2F8A">
              <w:rPr>
                <w:rFonts w:ascii="Arial Narrow" w:hAnsi="Arial Narrow"/>
              </w:rPr>
              <w:t>MAM</w:t>
            </w:r>
          </w:p>
        </w:tc>
        <w:tc>
          <w:tcPr>
            <w:tcW w:w="1125" w:type="dxa"/>
          </w:tcPr>
          <w:p w14:paraId="295A606A" w14:textId="77777777" w:rsidR="00E47AB8" w:rsidRPr="008B2F8A" w:rsidRDefault="00E47AB8" w:rsidP="00422306">
            <w:pPr>
              <w:spacing w:before="40" w:after="80"/>
              <w:rPr>
                <w:rFonts w:ascii="Arial Narrow" w:hAnsi="Arial Narrow"/>
              </w:rPr>
            </w:pPr>
            <w:r w:rsidRPr="008B2F8A">
              <w:rPr>
                <w:rFonts w:ascii="Arial Narrow" w:hAnsi="Arial Narrow"/>
              </w:rPr>
              <w:t>0.36</w:t>
            </w:r>
          </w:p>
        </w:tc>
        <w:tc>
          <w:tcPr>
            <w:tcW w:w="1125" w:type="dxa"/>
          </w:tcPr>
          <w:p w14:paraId="0B317863" w14:textId="77777777" w:rsidR="00E47AB8" w:rsidRPr="008B2F8A" w:rsidRDefault="00E47AB8" w:rsidP="00422306">
            <w:pPr>
              <w:spacing w:before="40" w:after="80"/>
              <w:rPr>
                <w:rFonts w:ascii="Arial Narrow" w:hAnsi="Arial Narrow"/>
              </w:rPr>
            </w:pPr>
            <w:r w:rsidRPr="008B2F8A">
              <w:rPr>
                <w:rFonts w:ascii="Arial Narrow" w:hAnsi="Arial Narrow"/>
              </w:rPr>
              <w:t>0.90</w:t>
            </w:r>
          </w:p>
        </w:tc>
        <w:tc>
          <w:tcPr>
            <w:tcW w:w="1453" w:type="dxa"/>
            <w:tcBorders>
              <w:top w:val="nil"/>
              <w:bottom w:val="single" w:sz="4" w:space="0" w:color="auto"/>
            </w:tcBorders>
          </w:tcPr>
          <w:p w14:paraId="03E41216" w14:textId="338E99B7" w:rsidR="00E47AB8" w:rsidRPr="008B2F8A" w:rsidRDefault="00E47AB8" w:rsidP="00422306">
            <w:pPr>
              <w:spacing w:before="40" w:after="80"/>
              <w:rPr>
                <w:rFonts w:ascii="Arial Narrow" w:hAnsi="Arial Narrow"/>
              </w:rPr>
            </w:pPr>
            <w:r w:rsidRPr="00AA62E6">
              <w:rPr>
                <w:rFonts w:ascii="Arial Narrow" w:hAnsi="Arial Narrow"/>
                <w:color w:val="FFFFFF" w:themeColor="background1"/>
              </w:rPr>
              <w:t>-</w:t>
            </w:r>
          </w:p>
        </w:tc>
      </w:tr>
      <w:tr w:rsidR="00E47AB8" w:rsidRPr="008B2F8A" w14:paraId="47EB5170" w14:textId="77777777" w:rsidTr="00E14AC4">
        <w:tc>
          <w:tcPr>
            <w:tcW w:w="3720" w:type="dxa"/>
            <w:tcBorders>
              <w:bottom w:val="nil"/>
            </w:tcBorders>
          </w:tcPr>
          <w:p w14:paraId="2A8F7003" w14:textId="77777777" w:rsidR="00E47AB8" w:rsidRPr="008B2F8A" w:rsidRDefault="00E47AB8" w:rsidP="00422306">
            <w:pPr>
              <w:spacing w:before="40" w:after="80"/>
              <w:rPr>
                <w:rFonts w:ascii="Arial Narrow" w:hAnsi="Arial Narrow"/>
              </w:rPr>
            </w:pPr>
            <w:r w:rsidRPr="008B2F8A">
              <w:rPr>
                <w:rFonts w:ascii="Arial Narrow" w:hAnsi="Arial Narrow"/>
              </w:rPr>
              <w:t>Women with previous chest irradiation</w:t>
            </w:r>
          </w:p>
        </w:tc>
        <w:tc>
          <w:tcPr>
            <w:tcW w:w="1647" w:type="dxa"/>
          </w:tcPr>
          <w:p w14:paraId="5BC8F13D" w14:textId="77777777" w:rsidR="00E47AB8" w:rsidRPr="008B2F8A" w:rsidRDefault="00E47AB8" w:rsidP="00422306">
            <w:pPr>
              <w:spacing w:before="40" w:after="80"/>
              <w:rPr>
                <w:rFonts w:ascii="Arial Narrow" w:hAnsi="Arial Narrow"/>
              </w:rPr>
            </w:pPr>
            <w:r w:rsidRPr="008B2F8A">
              <w:rPr>
                <w:rFonts w:ascii="Arial Narrow" w:hAnsi="Arial Narrow"/>
              </w:rPr>
              <w:t>MRI​+​MAM</w:t>
            </w:r>
          </w:p>
        </w:tc>
        <w:tc>
          <w:tcPr>
            <w:tcW w:w="1125" w:type="dxa"/>
          </w:tcPr>
          <w:p w14:paraId="46DB9C4F" w14:textId="77777777" w:rsidR="00E47AB8" w:rsidRPr="008B2F8A" w:rsidRDefault="00E47AB8" w:rsidP="00422306">
            <w:pPr>
              <w:spacing w:before="40" w:after="80"/>
              <w:rPr>
                <w:rFonts w:ascii="Arial Narrow" w:hAnsi="Arial Narrow"/>
              </w:rPr>
            </w:pPr>
            <w:r w:rsidRPr="008B2F8A">
              <w:rPr>
                <w:rFonts w:ascii="Arial Narrow" w:hAnsi="Arial Narrow"/>
              </w:rPr>
              <w:t>0.95</w:t>
            </w:r>
          </w:p>
        </w:tc>
        <w:tc>
          <w:tcPr>
            <w:tcW w:w="1125" w:type="dxa"/>
          </w:tcPr>
          <w:p w14:paraId="720852CB" w14:textId="77777777" w:rsidR="00E47AB8" w:rsidRPr="008B2F8A" w:rsidRDefault="00E47AB8" w:rsidP="00422306">
            <w:pPr>
              <w:spacing w:before="40" w:after="80"/>
              <w:rPr>
                <w:rFonts w:ascii="Arial Narrow" w:hAnsi="Arial Narrow"/>
              </w:rPr>
            </w:pPr>
            <w:r w:rsidRPr="008B2F8A">
              <w:rPr>
                <w:rFonts w:ascii="Arial Narrow" w:hAnsi="Arial Narrow"/>
              </w:rPr>
              <w:t>0.86</w:t>
            </w:r>
          </w:p>
        </w:tc>
        <w:tc>
          <w:tcPr>
            <w:tcW w:w="1453" w:type="dxa"/>
            <w:tcBorders>
              <w:bottom w:val="nil"/>
            </w:tcBorders>
          </w:tcPr>
          <w:p w14:paraId="445D3C9E" w14:textId="00ABC90B" w:rsidR="00E47AB8" w:rsidRPr="008B2F8A" w:rsidRDefault="00E47AB8" w:rsidP="00422306">
            <w:pPr>
              <w:spacing w:before="40" w:after="80"/>
              <w:rPr>
                <w:rFonts w:ascii="Arial Narrow" w:hAnsi="Arial Narrow"/>
              </w:rPr>
            </w:pPr>
            <w:r>
              <w:rPr>
                <w:rFonts w:ascii="Arial Narrow" w:hAnsi="Arial Narrow"/>
              </w:rPr>
              <w:t>Ng et al, 2013</w:t>
            </w:r>
          </w:p>
        </w:tc>
      </w:tr>
      <w:tr w:rsidR="00E47AB8" w:rsidRPr="008B2F8A" w14:paraId="362EB57F" w14:textId="77777777" w:rsidTr="00E14AC4">
        <w:tc>
          <w:tcPr>
            <w:tcW w:w="3720" w:type="dxa"/>
            <w:tcBorders>
              <w:top w:val="nil"/>
            </w:tcBorders>
          </w:tcPr>
          <w:p w14:paraId="29A01FF0" w14:textId="594C4A04" w:rsidR="00E47AB8" w:rsidRPr="008B2F8A" w:rsidRDefault="00E47AB8" w:rsidP="00422306">
            <w:pPr>
              <w:spacing w:before="40" w:after="80"/>
              <w:rPr>
                <w:rFonts w:ascii="Arial Narrow" w:hAnsi="Arial Narrow"/>
              </w:rPr>
            </w:pPr>
            <w:r w:rsidRPr="00AA62E6">
              <w:rPr>
                <w:rFonts w:ascii="Arial Narrow" w:hAnsi="Arial Narrow"/>
                <w:color w:val="FFFFFF" w:themeColor="background1"/>
              </w:rPr>
              <w:t>-</w:t>
            </w:r>
          </w:p>
        </w:tc>
        <w:tc>
          <w:tcPr>
            <w:tcW w:w="1647" w:type="dxa"/>
          </w:tcPr>
          <w:p w14:paraId="7EF60364" w14:textId="77777777" w:rsidR="00E47AB8" w:rsidRPr="008B2F8A" w:rsidRDefault="00E47AB8" w:rsidP="00422306">
            <w:pPr>
              <w:spacing w:before="40" w:after="80"/>
              <w:rPr>
                <w:rFonts w:ascii="Arial Narrow" w:hAnsi="Arial Narrow"/>
              </w:rPr>
            </w:pPr>
            <w:r w:rsidRPr="008B2F8A">
              <w:rPr>
                <w:rFonts w:ascii="Arial Narrow" w:hAnsi="Arial Narrow"/>
              </w:rPr>
              <w:t>MAM</w:t>
            </w:r>
          </w:p>
        </w:tc>
        <w:tc>
          <w:tcPr>
            <w:tcW w:w="1125" w:type="dxa"/>
          </w:tcPr>
          <w:p w14:paraId="3EECFEED" w14:textId="77777777" w:rsidR="00E47AB8" w:rsidRPr="008B2F8A" w:rsidRDefault="00E47AB8" w:rsidP="00422306">
            <w:pPr>
              <w:spacing w:before="40" w:after="80"/>
              <w:rPr>
                <w:rFonts w:ascii="Arial Narrow" w:hAnsi="Arial Narrow"/>
              </w:rPr>
            </w:pPr>
            <w:r w:rsidRPr="008B2F8A">
              <w:rPr>
                <w:rFonts w:ascii="Arial Narrow" w:hAnsi="Arial Narrow"/>
              </w:rPr>
              <w:t>0.68</w:t>
            </w:r>
          </w:p>
        </w:tc>
        <w:tc>
          <w:tcPr>
            <w:tcW w:w="1125" w:type="dxa"/>
          </w:tcPr>
          <w:p w14:paraId="24FC9DA5" w14:textId="77777777" w:rsidR="00E47AB8" w:rsidRPr="008B2F8A" w:rsidRDefault="00E47AB8" w:rsidP="00422306">
            <w:pPr>
              <w:spacing w:before="40" w:after="80"/>
              <w:rPr>
                <w:rFonts w:ascii="Arial Narrow" w:hAnsi="Arial Narrow"/>
              </w:rPr>
            </w:pPr>
            <w:r w:rsidRPr="008B2F8A">
              <w:rPr>
                <w:rFonts w:ascii="Arial Narrow" w:hAnsi="Arial Narrow"/>
              </w:rPr>
              <w:t>0.92</w:t>
            </w:r>
          </w:p>
        </w:tc>
        <w:tc>
          <w:tcPr>
            <w:tcW w:w="1453" w:type="dxa"/>
            <w:tcBorders>
              <w:top w:val="nil"/>
            </w:tcBorders>
          </w:tcPr>
          <w:p w14:paraId="0A388ABA" w14:textId="5EC05CEF" w:rsidR="00E47AB8" w:rsidRPr="008B2F8A" w:rsidRDefault="00E47AB8" w:rsidP="00422306">
            <w:pPr>
              <w:spacing w:before="40" w:after="80"/>
              <w:rPr>
                <w:rFonts w:ascii="Arial Narrow" w:hAnsi="Arial Narrow"/>
              </w:rPr>
            </w:pPr>
            <w:r w:rsidRPr="00AA62E6">
              <w:rPr>
                <w:rFonts w:ascii="Arial Narrow" w:hAnsi="Arial Narrow"/>
                <w:color w:val="FFFFFF" w:themeColor="background1"/>
              </w:rPr>
              <w:t>-</w:t>
            </w:r>
          </w:p>
        </w:tc>
      </w:tr>
    </w:tbl>
    <w:p w14:paraId="38F59E42" w14:textId="458AE0D2" w:rsidR="00E47AB8" w:rsidRPr="008B2F8A" w:rsidRDefault="00E47AB8" w:rsidP="00E14AC4">
      <w:pPr>
        <w:pStyle w:val="TableNotesLast"/>
      </w:pPr>
      <w:r w:rsidRPr="008B2F8A">
        <w:t>DCIS = ductal carcinoma in situ; LCIS = lobular carcinoma in situ; MAM = mammography; MRI = magnetic resonance imaging.</w:t>
      </w:r>
    </w:p>
    <w:p w14:paraId="41C50AA4" w14:textId="77777777" w:rsidR="00E47AB8" w:rsidRPr="00E14AC4" w:rsidRDefault="00E47AB8" w:rsidP="00E47AB8">
      <w:pPr>
        <w:pStyle w:val="Heading3"/>
        <w:numPr>
          <w:ilvl w:val="2"/>
          <w:numId w:val="42"/>
        </w:numPr>
        <w:rPr>
          <w:spacing w:val="-4"/>
        </w:rPr>
      </w:pPr>
      <w:bookmarkStart w:id="1309" w:name="_Ref377464229"/>
      <w:bookmarkStart w:id="1310" w:name="_Toc383424524"/>
      <w:r w:rsidRPr="00E14AC4">
        <w:rPr>
          <w:spacing w:val="-4"/>
        </w:rPr>
        <w:lastRenderedPageBreak/>
        <w:t>Assumptions used in the analysis of imaging follow-up and treatment</w:t>
      </w:r>
      <w:bookmarkEnd w:id="1309"/>
      <w:bookmarkEnd w:id="1310"/>
    </w:p>
    <w:p w14:paraId="3F36060D" w14:textId="1065207F" w:rsidR="00E47AB8" w:rsidRPr="008B2F8A" w:rsidRDefault="00E47AB8" w:rsidP="00422306">
      <w:r w:rsidRPr="008B2F8A">
        <w:t xml:space="preserve">The key assumptions used to calculate the impact of MRI follow-up and breast cancer treatment costs </w:t>
      </w:r>
      <w:r>
        <w:t>are summarised</w:t>
      </w:r>
      <w:r w:rsidRPr="008B2F8A">
        <w:t xml:space="preserve"> in </w:t>
      </w:r>
      <w:r w:rsidRPr="008B2F8A">
        <w:fldChar w:fldCharType="begin"/>
      </w:r>
      <w:r w:rsidRPr="008B2F8A">
        <w:instrText xml:space="preserve"> REF _Ref377464172 \h  \* MERGEFORMAT </w:instrText>
      </w:r>
      <w:r w:rsidRPr="008B2F8A">
        <w:fldChar w:fldCharType="separate"/>
      </w:r>
      <w:r w:rsidR="00B81273" w:rsidRPr="008B2F8A">
        <w:t xml:space="preserve">Table </w:t>
      </w:r>
      <w:r w:rsidR="00B81273">
        <w:rPr>
          <w:noProof/>
        </w:rPr>
        <w:t>E</w:t>
      </w:r>
      <w:r w:rsidR="00B81273" w:rsidRPr="008B2F8A">
        <w:rPr>
          <w:noProof/>
        </w:rPr>
        <w:t>.</w:t>
      </w:r>
      <w:r w:rsidR="00B81273">
        <w:rPr>
          <w:noProof/>
        </w:rPr>
        <w:t>5</w:t>
      </w:r>
      <w:r w:rsidRPr="008B2F8A">
        <w:fldChar w:fldCharType="end"/>
      </w:r>
      <w:r w:rsidRPr="008B2F8A">
        <w:t>. The financial impact analyses focus on the cost of screening with MRI and the cost of the additional false-positive and true-positive findings from MRI. It is assumed that only th</w:t>
      </w:r>
      <w:r>
        <w:t>os</w:t>
      </w:r>
      <w:r w:rsidRPr="008B2F8A">
        <w:t>e additional findings with MRI result in changes in patient management. Management of all other women is not changed.</w:t>
      </w:r>
    </w:p>
    <w:p w14:paraId="1692FDB6" w14:textId="77777777" w:rsidR="00E47AB8" w:rsidRPr="008B2F8A" w:rsidRDefault="00E47AB8" w:rsidP="00422306">
      <w:pPr>
        <w:pStyle w:val="Caption"/>
      </w:pPr>
      <w:bookmarkStart w:id="1311" w:name="_Ref377464172"/>
      <w:bookmarkStart w:id="1312" w:name="_Toc383424636"/>
      <w:r w:rsidRPr="008B2F8A">
        <w:t xml:space="preserve">Table </w:t>
      </w:r>
      <w:fldSimple w:instr=" STYLEREF 1 \s ">
        <w:r w:rsidR="00B81273">
          <w:rPr>
            <w:noProof/>
          </w:rPr>
          <w:t>E</w:t>
        </w:r>
      </w:fldSimple>
      <w:r w:rsidRPr="008B2F8A">
        <w:t>.</w:t>
      </w:r>
      <w:fldSimple w:instr=" SEQ Table \* ARABIC \s 1 ">
        <w:r w:rsidR="00B81273">
          <w:rPr>
            <w:noProof/>
          </w:rPr>
          <w:t>5</w:t>
        </w:r>
      </w:fldSimple>
      <w:bookmarkEnd w:id="1311"/>
      <w:r w:rsidRPr="008B2F8A">
        <w:tab/>
        <w:t>Assumptions used in the follow-up and treatment cost analysis.</w:t>
      </w:r>
      <w:bookmarkEnd w:id="1312"/>
    </w:p>
    <w:tbl>
      <w:tblPr>
        <w:tblStyle w:val="TableGrid"/>
        <w:tblW w:w="9070" w:type="dxa"/>
        <w:tblCellMar>
          <w:left w:w="28" w:type="dxa"/>
          <w:right w:w="28" w:type="dxa"/>
        </w:tblCellMar>
        <w:tblLook w:val="04A0" w:firstRow="1" w:lastRow="0" w:firstColumn="1" w:lastColumn="0" w:noHBand="0" w:noVBand="1"/>
        <w:tblCaption w:val="Assumptions used in the follow-up and treatment cost analysis."/>
      </w:tblPr>
      <w:tblGrid>
        <w:gridCol w:w="7401"/>
        <w:gridCol w:w="1669"/>
      </w:tblGrid>
      <w:tr w:rsidR="00E47AB8" w:rsidRPr="008B2F8A" w14:paraId="6A01C8ED" w14:textId="77777777" w:rsidTr="00422306">
        <w:trPr>
          <w:tblHeader/>
        </w:trPr>
        <w:tc>
          <w:tcPr>
            <w:tcW w:w="7451" w:type="dxa"/>
          </w:tcPr>
          <w:p w14:paraId="201BF28E" w14:textId="77777777" w:rsidR="00E47AB8" w:rsidRPr="008B2F8A" w:rsidRDefault="00E47AB8" w:rsidP="00422306">
            <w:pPr>
              <w:pStyle w:val="Tableheaderrow"/>
              <w:spacing w:before="40" w:after="80" w:line="276" w:lineRule="auto"/>
            </w:pPr>
            <w:r w:rsidRPr="008B2F8A">
              <w:t>Details of assumption</w:t>
            </w:r>
          </w:p>
        </w:tc>
        <w:tc>
          <w:tcPr>
            <w:tcW w:w="1675" w:type="dxa"/>
          </w:tcPr>
          <w:p w14:paraId="6B34F758" w14:textId="77777777" w:rsidR="00E47AB8" w:rsidRPr="008B2F8A" w:rsidRDefault="00E47AB8" w:rsidP="00422306">
            <w:pPr>
              <w:pStyle w:val="Tableheaderrow"/>
              <w:spacing w:before="40" w:after="80" w:line="276" w:lineRule="auto"/>
            </w:pPr>
            <w:r w:rsidRPr="008B2F8A">
              <w:t>Source</w:t>
            </w:r>
          </w:p>
        </w:tc>
      </w:tr>
      <w:tr w:rsidR="00E47AB8" w:rsidRPr="008B2F8A" w14:paraId="4686DA94" w14:textId="77777777" w:rsidTr="00422306">
        <w:tc>
          <w:tcPr>
            <w:tcW w:w="7451" w:type="dxa"/>
          </w:tcPr>
          <w:p w14:paraId="618623E8" w14:textId="6916E2FF" w:rsidR="00E47AB8" w:rsidRPr="008B2F8A" w:rsidRDefault="00E47AB8">
            <w:pPr>
              <w:spacing w:before="40" w:after="80"/>
              <w:rPr>
                <w:rFonts w:ascii="Arial Narrow" w:hAnsi="Arial Narrow"/>
                <w:lang w:eastAsia="en-US"/>
              </w:rPr>
            </w:pPr>
            <w:r w:rsidRPr="008B2F8A">
              <w:rPr>
                <w:rFonts w:ascii="Arial Narrow" w:hAnsi="Arial Narrow"/>
              </w:rPr>
              <w:t>There is no change in the use of mammography with MRI. All women who would receive MRI currently receive mammography and this does not change with the addition of MRI</w:t>
            </w:r>
          </w:p>
        </w:tc>
        <w:tc>
          <w:tcPr>
            <w:tcW w:w="1675" w:type="dxa"/>
          </w:tcPr>
          <w:p w14:paraId="721C6620" w14:textId="77777777" w:rsidR="00E47AB8" w:rsidRPr="008B2F8A" w:rsidRDefault="00E47AB8" w:rsidP="00422306">
            <w:pPr>
              <w:spacing w:before="40" w:after="80"/>
              <w:rPr>
                <w:rFonts w:ascii="Arial Narrow" w:hAnsi="Arial Narrow"/>
              </w:rPr>
            </w:pPr>
            <w:r w:rsidRPr="008B2F8A">
              <w:rPr>
                <w:rFonts w:ascii="Arial Narrow" w:hAnsi="Arial Narrow"/>
              </w:rPr>
              <w:t>Assumption</w:t>
            </w:r>
          </w:p>
        </w:tc>
      </w:tr>
      <w:tr w:rsidR="00E47AB8" w:rsidRPr="008B2F8A" w14:paraId="19FAA8A9" w14:textId="77777777" w:rsidTr="00422306">
        <w:tc>
          <w:tcPr>
            <w:tcW w:w="7451" w:type="dxa"/>
          </w:tcPr>
          <w:p w14:paraId="3E7C2A78" w14:textId="1C131FFD" w:rsidR="00E47AB8" w:rsidRPr="008B2F8A" w:rsidRDefault="00E47AB8">
            <w:pPr>
              <w:spacing w:before="40" w:after="80"/>
              <w:rPr>
                <w:rFonts w:ascii="Arial Narrow" w:hAnsi="Arial Narrow"/>
                <w:lang w:eastAsia="en-US"/>
              </w:rPr>
            </w:pPr>
            <w:r w:rsidRPr="008B2F8A">
              <w:rPr>
                <w:rFonts w:ascii="Arial Narrow" w:hAnsi="Arial Narrow"/>
              </w:rPr>
              <w:t>MRI will replace ultrasound imaging in 25% of women. For the remaining 75% of women, use of ultrasound is not changed with the addition of MRI</w:t>
            </w:r>
          </w:p>
        </w:tc>
        <w:tc>
          <w:tcPr>
            <w:tcW w:w="1675" w:type="dxa"/>
          </w:tcPr>
          <w:p w14:paraId="3C761B1B" w14:textId="77777777" w:rsidR="00E47AB8" w:rsidRPr="008B2F8A" w:rsidRDefault="00E47AB8" w:rsidP="00422306">
            <w:pPr>
              <w:spacing w:before="40" w:after="80"/>
              <w:rPr>
                <w:rFonts w:ascii="Arial Narrow" w:hAnsi="Arial Narrow"/>
              </w:rPr>
            </w:pPr>
            <w:r w:rsidRPr="008B2F8A">
              <w:rPr>
                <w:rFonts w:ascii="Arial Narrow" w:hAnsi="Arial Narrow"/>
              </w:rPr>
              <w:t>HESP advice and assumption</w:t>
            </w:r>
          </w:p>
        </w:tc>
      </w:tr>
      <w:tr w:rsidR="00E47AB8" w:rsidRPr="008B2F8A" w14:paraId="52545266" w14:textId="77777777" w:rsidTr="00422306">
        <w:tc>
          <w:tcPr>
            <w:tcW w:w="7451" w:type="dxa"/>
          </w:tcPr>
          <w:p w14:paraId="40252AAB" w14:textId="77777777" w:rsidR="00E47AB8" w:rsidRPr="008B2F8A" w:rsidRDefault="00E47AB8" w:rsidP="00422306">
            <w:pPr>
              <w:spacing w:before="40" w:after="80"/>
              <w:rPr>
                <w:rFonts w:ascii="Arial Narrow" w:hAnsi="Arial Narrow"/>
              </w:rPr>
            </w:pPr>
            <w:r w:rsidRPr="008B2F8A">
              <w:rPr>
                <w:rFonts w:ascii="Arial Narrow" w:hAnsi="Arial Narrow"/>
              </w:rPr>
              <w:t>Women who test negative with MRI receive no further follow-up</w:t>
            </w:r>
          </w:p>
        </w:tc>
        <w:tc>
          <w:tcPr>
            <w:tcW w:w="1675" w:type="dxa"/>
          </w:tcPr>
          <w:p w14:paraId="6CE2C2B4" w14:textId="77777777" w:rsidR="00E47AB8" w:rsidRPr="008B2F8A" w:rsidRDefault="00E47AB8" w:rsidP="00422306">
            <w:pPr>
              <w:spacing w:before="40" w:after="80"/>
              <w:rPr>
                <w:rFonts w:ascii="Arial Narrow" w:hAnsi="Arial Narrow"/>
              </w:rPr>
            </w:pPr>
            <w:r w:rsidRPr="008B2F8A">
              <w:rPr>
                <w:rFonts w:ascii="Arial Narrow" w:hAnsi="Arial Narrow"/>
              </w:rPr>
              <w:t>Assumption</w:t>
            </w:r>
          </w:p>
        </w:tc>
      </w:tr>
      <w:tr w:rsidR="00E47AB8" w:rsidRPr="008B2F8A" w14:paraId="1D5B73BF" w14:textId="77777777" w:rsidTr="00422306">
        <w:tc>
          <w:tcPr>
            <w:tcW w:w="7451" w:type="dxa"/>
          </w:tcPr>
          <w:p w14:paraId="07E9F930" w14:textId="77777777" w:rsidR="00E47AB8" w:rsidRPr="008B2F8A" w:rsidRDefault="00E47AB8" w:rsidP="00422306">
            <w:pPr>
              <w:spacing w:before="40" w:after="80"/>
              <w:rPr>
                <w:rFonts w:ascii="Arial Narrow" w:hAnsi="Arial Narrow"/>
              </w:rPr>
            </w:pPr>
            <w:r w:rsidRPr="008B2F8A">
              <w:rPr>
                <w:rFonts w:ascii="Arial Narrow" w:hAnsi="Arial Narrow"/>
              </w:rPr>
              <w:t>Women who test positive with MRI receive a follow-up biopsy</w:t>
            </w:r>
          </w:p>
        </w:tc>
        <w:tc>
          <w:tcPr>
            <w:tcW w:w="1675" w:type="dxa"/>
          </w:tcPr>
          <w:p w14:paraId="360949A8" w14:textId="77777777" w:rsidR="00E47AB8" w:rsidRPr="008B2F8A" w:rsidRDefault="00E47AB8" w:rsidP="00422306">
            <w:pPr>
              <w:spacing w:before="40" w:after="80"/>
              <w:rPr>
                <w:rFonts w:ascii="Arial Narrow" w:hAnsi="Arial Narrow"/>
              </w:rPr>
            </w:pPr>
            <w:r w:rsidRPr="008B2F8A">
              <w:rPr>
                <w:rFonts w:ascii="Arial Narrow" w:hAnsi="Arial Narrow"/>
              </w:rPr>
              <w:t>Assumption</w:t>
            </w:r>
          </w:p>
        </w:tc>
      </w:tr>
      <w:tr w:rsidR="00E47AB8" w:rsidRPr="008B2F8A" w14:paraId="050D4DAB" w14:textId="77777777" w:rsidTr="00422306">
        <w:tc>
          <w:tcPr>
            <w:tcW w:w="7451" w:type="dxa"/>
          </w:tcPr>
          <w:p w14:paraId="58742553" w14:textId="77777777" w:rsidR="00E47AB8" w:rsidRPr="008B2F8A" w:rsidRDefault="00E47AB8" w:rsidP="00422306">
            <w:pPr>
              <w:spacing w:before="40" w:after="80"/>
              <w:rPr>
                <w:rFonts w:ascii="Arial Narrow" w:hAnsi="Arial Narrow"/>
              </w:rPr>
            </w:pPr>
            <w:r w:rsidRPr="008B2F8A">
              <w:rPr>
                <w:rFonts w:ascii="Arial Narrow" w:hAnsi="Arial Narrow"/>
              </w:rPr>
              <w:t>False-positives are detected at biopsy and not treated</w:t>
            </w:r>
          </w:p>
        </w:tc>
        <w:tc>
          <w:tcPr>
            <w:tcW w:w="1675" w:type="dxa"/>
          </w:tcPr>
          <w:p w14:paraId="7AC8D12B" w14:textId="77777777" w:rsidR="00E47AB8" w:rsidRPr="008B2F8A" w:rsidRDefault="00E47AB8" w:rsidP="00422306">
            <w:pPr>
              <w:spacing w:before="40" w:after="80"/>
              <w:rPr>
                <w:rFonts w:ascii="Arial Narrow" w:hAnsi="Arial Narrow"/>
              </w:rPr>
            </w:pPr>
            <w:r w:rsidRPr="008B2F8A">
              <w:rPr>
                <w:rFonts w:ascii="Arial Narrow" w:hAnsi="Arial Narrow"/>
              </w:rPr>
              <w:t>Assumption</w:t>
            </w:r>
          </w:p>
        </w:tc>
      </w:tr>
      <w:tr w:rsidR="00E47AB8" w:rsidRPr="008B2F8A" w14:paraId="56B70311" w14:textId="77777777" w:rsidTr="00422306">
        <w:tc>
          <w:tcPr>
            <w:tcW w:w="7451" w:type="dxa"/>
          </w:tcPr>
          <w:p w14:paraId="6A695416" w14:textId="77777777" w:rsidR="00E47AB8" w:rsidRPr="008B2F8A" w:rsidRDefault="00E47AB8" w:rsidP="00422306">
            <w:pPr>
              <w:spacing w:before="40" w:after="80"/>
              <w:rPr>
                <w:rFonts w:ascii="Arial Narrow" w:hAnsi="Arial Narrow"/>
              </w:rPr>
            </w:pPr>
            <w:r w:rsidRPr="008B2F8A">
              <w:rPr>
                <w:rFonts w:ascii="Arial Narrow" w:hAnsi="Arial Narrow"/>
              </w:rPr>
              <w:t>True-positives are confirmed with biopsy and receive treatment</w:t>
            </w:r>
          </w:p>
        </w:tc>
        <w:tc>
          <w:tcPr>
            <w:tcW w:w="1675" w:type="dxa"/>
          </w:tcPr>
          <w:p w14:paraId="65CBCE52" w14:textId="77777777" w:rsidR="00E47AB8" w:rsidRPr="008B2F8A" w:rsidRDefault="00E47AB8" w:rsidP="00422306">
            <w:pPr>
              <w:spacing w:before="40" w:after="80"/>
              <w:rPr>
                <w:rFonts w:ascii="Arial Narrow" w:hAnsi="Arial Narrow"/>
              </w:rPr>
            </w:pPr>
            <w:r w:rsidRPr="008B2F8A">
              <w:rPr>
                <w:rFonts w:ascii="Arial Narrow" w:hAnsi="Arial Narrow"/>
              </w:rPr>
              <w:t>Assumption</w:t>
            </w:r>
          </w:p>
        </w:tc>
      </w:tr>
      <w:tr w:rsidR="00E47AB8" w:rsidRPr="008B2F8A" w14:paraId="66085D4B" w14:textId="77777777" w:rsidTr="00422306">
        <w:tc>
          <w:tcPr>
            <w:tcW w:w="7451" w:type="dxa"/>
          </w:tcPr>
          <w:p w14:paraId="45FD96DD" w14:textId="24BEE5EF" w:rsidR="00E47AB8" w:rsidRPr="008B2F8A" w:rsidRDefault="00E47AB8" w:rsidP="00422306">
            <w:pPr>
              <w:spacing w:before="40" w:after="80"/>
              <w:rPr>
                <w:rFonts w:ascii="Arial Narrow" w:hAnsi="Arial Narrow"/>
              </w:rPr>
            </w:pPr>
            <w:r w:rsidRPr="008B2F8A">
              <w:rPr>
                <w:rFonts w:ascii="Arial Narrow" w:hAnsi="Arial Narrow"/>
              </w:rPr>
              <w:t>Only additional true</w:t>
            </w:r>
            <w:r>
              <w:rPr>
                <w:rFonts w:ascii="Arial Narrow" w:hAnsi="Arial Narrow"/>
              </w:rPr>
              <w:t>-positives</w:t>
            </w:r>
            <w:r w:rsidRPr="008B2F8A">
              <w:rPr>
                <w:rFonts w:ascii="Arial Narrow" w:hAnsi="Arial Narrow"/>
              </w:rPr>
              <w:t xml:space="preserve"> and false-positives detected with MRI are included in the analysis of follow-up and treatment costs; management of all other women is not changed</w:t>
            </w:r>
          </w:p>
        </w:tc>
        <w:tc>
          <w:tcPr>
            <w:tcW w:w="1675" w:type="dxa"/>
          </w:tcPr>
          <w:p w14:paraId="2C918782" w14:textId="77777777" w:rsidR="00E47AB8" w:rsidRPr="008B2F8A" w:rsidRDefault="00E47AB8" w:rsidP="00422306">
            <w:pPr>
              <w:spacing w:before="40" w:after="80"/>
              <w:rPr>
                <w:rFonts w:ascii="Arial Narrow" w:hAnsi="Arial Narrow"/>
              </w:rPr>
            </w:pPr>
            <w:r w:rsidRPr="008B2F8A">
              <w:rPr>
                <w:rFonts w:ascii="Arial Narrow" w:hAnsi="Arial Narrow"/>
              </w:rPr>
              <w:t>Assumption</w:t>
            </w:r>
          </w:p>
        </w:tc>
      </w:tr>
    </w:tbl>
    <w:p w14:paraId="69EFE2A1" w14:textId="4A87BE11" w:rsidR="00E47AB8" w:rsidRPr="008B2F8A" w:rsidRDefault="00E47AB8" w:rsidP="00E14AC4">
      <w:pPr>
        <w:pStyle w:val="TableNotesLast"/>
      </w:pPr>
      <w:bookmarkStart w:id="1313" w:name="OLE_LINK153"/>
      <w:bookmarkStart w:id="1314" w:name="OLE_LINK154"/>
      <w:r w:rsidRPr="008B2F8A">
        <w:t xml:space="preserve">HESP </w:t>
      </w:r>
      <w:bookmarkEnd w:id="1313"/>
      <w:bookmarkEnd w:id="1314"/>
      <w:r w:rsidRPr="008B2F8A">
        <w:t xml:space="preserve">= </w:t>
      </w:r>
      <w:bookmarkStart w:id="1315" w:name="OLE_LINK415"/>
      <w:bookmarkStart w:id="1316" w:name="OLE_LINK416"/>
      <w:r w:rsidRPr="008B2F8A">
        <w:t>Health Expert Standing Panel</w:t>
      </w:r>
      <w:bookmarkEnd w:id="1315"/>
      <w:bookmarkEnd w:id="1316"/>
      <w:r w:rsidRPr="008B2F8A">
        <w:t>; MRI = magnetic resonance imaging.</w:t>
      </w:r>
    </w:p>
    <w:p w14:paraId="32D63945" w14:textId="77777777" w:rsidR="00E47AB8" w:rsidRPr="00D2611C" w:rsidRDefault="00E47AB8" w:rsidP="00E47AB8">
      <w:pPr>
        <w:pStyle w:val="Heading2"/>
        <w:rPr>
          <w:spacing w:val="-4"/>
        </w:rPr>
      </w:pPr>
      <w:bookmarkStart w:id="1317" w:name="_Toc355274823"/>
      <w:bookmarkStart w:id="1318" w:name="_Toc383424525"/>
      <w:r w:rsidRPr="00D2611C">
        <w:rPr>
          <w:spacing w:val="-4"/>
        </w:rPr>
        <w:t>Estimation of use and costs of the proposed medical service</w:t>
      </w:r>
      <w:bookmarkEnd w:id="1317"/>
      <w:bookmarkEnd w:id="1318"/>
    </w:p>
    <w:p w14:paraId="5F5FCC6E" w14:textId="77777777" w:rsidR="00E47AB8" w:rsidRPr="008B2F8A" w:rsidRDefault="00E47AB8" w:rsidP="00E47AB8">
      <w:pPr>
        <w:pStyle w:val="Heading3"/>
        <w:numPr>
          <w:ilvl w:val="2"/>
          <w:numId w:val="42"/>
        </w:numPr>
      </w:pPr>
      <w:bookmarkStart w:id="1319" w:name="_Ref376855502"/>
      <w:bookmarkStart w:id="1320" w:name="_Toc383424526"/>
      <w:r w:rsidRPr="008B2F8A">
        <w:t>Estimation of the size of the eligible patient populations</w:t>
      </w:r>
      <w:bookmarkEnd w:id="1319"/>
      <w:bookmarkEnd w:id="1320"/>
    </w:p>
    <w:p w14:paraId="793272EC" w14:textId="77777777" w:rsidR="00E47AB8" w:rsidRPr="008B2F8A" w:rsidRDefault="00E47AB8" w:rsidP="00422306">
      <w:pPr>
        <w:pStyle w:val="Heading4"/>
      </w:pPr>
      <w:r w:rsidRPr="008B2F8A">
        <w:t>Gene mutations or family history</w:t>
      </w:r>
    </w:p>
    <w:p w14:paraId="1F6FB535" w14:textId="22B3BBBC" w:rsidR="00E47AB8" w:rsidRPr="008B2F8A" w:rsidRDefault="00E47AB8" w:rsidP="00422306">
      <w:r w:rsidRPr="008B2F8A">
        <w:t xml:space="preserve">The number of women with gene mutations or a family history of breast cancer that will receive MRI under the existing interim MBS items was estimated by extrapolation of the use data for MBS item 63464. The actual use data for MBS items 63464 and 63467 from July 2009 </w:t>
      </w:r>
      <w:r>
        <w:t>are</w:t>
      </w:r>
      <w:r w:rsidRPr="008B2F8A">
        <w:t xml:space="preserve"> shown in </w:t>
      </w:r>
      <w:r w:rsidRPr="008B2F8A">
        <w:fldChar w:fldCharType="begin"/>
      </w:r>
      <w:r w:rsidRPr="008B2F8A">
        <w:instrText xml:space="preserve"> REF _Ref377641801 \h </w:instrText>
      </w:r>
      <w:r w:rsidRPr="008B2F8A">
        <w:fldChar w:fldCharType="separate"/>
      </w:r>
      <w:r w:rsidR="00B81273" w:rsidRPr="008B2F8A">
        <w:t xml:space="preserve">Table </w:t>
      </w:r>
      <w:r w:rsidR="00B81273">
        <w:rPr>
          <w:noProof/>
        </w:rPr>
        <w:t>E</w:t>
      </w:r>
      <w:r w:rsidR="00B81273" w:rsidRPr="008B2F8A">
        <w:t>.</w:t>
      </w:r>
      <w:r w:rsidR="00B81273">
        <w:rPr>
          <w:noProof/>
        </w:rPr>
        <w:t>6</w:t>
      </w:r>
      <w:r w:rsidRPr="008B2F8A">
        <w:fldChar w:fldCharType="end"/>
      </w:r>
      <w:r w:rsidRPr="008B2F8A">
        <w:t>.</w:t>
      </w:r>
    </w:p>
    <w:p w14:paraId="1B877445" w14:textId="21AED7BA" w:rsidR="00E47AB8" w:rsidRPr="008B2F8A" w:rsidRDefault="00E47AB8" w:rsidP="00422306">
      <w:pPr>
        <w:pStyle w:val="Caption"/>
      </w:pPr>
      <w:bookmarkStart w:id="1321" w:name="_Ref377641801"/>
      <w:bookmarkStart w:id="1322" w:name="_Toc383424637"/>
      <w:r w:rsidRPr="008B2F8A">
        <w:t xml:space="preserve">Table </w:t>
      </w:r>
      <w:fldSimple w:instr=" STYLEREF 1 \s ">
        <w:r w:rsidR="00B81273">
          <w:rPr>
            <w:noProof/>
          </w:rPr>
          <w:t>E</w:t>
        </w:r>
      </w:fldSimple>
      <w:r w:rsidRPr="008B2F8A">
        <w:t>.</w:t>
      </w:r>
      <w:fldSimple w:instr=" SEQ Table \* ARABIC \s 1 ">
        <w:r w:rsidR="00B81273">
          <w:rPr>
            <w:noProof/>
          </w:rPr>
          <w:t>6</w:t>
        </w:r>
      </w:fldSimple>
      <w:bookmarkEnd w:id="1321"/>
      <w:r w:rsidRPr="008B2F8A">
        <w:tab/>
        <w:t>Use of MBS items 63464 and 63467, July 2009 – June 2013.</w:t>
      </w:r>
      <w:bookmarkEnd w:id="1322"/>
    </w:p>
    <w:tbl>
      <w:tblPr>
        <w:tblStyle w:val="TableGrid"/>
        <w:tblW w:w="4572" w:type="dxa"/>
        <w:tblCellMar>
          <w:left w:w="28" w:type="dxa"/>
          <w:right w:w="28" w:type="dxa"/>
        </w:tblCellMar>
        <w:tblLook w:val="04A0" w:firstRow="1" w:lastRow="0" w:firstColumn="1" w:lastColumn="0" w:noHBand="0" w:noVBand="1"/>
        <w:tblCaption w:val="Use of MBS items 63464 and 63467, July 2009 – June 2013."/>
      </w:tblPr>
      <w:tblGrid>
        <w:gridCol w:w="1164"/>
        <w:gridCol w:w="1704"/>
        <w:gridCol w:w="1704"/>
      </w:tblGrid>
      <w:tr w:rsidR="00E47AB8" w:rsidRPr="008B2F8A" w14:paraId="0294857A" w14:textId="77777777" w:rsidTr="004B524B">
        <w:trPr>
          <w:tblHeader/>
        </w:trPr>
        <w:tc>
          <w:tcPr>
            <w:tcW w:w="1164" w:type="dxa"/>
            <w:vAlign w:val="bottom"/>
          </w:tcPr>
          <w:p w14:paraId="36842F84" w14:textId="77777777" w:rsidR="00E47AB8" w:rsidRPr="008B2F8A" w:rsidRDefault="00E47AB8" w:rsidP="00422306">
            <w:pPr>
              <w:pStyle w:val="Tableheaderrow"/>
              <w:spacing w:before="40" w:after="80" w:line="276" w:lineRule="auto"/>
            </w:pPr>
            <w:r w:rsidRPr="008B2F8A">
              <w:t>Financial year</w:t>
            </w:r>
          </w:p>
        </w:tc>
        <w:tc>
          <w:tcPr>
            <w:tcW w:w="1704" w:type="dxa"/>
            <w:vAlign w:val="bottom"/>
          </w:tcPr>
          <w:p w14:paraId="44421797" w14:textId="4B96C832" w:rsidR="00E47AB8" w:rsidRPr="008B2F8A" w:rsidRDefault="00E47AB8" w:rsidP="00422306">
            <w:pPr>
              <w:pStyle w:val="Tableheaderrow"/>
              <w:spacing w:before="40" w:after="80" w:line="276" w:lineRule="auto"/>
              <w:jc w:val="center"/>
            </w:pPr>
            <w:r w:rsidRPr="008B2F8A">
              <w:t>MBS 63464</w:t>
            </w:r>
            <w:r>
              <w:br/>
            </w:r>
            <w:r w:rsidRPr="008B2F8A">
              <w:t>Number of services</w:t>
            </w:r>
          </w:p>
        </w:tc>
        <w:tc>
          <w:tcPr>
            <w:tcW w:w="1704" w:type="dxa"/>
            <w:vAlign w:val="bottom"/>
          </w:tcPr>
          <w:p w14:paraId="46032AFA" w14:textId="728B06E5" w:rsidR="00E47AB8" w:rsidRPr="008B2F8A" w:rsidRDefault="00E47AB8" w:rsidP="00422306">
            <w:pPr>
              <w:pStyle w:val="Tableheaderrow"/>
              <w:spacing w:before="40" w:after="80" w:line="276" w:lineRule="auto"/>
              <w:jc w:val="center"/>
            </w:pPr>
            <w:r w:rsidRPr="008B2F8A">
              <w:t>MBS 63467</w:t>
            </w:r>
            <w:r>
              <w:br/>
            </w:r>
            <w:r w:rsidRPr="008B2F8A">
              <w:t>Number of services</w:t>
            </w:r>
          </w:p>
        </w:tc>
      </w:tr>
      <w:tr w:rsidR="00E47AB8" w:rsidRPr="008B2F8A" w14:paraId="79207119" w14:textId="77777777" w:rsidTr="00E14AC4">
        <w:tc>
          <w:tcPr>
            <w:tcW w:w="1164" w:type="dxa"/>
            <w:vAlign w:val="bottom"/>
          </w:tcPr>
          <w:p w14:paraId="16D145D5" w14:textId="77777777" w:rsidR="00E47AB8" w:rsidRPr="008B2F8A" w:rsidRDefault="00E47AB8" w:rsidP="00422306">
            <w:pPr>
              <w:pStyle w:val="TableText0"/>
              <w:keepNext w:val="0"/>
              <w:spacing w:before="40" w:after="80" w:line="276" w:lineRule="auto"/>
            </w:pPr>
            <w:r w:rsidRPr="008B2F8A">
              <w:t>2009</w:t>
            </w:r>
          </w:p>
        </w:tc>
        <w:tc>
          <w:tcPr>
            <w:tcW w:w="1704" w:type="dxa"/>
            <w:vAlign w:val="bottom"/>
          </w:tcPr>
          <w:p w14:paraId="7570ABCF" w14:textId="77777777" w:rsidR="00E47AB8" w:rsidRPr="008B2F8A" w:rsidRDefault="00E47AB8" w:rsidP="00422306">
            <w:pPr>
              <w:pStyle w:val="TableText0"/>
              <w:keepNext w:val="0"/>
              <w:spacing w:before="40" w:after="80" w:line="276" w:lineRule="auto"/>
              <w:jc w:val="right"/>
            </w:pPr>
            <w:r w:rsidRPr="008B2F8A">
              <w:t>318</w:t>
            </w:r>
          </w:p>
        </w:tc>
        <w:tc>
          <w:tcPr>
            <w:tcW w:w="1704" w:type="dxa"/>
            <w:vAlign w:val="bottom"/>
          </w:tcPr>
          <w:p w14:paraId="7E7C1437" w14:textId="77777777" w:rsidR="00E47AB8" w:rsidRPr="008B2F8A" w:rsidRDefault="00E47AB8" w:rsidP="00422306">
            <w:pPr>
              <w:pStyle w:val="TableText0"/>
              <w:keepNext w:val="0"/>
              <w:spacing w:before="40" w:after="80" w:line="276" w:lineRule="auto"/>
              <w:jc w:val="right"/>
            </w:pPr>
            <w:r w:rsidRPr="008B2F8A">
              <w:t>1</w:t>
            </w:r>
          </w:p>
        </w:tc>
      </w:tr>
      <w:tr w:rsidR="00E47AB8" w:rsidRPr="008B2F8A" w14:paraId="67F549E6" w14:textId="77777777" w:rsidTr="00E14AC4">
        <w:tc>
          <w:tcPr>
            <w:tcW w:w="1164" w:type="dxa"/>
            <w:vAlign w:val="bottom"/>
          </w:tcPr>
          <w:p w14:paraId="6C9FB44E" w14:textId="77777777" w:rsidR="00E47AB8" w:rsidRPr="008B2F8A" w:rsidRDefault="00E47AB8" w:rsidP="00422306">
            <w:pPr>
              <w:pStyle w:val="TableText0"/>
              <w:keepNext w:val="0"/>
              <w:spacing w:before="40" w:after="80" w:line="276" w:lineRule="auto"/>
            </w:pPr>
            <w:r w:rsidRPr="008B2F8A">
              <w:t>2010</w:t>
            </w:r>
          </w:p>
        </w:tc>
        <w:tc>
          <w:tcPr>
            <w:tcW w:w="1704" w:type="dxa"/>
            <w:vAlign w:val="bottom"/>
          </w:tcPr>
          <w:p w14:paraId="45D507A7" w14:textId="77777777" w:rsidR="00E47AB8" w:rsidRPr="008B2F8A" w:rsidRDefault="00E47AB8" w:rsidP="00422306">
            <w:pPr>
              <w:pStyle w:val="TableText0"/>
              <w:keepNext w:val="0"/>
              <w:spacing w:before="40" w:after="80" w:line="276" w:lineRule="auto"/>
              <w:jc w:val="right"/>
            </w:pPr>
            <w:r w:rsidRPr="008B2F8A">
              <w:t>1540</w:t>
            </w:r>
          </w:p>
        </w:tc>
        <w:tc>
          <w:tcPr>
            <w:tcW w:w="1704" w:type="dxa"/>
            <w:vAlign w:val="bottom"/>
          </w:tcPr>
          <w:p w14:paraId="18935A20" w14:textId="77777777" w:rsidR="00E47AB8" w:rsidRPr="008B2F8A" w:rsidRDefault="00E47AB8" w:rsidP="00422306">
            <w:pPr>
              <w:pStyle w:val="TableText0"/>
              <w:keepNext w:val="0"/>
              <w:spacing w:before="40" w:after="80" w:line="276" w:lineRule="auto"/>
              <w:jc w:val="right"/>
            </w:pPr>
            <w:r w:rsidRPr="008B2F8A">
              <w:t>62</w:t>
            </w:r>
          </w:p>
        </w:tc>
      </w:tr>
      <w:tr w:rsidR="00E47AB8" w:rsidRPr="008B2F8A" w14:paraId="58795210" w14:textId="77777777" w:rsidTr="00E14AC4">
        <w:tc>
          <w:tcPr>
            <w:tcW w:w="1164" w:type="dxa"/>
            <w:vAlign w:val="bottom"/>
          </w:tcPr>
          <w:p w14:paraId="4820F94F" w14:textId="77777777" w:rsidR="00E47AB8" w:rsidRPr="008B2F8A" w:rsidRDefault="00E47AB8" w:rsidP="00422306">
            <w:pPr>
              <w:pStyle w:val="TableText0"/>
              <w:keepNext w:val="0"/>
              <w:spacing w:before="40" w:after="80" w:line="276" w:lineRule="auto"/>
            </w:pPr>
            <w:r w:rsidRPr="008B2F8A">
              <w:t>2011</w:t>
            </w:r>
          </w:p>
        </w:tc>
        <w:tc>
          <w:tcPr>
            <w:tcW w:w="1704" w:type="dxa"/>
            <w:vAlign w:val="bottom"/>
          </w:tcPr>
          <w:p w14:paraId="34093619" w14:textId="77777777" w:rsidR="00E47AB8" w:rsidRPr="008B2F8A" w:rsidRDefault="00E47AB8" w:rsidP="00422306">
            <w:pPr>
              <w:pStyle w:val="TableText0"/>
              <w:keepNext w:val="0"/>
              <w:spacing w:before="40" w:after="80" w:line="276" w:lineRule="auto"/>
              <w:jc w:val="right"/>
            </w:pPr>
            <w:r w:rsidRPr="008B2F8A">
              <w:t>1974</w:t>
            </w:r>
          </w:p>
        </w:tc>
        <w:tc>
          <w:tcPr>
            <w:tcW w:w="1704" w:type="dxa"/>
            <w:vAlign w:val="bottom"/>
          </w:tcPr>
          <w:p w14:paraId="606D3439" w14:textId="77777777" w:rsidR="00E47AB8" w:rsidRPr="008B2F8A" w:rsidRDefault="00E47AB8" w:rsidP="00422306">
            <w:pPr>
              <w:pStyle w:val="TableText0"/>
              <w:keepNext w:val="0"/>
              <w:spacing w:before="40" w:after="80" w:line="276" w:lineRule="auto"/>
              <w:jc w:val="right"/>
            </w:pPr>
            <w:r w:rsidRPr="008B2F8A">
              <w:t>164</w:t>
            </w:r>
          </w:p>
        </w:tc>
      </w:tr>
      <w:tr w:rsidR="00E47AB8" w:rsidRPr="008B2F8A" w14:paraId="68D3B4DB" w14:textId="77777777" w:rsidTr="00E14AC4">
        <w:tc>
          <w:tcPr>
            <w:tcW w:w="1164" w:type="dxa"/>
            <w:vAlign w:val="bottom"/>
          </w:tcPr>
          <w:p w14:paraId="414E041B" w14:textId="77777777" w:rsidR="00E47AB8" w:rsidRPr="008B2F8A" w:rsidRDefault="00E47AB8" w:rsidP="00422306">
            <w:pPr>
              <w:pStyle w:val="TableText0"/>
              <w:keepNext w:val="0"/>
              <w:spacing w:before="40" w:after="80" w:line="276" w:lineRule="auto"/>
            </w:pPr>
            <w:r w:rsidRPr="008B2F8A">
              <w:t>2012</w:t>
            </w:r>
          </w:p>
        </w:tc>
        <w:tc>
          <w:tcPr>
            <w:tcW w:w="1704" w:type="dxa"/>
            <w:vAlign w:val="bottom"/>
          </w:tcPr>
          <w:p w14:paraId="690066E8" w14:textId="77777777" w:rsidR="00E47AB8" w:rsidRPr="008B2F8A" w:rsidRDefault="00E47AB8" w:rsidP="00422306">
            <w:pPr>
              <w:pStyle w:val="TableText0"/>
              <w:keepNext w:val="0"/>
              <w:spacing w:before="40" w:after="80" w:line="276" w:lineRule="auto"/>
              <w:jc w:val="right"/>
            </w:pPr>
            <w:r w:rsidRPr="008B2F8A">
              <w:t>2528</w:t>
            </w:r>
          </w:p>
        </w:tc>
        <w:tc>
          <w:tcPr>
            <w:tcW w:w="1704" w:type="dxa"/>
            <w:vAlign w:val="bottom"/>
          </w:tcPr>
          <w:p w14:paraId="4F78D016" w14:textId="77777777" w:rsidR="00E47AB8" w:rsidRPr="008B2F8A" w:rsidRDefault="00E47AB8" w:rsidP="00422306">
            <w:pPr>
              <w:pStyle w:val="TableText0"/>
              <w:keepNext w:val="0"/>
              <w:spacing w:before="40" w:after="80" w:line="276" w:lineRule="auto"/>
              <w:jc w:val="right"/>
            </w:pPr>
            <w:r w:rsidRPr="008B2F8A">
              <w:t>246</w:t>
            </w:r>
          </w:p>
        </w:tc>
      </w:tr>
      <w:tr w:rsidR="00E47AB8" w:rsidRPr="008B2F8A" w14:paraId="2A4984CC" w14:textId="77777777" w:rsidTr="00E14AC4">
        <w:tc>
          <w:tcPr>
            <w:tcW w:w="1164" w:type="dxa"/>
            <w:vAlign w:val="bottom"/>
          </w:tcPr>
          <w:p w14:paraId="1CCE1FBC" w14:textId="77777777" w:rsidR="00E47AB8" w:rsidRPr="008B2F8A" w:rsidRDefault="00E47AB8" w:rsidP="00422306">
            <w:pPr>
              <w:pStyle w:val="TableText0"/>
              <w:keepNext w:val="0"/>
              <w:spacing w:before="40" w:after="80" w:line="276" w:lineRule="auto"/>
            </w:pPr>
            <w:r w:rsidRPr="008B2F8A">
              <w:t>2013</w:t>
            </w:r>
          </w:p>
        </w:tc>
        <w:tc>
          <w:tcPr>
            <w:tcW w:w="1704" w:type="dxa"/>
            <w:vAlign w:val="bottom"/>
          </w:tcPr>
          <w:p w14:paraId="2AA43189" w14:textId="77777777" w:rsidR="00E47AB8" w:rsidRPr="008B2F8A" w:rsidRDefault="00E47AB8" w:rsidP="00422306">
            <w:pPr>
              <w:pStyle w:val="TableText0"/>
              <w:keepNext w:val="0"/>
              <w:spacing w:before="40" w:after="80" w:line="276" w:lineRule="auto"/>
              <w:jc w:val="right"/>
            </w:pPr>
            <w:r w:rsidRPr="008B2F8A">
              <w:t>3156</w:t>
            </w:r>
          </w:p>
        </w:tc>
        <w:tc>
          <w:tcPr>
            <w:tcW w:w="1704" w:type="dxa"/>
            <w:vAlign w:val="bottom"/>
          </w:tcPr>
          <w:p w14:paraId="780D1E1F" w14:textId="77777777" w:rsidR="00E47AB8" w:rsidRPr="008B2F8A" w:rsidRDefault="00E47AB8" w:rsidP="00422306">
            <w:pPr>
              <w:pStyle w:val="TableText0"/>
              <w:keepNext w:val="0"/>
              <w:spacing w:before="40" w:after="80" w:line="276" w:lineRule="auto"/>
              <w:jc w:val="right"/>
            </w:pPr>
            <w:r w:rsidRPr="008B2F8A">
              <w:t>235</w:t>
            </w:r>
          </w:p>
        </w:tc>
      </w:tr>
      <w:tr w:rsidR="00E47AB8" w:rsidRPr="008B2F8A" w14:paraId="4889CC6A" w14:textId="77777777" w:rsidTr="00E14AC4">
        <w:tc>
          <w:tcPr>
            <w:tcW w:w="1164" w:type="dxa"/>
            <w:vAlign w:val="bottom"/>
          </w:tcPr>
          <w:p w14:paraId="6178518F" w14:textId="77777777" w:rsidR="00E47AB8" w:rsidRPr="008B2F8A" w:rsidRDefault="00E47AB8" w:rsidP="00422306">
            <w:pPr>
              <w:pStyle w:val="TableText0"/>
              <w:keepNext w:val="0"/>
              <w:spacing w:before="40" w:after="80" w:line="276" w:lineRule="auto"/>
            </w:pPr>
            <w:r w:rsidRPr="008B2F8A">
              <w:t>Total</w:t>
            </w:r>
          </w:p>
        </w:tc>
        <w:tc>
          <w:tcPr>
            <w:tcW w:w="1704" w:type="dxa"/>
            <w:vAlign w:val="bottom"/>
          </w:tcPr>
          <w:p w14:paraId="5FDDD7C7" w14:textId="77777777" w:rsidR="00E47AB8" w:rsidRPr="008B2F8A" w:rsidRDefault="00E47AB8" w:rsidP="00422306">
            <w:pPr>
              <w:pStyle w:val="TableText0"/>
              <w:keepNext w:val="0"/>
              <w:spacing w:before="40" w:after="80" w:line="276" w:lineRule="auto"/>
              <w:jc w:val="right"/>
            </w:pPr>
            <w:r w:rsidRPr="008B2F8A">
              <w:t>9516</w:t>
            </w:r>
          </w:p>
        </w:tc>
        <w:tc>
          <w:tcPr>
            <w:tcW w:w="1704" w:type="dxa"/>
            <w:vAlign w:val="bottom"/>
          </w:tcPr>
          <w:p w14:paraId="5CABDEA8" w14:textId="77777777" w:rsidR="00E47AB8" w:rsidRPr="008B2F8A" w:rsidRDefault="00E47AB8" w:rsidP="00422306">
            <w:pPr>
              <w:pStyle w:val="TableText0"/>
              <w:keepNext w:val="0"/>
              <w:spacing w:before="40" w:after="80" w:line="276" w:lineRule="auto"/>
              <w:jc w:val="right"/>
            </w:pPr>
            <w:r w:rsidRPr="008B2F8A">
              <w:t>708</w:t>
            </w:r>
          </w:p>
        </w:tc>
      </w:tr>
    </w:tbl>
    <w:p w14:paraId="6973E23C" w14:textId="5A946C23" w:rsidR="00E47AB8" w:rsidRPr="008B2F8A" w:rsidRDefault="00E47AB8" w:rsidP="00E14AC4">
      <w:pPr>
        <w:pStyle w:val="TableNotesFirst"/>
      </w:pPr>
      <w:r w:rsidRPr="008B2F8A">
        <w:t>MBS = Medicare Benefits Schedule.</w:t>
      </w:r>
    </w:p>
    <w:p w14:paraId="1DBB0EEF" w14:textId="77777777" w:rsidR="00E47AB8" w:rsidRPr="008B2F8A" w:rsidRDefault="00E47AB8" w:rsidP="00E14AC4">
      <w:pPr>
        <w:pStyle w:val="TableNotesLast"/>
      </w:pPr>
      <w:r w:rsidRPr="008B2F8A">
        <w:t>Source: Medicare Item reports accessed 27 November 2013.</w:t>
      </w:r>
    </w:p>
    <w:p w14:paraId="2C38B952" w14:textId="6724D646" w:rsidR="00E47AB8" w:rsidRPr="008B2F8A" w:rsidRDefault="00E47AB8" w:rsidP="00422306">
      <w:r w:rsidRPr="008B2F8A">
        <w:lastRenderedPageBreak/>
        <w:t>The annual use of MBS item 63464 from July 2010 to June 2013 was extrapolated using line</w:t>
      </w:r>
      <w:r>
        <w:t>a</w:t>
      </w:r>
      <w:r w:rsidRPr="008B2F8A">
        <w:t xml:space="preserve">r regression, as shown in </w:t>
      </w:r>
      <w:r w:rsidRPr="008B2F8A">
        <w:fldChar w:fldCharType="begin"/>
      </w:r>
      <w:r w:rsidRPr="008B2F8A">
        <w:instrText xml:space="preserve"> REF _Ref373922192 \h </w:instrText>
      </w:r>
      <w:r w:rsidRPr="008B2F8A">
        <w:fldChar w:fldCharType="separate"/>
      </w:r>
      <w:r w:rsidR="00B81273" w:rsidRPr="008B2F8A">
        <w:t xml:space="preserve">Figure </w:t>
      </w:r>
      <w:r w:rsidR="00B81273">
        <w:rPr>
          <w:noProof/>
        </w:rPr>
        <w:t>E</w:t>
      </w:r>
      <w:r w:rsidR="00B81273" w:rsidRPr="008B2F8A">
        <w:t>.</w:t>
      </w:r>
      <w:r w:rsidR="00B81273">
        <w:rPr>
          <w:noProof/>
        </w:rPr>
        <w:t>1</w:t>
      </w:r>
      <w:r w:rsidRPr="008B2F8A">
        <w:fldChar w:fldCharType="end"/>
      </w:r>
      <w:r w:rsidRPr="008B2F8A">
        <w:t>. The data for financial year 2009 were excluded</w:t>
      </w:r>
      <w:r>
        <w:t>,</w:t>
      </w:r>
      <w:r w:rsidRPr="008B2F8A">
        <w:t xml:space="preserve"> as this was the first year of listing and the item was available only from February 2009.</w:t>
      </w:r>
    </w:p>
    <w:p w14:paraId="172A581B" w14:textId="0B3D1C77" w:rsidR="00E47AB8" w:rsidRDefault="00E47AB8" w:rsidP="00422306">
      <w:pPr>
        <w:pStyle w:val="Caption"/>
      </w:pPr>
      <w:bookmarkStart w:id="1323" w:name="_Ref373922192"/>
      <w:bookmarkStart w:id="1324" w:name="_Toc383424685"/>
      <w:r w:rsidRPr="008B2F8A">
        <w:t xml:space="preserve">Figure </w:t>
      </w:r>
      <w:fldSimple w:instr=" STYLEREF 1 \s ">
        <w:r w:rsidR="00B81273">
          <w:rPr>
            <w:noProof/>
          </w:rPr>
          <w:t>E</w:t>
        </w:r>
      </w:fldSimple>
      <w:r w:rsidRPr="008B2F8A">
        <w:t>.</w:t>
      </w:r>
      <w:fldSimple w:instr=" SEQ Figure \* ARABIC \s 1 ">
        <w:r w:rsidR="00B81273">
          <w:rPr>
            <w:noProof/>
          </w:rPr>
          <w:t>1</w:t>
        </w:r>
      </w:fldSimple>
      <w:bookmarkEnd w:id="1323"/>
      <w:r w:rsidRPr="008B2F8A">
        <w:tab/>
        <w:t>Projected use of MBS item 63464</w:t>
      </w:r>
      <w:r>
        <w:t>.</w:t>
      </w:r>
      <w:bookmarkEnd w:id="1324"/>
    </w:p>
    <w:p w14:paraId="4E82CB11" w14:textId="5B9099A7" w:rsidR="00E47AB8" w:rsidRPr="008B2F8A" w:rsidRDefault="00BC6E1A" w:rsidP="00BC6E1A">
      <w:pPr>
        <w:jc w:val="center"/>
      </w:pPr>
      <w:r>
        <w:rPr>
          <w:noProof/>
          <w:lang w:eastAsia="en-AU"/>
        </w:rPr>
        <w:drawing>
          <wp:inline distT="0" distB="0" distL="0" distR="0" wp14:anchorId="7E1FB656" wp14:editId="4A042855">
            <wp:extent cx="5389245" cy="2688590"/>
            <wp:effectExtent l="0" t="0" r="1905" b="0"/>
            <wp:docPr id="11" name="Picture 11" descr="Projected use of MBS item 63464 based on actual use from 2009 to 2013." title="Projected use of MBS item 6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89245" cy="2688590"/>
                    </a:xfrm>
                    <a:prstGeom prst="rect">
                      <a:avLst/>
                    </a:prstGeom>
                    <a:noFill/>
                    <a:ln>
                      <a:noFill/>
                    </a:ln>
                  </pic:spPr>
                </pic:pic>
              </a:graphicData>
            </a:graphic>
          </wp:inline>
        </w:drawing>
      </w:r>
    </w:p>
    <w:p w14:paraId="0AB51B0E" w14:textId="4279BD53" w:rsidR="00E47AB8" w:rsidRPr="008B2F8A" w:rsidRDefault="00E47AB8" w:rsidP="00E14AC4">
      <w:pPr>
        <w:pStyle w:val="TableNotesFirst"/>
      </w:pPr>
      <w:r w:rsidRPr="008B2F8A">
        <w:t>MBS = Medicare Benefits Schedule.</w:t>
      </w:r>
    </w:p>
    <w:p w14:paraId="60DB8D53" w14:textId="5360E68D" w:rsidR="00E47AB8" w:rsidRPr="008B2F8A" w:rsidRDefault="00E47AB8" w:rsidP="00E14AC4">
      <w:pPr>
        <w:pStyle w:val="TableNotesLast"/>
      </w:pPr>
      <w:r w:rsidRPr="008B2F8A">
        <w:t>Source: MBS item 63464 use July 2009 – June 2013; Medicare item reports accessed 27 November 2013.</w:t>
      </w:r>
    </w:p>
    <w:p w14:paraId="61C98D8E" w14:textId="16B33AD1" w:rsidR="00E47AB8" w:rsidRPr="008B2F8A" w:rsidRDefault="00E47AB8" w:rsidP="00422306">
      <w:r w:rsidRPr="008B2F8A">
        <w:t xml:space="preserve">The number of women who would receive MRI between financial years 2014 and 2019 is shown in </w:t>
      </w:r>
      <w:r w:rsidRPr="008B2F8A">
        <w:fldChar w:fldCharType="begin"/>
      </w:r>
      <w:r w:rsidRPr="008B2F8A">
        <w:instrText xml:space="preserve"> REF _Ref373921780 \h </w:instrText>
      </w:r>
      <w:r w:rsidRPr="008B2F8A">
        <w:fldChar w:fldCharType="separate"/>
      </w:r>
      <w:r w:rsidR="00B81273" w:rsidRPr="008B2F8A">
        <w:t xml:space="preserve">Table </w:t>
      </w:r>
      <w:r w:rsidR="00B81273">
        <w:rPr>
          <w:noProof/>
        </w:rPr>
        <w:t>E</w:t>
      </w:r>
      <w:r w:rsidR="00B81273" w:rsidRPr="008B2F8A">
        <w:t>.</w:t>
      </w:r>
      <w:r w:rsidR="00B81273">
        <w:rPr>
          <w:noProof/>
        </w:rPr>
        <w:t>7</w:t>
      </w:r>
      <w:r w:rsidRPr="008B2F8A">
        <w:fldChar w:fldCharType="end"/>
      </w:r>
      <w:r w:rsidRPr="008B2F8A">
        <w:t>. It is estimated that 4,190 women will receive MRI in 2015</w:t>
      </w:r>
      <w:r>
        <w:t>,</w:t>
      </w:r>
      <w:r w:rsidRPr="008B2F8A">
        <w:t xml:space="preserve"> increas</w:t>
      </w:r>
      <w:r>
        <w:t>ing</w:t>
      </w:r>
      <w:r w:rsidRPr="008B2F8A">
        <w:t xml:space="preserve"> to 6,351 in 2019. The proportion of women who carry a </w:t>
      </w:r>
      <w:r w:rsidRPr="00E14AC4">
        <w:rPr>
          <w:i/>
        </w:rPr>
        <w:t>BRCA</w:t>
      </w:r>
      <w:r w:rsidRPr="008B2F8A">
        <w:t xml:space="preserve"> mutation has been estimated at 0.1% </w:t>
      </w:r>
      <w:r w:rsidRPr="008B2F8A">
        <w:rPr>
          <w:noProof/>
        </w:rPr>
        <w:t>(NBOCC, 2009)</w:t>
      </w:r>
      <w:r w:rsidRPr="008B2F8A">
        <w:t xml:space="preserve">. Using the </w:t>
      </w:r>
      <w:bookmarkStart w:id="1325" w:name="OLE_LINK361"/>
      <w:bookmarkStart w:id="1326" w:name="OLE_LINK362"/>
      <w:r w:rsidRPr="008B2F8A">
        <w:t>ABS</w:t>
      </w:r>
      <w:bookmarkEnd w:id="1325"/>
      <w:bookmarkEnd w:id="1326"/>
      <w:r w:rsidRPr="008B2F8A">
        <w:t xml:space="preserve"> populations projections, there will be approximately 7,934 women aged &lt;50 years with a </w:t>
      </w:r>
      <w:r w:rsidRPr="00E14AC4">
        <w:rPr>
          <w:i/>
        </w:rPr>
        <w:t>BRCA</w:t>
      </w:r>
      <w:r w:rsidRPr="008B2F8A">
        <w:t xml:space="preserve"> mutation in Australia in the 2015 financial year. As these women represent only a subgroup of the women eligible for MRI, the projected usage of MRI in </w:t>
      </w:r>
      <w:r w:rsidRPr="008B2F8A">
        <w:fldChar w:fldCharType="begin"/>
      </w:r>
      <w:r w:rsidRPr="008B2F8A">
        <w:instrText xml:space="preserve"> REF _Ref373921780 \h </w:instrText>
      </w:r>
      <w:r w:rsidRPr="008B2F8A">
        <w:fldChar w:fldCharType="separate"/>
      </w:r>
      <w:r w:rsidR="00B81273" w:rsidRPr="008B2F8A">
        <w:t xml:space="preserve">Table </w:t>
      </w:r>
      <w:r w:rsidR="00B81273">
        <w:rPr>
          <w:noProof/>
        </w:rPr>
        <w:t>E</w:t>
      </w:r>
      <w:r w:rsidR="00B81273" w:rsidRPr="008B2F8A">
        <w:t>.</w:t>
      </w:r>
      <w:r w:rsidR="00B81273">
        <w:rPr>
          <w:noProof/>
        </w:rPr>
        <w:t>7</w:t>
      </w:r>
      <w:r w:rsidRPr="008B2F8A">
        <w:fldChar w:fldCharType="end"/>
      </w:r>
      <w:r w:rsidRPr="008B2F8A">
        <w:t xml:space="preserve"> is not excessive.</w:t>
      </w:r>
    </w:p>
    <w:p w14:paraId="0C4869B7" w14:textId="77777777" w:rsidR="00E47AB8" w:rsidRPr="008B2F8A" w:rsidRDefault="00E47AB8" w:rsidP="00422306">
      <w:r w:rsidRPr="008B2F8A">
        <w:t xml:space="preserve">In each year the number of women who would have a follow-up MRI was calculated by applying the 7.4% follow-up MRI rate (see Section </w:t>
      </w:r>
      <w:r w:rsidRPr="008B2F8A">
        <w:fldChar w:fldCharType="begin"/>
      </w:r>
      <w:r w:rsidRPr="008B2F8A">
        <w:instrText xml:space="preserve"> REF _Ref377464211 \r \h  \* MERGEFORMAT </w:instrText>
      </w:r>
      <w:r w:rsidRPr="008B2F8A">
        <w:fldChar w:fldCharType="separate"/>
      </w:r>
      <w:r w:rsidR="00B81273">
        <w:rPr>
          <w:noProof/>
        </w:rPr>
        <w:t>E.1.3</w:t>
      </w:r>
      <w:r w:rsidRPr="008B2F8A">
        <w:fldChar w:fldCharType="end"/>
      </w:r>
      <w:r w:rsidRPr="008B2F8A">
        <w:t xml:space="preserve">). The number of ultrasounds replaced by MRI was calculated by applying the 25% ultrasound replacement rate (see Section </w:t>
      </w:r>
      <w:r w:rsidRPr="008B2F8A">
        <w:fldChar w:fldCharType="begin"/>
      </w:r>
      <w:r w:rsidRPr="008B2F8A">
        <w:instrText xml:space="preserve"> REF _Ref377464229 \r \h  \* MERGEFORMAT </w:instrText>
      </w:r>
      <w:r w:rsidRPr="008B2F8A">
        <w:fldChar w:fldCharType="separate"/>
      </w:r>
      <w:r w:rsidR="00B81273">
        <w:rPr>
          <w:noProof/>
        </w:rPr>
        <w:t>E.1.6</w:t>
      </w:r>
      <w:r w:rsidRPr="008B2F8A">
        <w:fldChar w:fldCharType="end"/>
      </w:r>
      <w:r w:rsidRPr="008B2F8A">
        <w:t>).</w:t>
      </w:r>
    </w:p>
    <w:p w14:paraId="510C3EE3" w14:textId="77777777" w:rsidR="00E47AB8" w:rsidRPr="008B2F8A" w:rsidRDefault="00E47AB8" w:rsidP="00422306">
      <w:pPr>
        <w:pStyle w:val="Caption"/>
      </w:pPr>
      <w:bookmarkStart w:id="1327" w:name="_Ref373921780"/>
      <w:bookmarkStart w:id="1328" w:name="_Toc383424638"/>
      <w:r w:rsidRPr="008B2F8A">
        <w:t xml:space="preserve">Table </w:t>
      </w:r>
      <w:fldSimple w:instr=" STYLEREF 1 \s ">
        <w:r w:rsidR="00B81273">
          <w:rPr>
            <w:noProof/>
          </w:rPr>
          <w:t>E</w:t>
        </w:r>
      </w:fldSimple>
      <w:r w:rsidRPr="008B2F8A">
        <w:t>.</w:t>
      </w:r>
      <w:fldSimple w:instr=" SEQ Table \* ARABIC \s 1 ">
        <w:r w:rsidR="00B81273">
          <w:rPr>
            <w:noProof/>
          </w:rPr>
          <w:t>7</w:t>
        </w:r>
      </w:fldSimple>
      <w:bookmarkEnd w:id="1327"/>
      <w:r w:rsidRPr="008B2F8A">
        <w:tab/>
        <w:t>Estimation of the number of women with gene mutations or family history who receive MRI.</w:t>
      </w:r>
      <w:bookmarkEnd w:id="1328"/>
    </w:p>
    <w:tbl>
      <w:tblPr>
        <w:tblStyle w:val="TableGrid"/>
        <w:tblW w:w="9128" w:type="dxa"/>
        <w:tblLayout w:type="fixed"/>
        <w:tblCellMar>
          <w:left w:w="28" w:type="dxa"/>
          <w:right w:w="28" w:type="dxa"/>
        </w:tblCellMar>
        <w:tblLook w:val="04A0" w:firstRow="1" w:lastRow="0" w:firstColumn="1" w:lastColumn="0" w:noHBand="0" w:noVBand="1"/>
        <w:tblCaption w:val="Estimation of the number of women with gene mutations or family history who receive MRI."/>
      </w:tblPr>
      <w:tblGrid>
        <w:gridCol w:w="3436"/>
        <w:gridCol w:w="1136"/>
        <w:gridCol w:w="1136"/>
        <w:gridCol w:w="1136"/>
        <w:gridCol w:w="1136"/>
        <w:gridCol w:w="1148"/>
      </w:tblGrid>
      <w:tr w:rsidR="00E47AB8" w:rsidRPr="008B2F8A" w14:paraId="40C3B9BB" w14:textId="77777777" w:rsidTr="00E14AC4">
        <w:trPr>
          <w:tblHeader/>
        </w:trPr>
        <w:tc>
          <w:tcPr>
            <w:tcW w:w="3436" w:type="dxa"/>
            <w:noWrap/>
            <w:hideMark/>
          </w:tcPr>
          <w:p w14:paraId="5DD56726" w14:textId="77777777" w:rsidR="00E47AB8" w:rsidRPr="008B2F8A" w:rsidRDefault="00E47AB8" w:rsidP="00422306">
            <w:pPr>
              <w:pStyle w:val="Tableheaderrow"/>
              <w:spacing w:before="40" w:after="80" w:line="276" w:lineRule="auto"/>
            </w:pPr>
            <w:r w:rsidRPr="008B2F8A">
              <w:t>Description</w:t>
            </w:r>
          </w:p>
        </w:tc>
        <w:tc>
          <w:tcPr>
            <w:tcW w:w="1136" w:type="dxa"/>
            <w:noWrap/>
            <w:hideMark/>
          </w:tcPr>
          <w:p w14:paraId="5EE31118" w14:textId="77777777" w:rsidR="00E47AB8" w:rsidRPr="008B2F8A" w:rsidRDefault="00E47AB8" w:rsidP="00422306">
            <w:pPr>
              <w:pStyle w:val="Tableheaderrow"/>
              <w:spacing w:before="40" w:after="80" w:line="276" w:lineRule="auto"/>
              <w:jc w:val="center"/>
            </w:pPr>
            <w:r w:rsidRPr="008B2F8A">
              <w:t>FY 2015</w:t>
            </w:r>
          </w:p>
        </w:tc>
        <w:tc>
          <w:tcPr>
            <w:tcW w:w="1136" w:type="dxa"/>
            <w:noWrap/>
            <w:hideMark/>
          </w:tcPr>
          <w:p w14:paraId="48139BF6" w14:textId="77777777" w:rsidR="00E47AB8" w:rsidRPr="008B2F8A" w:rsidRDefault="00E47AB8" w:rsidP="00422306">
            <w:pPr>
              <w:pStyle w:val="Tableheaderrow"/>
              <w:spacing w:before="40" w:after="80" w:line="276" w:lineRule="auto"/>
              <w:jc w:val="center"/>
            </w:pPr>
            <w:r w:rsidRPr="008B2F8A">
              <w:t>FY 2016</w:t>
            </w:r>
          </w:p>
        </w:tc>
        <w:tc>
          <w:tcPr>
            <w:tcW w:w="1136" w:type="dxa"/>
            <w:noWrap/>
            <w:hideMark/>
          </w:tcPr>
          <w:p w14:paraId="335308D4" w14:textId="77777777" w:rsidR="00E47AB8" w:rsidRPr="008B2F8A" w:rsidRDefault="00E47AB8" w:rsidP="00422306">
            <w:pPr>
              <w:pStyle w:val="Tableheaderrow"/>
              <w:spacing w:before="40" w:after="80" w:line="276" w:lineRule="auto"/>
              <w:jc w:val="center"/>
            </w:pPr>
            <w:r w:rsidRPr="008B2F8A">
              <w:t>FY 2017</w:t>
            </w:r>
          </w:p>
        </w:tc>
        <w:tc>
          <w:tcPr>
            <w:tcW w:w="1136" w:type="dxa"/>
            <w:noWrap/>
            <w:hideMark/>
          </w:tcPr>
          <w:p w14:paraId="13868C67" w14:textId="77777777" w:rsidR="00E47AB8" w:rsidRPr="008B2F8A" w:rsidRDefault="00E47AB8" w:rsidP="00422306">
            <w:pPr>
              <w:pStyle w:val="Tableheaderrow"/>
              <w:spacing w:before="40" w:after="80" w:line="276" w:lineRule="auto"/>
              <w:jc w:val="center"/>
            </w:pPr>
            <w:r w:rsidRPr="008B2F8A">
              <w:t>FY 2018</w:t>
            </w:r>
          </w:p>
        </w:tc>
        <w:tc>
          <w:tcPr>
            <w:tcW w:w="1148" w:type="dxa"/>
            <w:noWrap/>
            <w:hideMark/>
          </w:tcPr>
          <w:p w14:paraId="2BC507A9"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1558BAAF" w14:textId="77777777" w:rsidTr="00E14AC4">
        <w:tc>
          <w:tcPr>
            <w:tcW w:w="3436" w:type="dxa"/>
            <w:noWrap/>
            <w:hideMark/>
          </w:tcPr>
          <w:p w14:paraId="2FB924E2" w14:textId="77777777" w:rsidR="00E47AB8" w:rsidRPr="008B2F8A" w:rsidRDefault="00E47AB8" w:rsidP="00422306">
            <w:pPr>
              <w:pStyle w:val="TableText0"/>
              <w:keepNext w:val="0"/>
              <w:spacing w:before="40" w:after="80" w:line="276" w:lineRule="auto"/>
            </w:pPr>
            <w:r w:rsidRPr="008B2F8A">
              <w:t>Number of women with gene mutations or family history who take up MRI screening</w:t>
            </w:r>
          </w:p>
        </w:tc>
        <w:tc>
          <w:tcPr>
            <w:tcW w:w="1136" w:type="dxa"/>
            <w:noWrap/>
            <w:hideMark/>
          </w:tcPr>
          <w:p w14:paraId="6CC8C5CB" w14:textId="77777777" w:rsidR="00E47AB8" w:rsidRPr="008B2F8A" w:rsidRDefault="00E47AB8" w:rsidP="00422306">
            <w:pPr>
              <w:pStyle w:val="TableText0"/>
              <w:keepNext w:val="0"/>
              <w:spacing w:before="40" w:after="80" w:line="276" w:lineRule="auto"/>
              <w:jc w:val="right"/>
            </w:pPr>
            <w:r w:rsidRPr="008B2F8A">
              <w:t xml:space="preserve"> 4,190 </w:t>
            </w:r>
          </w:p>
        </w:tc>
        <w:tc>
          <w:tcPr>
            <w:tcW w:w="1136" w:type="dxa"/>
            <w:noWrap/>
            <w:hideMark/>
          </w:tcPr>
          <w:p w14:paraId="6D58F8D3" w14:textId="77777777" w:rsidR="00E47AB8" w:rsidRPr="008B2F8A" w:rsidRDefault="00E47AB8" w:rsidP="00422306">
            <w:pPr>
              <w:pStyle w:val="TableText0"/>
              <w:keepNext w:val="0"/>
              <w:spacing w:before="40" w:after="80" w:line="276" w:lineRule="auto"/>
              <w:jc w:val="right"/>
            </w:pPr>
            <w:r w:rsidRPr="008B2F8A">
              <w:t xml:space="preserve"> 4,730 </w:t>
            </w:r>
          </w:p>
        </w:tc>
        <w:tc>
          <w:tcPr>
            <w:tcW w:w="1136" w:type="dxa"/>
            <w:noWrap/>
            <w:hideMark/>
          </w:tcPr>
          <w:p w14:paraId="094EAF11" w14:textId="77777777" w:rsidR="00E47AB8" w:rsidRPr="008B2F8A" w:rsidRDefault="00E47AB8" w:rsidP="00422306">
            <w:pPr>
              <w:pStyle w:val="TableText0"/>
              <w:keepNext w:val="0"/>
              <w:spacing w:before="40" w:after="80" w:line="276" w:lineRule="auto"/>
              <w:jc w:val="right"/>
            </w:pPr>
            <w:r w:rsidRPr="008B2F8A">
              <w:t xml:space="preserve"> 5,271 </w:t>
            </w:r>
          </w:p>
        </w:tc>
        <w:tc>
          <w:tcPr>
            <w:tcW w:w="1136" w:type="dxa"/>
            <w:noWrap/>
            <w:hideMark/>
          </w:tcPr>
          <w:p w14:paraId="2A9ECEC2" w14:textId="77777777" w:rsidR="00E47AB8" w:rsidRPr="008B2F8A" w:rsidRDefault="00E47AB8" w:rsidP="00422306">
            <w:pPr>
              <w:pStyle w:val="TableText0"/>
              <w:keepNext w:val="0"/>
              <w:spacing w:before="40" w:after="80" w:line="276" w:lineRule="auto"/>
              <w:jc w:val="right"/>
            </w:pPr>
            <w:r w:rsidRPr="008B2F8A">
              <w:t xml:space="preserve"> 5,811 </w:t>
            </w:r>
          </w:p>
        </w:tc>
        <w:tc>
          <w:tcPr>
            <w:tcW w:w="1148" w:type="dxa"/>
            <w:noWrap/>
            <w:hideMark/>
          </w:tcPr>
          <w:p w14:paraId="296EA911" w14:textId="77777777" w:rsidR="00E47AB8" w:rsidRPr="008B2F8A" w:rsidRDefault="00E47AB8" w:rsidP="00422306">
            <w:pPr>
              <w:pStyle w:val="TableText0"/>
              <w:keepNext w:val="0"/>
              <w:spacing w:before="40" w:after="80" w:line="276" w:lineRule="auto"/>
              <w:jc w:val="right"/>
            </w:pPr>
            <w:r w:rsidRPr="008B2F8A">
              <w:t xml:space="preserve"> 6,351 </w:t>
            </w:r>
          </w:p>
        </w:tc>
      </w:tr>
      <w:tr w:rsidR="00E47AB8" w:rsidRPr="008B2F8A" w14:paraId="3B85CF7F" w14:textId="77777777" w:rsidTr="00E14AC4">
        <w:tc>
          <w:tcPr>
            <w:tcW w:w="3436" w:type="dxa"/>
            <w:noWrap/>
            <w:hideMark/>
          </w:tcPr>
          <w:p w14:paraId="07FE8652" w14:textId="77777777" w:rsidR="00E47AB8" w:rsidRPr="008B2F8A" w:rsidRDefault="00E47AB8" w:rsidP="00422306">
            <w:pPr>
              <w:pStyle w:val="TableText0"/>
              <w:keepNext w:val="0"/>
              <w:spacing w:before="40" w:after="80" w:line="276" w:lineRule="auto"/>
            </w:pPr>
            <w:r w:rsidRPr="008B2F8A">
              <w:t>Number who have follow-up MRI</w:t>
            </w:r>
          </w:p>
        </w:tc>
        <w:tc>
          <w:tcPr>
            <w:tcW w:w="1136" w:type="dxa"/>
            <w:noWrap/>
            <w:hideMark/>
          </w:tcPr>
          <w:p w14:paraId="4A73BAD9" w14:textId="77777777" w:rsidR="00E47AB8" w:rsidRPr="008B2F8A" w:rsidRDefault="00E47AB8" w:rsidP="00422306">
            <w:pPr>
              <w:pStyle w:val="TableText0"/>
              <w:keepNext w:val="0"/>
              <w:spacing w:before="40" w:after="80" w:line="276" w:lineRule="auto"/>
              <w:jc w:val="right"/>
            </w:pPr>
            <w:r w:rsidRPr="008B2F8A">
              <w:t xml:space="preserve"> 312 </w:t>
            </w:r>
          </w:p>
        </w:tc>
        <w:tc>
          <w:tcPr>
            <w:tcW w:w="1136" w:type="dxa"/>
            <w:noWrap/>
            <w:hideMark/>
          </w:tcPr>
          <w:p w14:paraId="54D40679" w14:textId="77777777" w:rsidR="00E47AB8" w:rsidRPr="008B2F8A" w:rsidRDefault="00E47AB8" w:rsidP="00422306">
            <w:pPr>
              <w:pStyle w:val="TableText0"/>
              <w:keepNext w:val="0"/>
              <w:spacing w:before="40" w:after="80" w:line="276" w:lineRule="auto"/>
              <w:jc w:val="right"/>
            </w:pPr>
            <w:r w:rsidRPr="008B2F8A">
              <w:t xml:space="preserve"> 352 </w:t>
            </w:r>
          </w:p>
        </w:tc>
        <w:tc>
          <w:tcPr>
            <w:tcW w:w="1136" w:type="dxa"/>
            <w:noWrap/>
            <w:hideMark/>
          </w:tcPr>
          <w:p w14:paraId="65094285" w14:textId="77777777" w:rsidR="00E47AB8" w:rsidRPr="008B2F8A" w:rsidRDefault="00E47AB8" w:rsidP="00422306">
            <w:pPr>
              <w:pStyle w:val="TableText0"/>
              <w:keepNext w:val="0"/>
              <w:spacing w:before="40" w:after="80" w:line="276" w:lineRule="auto"/>
              <w:jc w:val="right"/>
            </w:pPr>
            <w:r w:rsidRPr="008B2F8A">
              <w:t xml:space="preserve"> 392 </w:t>
            </w:r>
          </w:p>
        </w:tc>
        <w:tc>
          <w:tcPr>
            <w:tcW w:w="1136" w:type="dxa"/>
            <w:noWrap/>
            <w:hideMark/>
          </w:tcPr>
          <w:p w14:paraId="2F49DE1B" w14:textId="77777777" w:rsidR="00E47AB8" w:rsidRPr="008B2F8A" w:rsidRDefault="00E47AB8" w:rsidP="00422306">
            <w:pPr>
              <w:pStyle w:val="TableText0"/>
              <w:keepNext w:val="0"/>
              <w:spacing w:before="40" w:after="80" w:line="276" w:lineRule="auto"/>
              <w:jc w:val="right"/>
            </w:pPr>
            <w:r w:rsidRPr="008B2F8A">
              <w:t xml:space="preserve"> 432 </w:t>
            </w:r>
          </w:p>
        </w:tc>
        <w:tc>
          <w:tcPr>
            <w:tcW w:w="1148" w:type="dxa"/>
            <w:noWrap/>
            <w:hideMark/>
          </w:tcPr>
          <w:p w14:paraId="3FDA79F7" w14:textId="77777777" w:rsidR="00E47AB8" w:rsidRPr="008B2F8A" w:rsidRDefault="00E47AB8" w:rsidP="00422306">
            <w:pPr>
              <w:pStyle w:val="TableText0"/>
              <w:keepNext w:val="0"/>
              <w:spacing w:before="40" w:after="80" w:line="276" w:lineRule="auto"/>
              <w:jc w:val="right"/>
            </w:pPr>
            <w:r w:rsidRPr="008B2F8A">
              <w:t xml:space="preserve"> 473 </w:t>
            </w:r>
          </w:p>
        </w:tc>
      </w:tr>
      <w:tr w:rsidR="00E47AB8" w:rsidRPr="008B2F8A" w14:paraId="09EFA352" w14:textId="77777777" w:rsidTr="00E14AC4">
        <w:tc>
          <w:tcPr>
            <w:tcW w:w="3436" w:type="dxa"/>
            <w:noWrap/>
            <w:hideMark/>
          </w:tcPr>
          <w:p w14:paraId="17762204" w14:textId="77777777" w:rsidR="00E47AB8" w:rsidRPr="008B2F8A" w:rsidRDefault="00E47AB8" w:rsidP="00422306">
            <w:pPr>
              <w:pStyle w:val="TableText0"/>
              <w:keepNext w:val="0"/>
              <w:spacing w:before="40" w:after="80" w:line="276" w:lineRule="auto"/>
            </w:pPr>
            <w:r w:rsidRPr="008B2F8A">
              <w:t>Number of ultrasounds replaced</w:t>
            </w:r>
          </w:p>
        </w:tc>
        <w:tc>
          <w:tcPr>
            <w:tcW w:w="1136" w:type="dxa"/>
            <w:noWrap/>
            <w:hideMark/>
          </w:tcPr>
          <w:p w14:paraId="2A03B5FE" w14:textId="77777777" w:rsidR="00E47AB8" w:rsidRPr="008B2F8A" w:rsidRDefault="00E47AB8" w:rsidP="00422306">
            <w:pPr>
              <w:pStyle w:val="TableText0"/>
              <w:keepNext w:val="0"/>
              <w:spacing w:before="40" w:after="80" w:line="276" w:lineRule="auto"/>
              <w:jc w:val="right"/>
            </w:pPr>
            <w:r w:rsidRPr="008B2F8A">
              <w:t xml:space="preserve"> 1,048 </w:t>
            </w:r>
          </w:p>
        </w:tc>
        <w:tc>
          <w:tcPr>
            <w:tcW w:w="1136" w:type="dxa"/>
            <w:noWrap/>
            <w:hideMark/>
          </w:tcPr>
          <w:p w14:paraId="6B699023" w14:textId="77777777" w:rsidR="00E47AB8" w:rsidRPr="008B2F8A" w:rsidRDefault="00E47AB8" w:rsidP="00422306">
            <w:pPr>
              <w:pStyle w:val="TableText0"/>
              <w:keepNext w:val="0"/>
              <w:spacing w:before="40" w:after="80" w:line="276" w:lineRule="auto"/>
              <w:jc w:val="right"/>
            </w:pPr>
            <w:r w:rsidRPr="008B2F8A">
              <w:t xml:space="preserve"> 1,183 </w:t>
            </w:r>
          </w:p>
        </w:tc>
        <w:tc>
          <w:tcPr>
            <w:tcW w:w="1136" w:type="dxa"/>
            <w:noWrap/>
            <w:hideMark/>
          </w:tcPr>
          <w:p w14:paraId="4BCB77C4" w14:textId="77777777" w:rsidR="00E47AB8" w:rsidRPr="008B2F8A" w:rsidRDefault="00E47AB8" w:rsidP="00422306">
            <w:pPr>
              <w:pStyle w:val="TableText0"/>
              <w:keepNext w:val="0"/>
              <w:spacing w:before="40" w:after="80" w:line="276" w:lineRule="auto"/>
              <w:jc w:val="right"/>
            </w:pPr>
            <w:r w:rsidRPr="008B2F8A">
              <w:t xml:space="preserve"> 1,318 </w:t>
            </w:r>
          </w:p>
        </w:tc>
        <w:tc>
          <w:tcPr>
            <w:tcW w:w="1136" w:type="dxa"/>
            <w:noWrap/>
            <w:hideMark/>
          </w:tcPr>
          <w:p w14:paraId="57BE6727" w14:textId="77777777" w:rsidR="00E47AB8" w:rsidRPr="008B2F8A" w:rsidRDefault="00E47AB8" w:rsidP="00422306">
            <w:pPr>
              <w:pStyle w:val="TableText0"/>
              <w:keepNext w:val="0"/>
              <w:spacing w:before="40" w:after="80" w:line="276" w:lineRule="auto"/>
              <w:jc w:val="right"/>
            </w:pPr>
            <w:r w:rsidRPr="008B2F8A">
              <w:t xml:space="preserve"> 1,453 </w:t>
            </w:r>
          </w:p>
        </w:tc>
        <w:tc>
          <w:tcPr>
            <w:tcW w:w="1148" w:type="dxa"/>
            <w:noWrap/>
            <w:hideMark/>
          </w:tcPr>
          <w:p w14:paraId="3E8831EA" w14:textId="77777777" w:rsidR="00E47AB8" w:rsidRPr="008B2F8A" w:rsidRDefault="00E47AB8" w:rsidP="00422306">
            <w:pPr>
              <w:pStyle w:val="TableText0"/>
              <w:keepNext w:val="0"/>
              <w:spacing w:before="40" w:after="80" w:line="276" w:lineRule="auto"/>
              <w:jc w:val="right"/>
            </w:pPr>
            <w:r w:rsidRPr="008B2F8A">
              <w:t xml:space="preserve"> 1,588 </w:t>
            </w:r>
          </w:p>
        </w:tc>
      </w:tr>
    </w:tbl>
    <w:p w14:paraId="7E50C535" w14:textId="06736D69" w:rsidR="00E47AB8" w:rsidRDefault="00E47AB8" w:rsidP="00F56FD1">
      <w:pPr>
        <w:pStyle w:val="TableNotesFirst"/>
      </w:pPr>
      <w:r w:rsidRPr="008B2F8A">
        <w:t>FY = financial year; MBS = Medicare Benefits Schedule; MRI = magnetic resonance imaging.</w:t>
      </w:r>
      <w:r w:rsidR="00F56FD1">
        <w:t xml:space="preserve"> </w:t>
      </w:r>
      <w:r w:rsidRPr="008B2F8A">
        <w:t>Note: Rounding has been applied.</w:t>
      </w:r>
    </w:p>
    <w:p w14:paraId="1538FA16" w14:textId="77777777" w:rsidR="00F56FD1" w:rsidRPr="008B2F8A" w:rsidRDefault="00F56FD1" w:rsidP="00F56FD1">
      <w:pPr>
        <w:pStyle w:val="TableNotesFirst"/>
      </w:pPr>
    </w:p>
    <w:p w14:paraId="7BAA8347" w14:textId="77777777" w:rsidR="00E47AB8" w:rsidRPr="008B2F8A" w:rsidRDefault="00E47AB8" w:rsidP="00422306">
      <w:pPr>
        <w:pStyle w:val="Heading4"/>
      </w:pPr>
      <w:r w:rsidRPr="008B2F8A">
        <w:t>Prior history of invasive breast cancer</w:t>
      </w:r>
    </w:p>
    <w:p w14:paraId="577B32E7" w14:textId="77777777" w:rsidR="00E47AB8" w:rsidRPr="008B2F8A" w:rsidRDefault="00E47AB8" w:rsidP="00422306">
      <w:r w:rsidRPr="008B2F8A">
        <w:t>The number of women with a prior history of invasive breast cancer who receive MRI was estimated using the following calculations:</w:t>
      </w:r>
    </w:p>
    <w:p w14:paraId="2C5CA85A" w14:textId="6C3A8968" w:rsidR="00E47AB8" w:rsidRPr="008B2F8A" w:rsidRDefault="00E47AB8" w:rsidP="00E47AB8">
      <w:pPr>
        <w:pStyle w:val="ListParagraph"/>
        <w:numPr>
          <w:ilvl w:val="0"/>
          <w:numId w:val="57"/>
        </w:numPr>
      </w:pPr>
      <w:r w:rsidRPr="008B2F8A">
        <w:lastRenderedPageBreak/>
        <w:t xml:space="preserve">The number of women in Australia with a prior history of breast cancer was calculated by applying the 27-year prevalence rate (146.5 per 10,000; </w:t>
      </w:r>
      <w:r w:rsidRPr="008B2F8A">
        <w:rPr>
          <w:noProof/>
        </w:rPr>
        <w:t>AIHW, 2012b)</w:t>
      </w:r>
      <w:r w:rsidRPr="008B2F8A">
        <w:t xml:space="preserve"> to the ABS population projections.</w:t>
      </w:r>
    </w:p>
    <w:p w14:paraId="79B355C4" w14:textId="5FE87D8A" w:rsidR="00E47AB8" w:rsidRPr="008B2F8A" w:rsidRDefault="00E47AB8" w:rsidP="00E47AB8">
      <w:pPr>
        <w:pStyle w:val="ListParagraph"/>
        <w:numPr>
          <w:ilvl w:val="0"/>
          <w:numId w:val="57"/>
        </w:numPr>
      </w:pPr>
      <w:r w:rsidRPr="008B2F8A">
        <w:t xml:space="preserve">The number of women aged &lt;50 years with a prior history of breast cancer was calculated by applying the proportion of the 5-year prevalence of breast cancer </w:t>
      </w:r>
      <w:r>
        <w:t>among</w:t>
      </w:r>
      <w:r w:rsidRPr="008B2F8A">
        <w:t xml:space="preserve"> women aged &lt;50 </w:t>
      </w:r>
      <w:r>
        <w:t xml:space="preserve">years </w:t>
      </w:r>
      <w:r w:rsidRPr="008B2F8A">
        <w:t xml:space="preserve">(19.8%; </w:t>
      </w:r>
      <w:r w:rsidRPr="008B2F8A">
        <w:rPr>
          <w:noProof/>
        </w:rPr>
        <w:t>AIHW, 2012b).</w:t>
      </w:r>
    </w:p>
    <w:p w14:paraId="6FEE2E92" w14:textId="7725F215" w:rsidR="00E47AB8" w:rsidRPr="008B2F8A" w:rsidRDefault="00E47AB8" w:rsidP="00E47AB8">
      <w:pPr>
        <w:pStyle w:val="ListParagraph"/>
        <w:numPr>
          <w:ilvl w:val="0"/>
          <w:numId w:val="57"/>
        </w:numPr>
      </w:pPr>
      <w:r w:rsidRPr="008B2F8A">
        <w:t xml:space="preserve">The number of women aged &lt;50 years with a prior history of </w:t>
      </w:r>
      <w:r w:rsidRPr="008B2F8A">
        <w:rPr>
          <w:i/>
        </w:rPr>
        <w:t>invasive</w:t>
      </w:r>
      <w:r w:rsidRPr="008B2F8A">
        <w:t xml:space="preserve"> breast cancer was calculated by applying the proportion of diagnoses in women aged &lt;50 years </w:t>
      </w:r>
      <w:r>
        <w:t>for</w:t>
      </w:r>
      <w:r w:rsidRPr="008B2F8A">
        <w:t xml:space="preserve"> invasive ductal or lobular cancer (90.6%; </w:t>
      </w:r>
      <w:r w:rsidRPr="008B2F8A">
        <w:rPr>
          <w:noProof/>
        </w:rPr>
        <w:t>AIHW, 2012b).</w:t>
      </w:r>
    </w:p>
    <w:p w14:paraId="1F7D864F" w14:textId="3F6C84B4" w:rsidR="00E47AB8" w:rsidRPr="008B2F8A" w:rsidRDefault="00E47AB8" w:rsidP="00E47AB8">
      <w:pPr>
        <w:pStyle w:val="ListParagraph"/>
        <w:numPr>
          <w:ilvl w:val="0"/>
          <w:numId w:val="57"/>
        </w:numPr>
      </w:pPr>
      <w:r w:rsidRPr="008B2F8A">
        <w:t xml:space="preserve">The number of women aged &lt;50 years with a prior history of invasive breast cancer and who </w:t>
      </w:r>
      <w:r w:rsidRPr="008B2F8A">
        <w:rPr>
          <w:i/>
        </w:rPr>
        <w:t>do not</w:t>
      </w:r>
      <w:r w:rsidRPr="008B2F8A">
        <w:t xml:space="preserve"> have gene mutations or family history was calculated by applying the proportion of breast cancer diagnoses </w:t>
      </w:r>
      <w:r>
        <w:t>among</w:t>
      </w:r>
      <w:r w:rsidRPr="008B2F8A">
        <w:t xml:space="preserve"> women without gene mutations or family history (95%; </w:t>
      </w:r>
      <w:r w:rsidRPr="008B2F8A">
        <w:rPr>
          <w:noProof/>
        </w:rPr>
        <w:t>NBOOC, 2009).</w:t>
      </w:r>
    </w:p>
    <w:p w14:paraId="2D965480" w14:textId="77777777" w:rsidR="00E47AB8" w:rsidRPr="008B2F8A" w:rsidRDefault="00E47AB8" w:rsidP="00E47AB8">
      <w:pPr>
        <w:pStyle w:val="ListParagraph"/>
        <w:numPr>
          <w:ilvl w:val="0"/>
          <w:numId w:val="57"/>
        </w:numPr>
      </w:pPr>
      <w:r w:rsidRPr="008B2F8A">
        <w:t>The number of eligible women who take up MRI was calculated by applying the screening uptake rate.</w:t>
      </w:r>
    </w:p>
    <w:p w14:paraId="7B347722" w14:textId="77777777" w:rsidR="00E47AB8" w:rsidRPr="008B2F8A" w:rsidRDefault="00E47AB8" w:rsidP="00E47AB8">
      <w:pPr>
        <w:pStyle w:val="ListParagraph"/>
        <w:numPr>
          <w:ilvl w:val="0"/>
          <w:numId w:val="57"/>
        </w:numPr>
      </w:pPr>
      <w:r w:rsidRPr="008B2F8A">
        <w:t xml:space="preserve">The number of women who have follow-up MRI and the number of ultrasounds replaced were calculated by applying the 7.4% follow-up MRI rate and </w:t>
      </w:r>
      <w:r>
        <w:t xml:space="preserve">the </w:t>
      </w:r>
      <w:r w:rsidRPr="008B2F8A">
        <w:t>25% ultrasound replacement rate.</w:t>
      </w:r>
    </w:p>
    <w:p w14:paraId="26CB3BE1" w14:textId="47689CEB" w:rsidR="00E47AB8" w:rsidRPr="008B2F8A" w:rsidRDefault="00E47AB8" w:rsidP="00422306">
      <w:r w:rsidRPr="008B2F8A">
        <w:t>For a full explanation of the data and assumptions used in these calculations</w:t>
      </w:r>
      <w:r>
        <w:t>,</w:t>
      </w:r>
      <w:r w:rsidRPr="008B2F8A">
        <w:t xml:space="preserve"> see Section </w:t>
      </w:r>
      <w:r w:rsidRPr="008B2F8A">
        <w:fldChar w:fldCharType="begin"/>
      </w:r>
      <w:r w:rsidRPr="008B2F8A">
        <w:instrText xml:space="preserve"> REF _Ref377464269 \r \h  \* MERGEFORMAT </w:instrText>
      </w:r>
      <w:r w:rsidRPr="008B2F8A">
        <w:fldChar w:fldCharType="separate"/>
      </w:r>
      <w:r w:rsidR="00B81273">
        <w:rPr>
          <w:noProof/>
        </w:rPr>
        <w:t>E.1</w:t>
      </w:r>
      <w:r w:rsidRPr="008B2F8A">
        <w:fldChar w:fldCharType="end"/>
      </w:r>
      <w:r w:rsidRPr="008B2F8A">
        <w:t xml:space="preserve">. The results of the calculations are presented in </w:t>
      </w:r>
      <w:r w:rsidRPr="008B2F8A">
        <w:fldChar w:fldCharType="begin"/>
      </w:r>
      <w:r w:rsidRPr="008B2F8A">
        <w:instrText xml:space="preserve"> REF _Ref373921695 \h </w:instrText>
      </w:r>
      <w:r w:rsidRPr="008B2F8A">
        <w:fldChar w:fldCharType="separate"/>
      </w:r>
      <w:r w:rsidR="00B81273" w:rsidRPr="008B2F8A">
        <w:t xml:space="preserve">Table </w:t>
      </w:r>
      <w:r w:rsidR="00B81273">
        <w:rPr>
          <w:noProof/>
        </w:rPr>
        <w:t>E</w:t>
      </w:r>
      <w:r w:rsidR="00B81273" w:rsidRPr="008B2F8A">
        <w:t>.</w:t>
      </w:r>
      <w:r w:rsidR="00B81273">
        <w:rPr>
          <w:noProof/>
        </w:rPr>
        <w:t>8</w:t>
      </w:r>
      <w:r w:rsidRPr="008B2F8A">
        <w:fldChar w:fldCharType="end"/>
      </w:r>
      <w:r w:rsidRPr="008B2F8A">
        <w:t xml:space="preserve">. Using this methodology, the estimated number of women aged &lt;50 years with a prior history of breast cancer in the financial year 2015 is 34,953. This is approximately 10 </w:t>
      </w:r>
      <w:r>
        <w:t>times</w:t>
      </w:r>
      <w:r w:rsidRPr="008B2F8A">
        <w:t xml:space="preserve"> the incidence of breast cancer in the same age group in 2008, which was 3,208 </w:t>
      </w:r>
      <w:r w:rsidRPr="008B2F8A">
        <w:rPr>
          <w:noProof/>
        </w:rPr>
        <w:t>(AIHW, 2012b)</w:t>
      </w:r>
      <w:r w:rsidRPr="008B2F8A">
        <w:t>. It is estimated that 6,</w:t>
      </w:r>
      <w:r w:rsidR="00F56FD1">
        <w:t>017</w:t>
      </w:r>
      <w:r w:rsidRPr="008B2F8A">
        <w:t xml:space="preserve"> women will receive MRI in 2015</w:t>
      </w:r>
      <w:r>
        <w:t>,</w:t>
      </w:r>
      <w:r w:rsidRPr="008B2F8A">
        <w:t xml:space="preserve"> increas</w:t>
      </w:r>
      <w:r>
        <w:t>ing</w:t>
      </w:r>
      <w:r w:rsidRPr="008B2F8A">
        <w:t xml:space="preserve"> to 1</w:t>
      </w:r>
      <w:r w:rsidR="00F56FD1">
        <w:t>7</w:t>
      </w:r>
      <w:r w:rsidRPr="008B2F8A">
        <w:t>,5</w:t>
      </w:r>
      <w:r w:rsidR="00F56FD1">
        <w:t>77</w:t>
      </w:r>
      <w:r w:rsidRPr="008B2F8A">
        <w:t xml:space="preserve"> in 2019.</w:t>
      </w:r>
    </w:p>
    <w:p w14:paraId="5DC4E933" w14:textId="77777777" w:rsidR="00E47AB8" w:rsidRPr="008B2F8A" w:rsidRDefault="00E47AB8" w:rsidP="00422306">
      <w:pPr>
        <w:pStyle w:val="Caption"/>
      </w:pPr>
      <w:bookmarkStart w:id="1329" w:name="_Ref373921695"/>
      <w:bookmarkStart w:id="1330" w:name="_Toc383424639"/>
      <w:r w:rsidRPr="008B2F8A">
        <w:t xml:space="preserve">Table </w:t>
      </w:r>
      <w:fldSimple w:instr=" STYLEREF 1 \s ">
        <w:r w:rsidR="00B81273">
          <w:rPr>
            <w:noProof/>
          </w:rPr>
          <w:t>E</w:t>
        </w:r>
      </w:fldSimple>
      <w:r w:rsidRPr="008B2F8A">
        <w:t>.</w:t>
      </w:r>
      <w:fldSimple w:instr=" SEQ Table \* ARABIC \s 1 ">
        <w:r w:rsidR="00B81273">
          <w:rPr>
            <w:noProof/>
          </w:rPr>
          <w:t>8</w:t>
        </w:r>
      </w:fldSimple>
      <w:bookmarkEnd w:id="1329"/>
      <w:r w:rsidRPr="008B2F8A">
        <w:t xml:space="preserve"> Estimation of the number of women with prior history of invasive breast cancer who receive MRI.</w:t>
      </w:r>
      <w:bookmarkEnd w:id="1330"/>
    </w:p>
    <w:tbl>
      <w:tblPr>
        <w:tblStyle w:val="TableGrid"/>
        <w:tblW w:w="9126" w:type="dxa"/>
        <w:tblLayout w:type="fixed"/>
        <w:tblCellMar>
          <w:left w:w="28" w:type="dxa"/>
          <w:right w:w="28" w:type="dxa"/>
        </w:tblCellMar>
        <w:tblLook w:val="04A0" w:firstRow="1" w:lastRow="0" w:firstColumn="1" w:lastColumn="0" w:noHBand="0" w:noVBand="1"/>
        <w:tblCaption w:val="Estimation of the number of women with prior history of invasive breast cancer who receive MRI."/>
      </w:tblPr>
      <w:tblGrid>
        <w:gridCol w:w="3436"/>
        <w:gridCol w:w="1136"/>
        <w:gridCol w:w="1136"/>
        <w:gridCol w:w="1136"/>
        <w:gridCol w:w="1136"/>
        <w:gridCol w:w="1146"/>
      </w:tblGrid>
      <w:tr w:rsidR="00E47AB8" w:rsidRPr="008B2F8A" w14:paraId="47728F6E" w14:textId="77777777" w:rsidTr="00E14AC4">
        <w:trPr>
          <w:tblHeader/>
        </w:trPr>
        <w:tc>
          <w:tcPr>
            <w:tcW w:w="3436" w:type="dxa"/>
            <w:noWrap/>
            <w:hideMark/>
          </w:tcPr>
          <w:p w14:paraId="663327C9" w14:textId="77777777" w:rsidR="00E47AB8" w:rsidRPr="008B2F8A" w:rsidRDefault="00E47AB8" w:rsidP="00422306">
            <w:pPr>
              <w:pStyle w:val="Tableheaderrow"/>
              <w:spacing w:before="40" w:after="80" w:line="276" w:lineRule="auto"/>
            </w:pPr>
            <w:r w:rsidRPr="008B2F8A">
              <w:t>Description</w:t>
            </w:r>
          </w:p>
        </w:tc>
        <w:tc>
          <w:tcPr>
            <w:tcW w:w="1136" w:type="dxa"/>
            <w:noWrap/>
            <w:hideMark/>
          </w:tcPr>
          <w:p w14:paraId="538A3730" w14:textId="77777777" w:rsidR="00E47AB8" w:rsidRPr="008B2F8A" w:rsidRDefault="00E47AB8" w:rsidP="00422306">
            <w:pPr>
              <w:pStyle w:val="Tableheaderrow"/>
              <w:spacing w:before="40" w:after="80" w:line="276" w:lineRule="auto"/>
              <w:jc w:val="center"/>
            </w:pPr>
            <w:r w:rsidRPr="008B2F8A">
              <w:t>FY 2015</w:t>
            </w:r>
          </w:p>
        </w:tc>
        <w:tc>
          <w:tcPr>
            <w:tcW w:w="1136" w:type="dxa"/>
            <w:noWrap/>
            <w:hideMark/>
          </w:tcPr>
          <w:p w14:paraId="78741F39" w14:textId="77777777" w:rsidR="00E47AB8" w:rsidRPr="008B2F8A" w:rsidRDefault="00E47AB8" w:rsidP="00422306">
            <w:pPr>
              <w:pStyle w:val="Tableheaderrow"/>
              <w:spacing w:before="40" w:after="80" w:line="276" w:lineRule="auto"/>
              <w:jc w:val="center"/>
            </w:pPr>
            <w:r w:rsidRPr="008B2F8A">
              <w:t>FY 2016</w:t>
            </w:r>
          </w:p>
        </w:tc>
        <w:tc>
          <w:tcPr>
            <w:tcW w:w="1136" w:type="dxa"/>
            <w:noWrap/>
            <w:hideMark/>
          </w:tcPr>
          <w:p w14:paraId="19DED867" w14:textId="77777777" w:rsidR="00E47AB8" w:rsidRPr="008B2F8A" w:rsidRDefault="00E47AB8" w:rsidP="00422306">
            <w:pPr>
              <w:pStyle w:val="Tableheaderrow"/>
              <w:spacing w:before="40" w:after="80" w:line="276" w:lineRule="auto"/>
              <w:jc w:val="center"/>
            </w:pPr>
            <w:r w:rsidRPr="008B2F8A">
              <w:t>FY 2017</w:t>
            </w:r>
          </w:p>
        </w:tc>
        <w:tc>
          <w:tcPr>
            <w:tcW w:w="1136" w:type="dxa"/>
            <w:noWrap/>
            <w:hideMark/>
          </w:tcPr>
          <w:p w14:paraId="1520A34A" w14:textId="77777777" w:rsidR="00E47AB8" w:rsidRPr="008B2F8A" w:rsidRDefault="00E47AB8" w:rsidP="00422306">
            <w:pPr>
              <w:pStyle w:val="Tableheaderrow"/>
              <w:spacing w:before="40" w:after="80" w:line="276" w:lineRule="auto"/>
              <w:jc w:val="center"/>
            </w:pPr>
            <w:r w:rsidRPr="008B2F8A">
              <w:t>FY 2018</w:t>
            </w:r>
          </w:p>
        </w:tc>
        <w:tc>
          <w:tcPr>
            <w:tcW w:w="1146" w:type="dxa"/>
            <w:noWrap/>
            <w:hideMark/>
          </w:tcPr>
          <w:p w14:paraId="20250662"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4A08CDA1" w14:textId="77777777" w:rsidTr="00E14AC4">
        <w:tc>
          <w:tcPr>
            <w:tcW w:w="3436" w:type="dxa"/>
            <w:noWrap/>
            <w:hideMark/>
          </w:tcPr>
          <w:p w14:paraId="10F540C9" w14:textId="77777777" w:rsidR="00E47AB8" w:rsidRPr="008B2F8A" w:rsidRDefault="00E47AB8" w:rsidP="00422306">
            <w:pPr>
              <w:pStyle w:val="TableText0"/>
              <w:keepNext w:val="0"/>
              <w:spacing w:before="40" w:after="80" w:line="276" w:lineRule="auto"/>
            </w:pPr>
            <w:r w:rsidRPr="008B2F8A">
              <w:t>Number of females in Australia</w:t>
            </w:r>
          </w:p>
        </w:tc>
        <w:tc>
          <w:tcPr>
            <w:tcW w:w="1136" w:type="dxa"/>
            <w:noWrap/>
            <w:hideMark/>
          </w:tcPr>
          <w:p w14:paraId="2BC31FFC" w14:textId="77777777" w:rsidR="00E47AB8" w:rsidRPr="008B2F8A" w:rsidRDefault="00E47AB8" w:rsidP="00422306">
            <w:pPr>
              <w:pStyle w:val="TableText0"/>
              <w:keepNext w:val="0"/>
              <w:spacing w:before="40" w:after="80" w:line="276" w:lineRule="auto"/>
              <w:jc w:val="right"/>
            </w:pPr>
            <w:r w:rsidRPr="008B2F8A">
              <w:t xml:space="preserve"> 12,022,954 </w:t>
            </w:r>
          </w:p>
        </w:tc>
        <w:tc>
          <w:tcPr>
            <w:tcW w:w="1136" w:type="dxa"/>
            <w:noWrap/>
            <w:hideMark/>
          </w:tcPr>
          <w:p w14:paraId="77AECC87" w14:textId="77777777" w:rsidR="00E47AB8" w:rsidRPr="008B2F8A" w:rsidRDefault="00E47AB8" w:rsidP="00422306">
            <w:pPr>
              <w:pStyle w:val="TableText0"/>
              <w:keepNext w:val="0"/>
              <w:spacing w:before="40" w:after="80" w:line="276" w:lineRule="auto"/>
              <w:jc w:val="right"/>
            </w:pPr>
            <w:r w:rsidRPr="008B2F8A">
              <w:t xml:space="preserve"> 12,233,224 </w:t>
            </w:r>
          </w:p>
        </w:tc>
        <w:tc>
          <w:tcPr>
            <w:tcW w:w="1136" w:type="dxa"/>
            <w:noWrap/>
            <w:hideMark/>
          </w:tcPr>
          <w:p w14:paraId="07E949E9" w14:textId="77777777" w:rsidR="00E47AB8" w:rsidRPr="008B2F8A" w:rsidRDefault="00E47AB8" w:rsidP="00422306">
            <w:pPr>
              <w:pStyle w:val="TableText0"/>
              <w:keepNext w:val="0"/>
              <w:spacing w:before="40" w:after="80" w:line="276" w:lineRule="auto"/>
              <w:jc w:val="right"/>
            </w:pPr>
            <w:r w:rsidRPr="008B2F8A">
              <w:t xml:space="preserve"> 12,444,642 </w:t>
            </w:r>
          </w:p>
        </w:tc>
        <w:tc>
          <w:tcPr>
            <w:tcW w:w="1136" w:type="dxa"/>
            <w:noWrap/>
            <w:hideMark/>
          </w:tcPr>
          <w:p w14:paraId="1BC534A8" w14:textId="77777777" w:rsidR="00E47AB8" w:rsidRPr="008B2F8A" w:rsidRDefault="00E47AB8" w:rsidP="00422306">
            <w:pPr>
              <w:pStyle w:val="TableText0"/>
              <w:keepNext w:val="0"/>
              <w:spacing w:before="40" w:after="80" w:line="276" w:lineRule="auto"/>
              <w:jc w:val="right"/>
            </w:pPr>
            <w:r w:rsidRPr="008B2F8A">
              <w:t xml:space="preserve"> 12,655,537 </w:t>
            </w:r>
          </w:p>
        </w:tc>
        <w:tc>
          <w:tcPr>
            <w:tcW w:w="1146" w:type="dxa"/>
            <w:noWrap/>
            <w:hideMark/>
          </w:tcPr>
          <w:p w14:paraId="7781CFAB" w14:textId="77777777" w:rsidR="00E47AB8" w:rsidRPr="008B2F8A" w:rsidRDefault="00E47AB8" w:rsidP="00422306">
            <w:pPr>
              <w:pStyle w:val="TableText0"/>
              <w:keepNext w:val="0"/>
              <w:spacing w:before="40" w:after="80" w:line="276" w:lineRule="auto"/>
              <w:jc w:val="right"/>
            </w:pPr>
            <w:r w:rsidRPr="008B2F8A">
              <w:t xml:space="preserve"> 12,865,712 </w:t>
            </w:r>
          </w:p>
        </w:tc>
      </w:tr>
      <w:tr w:rsidR="00E47AB8" w:rsidRPr="008B2F8A" w14:paraId="4CCD8A36" w14:textId="77777777" w:rsidTr="00E14AC4">
        <w:tc>
          <w:tcPr>
            <w:tcW w:w="3436" w:type="dxa"/>
            <w:noWrap/>
            <w:hideMark/>
          </w:tcPr>
          <w:p w14:paraId="4EC572BA" w14:textId="77777777" w:rsidR="00E47AB8" w:rsidRPr="008B2F8A" w:rsidRDefault="00E47AB8" w:rsidP="00422306">
            <w:pPr>
              <w:pStyle w:val="TableText0"/>
              <w:keepNext w:val="0"/>
              <w:spacing w:before="40" w:after="80" w:line="276" w:lineRule="auto"/>
            </w:pPr>
            <w:r w:rsidRPr="008B2F8A">
              <w:t>Number of women with a prior history of breast cancer</w:t>
            </w:r>
          </w:p>
        </w:tc>
        <w:tc>
          <w:tcPr>
            <w:tcW w:w="1136" w:type="dxa"/>
            <w:noWrap/>
            <w:hideMark/>
          </w:tcPr>
          <w:p w14:paraId="07CF303A" w14:textId="77777777" w:rsidR="00E47AB8" w:rsidRPr="008B2F8A" w:rsidRDefault="00E47AB8" w:rsidP="00422306">
            <w:pPr>
              <w:pStyle w:val="TableText0"/>
              <w:keepNext w:val="0"/>
              <w:spacing w:before="40" w:after="80" w:line="276" w:lineRule="auto"/>
              <w:jc w:val="right"/>
            </w:pPr>
            <w:r w:rsidRPr="008B2F8A">
              <w:t xml:space="preserve"> 176,136 </w:t>
            </w:r>
          </w:p>
        </w:tc>
        <w:tc>
          <w:tcPr>
            <w:tcW w:w="1136" w:type="dxa"/>
            <w:noWrap/>
            <w:hideMark/>
          </w:tcPr>
          <w:p w14:paraId="3279CEB4" w14:textId="77777777" w:rsidR="00E47AB8" w:rsidRPr="008B2F8A" w:rsidRDefault="00E47AB8" w:rsidP="00422306">
            <w:pPr>
              <w:pStyle w:val="TableText0"/>
              <w:keepNext w:val="0"/>
              <w:spacing w:before="40" w:after="80" w:line="276" w:lineRule="auto"/>
              <w:jc w:val="right"/>
            </w:pPr>
            <w:r w:rsidRPr="008B2F8A">
              <w:t xml:space="preserve"> 179,217 </w:t>
            </w:r>
          </w:p>
        </w:tc>
        <w:tc>
          <w:tcPr>
            <w:tcW w:w="1136" w:type="dxa"/>
            <w:noWrap/>
            <w:hideMark/>
          </w:tcPr>
          <w:p w14:paraId="05FB9A9F" w14:textId="77777777" w:rsidR="00E47AB8" w:rsidRPr="008B2F8A" w:rsidRDefault="00E47AB8" w:rsidP="00422306">
            <w:pPr>
              <w:pStyle w:val="TableText0"/>
              <w:keepNext w:val="0"/>
              <w:spacing w:before="40" w:after="80" w:line="276" w:lineRule="auto"/>
              <w:jc w:val="right"/>
            </w:pPr>
            <w:r w:rsidRPr="008B2F8A">
              <w:t xml:space="preserve"> 182,314 </w:t>
            </w:r>
          </w:p>
        </w:tc>
        <w:tc>
          <w:tcPr>
            <w:tcW w:w="1136" w:type="dxa"/>
            <w:noWrap/>
            <w:hideMark/>
          </w:tcPr>
          <w:p w14:paraId="20678754" w14:textId="77777777" w:rsidR="00E47AB8" w:rsidRPr="008B2F8A" w:rsidRDefault="00E47AB8" w:rsidP="00422306">
            <w:pPr>
              <w:pStyle w:val="TableText0"/>
              <w:keepNext w:val="0"/>
              <w:spacing w:before="40" w:after="80" w:line="276" w:lineRule="auto"/>
              <w:jc w:val="right"/>
            </w:pPr>
            <w:r w:rsidRPr="008B2F8A">
              <w:t xml:space="preserve"> 185,404 </w:t>
            </w:r>
          </w:p>
        </w:tc>
        <w:tc>
          <w:tcPr>
            <w:tcW w:w="1146" w:type="dxa"/>
            <w:noWrap/>
            <w:hideMark/>
          </w:tcPr>
          <w:p w14:paraId="3EBF5285" w14:textId="77777777" w:rsidR="00E47AB8" w:rsidRPr="008B2F8A" w:rsidRDefault="00E47AB8" w:rsidP="00422306">
            <w:pPr>
              <w:pStyle w:val="TableText0"/>
              <w:keepNext w:val="0"/>
              <w:spacing w:before="40" w:after="80" w:line="276" w:lineRule="auto"/>
              <w:jc w:val="right"/>
            </w:pPr>
            <w:r w:rsidRPr="008B2F8A">
              <w:t xml:space="preserve"> 188,483 </w:t>
            </w:r>
          </w:p>
        </w:tc>
      </w:tr>
      <w:tr w:rsidR="00E47AB8" w:rsidRPr="008B2F8A" w14:paraId="7E69E8E9" w14:textId="77777777" w:rsidTr="00E14AC4">
        <w:tc>
          <w:tcPr>
            <w:tcW w:w="3436" w:type="dxa"/>
            <w:noWrap/>
            <w:hideMark/>
          </w:tcPr>
          <w:p w14:paraId="043C27EA" w14:textId="46550C3D" w:rsidR="00E47AB8" w:rsidRPr="008B2F8A" w:rsidRDefault="00E47AB8" w:rsidP="00422306">
            <w:pPr>
              <w:pStyle w:val="TableText0"/>
              <w:keepNext w:val="0"/>
              <w:spacing w:before="40" w:after="80" w:line="276" w:lineRule="auto"/>
            </w:pPr>
            <w:r w:rsidRPr="008B2F8A">
              <w:t>Number of women aged &lt;50</w:t>
            </w:r>
            <w:r>
              <w:t xml:space="preserve"> years</w:t>
            </w:r>
            <w:r w:rsidRPr="008B2F8A">
              <w:t xml:space="preserve"> with a prior history of breast cancer</w:t>
            </w:r>
          </w:p>
        </w:tc>
        <w:tc>
          <w:tcPr>
            <w:tcW w:w="1136" w:type="dxa"/>
            <w:noWrap/>
            <w:hideMark/>
          </w:tcPr>
          <w:p w14:paraId="12D3FDDF" w14:textId="77777777" w:rsidR="00E47AB8" w:rsidRPr="008B2F8A" w:rsidRDefault="00E47AB8" w:rsidP="00422306">
            <w:pPr>
              <w:pStyle w:val="TableText0"/>
              <w:keepNext w:val="0"/>
              <w:spacing w:before="40" w:after="80" w:line="276" w:lineRule="auto"/>
              <w:jc w:val="right"/>
            </w:pPr>
            <w:r w:rsidRPr="008B2F8A">
              <w:t xml:space="preserve"> 34,953 </w:t>
            </w:r>
          </w:p>
        </w:tc>
        <w:tc>
          <w:tcPr>
            <w:tcW w:w="1136" w:type="dxa"/>
            <w:noWrap/>
            <w:hideMark/>
          </w:tcPr>
          <w:p w14:paraId="69BF20E3" w14:textId="77777777" w:rsidR="00E47AB8" w:rsidRPr="008B2F8A" w:rsidRDefault="00E47AB8" w:rsidP="00422306">
            <w:pPr>
              <w:pStyle w:val="TableText0"/>
              <w:keepNext w:val="0"/>
              <w:spacing w:before="40" w:after="80" w:line="276" w:lineRule="auto"/>
              <w:jc w:val="right"/>
            </w:pPr>
            <w:r w:rsidRPr="008B2F8A">
              <w:t xml:space="preserve"> 35,564 </w:t>
            </w:r>
          </w:p>
        </w:tc>
        <w:tc>
          <w:tcPr>
            <w:tcW w:w="1136" w:type="dxa"/>
            <w:noWrap/>
            <w:hideMark/>
          </w:tcPr>
          <w:p w14:paraId="645D8C3D" w14:textId="77777777" w:rsidR="00E47AB8" w:rsidRPr="008B2F8A" w:rsidRDefault="00E47AB8" w:rsidP="00422306">
            <w:pPr>
              <w:pStyle w:val="TableText0"/>
              <w:keepNext w:val="0"/>
              <w:spacing w:before="40" w:after="80" w:line="276" w:lineRule="auto"/>
              <w:jc w:val="right"/>
            </w:pPr>
            <w:r w:rsidRPr="008B2F8A">
              <w:t xml:space="preserve"> 36,178 </w:t>
            </w:r>
          </w:p>
        </w:tc>
        <w:tc>
          <w:tcPr>
            <w:tcW w:w="1136" w:type="dxa"/>
            <w:noWrap/>
            <w:hideMark/>
          </w:tcPr>
          <w:p w14:paraId="73D9EFF3" w14:textId="77777777" w:rsidR="00E47AB8" w:rsidRPr="008B2F8A" w:rsidRDefault="00E47AB8" w:rsidP="00422306">
            <w:pPr>
              <w:pStyle w:val="TableText0"/>
              <w:keepNext w:val="0"/>
              <w:spacing w:before="40" w:after="80" w:line="276" w:lineRule="auto"/>
              <w:jc w:val="right"/>
            </w:pPr>
            <w:r w:rsidRPr="008B2F8A">
              <w:t xml:space="preserve"> 36,792 </w:t>
            </w:r>
          </w:p>
        </w:tc>
        <w:tc>
          <w:tcPr>
            <w:tcW w:w="1146" w:type="dxa"/>
            <w:noWrap/>
            <w:hideMark/>
          </w:tcPr>
          <w:p w14:paraId="0AD73DC8" w14:textId="77777777" w:rsidR="00E47AB8" w:rsidRPr="008B2F8A" w:rsidRDefault="00E47AB8" w:rsidP="00422306">
            <w:pPr>
              <w:pStyle w:val="TableText0"/>
              <w:keepNext w:val="0"/>
              <w:spacing w:before="40" w:after="80" w:line="276" w:lineRule="auto"/>
              <w:jc w:val="right"/>
            </w:pPr>
            <w:r w:rsidRPr="008B2F8A">
              <w:t xml:space="preserve"> 37,403 </w:t>
            </w:r>
          </w:p>
        </w:tc>
      </w:tr>
      <w:tr w:rsidR="00E47AB8" w:rsidRPr="008B2F8A" w14:paraId="5D5B0C2B" w14:textId="77777777" w:rsidTr="00E14AC4">
        <w:tc>
          <w:tcPr>
            <w:tcW w:w="3436" w:type="dxa"/>
            <w:noWrap/>
            <w:hideMark/>
          </w:tcPr>
          <w:p w14:paraId="401928E2" w14:textId="47C363BD" w:rsidR="00E47AB8" w:rsidRPr="008B2F8A" w:rsidRDefault="00E47AB8" w:rsidP="00422306">
            <w:pPr>
              <w:pStyle w:val="TableText0"/>
              <w:keepNext w:val="0"/>
              <w:spacing w:before="40" w:after="80" w:line="276" w:lineRule="auto"/>
            </w:pPr>
            <w:r w:rsidRPr="008B2F8A">
              <w:t>Number of women aged &lt;50</w:t>
            </w:r>
            <w:r>
              <w:t xml:space="preserve"> years</w:t>
            </w:r>
            <w:r w:rsidRPr="008B2F8A">
              <w:t xml:space="preserve"> with a prior history of invasive breast cancer</w:t>
            </w:r>
          </w:p>
        </w:tc>
        <w:tc>
          <w:tcPr>
            <w:tcW w:w="1136" w:type="dxa"/>
            <w:noWrap/>
            <w:hideMark/>
          </w:tcPr>
          <w:p w14:paraId="204231DB" w14:textId="77777777" w:rsidR="00E47AB8" w:rsidRPr="008B2F8A" w:rsidRDefault="00E47AB8" w:rsidP="00422306">
            <w:pPr>
              <w:pStyle w:val="TableText0"/>
              <w:keepNext w:val="0"/>
              <w:spacing w:before="40" w:after="80" w:line="276" w:lineRule="auto"/>
              <w:jc w:val="right"/>
            </w:pPr>
            <w:r w:rsidRPr="008B2F8A">
              <w:t xml:space="preserve"> 31,667 </w:t>
            </w:r>
          </w:p>
        </w:tc>
        <w:tc>
          <w:tcPr>
            <w:tcW w:w="1136" w:type="dxa"/>
            <w:noWrap/>
            <w:hideMark/>
          </w:tcPr>
          <w:p w14:paraId="267F6A8A" w14:textId="77777777" w:rsidR="00E47AB8" w:rsidRPr="008B2F8A" w:rsidRDefault="00E47AB8" w:rsidP="00422306">
            <w:pPr>
              <w:pStyle w:val="TableText0"/>
              <w:keepNext w:val="0"/>
              <w:spacing w:before="40" w:after="80" w:line="276" w:lineRule="auto"/>
              <w:jc w:val="right"/>
            </w:pPr>
            <w:r w:rsidRPr="008B2F8A">
              <w:t xml:space="preserve"> 32,221 </w:t>
            </w:r>
          </w:p>
        </w:tc>
        <w:tc>
          <w:tcPr>
            <w:tcW w:w="1136" w:type="dxa"/>
            <w:noWrap/>
            <w:hideMark/>
          </w:tcPr>
          <w:p w14:paraId="0126EAA8" w14:textId="77777777" w:rsidR="00E47AB8" w:rsidRPr="008B2F8A" w:rsidRDefault="00E47AB8" w:rsidP="00422306">
            <w:pPr>
              <w:pStyle w:val="TableText0"/>
              <w:keepNext w:val="0"/>
              <w:spacing w:before="40" w:after="80" w:line="276" w:lineRule="auto"/>
              <w:jc w:val="right"/>
            </w:pPr>
            <w:r w:rsidRPr="008B2F8A">
              <w:t xml:space="preserve"> 32,778 </w:t>
            </w:r>
          </w:p>
        </w:tc>
        <w:tc>
          <w:tcPr>
            <w:tcW w:w="1136" w:type="dxa"/>
            <w:noWrap/>
            <w:hideMark/>
          </w:tcPr>
          <w:p w14:paraId="4D04DD30" w14:textId="77777777" w:rsidR="00E47AB8" w:rsidRPr="008B2F8A" w:rsidRDefault="00E47AB8" w:rsidP="00422306">
            <w:pPr>
              <w:pStyle w:val="TableText0"/>
              <w:keepNext w:val="0"/>
              <w:spacing w:before="40" w:after="80" w:line="276" w:lineRule="auto"/>
              <w:jc w:val="right"/>
            </w:pPr>
            <w:r w:rsidRPr="008B2F8A">
              <w:t xml:space="preserve"> 33,333 </w:t>
            </w:r>
          </w:p>
        </w:tc>
        <w:tc>
          <w:tcPr>
            <w:tcW w:w="1146" w:type="dxa"/>
            <w:noWrap/>
            <w:hideMark/>
          </w:tcPr>
          <w:p w14:paraId="4EA65015" w14:textId="77777777" w:rsidR="00E47AB8" w:rsidRPr="008B2F8A" w:rsidRDefault="00E47AB8" w:rsidP="00422306">
            <w:pPr>
              <w:pStyle w:val="TableText0"/>
              <w:keepNext w:val="0"/>
              <w:spacing w:before="40" w:after="80" w:line="276" w:lineRule="auto"/>
              <w:jc w:val="right"/>
            </w:pPr>
            <w:r w:rsidRPr="008B2F8A">
              <w:t xml:space="preserve"> 33,887 </w:t>
            </w:r>
          </w:p>
        </w:tc>
      </w:tr>
      <w:tr w:rsidR="00E47AB8" w:rsidRPr="008B2F8A" w14:paraId="297CC1A2" w14:textId="77777777" w:rsidTr="00E14AC4">
        <w:tc>
          <w:tcPr>
            <w:tcW w:w="3436" w:type="dxa"/>
            <w:noWrap/>
          </w:tcPr>
          <w:p w14:paraId="08EEC5F6" w14:textId="2DD632DC" w:rsidR="00E47AB8" w:rsidRPr="008B2F8A" w:rsidRDefault="00E47AB8" w:rsidP="00422306">
            <w:pPr>
              <w:pStyle w:val="TableText0"/>
              <w:keepNext w:val="0"/>
              <w:spacing w:before="40" w:after="80" w:line="276" w:lineRule="auto"/>
            </w:pPr>
            <w:r w:rsidRPr="008B2F8A">
              <w:t>Number of women aged &lt;50</w:t>
            </w:r>
            <w:r>
              <w:t xml:space="preserve"> years</w:t>
            </w:r>
            <w:r w:rsidRPr="008B2F8A">
              <w:t xml:space="preserve"> with a prior history of invasive breast cancer with no gene mutations or family history</w:t>
            </w:r>
          </w:p>
        </w:tc>
        <w:tc>
          <w:tcPr>
            <w:tcW w:w="1136" w:type="dxa"/>
            <w:noWrap/>
            <w:vAlign w:val="bottom"/>
          </w:tcPr>
          <w:p w14:paraId="4B2D16E7" w14:textId="77777777" w:rsidR="00E47AB8" w:rsidRPr="008B2F8A" w:rsidRDefault="00E47AB8" w:rsidP="00422306">
            <w:pPr>
              <w:pStyle w:val="TableText0"/>
              <w:keepNext w:val="0"/>
              <w:spacing w:before="40" w:after="80" w:line="276" w:lineRule="auto"/>
              <w:jc w:val="right"/>
            </w:pPr>
            <w:r w:rsidRPr="008B2F8A">
              <w:t xml:space="preserve"> 30,084 </w:t>
            </w:r>
          </w:p>
        </w:tc>
        <w:tc>
          <w:tcPr>
            <w:tcW w:w="1136" w:type="dxa"/>
            <w:noWrap/>
            <w:vAlign w:val="bottom"/>
          </w:tcPr>
          <w:p w14:paraId="1BD48006" w14:textId="77777777" w:rsidR="00E47AB8" w:rsidRPr="008B2F8A" w:rsidRDefault="00E47AB8" w:rsidP="00422306">
            <w:pPr>
              <w:pStyle w:val="TableText0"/>
              <w:keepNext w:val="0"/>
              <w:spacing w:before="40" w:after="80" w:line="276" w:lineRule="auto"/>
              <w:jc w:val="right"/>
            </w:pPr>
            <w:r w:rsidRPr="008B2F8A">
              <w:t xml:space="preserve"> 30,610 </w:t>
            </w:r>
          </w:p>
        </w:tc>
        <w:tc>
          <w:tcPr>
            <w:tcW w:w="1136" w:type="dxa"/>
            <w:noWrap/>
            <w:vAlign w:val="bottom"/>
          </w:tcPr>
          <w:p w14:paraId="4240336E" w14:textId="77777777" w:rsidR="00E47AB8" w:rsidRPr="008B2F8A" w:rsidRDefault="00E47AB8" w:rsidP="00422306">
            <w:pPr>
              <w:pStyle w:val="TableText0"/>
              <w:keepNext w:val="0"/>
              <w:spacing w:before="40" w:after="80" w:line="276" w:lineRule="auto"/>
              <w:jc w:val="right"/>
            </w:pPr>
            <w:r w:rsidRPr="008B2F8A">
              <w:t xml:space="preserve"> 31,139 </w:t>
            </w:r>
          </w:p>
        </w:tc>
        <w:tc>
          <w:tcPr>
            <w:tcW w:w="1136" w:type="dxa"/>
            <w:noWrap/>
            <w:vAlign w:val="bottom"/>
          </w:tcPr>
          <w:p w14:paraId="3401E737" w14:textId="77777777" w:rsidR="00E47AB8" w:rsidRPr="008B2F8A" w:rsidRDefault="00E47AB8" w:rsidP="00422306">
            <w:pPr>
              <w:pStyle w:val="TableText0"/>
              <w:keepNext w:val="0"/>
              <w:spacing w:before="40" w:after="80" w:line="276" w:lineRule="auto"/>
              <w:jc w:val="right"/>
            </w:pPr>
            <w:r w:rsidRPr="008B2F8A">
              <w:t xml:space="preserve"> 31,667 </w:t>
            </w:r>
          </w:p>
        </w:tc>
        <w:tc>
          <w:tcPr>
            <w:tcW w:w="1146" w:type="dxa"/>
            <w:noWrap/>
            <w:vAlign w:val="bottom"/>
          </w:tcPr>
          <w:p w14:paraId="4810042B" w14:textId="77777777" w:rsidR="00E47AB8" w:rsidRPr="008B2F8A" w:rsidRDefault="00E47AB8" w:rsidP="00422306">
            <w:pPr>
              <w:pStyle w:val="TableText0"/>
              <w:keepNext w:val="0"/>
              <w:spacing w:before="40" w:after="80" w:line="276" w:lineRule="auto"/>
              <w:jc w:val="right"/>
            </w:pPr>
            <w:r w:rsidRPr="008B2F8A">
              <w:t xml:space="preserve"> 32,192 </w:t>
            </w:r>
          </w:p>
        </w:tc>
      </w:tr>
      <w:tr w:rsidR="00E47AB8" w:rsidRPr="008B2F8A" w14:paraId="6207E2DB" w14:textId="77777777" w:rsidTr="00E14AC4">
        <w:tc>
          <w:tcPr>
            <w:tcW w:w="3436" w:type="dxa"/>
            <w:noWrap/>
            <w:hideMark/>
          </w:tcPr>
          <w:p w14:paraId="321D3FCA" w14:textId="77777777" w:rsidR="00E47AB8" w:rsidRPr="008B2F8A" w:rsidRDefault="00E47AB8" w:rsidP="00422306">
            <w:pPr>
              <w:pStyle w:val="TableText0"/>
              <w:keepNext w:val="0"/>
              <w:spacing w:before="40" w:after="80" w:line="276" w:lineRule="auto"/>
            </w:pPr>
            <w:r w:rsidRPr="008B2F8A">
              <w:t>Number who take up MRI screening</w:t>
            </w:r>
          </w:p>
        </w:tc>
        <w:tc>
          <w:tcPr>
            <w:tcW w:w="1136" w:type="dxa"/>
            <w:noWrap/>
            <w:vAlign w:val="bottom"/>
            <w:hideMark/>
          </w:tcPr>
          <w:p w14:paraId="2724FD5A" w14:textId="77777777" w:rsidR="00E47AB8" w:rsidRPr="008B2F8A" w:rsidRDefault="00E47AB8" w:rsidP="00422306">
            <w:pPr>
              <w:pStyle w:val="TableText0"/>
              <w:keepNext w:val="0"/>
              <w:spacing w:before="40" w:after="80" w:line="276" w:lineRule="auto"/>
              <w:jc w:val="right"/>
            </w:pPr>
            <w:r w:rsidRPr="008B2F8A">
              <w:t xml:space="preserve"> 6,017 </w:t>
            </w:r>
          </w:p>
        </w:tc>
        <w:tc>
          <w:tcPr>
            <w:tcW w:w="1136" w:type="dxa"/>
            <w:noWrap/>
            <w:vAlign w:val="bottom"/>
            <w:hideMark/>
          </w:tcPr>
          <w:p w14:paraId="51183EC9" w14:textId="77777777" w:rsidR="00E47AB8" w:rsidRPr="008B2F8A" w:rsidRDefault="00E47AB8" w:rsidP="00422306">
            <w:pPr>
              <w:pStyle w:val="TableText0"/>
              <w:keepNext w:val="0"/>
              <w:spacing w:before="40" w:after="80" w:line="276" w:lineRule="auto"/>
              <w:jc w:val="right"/>
            </w:pPr>
            <w:r w:rsidRPr="008B2F8A">
              <w:t xml:space="preserve"> 9,183 </w:t>
            </w:r>
          </w:p>
        </w:tc>
        <w:tc>
          <w:tcPr>
            <w:tcW w:w="1136" w:type="dxa"/>
            <w:noWrap/>
            <w:vAlign w:val="bottom"/>
            <w:hideMark/>
          </w:tcPr>
          <w:p w14:paraId="2A2D7DBC" w14:textId="77777777" w:rsidR="00E47AB8" w:rsidRPr="008B2F8A" w:rsidRDefault="00E47AB8" w:rsidP="00422306">
            <w:pPr>
              <w:pStyle w:val="TableText0"/>
              <w:keepNext w:val="0"/>
              <w:spacing w:before="40" w:after="80" w:line="276" w:lineRule="auto"/>
              <w:jc w:val="right"/>
            </w:pPr>
            <w:r w:rsidRPr="008B2F8A">
              <w:t xml:space="preserve"> 12,456 </w:t>
            </w:r>
          </w:p>
        </w:tc>
        <w:tc>
          <w:tcPr>
            <w:tcW w:w="1136" w:type="dxa"/>
            <w:noWrap/>
            <w:vAlign w:val="bottom"/>
            <w:hideMark/>
          </w:tcPr>
          <w:p w14:paraId="2E3D7189" w14:textId="77777777" w:rsidR="00E47AB8" w:rsidRPr="008B2F8A" w:rsidRDefault="00E47AB8" w:rsidP="00422306">
            <w:pPr>
              <w:pStyle w:val="TableText0"/>
              <w:keepNext w:val="0"/>
              <w:spacing w:before="40" w:after="80" w:line="276" w:lineRule="auto"/>
              <w:jc w:val="right"/>
            </w:pPr>
            <w:r w:rsidRPr="008B2F8A">
              <w:t xml:space="preserve"> 15,833 </w:t>
            </w:r>
          </w:p>
        </w:tc>
        <w:tc>
          <w:tcPr>
            <w:tcW w:w="1146" w:type="dxa"/>
            <w:noWrap/>
            <w:vAlign w:val="bottom"/>
            <w:hideMark/>
          </w:tcPr>
          <w:p w14:paraId="06395F41" w14:textId="77777777" w:rsidR="00E47AB8" w:rsidRPr="008B2F8A" w:rsidRDefault="00E47AB8" w:rsidP="00422306">
            <w:pPr>
              <w:pStyle w:val="TableText0"/>
              <w:keepNext w:val="0"/>
              <w:spacing w:before="40" w:after="80" w:line="276" w:lineRule="auto"/>
              <w:jc w:val="right"/>
            </w:pPr>
            <w:r w:rsidRPr="008B2F8A">
              <w:t xml:space="preserve"> 17,577 </w:t>
            </w:r>
          </w:p>
        </w:tc>
      </w:tr>
      <w:tr w:rsidR="00E47AB8" w:rsidRPr="008B2F8A" w14:paraId="2354EFFB" w14:textId="77777777" w:rsidTr="00E14AC4">
        <w:tc>
          <w:tcPr>
            <w:tcW w:w="3436" w:type="dxa"/>
            <w:noWrap/>
            <w:hideMark/>
          </w:tcPr>
          <w:p w14:paraId="6396C5C5" w14:textId="77777777" w:rsidR="00E47AB8" w:rsidRPr="008B2F8A" w:rsidRDefault="00E47AB8" w:rsidP="00422306">
            <w:pPr>
              <w:pStyle w:val="TableText0"/>
              <w:keepNext w:val="0"/>
              <w:spacing w:before="40" w:after="80" w:line="276" w:lineRule="auto"/>
            </w:pPr>
            <w:r w:rsidRPr="008B2F8A">
              <w:t>Number who have follow-up MRI</w:t>
            </w:r>
          </w:p>
        </w:tc>
        <w:tc>
          <w:tcPr>
            <w:tcW w:w="1136" w:type="dxa"/>
            <w:noWrap/>
            <w:vAlign w:val="bottom"/>
            <w:hideMark/>
          </w:tcPr>
          <w:p w14:paraId="2A2E0B15" w14:textId="77777777" w:rsidR="00E47AB8" w:rsidRPr="008B2F8A" w:rsidRDefault="00E47AB8" w:rsidP="00422306">
            <w:pPr>
              <w:pStyle w:val="TableText0"/>
              <w:keepNext w:val="0"/>
              <w:spacing w:before="40" w:after="80" w:line="276" w:lineRule="auto"/>
              <w:jc w:val="right"/>
            </w:pPr>
            <w:r w:rsidRPr="008B2F8A">
              <w:t xml:space="preserve"> 448 </w:t>
            </w:r>
          </w:p>
        </w:tc>
        <w:tc>
          <w:tcPr>
            <w:tcW w:w="1136" w:type="dxa"/>
            <w:noWrap/>
            <w:vAlign w:val="bottom"/>
            <w:hideMark/>
          </w:tcPr>
          <w:p w14:paraId="436BE96A" w14:textId="77777777" w:rsidR="00E47AB8" w:rsidRPr="008B2F8A" w:rsidRDefault="00E47AB8" w:rsidP="00422306">
            <w:pPr>
              <w:pStyle w:val="TableText0"/>
              <w:keepNext w:val="0"/>
              <w:spacing w:before="40" w:after="80" w:line="276" w:lineRule="auto"/>
              <w:jc w:val="right"/>
            </w:pPr>
            <w:r w:rsidRPr="008B2F8A">
              <w:t xml:space="preserve"> 683 </w:t>
            </w:r>
          </w:p>
        </w:tc>
        <w:tc>
          <w:tcPr>
            <w:tcW w:w="1136" w:type="dxa"/>
            <w:noWrap/>
            <w:vAlign w:val="bottom"/>
            <w:hideMark/>
          </w:tcPr>
          <w:p w14:paraId="1DE6579C" w14:textId="77777777" w:rsidR="00E47AB8" w:rsidRPr="008B2F8A" w:rsidRDefault="00E47AB8" w:rsidP="00422306">
            <w:pPr>
              <w:pStyle w:val="TableText0"/>
              <w:keepNext w:val="0"/>
              <w:spacing w:before="40" w:after="80" w:line="276" w:lineRule="auto"/>
              <w:jc w:val="right"/>
            </w:pPr>
            <w:r w:rsidRPr="008B2F8A">
              <w:t xml:space="preserve"> 927 </w:t>
            </w:r>
          </w:p>
        </w:tc>
        <w:tc>
          <w:tcPr>
            <w:tcW w:w="1136" w:type="dxa"/>
            <w:noWrap/>
            <w:vAlign w:val="bottom"/>
            <w:hideMark/>
          </w:tcPr>
          <w:p w14:paraId="28BBB5D1" w14:textId="77777777" w:rsidR="00E47AB8" w:rsidRPr="008B2F8A" w:rsidRDefault="00E47AB8" w:rsidP="00422306">
            <w:pPr>
              <w:pStyle w:val="TableText0"/>
              <w:keepNext w:val="0"/>
              <w:spacing w:before="40" w:after="80" w:line="276" w:lineRule="auto"/>
              <w:jc w:val="right"/>
            </w:pPr>
            <w:r w:rsidRPr="008B2F8A">
              <w:t xml:space="preserve"> 1,178 </w:t>
            </w:r>
          </w:p>
        </w:tc>
        <w:tc>
          <w:tcPr>
            <w:tcW w:w="1146" w:type="dxa"/>
            <w:noWrap/>
            <w:vAlign w:val="bottom"/>
            <w:hideMark/>
          </w:tcPr>
          <w:p w14:paraId="443AEAF7" w14:textId="77777777" w:rsidR="00E47AB8" w:rsidRPr="008B2F8A" w:rsidRDefault="00E47AB8" w:rsidP="00422306">
            <w:pPr>
              <w:pStyle w:val="TableText0"/>
              <w:keepNext w:val="0"/>
              <w:spacing w:before="40" w:after="80" w:line="276" w:lineRule="auto"/>
              <w:jc w:val="right"/>
            </w:pPr>
            <w:r w:rsidRPr="008B2F8A">
              <w:t xml:space="preserve"> 1,308 </w:t>
            </w:r>
          </w:p>
        </w:tc>
      </w:tr>
      <w:tr w:rsidR="00E47AB8" w:rsidRPr="008B2F8A" w14:paraId="524D808B" w14:textId="77777777" w:rsidTr="00E14AC4">
        <w:tc>
          <w:tcPr>
            <w:tcW w:w="3436" w:type="dxa"/>
            <w:noWrap/>
            <w:hideMark/>
          </w:tcPr>
          <w:p w14:paraId="0C873964" w14:textId="77777777" w:rsidR="00E47AB8" w:rsidRPr="008B2F8A" w:rsidRDefault="00E47AB8" w:rsidP="00422306">
            <w:pPr>
              <w:pStyle w:val="TableText0"/>
              <w:keepNext w:val="0"/>
              <w:spacing w:before="40" w:after="80" w:line="276" w:lineRule="auto"/>
            </w:pPr>
            <w:r w:rsidRPr="008B2F8A">
              <w:t>Number of ultrasounds replaced</w:t>
            </w:r>
          </w:p>
        </w:tc>
        <w:tc>
          <w:tcPr>
            <w:tcW w:w="1136" w:type="dxa"/>
            <w:noWrap/>
            <w:vAlign w:val="bottom"/>
            <w:hideMark/>
          </w:tcPr>
          <w:p w14:paraId="3AB17690" w14:textId="77777777" w:rsidR="00E47AB8" w:rsidRPr="008B2F8A" w:rsidRDefault="00E47AB8" w:rsidP="00422306">
            <w:pPr>
              <w:pStyle w:val="TableText0"/>
              <w:keepNext w:val="0"/>
              <w:spacing w:before="40" w:after="80" w:line="276" w:lineRule="auto"/>
              <w:jc w:val="right"/>
            </w:pPr>
            <w:r w:rsidRPr="008B2F8A">
              <w:t xml:space="preserve"> 1,504 </w:t>
            </w:r>
          </w:p>
        </w:tc>
        <w:tc>
          <w:tcPr>
            <w:tcW w:w="1136" w:type="dxa"/>
            <w:noWrap/>
            <w:vAlign w:val="bottom"/>
            <w:hideMark/>
          </w:tcPr>
          <w:p w14:paraId="451E45DC" w14:textId="77777777" w:rsidR="00E47AB8" w:rsidRPr="008B2F8A" w:rsidRDefault="00E47AB8" w:rsidP="00422306">
            <w:pPr>
              <w:pStyle w:val="TableText0"/>
              <w:keepNext w:val="0"/>
              <w:spacing w:before="40" w:after="80" w:line="276" w:lineRule="auto"/>
              <w:jc w:val="right"/>
            </w:pPr>
            <w:r w:rsidRPr="008B2F8A">
              <w:t xml:space="preserve"> 2,296 </w:t>
            </w:r>
          </w:p>
        </w:tc>
        <w:tc>
          <w:tcPr>
            <w:tcW w:w="1136" w:type="dxa"/>
            <w:noWrap/>
            <w:vAlign w:val="bottom"/>
            <w:hideMark/>
          </w:tcPr>
          <w:p w14:paraId="356AD0B4" w14:textId="77777777" w:rsidR="00E47AB8" w:rsidRPr="008B2F8A" w:rsidRDefault="00E47AB8" w:rsidP="00422306">
            <w:pPr>
              <w:pStyle w:val="TableText0"/>
              <w:keepNext w:val="0"/>
              <w:spacing w:before="40" w:after="80" w:line="276" w:lineRule="auto"/>
              <w:jc w:val="right"/>
            </w:pPr>
            <w:r w:rsidRPr="008B2F8A">
              <w:t xml:space="preserve"> 3,114 </w:t>
            </w:r>
          </w:p>
        </w:tc>
        <w:tc>
          <w:tcPr>
            <w:tcW w:w="1136" w:type="dxa"/>
            <w:noWrap/>
            <w:vAlign w:val="bottom"/>
            <w:hideMark/>
          </w:tcPr>
          <w:p w14:paraId="5DD563AD" w14:textId="77777777" w:rsidR="00E47AB8" w:rsidRPr="008B2F8A" w:rsidRDefault="00E47AB8" w:rsidP="00422306">
            <w:pPr>
              <w:pStyle w:val="TableText0"/>
              <w:keepNext w:val="0"/>
              <w:spacing w:before="40" w:after="80" w:line="276" w:lineRule="auto"/>
              <w:jc w:val="right"/>
            </w:pPr>
            <w:r w:rsidRPr="008B2F8A">
              <w:t xml:space="preserve"> 3,958 </w:t>
            </w:r>
          </w:p>
        </w:tc>
        <w:tc>
          <w:tcPr>
            <w:tcW w:w="1146" w:type="dxa"/>
            <w:noWrap/>
            <w:vAlign w:val="bottom"/>
            <w:hideMark/>
          </w:tcPr>
          <w:p w14:paraId="5E5DDF54" w14:textId="77777777" w:rsidR="00E47AB8" w:rsidRPr="008B2F8A" w:rsidRDefault="00E47AB8" w:rsidP="00422306">
            <w:pPr>
              <w:pStyle w:val="TableText0"/>
              <w:keepNext w:val="0"/>
              <w:spacing w:before="40" w:after="80" w:line="276" w:lineRule="auto"/>
              <w:jc w:val="right"/>
            </w:pPr>
            <w:r w:rsidRPr="008B2F8A">
              <w:t xml:space="preserve"> 4,394 </w:t>
            </w:r>
          </w:p>
        </w:tc>
      </w:tr>
    </w:tbl>
    <w:p w14:paraId="4B1C1B14" w14:textId="40BAF345" w:rsidR="00E47AB8" w:rsidRPr="008B2F8A" w:rsidRDefault="00E47AB8" w:rsidP="00F56FD1">
      <w:pPr>
        <w:pStyle w:val="TableNotesFirst"/>
      </w:pPr>
      <w:r w:rsidRPr="008B2F8A">
        <w:t>FY = financial year; MBS = Medicare Benefits Schedule; MRI = magnetic resonance imaging.</w:t>
      </w:r>
      <w:r w:rsidR="00F56FD1">
        <w:t xml:space="preserve"> </w:t>
      </w:r>
      <w:r w:rsidRPr="008B2F8A">
        <w:t>Note: Rounding has been applied.</w:t>
      </w:r>
    </w:p>
    <w:p w14:paraId="1047B812" w14:textId="360EB7F6" w:rsidR="00E47AB8" w:rsidRPr="008B2F8A" w:rsidRDefault="00E47AB8" w:rsidP="00422306">
      <w:pPr>
        <w:pStyle w:val="Heading4"/>
      </w:pPr>
      <w:r w:rsidRPr="008B2F8A">
        <w:lastRenderedPageBreak/>
        <w:t xml:space="preserve">Prior history of DCIS </w:t>
      </w:r>
      <w:r>
        <w:t>or</w:t>
      </w:r>
      <w:r w:rsidRPr="008B2F8A">
        <w:t xml:space="preserve"> LCIS</w:t>
      </w:r>
    </w:p>
    <w:p w14:paraId="2A6D40F0" w14:textId="6DB426AA" w:rsidR="00E47AB8" w:rsidRPr="008B2F8A" w:rsidRDefault="00E47AB8" w:rsidP="00422306">
      <w:r w:rsidRPr="008B2F8A">
        <w:t xml:space="preserve">The number of women with a prior history of DCIS </w:t>
      </w:r>
      <w:r>
        <w:t>or</w:t>
      </w:r>
      <w:r w:rsidRPr="008B2F8A">
        <w:t xml:space="preserve"> LCIS who would receive MRI was estimated using the following calculations:</w:t>
      </w:r>
    </w:p>
    <w:p w14:paraId="3C610C15" w14:textId="20AD4927" w:rsidR="00E47AB8" w:rsidRPr="008B2F8A" w:rsidRDefault="00E47AB8" w:rsidP="00E47AB8">
      <w:pPr>
        <w:pStyle w:val="ListParagraph"/>
        <w:numPr>
          <w:ilvl w:val="0"/>
          <w:numId w:val="58"/>
        </w:numPr>
      </w:pPr>
      <w:r w:rsidRPr="008B2F8A">
        <w:t xml:space="preserve">The number of women in Australia in 2015 with a prior history of DCIS was estimated by multiplying the number of incident DCIS cases in women aged &lt;50 years in 2005 (326: </w:t>
      </w:r>
      <w:r w:rsidRPr="008B2F8A">
        <w:rPr>
          <w:noProof/>
        </w:rPr>
        <w:t>AIHW &amp; NBOCC, 2010</w:t>
      </w:r>
      <w:r w:rsidRPr="008B2F8A">
        <w:t xml:space="preserve">) by </w:t>
      </w:r>
      <w:r>
        <w:t xml:space="preserve">a factor of </w:t>
      </w:r>
      <w:r w:rsidRPr="008B2F8A">
        <w:t>6</w:t>
      </w:r>
      <w:r>
        <w:t>,</w:t>
      </w:r>
      <w:r w:rsidRPr="008B2F8A">
        <w:t xml:space="preserve"> selected </w:t>
      </w:r>
      <w:r>
        <w:t>because</w:t>
      </w:r>
      <w:r w:rsidRPr="008B2F8A">
        <w:t xml:space="preserve"> 44 was the screening start age used in the economic model</w:t>
      </w:r>
      <w:r>
        <w:t>,</w:t>
      </w:r>
      <w:r w:rsidRPr="008B2F8A">
        <w:t xml:space="preserve"> and a patient of this age would have 6 years of screening before becoming ineligible for MRI at age 50</w:t>
      </w:r>
      <w:r>
        <w:t xml:space="preserve"> years</w:t>
      </w:r>
      <w:r w:rsidRPr="008B2F8A">
        <w:t>.</w:t>
      </w:r>
    </w:p>
    <w:p w14:paraId="721953BF" w14:textId="77777777" w:rsidR="00E47AB8" w:rsidRPr="008B2F8A" w:rsidRDefault="00E47AB8" w:rsidP="00E47AB8">
      <w:pPr>
        <w:pStyle w:val="ListParagraph"/>
        <w:numPr>
          <w:ilvl w:val="0"/>
          <w:numId w:val="58"/>
        </w:numPr>
      </w:pPr>
      <w:r w:rsidRPr="008B2F8A">
        <w:t>The number of women in Australia in 2016–2019 with a prior history of DCIS was estimated by applying the annual growth rate of the Australian population from the ABS population projections.</w:t>
      </w:r>
    </w:p>
    <w:p w14:paraId="50AEC996" w14:textId="77777777" w:rsidR="00E47AB8" w:rsidRPr="008B2F8A" w:rsidRDefault="00E47AB8" w:rsidP="00E47AB8">
      <w:pPr>
        <w:pStyle w:val="ListParagraph"/>
        <w:numPr>
          <w:ilvl w:val="0"/>
          <w:numId w:val="58"/>
        </w:numPr>
      </w:pPr>
      <w:r w:rsidRPr="008B2F8A">
        <w:t>The number of women in Australia with a prior history of LCIS was estimated as 50% of the size of the DCIS population.</w:t>
      </w:r>
    </w:p>
    <w:p w14:paraId="5C785B6E" w14:textId="32DC2EC4" w:rsidR="00E47AB8" w:rsidRPr="008B2F8A" w:rsidRDefault="00E47AB8" w:rsidP="00E47AB8">
      <w:pPr>
        <w:pStyle w:val="ListParagraph"/>
        <w:numPr>
          <w:ilvl w:val="0"/>
          <w:numId w:val="58"/>
        </w:numPr>
      </w:pPr>
      <w:r w:rsidRPr="008B2F8A">
        <w:t xml:space="preserve">The total number of women who receive MRI was calculated by combining the numbers of women with a prior history of DCIS </w:t>
      </w:r>
      <w:r>
        <w:t>or</w:t>
      </w:r>
      <w:r w:rsidRPr="008B2F8A">
        <w:t xml:space="preserve"> LCIS.</w:t>
      </w:r>
    </w:p>
    <w:p w14:paraId="10585FEF" w14:textId="77777777" w:rsidR="00E47AB8" w:rsidRPr="008B2F8A" w:rsidRDefault="00E47AB8" w:rsidP="00E47AB8">
      <w:pPr>
        <w:pStyle w:val="ListParagraph"/>
        <w:numPr>
          <w:ilvl w:val="0"/>
          <w:numId w:val="58"/>
        </w:numPr>
      </w:pPr>
      <w:r w:rsidRPr="008B2F8A">
        <w:t xml:space="preserve">The number of women who have follow-up MRI and the number of ultrasounds replaced were calculated by applying the 7.4% follow-up MRI rate and </w:t>
      </w:r>
      <w:r>
        <w:t xml:space="preserve">the </w:t>
      </w:r>
      <w:r w:rsidRPr="008B2F8A">
        <w:t>25% ultrasound replacement rate.</w:t>
      </w:r>
    </w:p>
    <w:p w14:paraId="2965068D" w14:textId="3673E0DB" w:rsidR="00E47AB8" w:rsidRPr="008B2F8A" w:rsidRDefault="00E47AB8" w:rsidP="00422306">
      <w:r w:rsidRPr="008B2F8A">
        <w:t>For a full explanation of the data and assumptions used in these calculations</w:t>
      </w:r>
      <w:r>
        <w:t>,</w:t>
      </w:r>
      <w:r w:rsidRPr="008B2F8A">
        <w:t xml:space="preserve"> see Section </w:t>
      </w:r>
      <w:r w:rsidRPr="008B2F8A">
        <w:rPr>
          <w:noProof/>
        </w:rPr>
        <w:fldChar w:fldCharType="begin"/>
      </w:r>
      <w:r w:rsidRPr="008B2F8A">
        <w:rPr>
          <w:noProof/>
        </w:rPr>
        <w:instrText xml:space="preserve"> REF _Ref377464269 \r \h </w:instrText>
      </w:r>
      <w:r w:rsidRPr="008B2F8A">
        <w:rPr>
          <w:noProof/>
        </w:rPr>
      </w:r>
      <w:r w:rsidRPr="008B2F8A">
        <w:rPr>
          <w:noProof/>
        </w:rPr>
        <w:fldChar w:fldCharType="separate"/>
      </w:r>
      <w:r w:rsidR="00B81273">
        <w:rPr>
          <w:noProof/>
        </w:rPr>
        <w:t>E.1</w:t>
      </w:r>
      <w:r w:rsidRPr="008B2F8A">
        <w:rPr>
          <w:noProof/>
        </w:rPr>
        <w:fldChar w:fldCharType="end"/>
      </w:r>
      <w:r w:rsidRPr="008B2F8A">
        <w:t xml:space="preserve">. The results of the calculations are presented in </w:t>
      </w:r>
      <w:r w:rsidRPr="008B2F8A">
        <w:fldChar w:fldCharType="begin"/>
      </w:r>
      <w:r w:rsidRPr="008B2F8A">
        <w:instrText xml:space="preserve"> REF _Ref373923029 \h </w:instrText>
      </w:r>
      <w:r w:rsidRPr="008B2F8A">
        <w:fldChar w:fldCharType="separate"/>
      </w:r>
      <w:r w:rsidR="00B81273" w:rsidRPr="008B2F8A">
        <w:t xml:space="preserve">Table </w:t>
      </w:r>
      <w:r w:rsidR="00B81273">
        <w:rPr>
          <w:noProof/>
        </w:rPr>
        <w:t>E</w:t>
      </w:r>
      <w:r w:rsidR="00B81273" w:rsidRPr="008B2F8A">
        <w:t>.</w:t>
      </w:r>
      <w:r w:rsidR="00B81273">
        <w:rPr>
          <w:noProof/>
        </w:rPr>
        <w:t>9</w:t>
      </w:r>
      <w:r w:rsidRPr="008B2F8A">
        <w:fldChar w:fldCharType="end"/>
      </w:r>
      <w:r w:rsidRPr="008B2F8A">
        <w:t xml:space="preserve">. It is estimated that </w:t>
      </w:r>
      <w:r w:rsidR="00F56FD1">
        <w:t>717</w:t>
      </w:r>
      <w:r w:rsidRPr="008B2F8A">
        <w:t xml:space="preserve"> women will receive MRI in 2015</w:t>
      </w:r>
      <w:r>
        <w:t>,</w:t>
      </w:r>
      <w:r w:rsidRPr="008B2F8A">
        <w:t xml:space="preserve"> increas</w:t>
      </w:r>
      <w:r>
        <w:t>ing</w:t>
      </w:r>
      <w:r w:rsidRPr="008B2F8A">
        <w:t xml:space="preserve"> to 2,</w:t>
      </w:r>
      <w:r w:rsidR="00F56FD1">
        <w:t>095</w:t>
      </w:r>
      <w:r w:rsidRPr="008B2F8A">
        <w:t xml:space="preserve"> in 2019.</w:t>
      </w:r>
    </w:p>
    <w:p w14:paraId="23B927F1" w14:textId="750B9A25" w:rsidR="00E47AB8" w:rsidRPr="008B2F8A" w:rsidRDefault="00E47AB8" w:rsidP="00422306">
      <w:pPr>
        <w:pStyle w:val="Caption"/>
      </w:pPr>
      <w:bookmarkStart w:id="1331" w:name="_Ref373923029"/>
      <w:bookmarkStart w:id="1332" w:name="_Toc383424640"/>
      <w:r w:rsidRPr="008B2F8A">
        <w:t xml:space="preserve">Table </w:t>
      </w:r>
      <w:fldSimple w:instr=" STYLEREF 1 \s ">
        <w:r w:rsidR="00B81273">
          <w:rPr>
            <w:noProof/>
          </w:rPr>
          <w:t>E</w:t>
        </w:r>
      </w:fldSimple>
      <w:r w:rsidRPr="008B2F8A">
        <w:t>.</w:t>
      </w:r>
      <w:fldSimple w:instr=" SEQ Table \* ARABIC \s 1 ">
        <w:r w:rsidR="00B81273">
          <w:rPr>
            <w:noProof/>
          </w:rPr>
          <w:t>9</w:t>
        </w:r>
      </w:fldSimple>
      <w:bookmarkEnd w:id="1331"/>
      <w:r w:rsidRPr="008B2F8A">
        <w:tab/>
        <w:t xml:space="preserve">Estimation of the number of women with prior history of DCIS </w:t>
      </w:r>
      <w:r>
        <w:t>or</w:t>
      </w:r>
      <w:r w:rsidRPr="008B2F8A">
        <w:t xml:space="preserve"> LCIS who receive MRI.</w:t>
      </w:r>
      <w:bookmarkEnd w:id="1332"/>
    </w:p>
    <w:tbl>
      <w:tblPr>
        <w:tblStyle w:val="TableGrid"/>
        <w:tblW w:w="9070" w:type="dxa"/>
        <w:tblCellMar>
          <w:left w:w="28" w:type="dxa"/>
          <w:right w:w="28" w:type="dxa"/>
        </w:tblCellMar>
        <w:tblLook w:val="04A0" w:firstRow="1" w:lastRow="0" w:firstColumn="1" w:lastColumn="0" w:noHBand="0" w:noVBand="1"/>
        <w:tblCaption w:val="Estimation of the number of women with prior history of DCIS or LCIS who receive MRI."/>
      </w:tblPr>
      <w:tblGrid>
        <w:gridCol w:w="4186"/>
        <w:gridCol w:w="988"/>
        <w:gridCol w:w="988"/>
        <w:gridCol w:w="988"/>
        <w:gridCol w:w="988"/>
        <w:gridCol w:w="988"/>
      </w:tblGrid>
      <w:tr w:rsidR="00E47AB8" w:rsidRPr="008B2F8A" w14:paraId="1DE159E0" w14:textId="77777777" w:rsidTr="004E7861">
        <w:trPr>
          <w:tblHeader/>
        </w:trPr>
        <w:tc>
          <w:tcPr>
            <w:tcW w:w="4186" w:type="dxa"/>
            <w:noWrap/>
            <w:hideMark/>
          </w:tcPr>
          <w:p w14:paraId="113DFE6D" w14:textId="77777777" w:rsidR="00E47AB8" w:rsidRPr="008B2F8A" w:rsidRDefault="00E47AB8" w:rsidP="00422306">
            <w:pPr>
              <w:pStyle w:val="Tableheaderrow"/>
              <w:spacing w:before="40" w:after="80" w:line="276" w:lineRule="auto"/>
            </w:pPr>
            <w:r w:rsidRPr="008B2F8A">
              <w:t>Description</w:t>
            </w:r>
          </w:p>
        </w:tc>
        <w:tc>
          <w:tcPr>
            <w:tcW w:w="988" w:type="dxa"/>
            <w:noWrap/>
            <w:hideMark/>
          </w:tcPr>
          <w:p w14:paraId="12566614" w14:textId="77777777" w:rsidR="00E47AB8" w:rsidRPr="008B2F8A" w:rsidRDefault="00E47AB8" w:rsidP="00422306">
            <w:pPr>
              <w:pStyle w:val="Tableheaderrow"/>
              <w:spacing w:before="40" w:after="80" w:line="276" w:lineRule="auto"/>
              <w:jc w:val="center"/>
            </w:pPr>
            <w:r w:rsidRPr="008B2F8A">
              <w:t>FY 2015</w:t>
            </w:r>
          </w:p>
        </w:tc>
        <w:tc>
          <w:tcPr>
            <w:tcW w:w="988" w:type="dxa"/>
            <w:noWrap/>
            <w:hideMark/>
          </w:tcPr>
          <w:p w14:paraId="1796D5E0" w14:textId="77777777" w:rsidR="00E47AB8" w:rsidRPr="008B2F8A" w:rsidRDefault="00E47AB8" w:rsidP="00422306">
            <w:pPr>
              <w:pStyle w:val="Tableheaderrow"/>
              <w:spacing w:before="40" w:after="80" w:line="276" w:lineRule="auto"/>
              <w:jc w:val="center"/>
            </w:pPr>
            <w:r w:rsidRPr="008B2F8A">
              <w:t>FY 2016</w:t>
            </w:r>
          </w:p>
        </w:tc>
        <w:tc>
          <w:tcPr>
            <w:tcW w:w="988" w:type="dxa"/>
            <w:noWrap/>
            <w:hideMark/>
          </w:tcPr>
          <w:p w14:paraId="1097A63B" w14:textId="77777777" w:rsidR="00E47AB8" w:rsidRPr="008B2F8A" w:rsidRDefault="00E47AB8" w:rsidP="00422306">
            <w:pPr>
              <w:pStyle w:val="Tableheaderrow"/>
              <w:spacing w:before="40" w:after="80" w:line="276" w:lineRule="auto"/>
              <w:jc w:val="center"/>
            </w:pPr>
            <w:r w:rsidRPr="008B2F8A">
              <w:t>FY 2017</w:t>
            </w:r>
          </w:p>
        </w:tc>
        <w:tc>
          <w:tcPr>
            <w:tcW w:w="988" w:type="dxa"/>
            <w:noWrap/>
            <w:hideMark/>
          </w:tcPr>
          <w:p w14:paraId="24D0CD39" w14:textId="77777777" w:rsidR="00E47AB8" w:rsidRPr="008B2F8A" w:rsidRDefault="00E47AB8" w:rsidP="00422306">
            <w:pPr>
              <w:pStyle w:val="Tableheaderrow"/>
              <w:spacing w:before="40" w:after="80" w:line="276" w:lineRule="auto"/>
              <w:jc w:val="center"/>
            </w:pPr>
            <w:r w:rsidRPr="008B2F8A">
              <w:t>FY 2018</w:t>
            </w:r>
          </w:p>
        </w:tc>
        <w:tc>
          <w:tcPr>
            <w:tcW w:w="988" w:type="dxa"/>
            <w:noWrap/>
            <w:hideMark/>
          </w:tcPr>
          <w:p w14:paraId="795DC87D"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2BC9BC70" w14:textId="77777777" w:rsidTr="004E7861">
        <w:tc>
          <w:tcPr>
            <w:tcW w:w="4186" w:type="dxa"/>
            <w:noWrap/>
            <w:hideMark/>
          </w:tcPr>
          <w:p w14:paraId="6941A098" w14:textId="77777777" w:rsidR="00E47AB8" w:rsidRPr="008B2F8A" w:rsidRDefault="00E47AB8" w:rsidP="00422306">
            <w:pPr>
              <w:pStyle w:val="TableText0"/>
              <w:keepNext w:val="0"/>
              <w:spacing w:before="40" w:after="80" w:line="276" w:lineRule="auto"/>
            </w:pPr>
            <w:r w:rsidRPr="008B2F8A">
              <w:t>Number of women with a prior history of DCIS</w:t>
            </w:r>
          </w:p>
        </w:tc>
        <w:tc>
          <w:tcPr>
            <w:tcW w:w="988" w:type="dxa"/>
            <w:noWrap/>
            <w:hideMark/>
          </w:tcPr>
          <w:p w14:paraId="15BAC63B" w14:textId="77777777" w:rsidR="00E47AB8" w:rsidRPr="008B2F8A" w:rsidRDefault="00E47AB8" w:rsidP="00422306">
            <w:pPr>
              <w:pStyle w:val="TableText0"/>
              <w:keepNext w:val="0"/>
              <w:spacing w:before="40" w:after="80" w:line="276" w:lineRule="auto"/>
              <w:jc w:val="right"/>
            </w:pPr>
            <w:r w:rsidRPr="008B2F8A">
              <w:t xml:space="preserve"> 1,956 </w:t>
            </w:r>
          </w:p>
        </w:tc>
        <w:tc>
          <w:tcPr>
            <w:tcW w:w="988" w:type="dxa"/>
            <w:noWrap/>
            <w:hideMark/>
          </w:tcPr>
          <w:p w14:paraId="39538533" w14:textId="77777777" w:rsidR="00E47AB8" w:rsidRPr="008B2F8A" w:rsidRDefault="00E47AB8" w:rsidP="00422306">
            <w:pPr>
              <w:pStyle w:val="TableText0"/>
              <w:keepNext w:val="0"/>
              <w:spacing w:before="40" w:after="80" w:line="276" w:lineRule="auto"/>
              <w:jc w:val="right"/>
            </w:pPr>
            <w:r w:rsidRPr="008B2F8A">
              <w:t xml:space="preserve"> 1,989 </w:t>
            </w:r>
          </w:p>
        </w:tc>
        <w:tc>
          <w:tcPr>
            <w:tcW w:w="988" w:type="dxa"/>
            <w:noWrap/>
            <w:hideMark/>
          </w:tcPr>
          <w:p w14:paraId="5429BF1B" w14:textId="77777777" w:rsidR="00E47AB8" w:rsidRPr="008B2F8A" w:rsidRDefault="00E47AB8" w:rsidP="00422306">
            <w:pPr>
              <w:pStyle w:val="TableText0"/>
              <w:keepNext w:val="0"/>
              <w:spacing w:before="40" w:after="80" w:line="276" w:lineRule="auto"/>
              <w:jc w:val="right"/>
            </w:pPr>
            <w:r w:rsidRPr="008B2F8A">
              <w:t xml:space="preserve"> 2,023 </w:t>
            </w:r>
          </w:p>
        </w:tc>
        <w:tc>
          <w:tcPr>
            <w:tcW w:w="988" w:type="dxa"/>
            <w:noWrap/>
            <w:hideMark/>
          </w:tcPr>
          <w:p w14:paraId="609556E2" w14:textId="77777777" w:rsidR="00E47AB8" w:rsidRPr="008B2F8A" w:rsidRDefault="00E47AB8" w:rsidP="00422306">
            <w:pPr>
              <w:pStyle w:val="TableText0"/>
              <w:keepNext w:val="0"/>
              <w:spacing w:before="40" w:after="80" w:line="276" w:lineRule="auto"/>
              <w:jc w:val="right"/>
            </w:pPr>
            <w:r w:rsidRPr="008B2F8A">
              <w:t xml:space="preserve"> 2,057 </w:t>
            </w:r>
          </w:p>
        </w:tc>
        <w:tc>
          <w:tcPr>
            <w:tcW w:w="988" w:type="dxa"/>
            <w:noWrap/>
            <w:hideMark/>
          </w:tcPr>
          <w:p w14:paraId="5C330167" w14:textId="77777777" w:rsidR="00E47AB8" w:rsidRPr="008B2F8A" w:rsidRDefault="00E47AB8" w:rsidP="00422306">
            <w:pPr>
              <w:pStyle w:val="TableText0"/>
              <w:keepNext w:val="0"/>
              <w:spacing w:before="40" w:after="80" w:line="276" w:lineRule="auto"/>
              <w:jc w:val="right"/>
            </w:pPr>
            <w:r w:rsidRPr="008B2F8A">
              <w:t xml:space="preserve"> 2,092 </w:t>
            </w:r>
          </w:p>
        </w:tc>
      </w:tr>
      <w:tr w:rsidR="00E47AB8" w:rsidRPr="008B2F8A" w14:paraId="32D647A2" w14:textId="77777777" w:rsidTr="004E7861">
        <w:tc>
          <w:tcPr>
            <w:tcW w:w="4186" w:type="dxa"/>
            <w:noWrap/>
            <w:hideMark/>
          </w:tcPr>
          <w:p w14:paraId="754EDD5D" w14:textId="77777777" w:rsidR="00E47AB8" w:rsidRPr="008B2F8A" w:rsidRDefault="00E47AB8" w:rsidP="00422306">
            <w:pPr>
              <w:pStyle w:val="TableText0"/>
              <w:keepNext w:val="0"/>
              <w:spacing w:before="40" w:after="80" w:line="276" w:lineRule="auto"/>
            </w:pPr>
            <w:r w:rsidRPr="008B2F8A">
              <w:t>Number of women with a prior history of LCIS</w:t>
            </w:r>
          </w:p>
        </w:tc>
        <w:tc>
          <w:tcPr>
            <w:tcW w:w="988" w:type="dxa"/>
            <w:noWrap/>
            <w:hideMark/>
          </w:tcPr>
          <w:p w14:paraId="6D8F4054" w14:textId="77777777" w:rsidR="00E47AB8" w:rsidRPr="008B2F8A" w:rsidRDefault="00E47AB8" w:rsidP="00422306">
            <w:pPr>
              <w:pStyle w:val="TableText0"/>
              <w:keepNext w:val="0"/>
              <w:spacing w:before="40" w:after="80" w:line="276" w:lineRule="auto"/>
              <w:jc w:val="right"/>
            </w:pPr>
            <w:r w:rsidRPr="008B2F8A">
              <w:t xml:space="preserve"> 1,630 </w:t>
            </w:r>
          </w:p>
        </w:tc>
        <w:tc>
          <w:tcPr>
            <w:tcW w:w="988" w:type="dxa"/>
            <w:noWrap/>
            <w:hideMark/>
          </w:tcPr>
          <w:p w14:paraId="2BA3C6FC" w14:textId="77777777" w:rsidR="00E47AB8" w:rsidRPr="008B2F8A" w:rsidRDefault="00E47AB8" w:rsidP="00422306">
            <w:pPr>
              <w:pStyle w:val="TableText0"/>
              <w:keepNext w:val="0"/>
              <w:spacing w:before="40" w:after="80" w:line="276" w:lineRule="auto"/>
              <w:jc w:val="right"/>
            </w:pPr>
            <w:r w:rsidRPr="008B2F8A">
              <w:t xml:space="preserve"> 1,658 </w:t>
            </w:r>
          </w:p>
        </w:tc>
        <w:tc>
          <w:tcPr>
            <w:tcW w:w="988" w:type="dxa"/>
            <w:noWrap/>
            <w:hideMark/>
          </w:tcPr>
          <w:p w14:paraId="45157DC0" w14:textId="77777777" w:rsidR="00E47AB8" w:rsidRPr="008B2F8A" w:rsidRDefault="00E47AB8" w:rsidP="00422306">
            <w:pPr>
              <w:pStyle w:val="TableText0"/>
              <w:keepNext w:val="0"/>
              <w:spacing w:before="40" w:after="80" w:line="276" w:lineRule="auto"/>
              <w:jc w:val="right"/>
            </w:pPr>
            <w:r w:rsidRPr="008B2F8A">
              <w:t xml:space="preserve"> 1,686 </w:t>
            </w:r>
          </w:p>
        </w:tc>
        <w:tc>
          <w:tcPr>
            <w:tcW w:w="988" w:type="dxa"/>
            <w:noWrap/>
            <w:hideMark/>
          </w:tcPr>
          <w:p w14:paraId="6485FE2C" w14:textId="77777777" w:rsidR="00E47AB8" w:rsidRPr="008B2F8A" w:rsidRDefault="00E47AB8" w:rsidP="00422306">
            <w:pPr>
              <w:pStyle w:val="TableText0"/>
              <w:keepNext w:val="0"/>
              <w:spacing w:before="40" w:after="80" w:line="276" w:lineRule="auto"/>
              <w:jc w:val="right"/>
            </w:pPr>
            <w:r w:rsidRPr="008B2F8A">
              <w:t xml:space="preserve"> 1,715 </w:t>
            </w:r>
          </w:p>
        </w:tc>
        <w:tc>
          <w:tcPr>
            <w:tcW w:w="988" w:type="dxa"/>
            <w:noWrap/>
            <w:hideMark/>
          </w:tcPr>
          <w:p w14:paraId="0374CC82" w14:textId="77777777" w:rsidR="00E47AB8" w:rsidRPr="008B2F8A" w:rsidRDefault="00E47AB8" w:rsidP="00422306">
            <w:pPr>
              <w:pStyle w:val="TableText0"/>
              <w:keepNext w:val="0"/>
              <w:spacing w:before="40" w:after="80" w:line="276" w:lineRule="auto"/>
              <w:jc w:val="right"/>
            </w:pPr>
            <w:r w:rsidRPr="008B2F8A">
              <w:t xml:space="preserve"> 1,744 </w:t>
            </w:r>
          </w:p>
        </w:tc>
      </w:tr>
      <w:tr w:rsidR="00E47AB8" w:rsidRPr="008B2F8A" w14:paraId="4F0F2853" w14:textId="77777777" w:rsidTr="004E7861">
        <w:tc>
          <w:tcPr>
            <w:tcW w:w="4186" w:type="dxa"/>
            <w:noWrap/>
            <w:hideMark/>
          </w:tcPr>
          <w:p w14:paraId="6186D25D" w14:textId="77777777" w:rsidR="00E47AB8" w:rsidRPr="008B2F8A" w:rsidRDefault="00E47AB8" w:rsidP="00422306">
            <w:pPr>
              <w:pStyle w:val="TableText0"/>
              <w:keepNext w:val="0"/>
              <w:spacing w:before="40" w:after="80" w:line="276" w:lineRule="auto"/>
            </w:pPr>
            <w:r w:rsidRPr="008B2F8A">
              <w:t>Number of women with a prior history of DCIS or LCIS</w:t>
            </w:r>
          </w:p>
        </w:tc>
        <w:tc>
          <w:tcPr>
            <w:tcW w:w="988" w:type="dxa"/>
            <w:noWrap/>
            <w:hideMark/>
          </w:tcPr>
          <w:p w14:paraId="0C4122B0" w14:textId="77777777" w:rsidR="00E47AB8" w:rsidRPr="008B2F8A" w:rsidRDefault="00E47AB8" w:rsidP="00422306">
            <w:pPr>
              <w:pStyle w:val="TableText0"/>
              <w:keepNext w:val="0"/>
              <w:spacing w:before="40" w:after="80" w:line="276" w:lineRule="auto"/>
              <w:jc w:val="right"/>
            </w:pPr>
            <w:r w:rsidRPr="008B2F8A">
              <w:t xml:space="preserve"> 3,586 </w:t>
            </w:r>
          </w:p>
        </w:tc>
        <w:tc>
          <w:tcPr>
            <w:tcW w:w="988" w:type="dxa"/>
            <w:noWrap/>
            <w:hideMark/>
          </w:tcPr>
          <w:p w14:paraId="39DC78CE" w14:textId="77777777" w:rsidR="00E47AB8" w:rsidRPr="008B2F8A" w:rsidRDefault="00E47AB8" w:rsidP="00422306">
            <w:pPr>
              <w:pStyle w:val="TableText0"/>
              <w:keepNext w:val="0"/>
              <w:spacing w:before="40" w:after="80" w:line="276" w:lineRule="auto"/>
              <w:jc w:val="right"/>
            </w:pPr>
            <w:r w:rsidRPr="008B2F8A">
              <w:t xml:space="preserve"> 3,647 </w:t>
            </w:r>
          </w:p>
        </w:tc>
        <w:tc>
          <w:tcPr>
            <w:tcW w:w="988" w:type="dxa"/>
            <w:noWrap/>
            <w:hideMark/>
          </w:tcPr>
          <w:p w14:paraId="5A133985" w14:textId="77777777" w:rsidR="00E47AB8" w:rsidRPr="008B2F8A" w:rsidRDefault="00E47AB8" w:rsidP="00422306">
            <w:pPr>
              <w:pStyle w:val="TableText0"/>
              <w:keepNext w:val="0"/>
              <w:spacing w:before="40" w:after="80" w:line="276" w:lineRule="auto"/>
              <w:jc w:val="right"/>
            </w:pPr>
            <w:r w:rsidRPr="008B2F8A">
              <w:t xml:space="preserve"> 3,709 </w:t>
            </w:r>
          </w:p>
        </w:tc>
        <w:tc>
          <w:tcPr>
            <w:tcW w:w="988" w:type="dxa"/>
            <w:noWrap/>
            <w:hideMark/>
          </w:tcPr>
          <w:p w14:paraId="2E92967C" w14:textId="77777777" w:rsidR="00E47AB8" w:rsidRPr="008B2F8A" w:rsidRDefault="00E47AB8" w:rsidP="00422306">
            <w:pPr>
              <w:pStyle w:val="TableText0"/>
              <w:keepNext w:val="0"/>
              <w:spacing w:before="40" w:after="80" w:line="276" w:lineRule="auto"/>
              <w:jc w:val="right"/>
            </w:pPr>
            <w:r w:rsidRPr="008B2F8A">
              <w:t xml:space="preserve"> 3,772 </w:t>
            </w:r>
          </w:p>
        </w:tc>
        <w:tc>
          <w:tcPr>
            <w:tcW w:w="988" w:type="dxa"/>
            <w:noWrap/>
            <w:hideMark/>
          </w:tcPr>
          <w:p w14:paraId="48A3CD7E" w14:textId="77777777" w:rsidR="00E47AB8" w:rsidRPr="008B2F8A" w:rsidRDefault="00E47AB8" w:rsidP="00422306">
            <w:pPr>
              <w:pStyle w:val="TableText0"/>
              <w:keepNext w:val="0"/>
              <w:spacing w:before="40" w:after="80" w:line="276" w:lineRule="auto"/>
              <w:jc w:val="right"/>
            </w:pPr>
            <w:r w:rsidRPr="008B2F8A">
              <w:t xml:space="preserve"> 3,836 </w:t>
            </w:r>
          </w:p>
        </w:tc>
      </w:tr>
      <w:tr w:rsidR="00E47AB8" w:rsidRPr="008B2F8A" w14:paraId="64E129F8" w14:textId="77777777" w:rsidTr="004E7861">
        <w:tc>
          <w:tcPr>
            <w:tcW w:w="4186" w:type="dxa"/>
            <w:noWrap/>
            <w:hideMark/>
          </w:tcPr>
          <w:p w14:paraId="138AD1EB" w14:textId="77777777" w:rsidR="00E47AB8" w:rsidRPr="008B2F8A" w:rsidRDefault="00E47AB8" w:rsidP="00422306">
            <w:pPr>
              <w:pStyle w:val="TableText0"/>
              <w:keepNext w:val="0"/>
              <w:spacing w:before="40" w:after="80" w:line="276" w:lineRule="auto"/>
            </w:pPr>
            <w:r w:rsidRPr="008B2F8A">
              <w:t>Number who take up MRI screening</w:t>
            </w:r>
          </w:p>
        </w:tc>
        <w:tc>
          <w:tcPr>
            <w:tcW w:w="988" w:type="dxa"/>
            <w:noWrap/>
            <w:hideMark/>
          </w:tcPr>
          <w:p w14:paraId="4FA3EF13" w14:textId="77777777" w:rsidR="00E47AB8" w:rsidRPr="008B2F8A" w:rsidRDefault="00E47AB8" w:rsidP="00422306">
            <w:pPr>
              <w:pStyle w:val="TableText0"/>
              <w:keepNext w:val="0"/>
              <w:spacing w:before="40" w:after="80" w:line="276" w:lineRule="auto"/>
              <w:jc w:val="right"/>
            </w:pPr>
            <w:r w:rsidRPr="008B2F8A">
              <w:t xml:space="preserve"> 717 </w:t>
            </w:r>
          </w:p>
        </w:tc>
        <w:tc>
          <w:tcPr>
            <w:tcW w:w="988" w:type="dxa"/>
            <w:noWrap/>
            <w:hideMark/>
          </w:tcPr>
          <w:p w14:paraId="5F178969" w14:textId="77777777" w:rsidR="00E47AB8" w:rsidRPr="008B2F8A" w:rsidRDefault="00E47AB8" w:rsidP="00422306">
            <w:pPr>
              <w:pStyle w:val="TableText0"/>
              <w:keepNext w:val="0"/>
              <w:spacing w:before="40" w:after="80" w:line="276" w:lineRule="auto"/>
              <w:jc w:val="right"/>
            </w:pPr>
            <w:r w:rsidRPr="008B2F8A">
              <w:t xml:space="preserve"> 1,094 </w:t>
            </w:r>
          </w:p>
        </w:tc>
        <w:tc>
          <w:tcPr>
            <w:tcW w:w="988" w:type="dxa"/>
            <w:noWrap/>
            <w:hideMark/>
          </w:tcPr>
          <w:p w14:paraId="24FF755C" w14:textId="77777777" w:rsidR="00E47AB8" w:rsidRPr="008B2F8A" w:rsidRDefault="00E47AB8" w:rsidP="00422306">
            <w:pPr>
              <w:pStyle w:val="TableText0"/>
              <w:keepNext w:val="0"/>
              <w:spacing w:before="40" w:after="80" w:line="276" w:lineRule="auto"/>
              <w:jc w:val="right"/>
            </w:pPr>
            <w:r w:rsidRPr="008B2F8A">
              <w:t xml:space="preserve"> 1,484 </w:t>
            </w:r>
          </w:p>
        </w:tc>
        <w:tc>
          <w:tcPr>
            <w:tcW w:w="988" w:type="dxa"/>
            <w:noWrap/>
            <w:hideMark/>
          </w:tcPr>
          <w:p w14:paraId="774619B1" w14:textId="77777777" w:rsidR="00E47AB8" w:rsidRPr="008B2F8A" w:rsidRDefault="00E47AB8" w:rsidP="00422306">
            <w:pPr>
              <w:pStyle w:val="TableText0"/>
              <w:keepNext w:val="0"/>
              <w:spacing w:before="40" w:after="80" w:line="276" w:lineRule="auto"/>
              <w:jc w:val="right"/>
            </w:pPr>
            <w:r w:rsidRPr="008B2F8A">
              <w:t xml:space="preserve"> 1,886 </w:t>
            </w:r>
          </w:p>
        </w:tc>
        <w:tc>
          <w:tcPr>
            <w:tcW w:w="988" w:type="dxa"/>
            <w:noWrap/>
            <w:hideMark/>
          </w:tcPr>
          <w:p w14:paraId="5754A23F" w14:textId="77777777" w:rsidR="00E47AB8" w:rsidRPr="008B2F8A" w:rsidRDefault="00E47AB8" w:rsidP="00422306">
            <w:pPr>
              <w:pStyle w:val="TableText0"/>
              <w:keepNext w:val="0"/>
              <w:spacing w:before="40" w:after="80" w:line="276" w:lineRule="auto"/>
              <w:jc w:val="right"/>
            </w:pPr>
            <w:r w:rsidRPr="008B2F8A">
              <w:t xml:space="preserve"> 2,095 </w:t>
            </w:r>
          </w:p>
        </w:tc>
      </w:tr>
      <w:tr w:rsidR="00E47AB8" w:rsidRPr="008B2F8A" w14:paraId="4E9F7FB0" w14:textId="77777777" w:rsidTr="004E7861">
        <w:tc>
          <w:tcPr>
            <w:tcW w:w="4186" w:type="dxa"/>
            <w:noWrap/>
            <w:hideMark/>
          </w:tcPr>
          <w:p w14:paraId="2D13FC31" w14:textId="77777777" w:rsidR="00E47AB8" w:rsidRPr="008B2F8A" w:rsidRDefault="00E47AB8" w:rsidP="00422306">
            <w:pPr>
              <w:pStyle w:val="TableText0"/>
              <w:keepNext w:val="0"/>
              <w:spacing w:before="40" w:after="80" w:line="276" w:lineRule="auto"/>
            </w:pPr>
            <w:r w:rsidRPr="008B2F8A">
              <w:t>Number who have follow-up MRI</w:t>
            </w:r>
          </w:p>
        </w:tc>
        <w:tc>
          <w:tcPr>
            <w:tcW w:w="988" w:type="dxa"/>
            <w:noWrap/>
            <w:hideMark/>
          </w:tcPr>
          <w:p w14:paraId="72BEA942" w14:textId="77777777" w:rsidR="00E47AB8" w:rsidRPr="008B2F8A" w:rsidRDefault="00E47AB8" w:rsidP="00422306">
            <w:pPr>
              <w:pStyle w:val="TableText0"/>
              <w:keepNext w:val="0"/>
              <w:spacing w:before="40" w:after="80" w:line="276" w:lineRule="auto"/>
              <w:jc w:val="right"/>
            </w:pPr>
            <w:r w:rsidRPr="008B2F8A">
              <w:t xml:space="preserve"> 53 </w:t>
            </w:r>
          </w:p>
        </w:tc>
        <w:tc>
          <w:tcPr>
            <w:tcW w:w="988" w:type="dxa"/>
            <w:noWrap/>
            <w:hideMark/>
          </w:tcPr>
          <w:p w14:paraId="1770316E" w14:textId="77777777" w:rsidR="00E47AB8" w:rsidRPr="008B2F8A" w:rsidRDefault="00E47AB8" w:rsidP="00422306">
            <w:pPr>
              <w:pStyle w:val="TableText0"/>
              <w:keepNext w:val="0"/>
              <w:spacing w:before="40" w:after="80" w:line="276" w:lineRule="auto"/>
              <w:jc w:val="right"/>
            </w:pPr>
            <w:r w:rsidRPr="008B2F8A">
              <w:t xml:space="preserve"> 81 </w:t>
            </w:r>
          </w:p>
        </w:tc>
        <w:tc>
          <w:tcPr>
            <w:tcW w:w="988" w:type="dxa"/>
            <w:noWrap/>
            <w:hideMark/>
          </w:tcPr>
          <w:p w14:paraId="46250487" w14:textId="77777777" w:rsidR="00E47AB8" w:rsidRPr="008B2F8A" w:rsidRDefault="00E47AB8" w:rsidP="00422306">
            <w:pPr>
              <w:pStyle w:val="TableText0"/>
              <w:keepNext w:val="0"/>
              <w:spacing w:before="40" w:after="80" w:line="276" w:lineRule="auto"/>
              <w:jc w:val="right"/>
            </w:pPr>
            <w:r w:rsidRPr="008B2F8A">
              <w:t xml:space="preserve"> 110 </w:t>
            </w:r>
          </w:p>
        </w:tc>
        <w:tc>
          <w:tcPr>
            <w:tcW w:w="988" w:type="dxa"/>
            <w:noWrap/>
            <w:hideMark/>
          </w:tcPr>
          <w:p w14:paraId="152B9865" w14:textId="77777777" w:rsidR="00E47AB8" w:rsidRPr="008B2F8A" w:rsidRDefault="00E47AB8" w:rsidP="00422306">
            <w:pPr>
              <w:pStyle w:val="TableText0"/>
              <w:keepNext w:val="0"/>
              <w:spacing w:before="40" w:after="80" w:line="276" w:lineRule="auto"/>
              <w:jc w:val="right"/>
            </w:pPr>
            <w:r w:rsidRPr="008B2F8A">
              <w:t xml:space="preserve"> 140 </w:t>
            </w:r>
          </w:p>
        </w:tc>
        <w:tc>
          <w:tcPr>
            <w:tcW w:w="988" w:type="dxa"/>
            <w:noWrap/>
            <w:hideMark/>
          </w:tcPr>
          <w:p w14:paraId="44821D01" w14:textId="77777777" w:rsidR="00E47AB8" w:rsidRPr="008B2F8A" w:rsidRDefault="00E47AB8" w:rsidP="00422306">
            <w:pPr>
              <w:pStyle w:val="TableText0"/>
              <w:keepNext w:val="0"/>
              <w:spacing w:before="40" w:after="80" w:line="276" w:lineRule="auto"/>
              <w:jc w:val="right"/>
            </w:pPr>
            <w:r w:rsidRPr="008B2F8A">
              <w:t xml:space="preserve"> 156 </w:t>
            </w:r>
          </w:p>
        </w:tc>
      </w:tr>
      <w:tr w:rsidR="00E47AB8" w:rsidRPr="008B2F8A" w14:paraId="3996B170" w14:textId="77777777" w:rsidTr="004E7861">
        <w:tc>
          <w:tcPr>
            <w:tcW w:w="4186" w:type="dxa"/>
            <w:noWrap/>
            <w:hideMark/>
          </w:tcPr>
          <w:p w14:paraId="57F251FC" w14:textId="77777777" w:rsidR="00E47AB8" w:rsidRPr="008B2F8A" w:rsidRDefault="00E47AB8" w:rsidP="00422306">
            <w:pPr>
              <w:pStyle w:val="TableText0"/>
              <w:keepNext w:val="0"/>
              <w:spacing w:before="40" w:after="80" w:line="276" w:lineRule="auto"/>
            </w:pPr>
            <w:r w:rsidRPr="008B2F8A">
              <w:t>Number of ultrasounds replaced</w:t>
            </w:r>
          </w:p>
        </w:tc>
        <w:tc>
          <w:tcPr>
            <w:tcW w:w="988" w:type="dxa"/>
            <w:noWrap/>
            <w:hideMark/>
          </w:tcPr>
          <w:p w14:paraId="06402297" w14:textId="77777777" w:rsidR="00E47AB8" w:rsidRPr="008B2F8A" w:rsidRDefault="00E47AB8" w:rsidP="00422306">
            <w:pPr>
              <w:pStyle w:val="TableText0"/>
              <w:keepNext w:val="0"/>
              <w:spacing w:before="40" w:after="80" w:line="276" w:lineRule="auto"/>
              <w:jc w:val="right"/>
            </w:pPr>
            <w:r w:rsidRPr="008B2F8A">
              <w:t xml:space="preserve"> 179 </w:t>
            </w:r>
          </w:p>
        </w:tc>
        <w:tc>
          <w:tcPr>
            <w:tcW w:w="988" w:type="dxa"/>
            <w:noWrap/>
            <w:hideMark/>
          </w:tcPr>
          <w:p w14:paraId="657BBFDD" w14:textId="77777777" w:rsidR="00E47AB8" w:rsidRPr="008B2F8A" w:rsidRDefault="00E47AB8" w:rsidP="00422306">
            <w:pPr>
              <w:pStyle w:val="TableText0"/>
              <w:keepNext w:val="0"/>
              <w:spacing w:before="40" w:after="80" w:line="276" w:lineRule="auto"/>
              <w:jc w:val="right"/>
            </w:pPr>
            <w:r w:rsidRPr="008B2F8A">
              <w:t xml:space="preserve"> 274 </w:t>
            </w:r>
          </w:p>
        </w:tc>
        <w:tc>
          <w:tcPr>
            <w:tcW w:w="988" w:type="dxa"/>
            <w:noWrap/>
            <w:hideMark/>
          </w:tcPr>
          <w:p w14:paraId="577C664A" w14:textId="77777777" w:rsidR="00E47AB8" w:rsidRPr="008B2F8A" w:rsidRDefault="00E47AB8" w:rsidP="00422306">
            <w:pPr>
              <w:pStyle w:val="TableText0"/>
              <w:keepNext w:val="0"/>
              <w:spacing w:before="40" w:after="80" w:line="276" w:lineRule="auto"/>
              <w:jc w:val="right"/>
            </w:pPr>
            <w:r w:rsidRPr="008B2F8A">
              <w:t xml:space="preserve"> 371 </w:t>
            </w:r>
          </w:p>
        </w:tc>
        <w:tc>
          <w:tcPr>
            <w:tcW w:w="988" w:type="dxa"/>
            <w:noWrap/>
            <w:hideMark/>
          </w:tcPr>
          <w:p w14:paraId="5A6CF907" w14:textId="77777777" w:rsidR="00E47AB8" w:rsidRPr="008B2F8A" w:rsidRDefault="00E47AB8" w:rsidP="00422306">
            <w:pPr>
              <w:pStyle w:val="TableText0"/>
              <w:keepNext w:val="0"/>
              <w:spacing w:before="40" w:after="80" w:line="276" w:lineRule="auto"/>
              <w:jc w:val="right"/>
            </w:pPr>
            <w:r w:rsidRPr="008B2F8A">
              <w:t xml:space="preserve"> 472 </w:t>
            </w:r>
          </w:p>
        </w:tc>
        <w:tc>
          <w:tcPr>
            <w:tcW w:w="988" w:type="dxa"/>
            <w:noWrap/>
            <w:hideMark/>
          </w:tcPr>
          <w:p w14:paraId="219A5AB6" w14:textId="77777777" w:rsidR="00E47AB8" w:rsidRPr="008B2F8A" w:rsidRDefault="00E47AB8" w:rsidP="00422306">
            <w:pPr>
              <w:pStyle w:val="TableText0"/>
              <w:keepNext w:val="0"/>
              <w:spacing w:before="40" w:after="80" w:line="276" w:lineRule="auto"/>
              <w:jc w:val="right"/>
            </w:pPr>
            <w:r w:rsidRPr="008B2F8A">
              <w:t xml:space="preserve"> 524 </w:t>
            </w:r>
          </w:p>
        </w:tc>
      </w:tr>
    </w:tbl>
    <w:p w14:paraId="61ACC2B0" w14:textId="2CC1E3A2" w:rsidR="00E47AB8" w:rsidRDefault="00E47AB8" w:rsidP="00F56FD1">
      <w:pPr>
        <w:pStyle w:val="TableNotesFirst"/>
      </w:pPr>
      <w:r w:rsidRPr="008B2F8A">
        <w:t>DCIS = ductal carcinoma in situ; FY = financial year; LCIS = lobular carcinoma in situ; MBS = Medicare Benefits Schedule; MRI = magnetic resonance imaging.</w:t>
      </w:r>
      <w:r w:rsidR="00F56FD1">
        <w:t xml:space="preserve"> </w:t>
      </w:r>
      <w:r w:rsidRPr="008B2F8A">
        <w:t>Note: Rounding has been applied.</w:t>
      </w:r>
    </w:p>
    <w:p w14:paraId="254696B8" w14:textId="77777777" w:rsidR="00F56FD1" w:rsidRPr="008B2F8A" w:rsidRDefault="00F56FD1" w:rsidP="00F56FD1">
      <w:pPr>
        <w:pStyle w:val="TableNotesFirst"/>
      </w:pPr>
    </w:p>
    <w:p w14:paraId="3BB5C563" w14:textId="77777777" w:rsidR="00E47AB8" w:rsidRPr="008B2F8A" w:rsidRDefault="00E47AB8" w:rsidP="00422306">
      <w:pPr>
        <w:pStyle w:val="Heading4"/>
      </w:pPr>
      <w:r w:rsidRPr="008B2F8A">
        <w:t>Prior history of irradiation to the chest from 10 to 35 years of age</w:t>
      </w:r>
    </w:p>
    <w:p w14:paraId="47622C93" w14:textId="72388186" w:rsidR="00E47AB8" w:rsidRPr="008B2F8A" w:rsidRDefault="00E47AB8" w:rsidP="00422306">
      <w:r w:rsidRPr="008B2F8A">
        <w:t xml:space="preserve">The number of women with a prior history of chest irradiation who would receive MRI was estimated on the basis of advice from the Faculty of Radiation Oncology </w:t>
      </w:r>
      <w:r w:rsidRPr="008B2F8A">
        <w:rPr>
          <w:noProof/>
        </w:rPr>
        <w:t>(2010)</w:t>
      </w:r>
      <w:r w:rsidRPr="008B2F8A">
        <w:t>. The Faculty estimates that there may be</w:t>
      </w:r>
      <w:r>
        <w:t>,</w:t>
      </w:r>
      <w:r w:rsidRPr="008B2F8A">
        <w:t xml:space="preserve"> at most, 1000 women who would be considered </w:t>
      </w:r>
      <w:r>
        <w:t xml:space="preserve">as being at </w:t>
      </w:r>
      <w:r w:rsidRPr="008B2F8A">
        <w:t xml:space="preserve">high risk as a result of receiving chest irradiation for Hodgkin’s lymphoma. This </w:t>
      </w:r>
      <w:r w:rsidR="00F3323E">
        <w:t>number</w:t>
      </w:r>
      <w:r w:rsidR="00F3323E" w:rsidRPr="008B2F8A">
        <w:t xml:space="preserve"> </w:t>
      </w:r>
      <w:r w:rsidRPr="008B2F8A">
        <w:t>was used as the number of women eligible for MRI in 2015</w:t>
      </w:r>
      <w:r>
        <w:t>,</w:t>
      </w:r>
      <w:r w:rsidRPr="008B2F8A">
        <w:t xml:space="preserve"> and increases in the population over time were estimated using the</w:t>
      </w:r>
      <w:r w:rsidRPr="008B2F8A">
        <w:rPr>
          <w:noProof/>
        </w:rPr>
        <w:t xml:space="preserve"> ABS (2013)</w:t>
      </w:r>
      <w:r w:rsidRPr="008B2F8A">
        <w:t xml:space="preserve"> population projections. The number of women who have follow-up MRI and the number of </w:t>
      </w:r>
      <w:r w:rsidRPr="008B2F8A">
        <w:lastRenderedPageBreak/>
        <w:t xml:space="preserve">ultrasounds replaced were calculated by applying the 7.4% follow-up MRI rate and </w:t>
      </w:r>
      <w:r>
        <w:t xml:space="preserve">the </w:t>
      </w:r>
      <w:r w:rsidRPr="008B2F8A">
        <w:t>25% ultrasound replacement rate.</w:t>
      </w:r>
    </w:p>
    <w:p w14:paraId="1C54D36E" w14:textId="35395A0F" w:rsidR="00E47AB8" w:rsidRPr="008B2F8A" w:rsidRDefault="00E47AB8" w:rsidP="00422306">
      <w:r w:rsidRPr="008B2F8A">
        <w:t xml:space="preserve">The results of the calculations are presented in </w:t>
      </w:r>
      <w:r w:rsidR="00A07C4C">
        <w:fldChar w:fldCharType="begin"/>
      </w:r>
      <w:r w:rsidR="00A07C4C">
        <w:instrText xml:space="preserve"> REF _Ref256413247 \h </w:instrText>
      </w:r>
      <w:r w:rsidR="00A07C4C">
        <w:fldChar w:fldCharType="separate"/>
      </w:r>
      <w:r w:rsidR="00B81273" w:rsidRPr="008B2F8A">
        <w:t xml:space="preserve">Table </w:t>
      </w:r>
      <w:r w:rsidR="00B81273">
        <w:rPr>
          <w:noProof/>
        </w:rPr>
        <w:t>E</w:t>
      </w:r>
      <w:r w:rsidR="00B81273" w:rsidRPr="008B2F8A">
        <w:t>.</w:t>
      </w:r>
      <w:r w:rsidR="00B81273">
        <w:rPr>
          <w:noProof/>
        </w:rPr>
        <w:t>10</w:t>
      </w:r>
      <w:r w:rsidR="00A07C4C">
        <w:fldChar w:fldCharType="end"/>
      </w:r>
      <w:r w:rsidRPr="008B2F8A">
        <w:t>. It is estimated that 70 women will receive MRI in 2015</w:t>
      </w:r>
      <w:r>
        <w:t>,</w:t>
      </w:r>
      <w:r w:rsidRPr="008B2F8A">
        <w:t xml:space="preserve"> increas</w:t>
      </w:r>
      <w:r>
        <w:t>ing</w:t>
      </w:r>
      <w:r w:rsidRPr="008B2F8A">
        <w:t xml:space="preserve"> to 341 in 2019.</w:t>
      </w:r>
    </w:p>
    <w:p w14:paraId="7D3FD622" w14:textId="77777777" w:rsidR="00E47AB8" w:rsidRPr="008B2F8A" w:rsidRDefault="00E47AB8" w:rsidP="00422306">
      <w:pPr>
        <w:pStyle w:val="Caption"/>
      </w:pPr>
      <w:bookmarkStart w:id="1333" w:name="_Ref256413247"/>
      <w:bookmarkStart w:id="1334" w:name="_Toc383424641"/>
      <w:r w:rsidRPr="008B2F8A">
        <w:t xml:space="preserve">Table </w:t>
      </w:r>
      <w:fldSimple w:instr=" STYLEREF 1 \s ">
        <w:r w:rsidR="00B81273">
          <w:rPr>
            <w:noProof/>
          </w:rPr>
          <w:t>E</w:t>
        </w:r>
      </w:fldSimple>
      <w:r w:rsidRPr="008B2F8A">
        <w:t>.</w:t>
      </w:r>
      <w:fldSimple w:instr=" SEQ Table \* ARABIC \s 1 ">
        <w:r w:rsidR="00B81273">
          <w:rPr>
            <w:noProof/>
          </w:rPr>
          <w:t>10</w:t>
        </w:r>
      </w:fldSimple>
      <w:bookmarkEnd w:id="1333"/>
      <w:r w:rsidRPr="008B2F8A">
        <w:tab/>
        <w:t>Estimation of the number of women with prior history of chest irradiation who receive MRI.</w:t>
      </w:r>
      <w:bookmarkEnd w:id="1334"/>
    </w:p>
    <w:tbl>
      <w:tblPr>
        <w:tblStyle w:val="TableGrid"/>
        <w:tblW w:w="9070" w:type="dxa"/>
        <w:tblCellMar>
          <w:left w:w="28" w:type="dxa"/>
          <w:right w:w="28" w:type="dxa"/>
        </w:tblCellMar>
        <w:tblLook w:val="04A0" w:firstRow="1" w:lastRow="0" w:firstColumn="1" w:lastColumn="0" w:noHBand="0" w:noVBand="1"/>
        <w:tblCaption w:val="Estimation of the number of women with prior history of chest irradiation who receive MRI."/>
      </w:tblPr>
      <w:tblGrid>
        <w:gridCol w:w="4186"/>
        <w:gridCol w:w="988"/>
        <w:gridCol w:w="988"/>
        <w:gridCol w:w="988"/>
        <w:gridCol w:w="988"/>
        <w:gridCol w:w="988"/>
      </w:tblGrid>
      <w:tr w:rsidR="00E47AB8" w:rsidRPr="008B2F8A" w14:paraId="5FE726B6" w14:textId="77777777" w:rsidTr="004E7861">
        <w:trPr>
          <w:tblHeader/>
        </w:trPr>
        <w:tc>
          <w:tcPr>
            <w:tcW w:w="4186" w:type="dxa"/>
            <w:hideMark/>
          </w:tcPr>
          <w:p w14:paraId="1506D8E1" w14:textId="77777777" w:rsidR="00E47AB8" w:rsidRPr="008B2F8A" w:rsidRDefault="00E47AB8" w:rsidP="00422306">
            <w:pPr>
              <w:pStyle w:val="Tableheaderrow"/>
              <w:spacing w:before="40" w:after="80" w:line="276" w:lineRule="auto"/>
            </w:pPr>
            <w:r w:rsidRPr="008B2F8A">
              <w:t>Description</w:t>
            </w:r>
          </w:p>
        </w:tc>
        <w:tc>
          <w:tcPr>
            <w:tcW w:w="988" w:type="dxa"/>
            <w:noWrap/>
            <w:hideMark/>
          </w:tcPr>
          <w:p w14:paraId="42BAF366" w14:textId="77777777" w:rsidR="00E47AB8" w:rsidRPr="008B2F8A" w:rsidRDefault="00E47AB8" w:rsidP="00422306">
            <w:pPr>
              <w:pStyle w:val="Tableheaderrow"/>
              <w:spacing w:before="40" w:after="80" w:line="276" w:lineRule="auto"/>
              <w:jc w:val="center"/>
            </w:pPr>
            <w:r w:rsidRPr="008B2F8A">
              <w:t>FY 2015</w:t>
            </w:r>
          </w:p>
        </w:tc>
        <w:tc>
          <w:tcPr>
            <w:tcW w:w="988" w:type="dxa"/>
            <w:noWrap/>
            <w:hideMark/>
          </w:tcPr>
          <w:p w14:paraId="19186AB8" w14:textId="77777777" w:rsidR="00E47AB8" w:rsidRPr="008B2F8A" w:rsidRDefault="00E47AB8" w:rsidP="00422306">
            <w:pPr>
              <w:pStyle w:val="Tableheaderrow"/>
              <w:spacing w:before="40" w:after="80" w:line="276" w:lineRule="auto"/>
              <w:jc w:val="center"/>
            </w:pPr>
            <w:r w:rsidRPr="008B2F8A">
              <w:t>FY 2016</w:t>
            </w:r>
          </w:p>
        </w:tc>
        <w:tc>
          <w:tcPr>
            <w:tcW w:w="988" w:type="dxa"/>
            <w:noWrap/>
            <w:hideMark/>
          </w:tcPr>
          <w:p w14:paraId="58C2E671" w14:textId="77777777" w:rsidR="00E47AB8" w:rsidRPr="008B2F8A" w:rsidRDefault="00E47AB8" w:rsidP="00422306">
            <w:pPr>
              <w:pStyle w:val="Tableheaderrow"/>
              <w:spacing w:before="40" w:after="80" w:line="276" w:lineRule="auto"/>
              <w:jc w:val="center"/>
            </w:pPr>
            <w:r w:rsidRPr="008B2F8A">
              <w:t>FY 2017</w:t>
            </w:r>
          </w:p>
        </w:tc>
        <w:tc>
          <w:tcPr>
            <w:tcW w:w="988" w:type="dxa"/>
            <w:noWrap/>
            <w:hideMark/>
          </w:tcPr>
          <w:p w14:paraId="480F4F79" w14:textId="77777777" w:rsidR="00E47AB8" w:rsidRPr="008B2F8A" w:rsidRDefault="00E47AB8" w:rsidP="00422306">
            <w:pPr>
              <w:pStyle w:val="Tableheaderrow"/>
              <w:spacing w:before="40" w:after="80" w:line="276" w:lineRule="auto"/>
              <w:jc w:val="center"/>
            </w:pPr>
            <w:r w:rsidRPr="008B2F8A">
              <w:t>FY 2018</w:t>
            </w:r>
          </w:p>
        </w:tc>
        <w:tc>
          <w:tcPr>
            <w:tcW w:w="988" w:type="dxa"/>
            <w:noWrap/>
            <w:hideMark/>
          </w:tcPr>
          <w:p w14:paraId="0E68A74E"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45FF0EF0" w14:textId="77777777" w:rsidTr="004E7861">
        <w:tc>
          <w:tcPr>
            <w:tcW w:w="4186" w:type="dxa"/>
            <w:noWrap/>
            <w:hideMark/>
          </w:tcPr>
          <w:p w14:paraId="41C509FB" w14:textId="77777777" w:rsidR="00E47AB8" w:rsidRPr="008B2F8A" w:rsidRDefault="00E47AB8" w:rsidP="00422306">
            <w:pPr>
              <w:spacing w:before="40" w:after="80"/>
              <w:rPr>
                <w:rFonts w:ascii="Arial Narrow" w:hAnsi="Arial Narrow"/>
                <w:color w:val="000000"/>
              </w:rPr>
            </w:pPr>
            <w:r w:rsidRPr="008B2F8A">
              <w:rPr>
                <w:rFonts w:ascii="Arial Narrow" w:hAnsi="Arial Narrow"/>
                <w:color w:val="000000"/>
              </w:rPr>
              <w:t>Number of women with a history of chest irradiation</w:t>
            </w:r>
          </w:p>
        </w:tc>
        <w:tc>
          <w:tcPr>
            <w:tcW w:w="988" w:type="dxa"/>
            <w:noWrap/>
            <w:hideMark/>
          </w:tcPr>
          <w:p w14:paraId="3F1CB14F"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1000</w:t>
            </w:r>
          </w:p>
        </w:tc>
        <w:tc>
          <w:tcPr>
            <w:tcW w:w="988" w:type="dxa"/>
            <w:noWrap/>
            <w:hideMark/>
          </w:tcPr>
          <w:p w14:paraId="4ACAF658"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1017</w:t>
            </w:r>
          </w:p>
        </w:tc>
        <w:tc>
          <w:tcPr>
            <w:tcW w:w="988" w:type="dxa"/>
            <w:noWrap/>
            <w:hideMark/>
          </w:tcPr>
          <w:p w14:paraId="67597538"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1034</w:t>
            </w:r>
          </w:p>
        </w:tc>
        <w:tc>
          <w:tcPr>
            <w:tcW w:w="988" w:type="dxa"/>
            <w:noWrap/>
            <w:hideMark/>
          </w:tcPr>
          <w:p w14:paraId="6DF2CAB8"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1052</w:t>
            </w:r>
          </w:p>
        </w:tc>
        <w:tc>
          <w:tcPr>
            <w:tcW w:w="988" w:type="dxa"/>
            <w:noWrap/>
            <w:hideMark/>
          </w:tcPr>
          <w:p w14:paraId="1657EBD5"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1070</w:t>
            </w:r>
          </w:p>
        </w:tc>
      </w:tr>
      <w:tr w:rsidR="00E47AB8" w:rsidRPr="008B2F8A" w14:paraId="22AD5795" w14:textId="77777777" w:rsidTr="004E7861">
        <w:tc>
          <w:tcPr>
            <w:tcW w:w="4186" w:type="dxa"/>
            <w:noWrap/>
            <w:hideMark/>
          </w:tcPr>
          <w:p w14:paraId="64ECEEBE" w14:textId="77777777" w:rsidR="00E47AB8" w:rsidRPr="008B2F8A" w:rsidRDefault="00E47AB8" w:rsidP="00422306">
            <w:pPr>
              <w:spacing w:before="40" w:after="80"/>
              <w:rPr>
                <w:rFonts w:ascii="Arial Narrow" w:hAnsi="Arial Narrow"/>
                <w:color w:val="000000"/>
              </w:rPr>
            </w:pPr>
            <w:r w:rsidRPr="008B2F8A">
              <w:rPr>
                <w:rFonts w:ascii="Arial Narrow" w:hAnsi="Arial Narrow"/>
                <w:color w:val="000000"/>
              </w:rPr>
              <w:t>Number who take up MRI screening</w:t>
            </w:r>
          </w:p>
        </w:tc>
        <w:tc>
          <w:tcPr>
            <w:tcW w:w="988" w:type="dxa"/>
            <w:noWrap/>
            <w:hideMark/>
          </w:tcPr>
          <w:p w14:paraId="708FDBE4"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70</w:t>
            </w:r>
          </w:p>
        </w:tc>
        <w:tc>
          <w:tcPr>
            <w:tcW w:w="988" w:type="dxa"/>
            <w:noWrap/>
            <w:hideMark/>
          </w:tcPr>
          <w:p w14:paraId="59F3B71B"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142</w:t>
            </w:r>
          </w:p>
        </w:tc>
        <w:tc>
          <w:tcPr>
            <w:tcW w:w="988" w:type="dxa"/>
            <w:noWrap/>
            <w:hideMark/>
          </w:tcPr>
          <w:p w14:paraId="75C47B9E"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217</w:t>
            </w:r>
          </w:p>
        </w:tc>
        <w:tc>
          <w:tcPr>
            <w:tcW w:w="988" w:type="dxa"/>
            <w:noWrap/>
            <w:hideMark/>
          </w:tcPr>
          <w:p w14:paraId="0DC7636C"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295</w:t>
            </w:r>
          </w:p>
        </w:tc>
        <w:tc>
          <w:tcPr>
            <w:tcW w:w="988" w:type="dxa"/>
            <w:noWrap/>
            <w:hideMark/>
          </w:tcPr>
          <w:p w14:paraId="353DE600"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341</w:t>
            </w:r>
          </w:p>
        </w:tc>
      </w:tr>
      <w:tr w:rsidR="00E47AB8" w:rsidRPr="008B2F8A" w14:paraId="6F6B76BA" w14:textId="77777777" w:rsidTr="004E7861">
        <w:tc>
          <w:tcPr>
            <w:tcW w:w="4186" w:type="dxa"/>
            <w:noWrap/>
            <w:hideMark/>
          </w:tcPr>
          <w:p w14:paraId="6F05B0D7" w14:textId="77777777" w:rsidR="00E47AB8" w:rsidRPr="008B2F8A" w:rsidRDefault="00E47AB8" w:rsidP="00422306">
            <w:pPr>
              <w:spacing w:before="40" w:after="80"/>
              <w:rPr>
                <w:rFonts w:ascii="Arial Narrow" w:hAnsi="Arial Narrow"/>
                <w:color w:val="000000"/>
              </w:rPr>
            </w:pPr>
            <w:r w:rsidRPr="008B2F8A">
              <w:rPr>
                <w:rFonts w:ascii="Arial Narrow" w:hAnsi="Arial Narrow"/>
                <w:color w:val="000000"/>
              </w:rPr>
              <w:t>Number who have follow-up MRI</w:t>
            </w:r>
          </w:p>
        </w:tc>
        <w:tc>
          <w:tcPr>
            <w:tcW w:w="988" w:type="dxa"/>
            <w:noWrap/>
            <w:hideMark/>
          </w:tcPr>
          <w:p w14:paraId="485E0D69"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5</w:t>
            </w:r>
          </w:p>
        </w:tc>
        <w:tc>
          <w:tcPr>
            <w:tcW w:w="988" w:type="dxa"/>
            <w:noWrap/>
            <w:hideMark/>
          </w:tcPr>
          <w:p w14:paraId="5B353ECC"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11</w:t>
            </w:r>
          </w:p>
        </w:tc>
        <w:tc>
          <w:tcPr>
            <w:tcW w:w="988" w:type="dxa"/>
            <w:noWrap/>
            <w:hideMark/>
          </w:tcPr>
          <w:p w14:paraId="24B70728"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16</w:t>
            </w:r>
          </w:p>
        </w:tc>
        <w:tc>
          <w:tcPr>
            <w:tcW w:w="988" w:type="dxa"/>
            <w:noWrap/>
            <w:hideMark/>
          </w:tcPr>
          <w:p w14:paraId="1C9A445A"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22</w:t>
            </w:r>
          </w:p>
        </w:tc>
        <w:tc>
          <w:tcPr>
            <w:tcW w:w="988" w:type="dxa"/>
            <w:noWrap/>
            <w:hideMark/>
          </w:tcPr>
          <w:p w14:paraId="653CFAB9"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25</w:t>
            </w:r>
          </w:p>
        </w:tc>
      </w:tr>
      <w:tr w:rsidR="00E47AB8" w:rsidRPr="008B2F8A" w14:paraId="572E1B0E" w14:textId="77777777" w:rsidTr="004E7861">
        <w:tc>
          <w:tcPr>
            <w:tcW w:w="4186" w:type="dxa"/>
            <w:noWrap/>
            <w:hideMark/>
          </w:tcPr>
          <w:p w14:paraId="08B6B084" w14:textId="77777777" w:rsidR="00E47AB8" w:rsidRPr="008B2F8A" w:rsidRDefault="00E47AB8" w:rsidP="00422306">
            <w:pPr>
              <w:pStyle w:val="TableText0"/>
              <w:keepNext w:val="0"/>
              <w:spacing w:before="40" w:after="80" w:line="276" w:lineRule="auto"/>
            </w:pPr>
            <w:r w:rsidRPr="008B2F8A">
              <w:t>Number of ultrasounds replaced</w:t>
            </w:r>
          </w:p>
        </w:tc>
        <w:tc>
          <w:tcPr>
            <w:tcW w:w="988" w:type="dxa"/>
            <w:noWrap/>
            <w:hideMark/>
          </w:tcPr>
          <w:p w14:paraId="639E5DA4"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18</w:t>
            </w:r>
          </w:p>
        </w:tc>
        <w:tc>
          <w:tcPr>
            <w:tcW w:w="988" w:type="dxa"/>
            <w:noWrap/>
            <w:hideMark/>
          </w:tcPr>
          <w:p w14:paraId="4D7B446E"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36</w:t>
            </w:r>
          </w:p>
        </w:tc>
        <w:tc>
          <w:tcPr>
            <w:tcW w:w="988" w:type="dxa"/>
            <w:noWrap/>
            <w:hideMark/>
          </w:tcPr>
          <w:p w14:paraId="0CFD005D"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54</w:t>
            </w:r>
          </w:p>
        </w:tc>
        <w:tc>
          <w:tcPr>
            <w:tcW w:w="988" w:type="dxa"/>
            <w:noWrap/>
            <w:hideMark/>
          </w:tcPr>
          <w:p w14:paraId="61039F70"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74</w:t>
            </w:r>
          </w:p>
        </w:tc>
        <w:tc>
          <w:tcPr>
            <w:tcW w:w="988" w:type="dxa"/>
            <w:noWrap/>
            <w:hideMark/>
          </w:tcPr>
          <w:p w14:paraId="6308799B" w14:textId="77777777" w:rsidR="00E47AB8" w:rsidRPr="008B2F8A" w:rsidRDefault="00E47AB8" w:rsidP="00422306">
            <w:pPr>
              <w:spacing w:before="40" w:after="80"/>
              <w:jc w:val="right"/>
              <w:rPr>
                <w:rFonts w:ascii="Arial Narrow" w:hAnsi="Arial Narrow"/>
                <w:color w:val="000000"/>
              </w:rPr>
            </w:pPr>
            <w:r w:rsidRPr="008B2F8A">
              <w:rPr>
                <w:rFonts w:ascii="Arial Narrow" w:hAnsi="Arial Narrow"/>
                <w:color w:val="000000"/>
              </w:rPr>
              <w:t>85</w:t>
            </w:r>
          </w:p>
        </w:tc>
      </w:tr>
    </w:tbl>
    <w:p w14:paraId="4AD1A594" w14:textId="07155148" w:rsidR="00E47AB8" w:rsidRPr="008B2F8A" w:rsidRDefault="00E47AB8" w:rsidP="00F56FD1">
      <w:pPr>
        <w:pStyle w:val="TableNotesFirst"/>
      </w:pPr>
      <w:r w:rsidRPr="008B2F8A">
        <w:t>FY = financial year; MRI = magnetic resonance imaging.</w:t>
      </w:r>
      <w:r w:rsidR="00F56FD1">
        <w:t xml:space="preserve"> </w:t>
      </w:r>
      <w:r w:rsidRPr="008B2F8A">
        <w:t>Note: Rounding has been applied.</w:t>
      </w:r>
    </w:p>
    <w:p w14:paraId="67C9F9CD" w14:textId="730BDB57" w:rsidR="00E47AB8" w:rsidRPr="008B2F8A" w:rsidRDefault="00E47AB8" w:rsidP="00E47AB8">
      <w:pPr>
        <w:pStyle w:val="Heading3"/>
        <w:numPr>
          <w:ilvl w:val="2"/>
          <w:numId w:val="42"/>
        </w:numPr>
      </w:pPr>
      <w:bookmarkStart w:id="1335" w:name="_Toc355274826"/>
      <w:bookmarkStart w:id="1336" w:name="_Ref377465732"/>
      <w:bookmarkStart w:id="1337" w:name="_Toc383424527"/>
      <w:r w:rsidRPr="008B2F8A">
        <w:t xml:space="preserve">Estimated cost of </w:t>
      </w:r>
      <w:bookmarkEnd w:id="1335"/>
      <w:r w:rsidRPr="008B2F8A">
        <w:t>breast MRI</w:t>
      </w:r>
      <w:bookmarkEnd w:id="1336"/>
      <w:bookmarkEnd w:id="1337"/>
    </w:p>
    <w:p w14:paraId="4A8121E9" w14:textId="6FEAC025" w:rsidR="00E47AB8" w:rsidRPr="008B2F8A" w:rsidRDefault="00E47AB8" w:rsidP="00422306">
      <w:bookmarkStart w:id="1338" w:name="_Ref353995901"/>
      <w:bookmarkStart w:id="1339" w:name="_Toc355274749"/>
      <w:r w:rsidRPr="008B2F8A">
        <w:t xml:space="preserve">Both the current and proposed listings for breast MRI are subject to the Bulk Billing Incentive. For items in Group I5—MRI, the Bulk Billing Incentive for out-of-hospital services is 100% of the Schedule Fee. As this affects the benefit paid for breast MRI, the average benefit per service for the interim items was calculated and used in the financial impact calculations. For </w:t>
      </w:r>
      <w:r>
        <w:t xml:space="preserve">each </w:t>
      </w:r>
      <w:r w:rsidRPr="008B2F8A">
        <w:t xml:space="preserve">interim item, the total amount of benefits paid out between July 2009 and June 2013 was divided by the total number of services for the item over the same time period </w:t>
      </w:r>
      <w:r>
        <w:t>(</w:t>
      </w:r>
      <w:r w:rsidRPr="008B2F8A">
        <w:fldChar w:fldCharType="begin"/>
      </w:r>
      <w:r w:rsidRPr="008B2F8A">
        <w:instrText xml:space="preserve"> REF _Ref376855615 \h  \* MERGEFORMAT </w:instrText>
      </w:r>
      <w:r w:rsidRPr="008B2F8A">
        <w:fldChar w:fldCharType="separate"/>
      </w:r>
      <w:r w:rsidR="00B81273" w:rsidRPr="008B2F8A">
        <w:t xml:space="preserve">Table </w:t>
      </w:r>
      <w:r w:rsidR="00B81273">
        <w:rPr>
          <w:noProof/>
        </w:rPr>
        <w:t>E</w:t>
      </w:r>
      <w:r w:rsidR="00B81273" w:rsidRPr="008B2F8A">
        <w:rPr>
          <w:noProof/>
        </w:rPr>
        <w:t>.</w:t>
      </w:r>
      <w:r w:rsidR="00B81273">
        <w:rPr>
          <w:noProof/>
        </w:rPr>
        <w:t>11</w:t>
      </w:r>
      <w:r w:rsidRPr="008B2F8A">
        <w:fldChar w:fldCharType="end"/>
      </w:r>
      <w:r>
        <w:t>)</w:t>
      </w:r>
      <w:r w:rsidRPr="008B2F8A">
        <w:t xml:space="preserve">. The effect of using the average benefit per service for the financial year 2013 is explored in sensitivity analyses (see Section </w:t>
      </w:r>
      <w:r w:rsidRPr="008B2F8A">
        <w:fldChar w:fldCharType="begin"/>
      </w:r>
      <w:r w:rsidRPr="008B2F8A">
        <w:instrText xml:space="preserve"> REF _Ref377476357 \r \h </w:instrText>
      </w:r>
      <w:r w:rsidRPr="008B2F8A">
        <w:fldChar w:fldCharType="separate"/>
      </w:r>
      <w:r w:rsidR="00B81273">
        <w:t>E.6.4</w:t>
      </w:r>
      <w:r w:rsidRPr="008B2F8A">
        <w:fldChar w:fldCharType="end"/>
      </w:r>
      <w:r w:rsidRPr="008B2F8A">
        <w:t>).</w:t>
      </w:r>
    </w:p>
    <w:p w14:paraId="56FECBD3" w14:textId="1BDA4AF9" w:rsidR="00E47AB8" w:rsidRPr="008B2F8A" w:rsidRDefault="00E47AB8" w:rsidP="00422306">
      <w:pPr>
        <w:pStyle w:val="Caption"/>
      </w:pPr>
      <w:bookmarkStart w:id="1340" w:name="_Ref376855615"/>
      <w:bookmarkStart w:id="1341" w:name="_Toc383424642"/>
      <w:r w:rsidRPr="008B2F8A">
        <w:t xml:space="preserve">Table </w:t>
      </w:r>
      <w:fldSimple w:instr=" STYLEREF 1 \s ">
        <w:r w:rsidR="00B81273">
          <w:rPr>
            <w:noProof/>
          </w:rPr>
          <w:t>E</w:t>
        </w:r>
      </w:fldSimple>
      <w:r w:rsidRPr="008B2F8A">
        <w:t>.</w:t>
      </w:r>
      <w:fldSimple w:instr=" SEQ Table \* ARABIC \s 1 ">
        <w:r w:rsidR="00B81273">
          <w:rPr>
            <w:noProof/>
          </w:rPr>
          <w:t>11</w:t>
        </w:r>
      </w:fldSimple>
      <w:bookmarkEnd w:id="1340"/>
      <w:r w:rsidRPr="008B2F8A">
        <w:tab/>
        <w:t>Average benefit per service for the breast MRI interim items (FY 2009–</w:t>
      </w:r>
      <w:bookmarkStart w:id="1342" w:name="OLE_LINK155"/>
      <w:r w:rsidRPr="008B2F8A">
        <w:t>FY 2013</w:t>
      </w:r>
      <w:bookmarkEnd w:id="1342"/>
      <w:r w:rsidRPr="008B2F8A">
        <w:t>).</w:t>
      </w:r>
      <w:bookmarkEnd w:id="1341"/>
    </w:p>
    <w:tbl>
      <w:tblPr>
        <w:tblStyle w:val="TableGrid"/>
        <w:tblW w:w="9070" w:type="dxa"/>
        <w:tblLayout w:type="fixed"/>
        <w:tblCellMar>
          <w:left w:w="28" w:type="dxa"/>
          <w:right w:w="28" w:type="dxa"/>
        </w:tblCellMar>
        <w:tblLook w:val="04A0" w:firstRow="1" w:lastRow="0" w:firstColumn="1" w:lastColumn="0" w:noHBand="0" w:noVBand="1"/>
        <w:tblCaption w:val="Average benefit per service for the breast MRI interim items (FY 2009–FY 2013)."/>
      </w:tblPr>
      <w:tblGrid>
        <w:gridCol w:w="2630"/>
        <w:gridCol w:w="1417"/>
        <w:gridCol w:w="1418"/>
        <w:gridCol w:w="1379"/>
        <w:gridCol w:w="2226"/>
      </w:tblGrid>
      <w:tr w:rsidR="00E47AB8" w:rsidRPr="008B2F8A" w14:paraId="33111674" w14:textId="77777777" w:rsidTr="004E7861">
        <w:trPr>
          <w:tblHeader/>
        </w:trPr>
        <w:tc>
          <w:tcPr>
            <w:tcW w:w="2630" w:type="dxa"/>
            <w:vAlign w:val="bottom"/>
          </w:tcPr>
          <w:p w14:paraId="07DE31E0" w14:textId="77777777" w:rsidR="00E47AB8" w:rsidRPr="008B2F8A" w:rsidRDefault="00E47AB8" w:rsidP="00422306">
            <w:pPr>
              <w:pStyle w:val="Tableheaderrow"/>
              <w:spacing w:before="40" w:after="80" w:line="276" w:lineRule="auto"/>
            </w:pPr>
            <w:r w:rsidRPr="008B2F8A">
              <w:t>Description</w:t>
            </w:r>
          </w:p>
        </w:tc>
        <w:tc>
          <w:tcPr>
            <w:tcW w:w="1417" w:type="dxa"/>
            <w:noWrap/>
            <w:vAlign w:val="bottom"/>
          </w:tcPr>
          <w:p w14:paraId="722C1824" w14:textId="77777777" w:rsidR="00E47AB8" w:rsidRPr="008B2F8A" w:rsidRDefault="00E47AB8" w:rsidP="00422306">
            <w:pPr>
              <w:pStyle w:val="Tableheaderrow"/>
              <w:spacing w:before="40" w:after="80" w:line="276" w:lineRule="auto"/>
            </w:pPr>
            <w:r w:rsidRPr="008B2F8A">
              <w:t>MBS item</w:t>
            </w:r>
          </w:p>
        </w:tc>
        <w:tc>
          <w:tcPr>
            <w:tcW w:w="1418" w:type="dxa"/>
            <w:noWrap/>
            <w:vAlign w:val="bottom"/>
          </w:tcPr>
          <w:p w14:paraId="20A71F02" w14:textId="77777777" w:rsidR="00E47AB8" w:rsidRPr="008B2F8A" w:rsidRDefault="00E47AB8" w:rsidP="00422306">
            <w:pPr>
              <w:pStyle w:val="Tableheaderrow"/>
              <w:spacing w:before="40" w:after="80" w:line="276" w:lineRule="auto"/>
            </w:pPr>
            <w:r w:rsidRPr="008B2F8A">
              <w:t>Total services</w:t>
            </w:r>
          </w:p>
        </w:tc>
        <w:tc>
          <w:tcPr>
            <w:tcW w:w="1379" w:type="dxa"/>
            <w:noWrap/>
            <w:vAlign w:val="bottom"/>
          </w:tcPr>
          <w:p w14:paraId="465D4201" w14:textId="77777777" w:rsidR="00E47AB8" w:rsidRPr="008B2F8A" w:rsidRDefault="00E47AB8" w:rsidP="00422306">
            <w:pPr>
              <w:pStyle w:val="Tableheaderrow"/>
              <w:spacing w:before="40" w:after="80" w:line="276" w:lineRule="auto"/>
            </w:pPr>
            <w:r w:rsidRPr="008B2F8A">
              <w:t>Total benefits</w:t>
            </w:r>
          </w:p>
        </w:tc>
        <w:tc>
          <w:tcPr>
            <w:tcW w:w="2226" w:type="dxa"/>
            <w:noWrap/>
            <w:vAlign w:val="bottom"/>
          </w:tcPr>
          <w:p w14:paraId="02B9F5A3" w14:textId="77777777" w:rsidR="00E47AB8" w:rsidRPr="008B2F8A" w:rsidRDefault="00E47AB8" w:rsidP="00422306">
            <w:pPr>
              <w:pStyle w:val="Tableheaderrow"/>
              <w:spacing w:before="40" w:after="80" w:line="276" w:lineRule="auto"/>
            </w:pPr>
            <w:r w:rsidRPr="008B2F8A">
              <w:t>Average benefit per service</w:t>
            </w:r>
          </w:p>
        </w:tc>
      </w:tr>
      <w:tr w:rsidR="00E47AB8" w:rsidRPr="008B2F8A" w14:paraId="758DD1A4" w14:textId="77777777" w:rsidTr="004E7861">
        <w:tc>
          <w:tcPr>
            <w:tcW w:w="2630" w:type="dxa"/>
          </w:tcPr>
          <w:p w14:paraId="31972860" w14:textId="77777777" w:rsidR="00E47AB8" w:rsidRPr="008B2F8A" w:rsidRDefault="00E47AB8" w:rsidP="00422306">
            <w:pPr>
              <w:spacing w:before="40" w:after="80"/>
              <w:rPr>
                <w:rFonts w:ascii="Arial Narrow" w:hAnsi="Arial Narrow"/>
              </w:rPr>
            </w:pPr>
            <w:r w:rsidRPr="008B2F8A">
              <w:rPr>
                <w:rFonts w:ascii="Arial Narrow" w:hAnsi="Arial Narrow"/>
              </w:rPr>
              <w:t>Breast MRI, initial imaging</w:t>
            </w:r>
          </w:p>
        </w:tc>
        <w:tc>
          <w:tcPr>
            <w:tcW w:w="1417" w:type="dxa"/>
            <w:noWrap/>
            <w:hideMark/>
          </w:tcPr>
          <w:p w14:paraId="0EF4B941" w14:textId="77777777" w:rsidR="00E47AB8" w:rsidRPr="008B2F8A" w:rsidRDefault="00E47AB8" w:rsidP="00422306">
            <w:pPr>
              <w:spacing w:before="40" w:after="80"/>
              <w:rPr>
                <w:rFonts w:ascii="Arial Narrow" w:hAnsi="Arial Narrow"/>
              </w:rPr>
            </w:pPr>
            <w:r w:rsidRPr="008B2F8A">
              <w:rPr>
                <w:rFonts w:ascii="Arial Narrow" w:hAnsi="Arial Narrow"/>
              </w:rPr>
              <w:t>63464</w:t>
            </w:r>
          </w:p>
        </w:tc>
        <w:tc>
          <w:tcPr>
            <w:tcW w:w="1418" w:type="dxa"/>
            <w:noWrap/>
            <w:hideMark/>
          </w:tcPr>
          <w:p w14:paraId="5D73A5F0" w14:textId="77777777" w:rsidR="00E47AB8" w:rsidRPr="008B2F8A" w:rsidRDefault="00E47AB8" w:rsidP="00422306">
            <w:pPr>
              <w:spacing w:before="40" w:after="80"/>
              <w:rPr>
                <w:rFonts w:ascii="Arial Narrow" w:hAnsi="Arial Narrow"/>
              </w:rPr>
            </w:pPr>
            <w:r w:rsidRPr="008B2F8A">
              <w:rPr>
                <w:rFonts w:ascii="Arial Narrow" w:hAnsi="Arial Narrow"/>
              </w:rPr>
              <w:t>9516</w:t>
            </w:r>
          </w:p>
        </w:tc>
        <w:tc>
          <w:tcPr>
            <w:tcW w:w="1379" w:type="dxa"/>
            <w:noWrap/>
            <w:hideMark/>
          </w:tcPr>
          <w:p w14:paraId="38B1D249" w14:textId="77777777" w:rsidR="00E47AB8" w:rsidRPr="008B2F8A" w:rsidRDefault="00E47AB8" w:rsidP="00422306">
            <w:pPr>
              <w:spacing w:before="40" w:after="80"/>
              <w:rPr>
                <w:rFonts w:ascii="Arial Narrow" w:hAnsi="Arial Narrow"/>
              </w:rPr>
            </w:pPr>
            <w:r w:rsidRPr="008B2F8A">
              <w:rPr>
                <w:rFonts w:ascii="Arial Narrow" w:hAnsi="Arial Narrow"/>
              </w:rPr>
              <w:t xml:space="preserve"> $6,227,309 </w:t>
            </w:r>
          </w:p>
        </w:tc>
        <w:tc>
          <w:tcPr>
            <w:tcW w:w="2226" w:type="dxa"/>
            <w:noWrap/>
            <w:hideMark/>
          </w:tcPr>
          <w:p w14:paraId="18DD1C27" w14:textId="77777777" w:rsidR="00E47AB8" w:rsidRPr="008B2F8A" w:rsidRDefault="00E47AB8" w:rsidP="00422306">
            <w:pPr>
              <w:spacing w:before="40" w:after="80"/>
              <w:rPr>
                <w:rFonts w:ascii="Arial Narrow" w:hAnsi="Arial Narrow"/>
              </w:rPr>
            </w:pPr>
            <w:r w:rsidRPr="008B2F8A">
              <w:rPr>
                <w:rFonts w:ascii="Arial Narrow" w:hAnsi="Arial Narrow"/>
              </w:rPr>
              <w:t xml:space="preserve"> $654.40 </w:t>
            </w:r>
          </w:p>
        </w:tc>
      </w:tr>
      <w:tr w:rsidR="00E47AB8" w:rsidRPr="008B2F8A" w14:paraId="0C5D3433" w14:textId="77777777" w:rsidTr="004E7861">
        <w:tc>
          <w:tcPr>
            <w:tcW w:w="2630" w:type="dxa"/>
          </w:tcPr>
          <w:p w14:paraId="5CB079BC" w14:textId="77777777" w:rsidR="00E47AB8" w:rsidRPr="008B2F8A" w:rsidRDefault="00E47AB8" w:rsidP="00422306">
            <w:pPr>
              <w:spacing w:before="40" w:after="80"/>
              <w:rPr>
                <w:rFonts w:ascii="Arial Narrow" w:hAnsi="Arial Narrow"/>
              </w:rPr>
            </w:pPr>
            <w:r w:rsidRPr="008B2F8A">
              <w:rPr>
                <w:rFonts w:ascii="Arial Narrow" w:hAnsi="Arial Narrow"/>
              </w:rPr>
              <w:t>Breast MRI, follow-up imaging</w:t>
            </w:r>
          </w:p>
        </w:tc>
        <w:tc>
          <w:tcPr>
            <w:tcW w:w="1417" w:type="dxa"/>
            <w:noWrap/>
          </w:tcPr>
          <w:p w14:paraId="793B168E" w14:textId="77777777" w:rsidR="00E47AB8" w:rsidRPr="008B2F8A" w:rsidRDefault="00E47AB8" w:rsidP="00422306">
            <w:pPr>
              <w:spacing w:before="40" w:after="80"/>
              <w:rPr>
                <w:rFonts w:ascii="Arial Narrow" w:hAnsi="Arial Narrow"/>
              </w:rPr>
            </w:pPr>
            <w:r w:rsidRPr="008B2F8A">
              <w:rPr>
                <w:rFonts w:ascii="Arial Narrow" w:hAnsi="Arial Narrow"/>
              </w:rPr>
              <w:t>63467</w:t>
            </w:r>
          </w:p>
        </w:tc>
        <w:tc>
          <w:tcPr>
            <w:tcW w:w="1418" w:type="dxa"/>
            <w:noWrap/>
          </w:tcPr>
          <w:p w14:paraId="6ADD500D" w14:textId="77777777" w:rsidR="00E47AB8" w:rsidRPr="008B2F8A" w:rsidRDefault="00E47AB8" w:rsidP="00422306">
            <w:pPr>
              <w:spacing w:before="40" w:after="80"/>
              <w:rPr>
                <w:rFonts w:ascii="Arial Narrow" w:hAnsi="Arial Narrow"/>
              </w:rPr>
            </w:pPr>
            <w:r w:rsidRPr="008B2F8A">
              <w:rPr>
                <w:rFonts w:ascii="Arial Narrow" w:hAnsi="Arial Narrow"/>
              </w:rPr>
              <w:t>708</w:t>
            </w:r>
          </w:p>
        </w:tc>
        <w:tc>
          <w:tcPr>
            <w:tcW w:w="1379" w:type="dxa"/>
            <w:noWrap/>
          </w:tcPr>
          <w:p w14:paraId="4754F656" w14:textId="77777777" w:rsidR="00E47AB8" w:rsidRPr="008B2F8A" w:rsidRDefault="00E47AB8" w:rsidP="00422306">
            <w:pPr>
              <w:spacing w:before="40" w:after="80"/>
              <w:rPr>
                <w:rFonts w:ascii="Arial Narrow" w:hAnsi="Arial Narrow"/>
              </w:rPr>
            </w:pPr>
            <w:r w:rsidRPr="008B2F8A">
              <w:rPr>
                <w:rFonts w:ascii="Arial Narrow" w:hAnsi="Arial Narrow"/>
              </w:rPr>
              <w:t xml:space="preserve"> $466,207 </w:t>
            </w:r>
          </w:p>
        </w:tc>
        <w:tc>
          <w:tcPr>
            <w:tcW w:w="2226" w:type="dxa"/>
            <w:noWrap/>
          </w:tcPr>
          <w:p w14:paraId="217B2593" w14:textId="77777777" w:rsidR="00E47AB8" w:rsidRPr="008B2F8A" w:rsidRDefault="00E47AB8" w:rsidP="00422306">
            <w:pPr>
              <w:spacing w:before="40" w:after="80"/>
              <w:rPr>
                <w:rFonts w:ascii="Arial Narrow" w:hAnsi="Arial Narrow"/>
              </w:rPr>
            </w:pPr>
            <w:r w:rsidRPr="008B2F8A">
              <w:rPr>
                <w:rFonts w:ascii="Arial Narrow" w:hAnsi="Arial Narrow"/>
              </w:rPr>
              <w:t xml:space="preserve"> $658.48 </w:t>
            </w:r>
          </w:p>
        </w:tc>
      </w:tr>
    </w:tbl>
    <w:p w14:paraId="46C80766" w14:textId="7B8024DE" w:rsidR="00E47AB8" w:rsidRDefault="00E47AB8" w:rsidP="00F56FD1">
      <w:pPr>
        <w:pStyle w:val="TableNotesFirst"/>
      </w:pPr>
      <w:r w:rsidRPr="008B2F8A">
        <w:t>FY = financial year; MBS = Medicare Benefits Schedule; MRI = magnetic resonance imaging.</w:t>
      </w:r>
      <w:r w:rsidR="00F56FD1">
        <w:t xml:space="preserve"> </w:t>
      </w:r>
      <w:r w:rsidRPr="008B2F8A">
        <w:t>Note: Rounding has been applied.</w:t>
      </w:r>
    </w:p>
    <w:p w14:paraId="7E134D15" w14:textId="77777777" w:rsidR="00F56FD1" w:rsidRPr="008B2F8A" w:rsidRDefault="00F56FD1" w:rsidP="00F56FD1">
      <w:pPr>
        <w:pStyle w:val="TableNotesFirst"/>
      </w:pPr>
    </w:p>
    <w:p w14:paraId="02D0A581" w14:textId="77777777" w:rsidR="00E47AB8" w:rsidRPr="008B2F8A" w:rsidRDefault="00E47AB8" w:rsidP="00422306">
      <w:pPr>
        <w:pStyle w:val="Heading4"/>
      </w:pPr>
      <w:r w:rsidRPr="008B2F8A">
        <w:t>Initial breast MRI</w:t>
      </w:r>
    </w:p>
    <w:p w14:paraId="196A0A5A" w14:textId="398ECE9A" w:rsidR="00E47AB8" w:rsidRPr="008B2F8A" w:rsidRDefault="00E47AB8" w:rsidP="00422306">
      <w:r w:rsidRPr="008B2F8A">
        <w:t xml:space="preserve">The numbers of women in each of the populations who take up breast MRI screening each year in the first 5 years of listing </w:t>
      </w:r>
      <w:r>
        <w:t>are</w:t>
      </w:r>
      <w:r w:rsidRPr="008B2F8A">
        <w:t xml:space="preserve"> shown in </w:t>
      </w:r>
      <w:r w:rsidRPr="008B2F8A">
        <w:fldChar w:fldCharType="begin"/>
      </w:r>
      <w:r w:rsidRPr="008B2F8A">
        <w:instrText xml:space="preserve"> REF _Ref376855592 \h </w:instrText>
      </w:r>
      <w:r w:rsidRPr="008B2F8A">
        <w:fldChar w:fldCharType="separate"/>
      </w:r>
      <w:r w:rsidR="00B81273" w:rsidRPr="008B2F8A">
        <w:t xml:space="preserve">Table </w:t>
      </w:r>
      <w:r w:rsidR="00B81273">
        <w:rPr>
          <w:noProof/>
        </w:rPr>
        <w:t>E</w:t>
      </w:r>
      <w:r w:rsidR="00B81273" w:rsidRPr="008B2F8A">
        <w:t>.</w:t>
      </w:r>
      <w:r w:rsidR="00B81273">
        <w:rPr>
          <w:noProof/>
        </w:rPr>
        <w:t>12</w:t>
      </w:r>
      <w:r w:rsidRPr="008B2F8A">
        <w:fldChar w:fldCharType="end"/>
      </w:r>
      <w:r w:rsidRPr="008B2F8A">
        <w:t xml:space="preserve">. Details of how patient numbers were estimated </w:t>
      </w:r>
      <w:r>
        <w:t>are explained in</w:t>
      </w:r>
      <w:r w:rsidRPr="008B2F8A">
        <w:t xml:space="preserve"> Section </w:t>
      </w:r>
      <w:r w:rsidRPr="008B2F8A">
        <w:fldChar w:fldCharType="begin"/>
      </w:r>
      <w:r w:rsidRPr="008B2F8A">
        <w:instrText xml:space="preserve"> REF _Ref376855502 \r \h </w:instrText>
      </w:r>
      <w:r w:rsidRPr="008B2F8A">
        <w:fldChar w:fldCharType="separate"/>
      </w:r>
      <w:r w:rsidR="00B81273">
        <w:t>E.2.1</w:t>
      </w:r>
      <w:r w:rsidRPr="008B2F8A">
        <w:fldChar w:fldCharType="end"/>
      </w:r>
      <w:r w:rsidRPr="008B2F8A">
        <w:t>.</w:t>
      </w:r>
    </w:p>
    <w:p w14:paraId="141BD2ED" w14:textId="77777777" w:rsidR="00E47AB8" w:rsidRPr="008B2F8A" w:rsidRDefault="00E47AB8" w:rsidP="00422306">
      <w:pPr>
        <w:pStyle w:val="Caption"/>
      </w:pPr>
      <w:bookmarkStart w:id="1343" w:name="_Ref376855592"/>
      <w:bookmarkStart w:id="1344" w:name="_Toc383424643"/>
      <w:r w:rsidRPr="008B2F8A">
        <w:t xml:space="preserve">Table </w:t>
      </w:r>
      <w:fldSimple w:instr=" STYLEREF 1 \s ">
        <w:r w:rsidR="00B81273">
          <w:rPr>
            <w:noProof/>
          </w:rPr>
          <w:t>E</w:t>
        </w:r>
      </w:fldSimple>
      <w:r w:rsidRPr="008B2F8A">
        <w:t>.</w:t>
      </w:r>
      <w:fldSimple w:instr=" SEQ Table \* ARABIC \s 1 ">
        <w:r w:rsidR="00B81273">
          <w:rPr>
            <w:noProof/>
          </w:rPr>
          <w:t>12</w:t>
        </w:r>
      </w:fldSimple>
      <w:bookmarkEnd w:id="1343"/>
      <w:r w:rsidRPr="008B2F8A">
        <w:tab/>
        <w:t>Number</w:t>
      </w:r>
      <w:r>
        <w:t>s</w:t>
      </w:r>
      <w:r w:rsidRPr="008B2F8A">
        <w:t xml:space="preserve"> of women in the four populations who receive breast MRI.</w:t>
      </w:r>
      <w:bookmarkEnd w:id="1344"/>
    </w:p>
    <w:tbl>
      <w:tblPr>
        <w:tblStyle w:val="TableGrid"/>
        <w:tblW w:w="9070" w:type="dxa"/>
        <w:tblCellMar>
          <w:left w:w="28" w:type="dxa"/>
          <w:right w:w="28" w:type="dxa"/>
        </w:tblCellMar>
        <w:tblLook w:val="04A0" w:firstRow="1" w:lastRow="0" w:firstColumn="1" w:lastColumn="0" w:noHBand="0" w:noVBand="1"/>
        <w:tblCaption w:val="Numbers of women in the four populations who receive breast MRI."/>
      </w:tblPr>
      <w:tblGrid>
        <w:gridCol w:w="4635"/>
        <w:gridCol w:w="887"/>
        <w:gridCol w:w="887"/>
        <w:gridCol w:w="887"/>
        <w:gridCol w:w="887"/>
        <w:gridCol w:w="887"/>
      </w:tblGrid>
      <w:tr w:rsidR="00E47AB8" w:rsidRPr="008B2F8A" w14:paraId="40960F89" w14:textId="77777777" w:rsidTr="004E7861">
        <w:trPr>
          <w:tblHeader/>
        </w:trPr>
        <w:tc>
          <w:tcPr>
            <w:tcW w:w="0" w:type="auto"/>
            <w:noWrap/>
            <w:hideMark/>
          </w:tcPr>
          <w:p w14:paraId="0A77895F"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26DDA8A0"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209AD4EC"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6EE7308E"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363EBB16"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1F9C0C71"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61300D06" w14:textId="77777777" w:rsidTr="004E7861">
        <w:tc>
          <w:tcPr>
            <w:tcW w:w="0" w:type="auto"/>
            <w:noWrap/>
            <w:vAlign w:val="bottom"/>
            <w:hideMark/>
          </w:tcPr>
          <w:p w14:paraId="57DED55B"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1AABF50E" w14:textId="77777777" w:rsidR="00E47AB8" w:rsidRPr="008B2F8A" w:rsidRDefault="00E47AB8" w:rsidP="00422306">
            <w:pPr>
              <w:pStyle w:val="TableText0"/>
              <w:keepNext w:val="0"/>
              <w:spacing w:before="40" w:after="80" w:line="276" w:lineRule="auto"/>
              <w:jc w:val="right"/>
            </w:pPr>
            <w:r w:rsidRPr="008B2F8A">
              <w:t xml:space="preserve"> 4,190 </w:t>
            </w:r>
          </w:p>
        </w:tc>
        <w:tc>
          <w:tcPr>
            <w:tcW w:w="0" w:type="auto"/>
            <w:noWrap/>
            <w:hideMark/>
          </w:tcPr>
          <w:p w14:paraId="51E4CA44" w14:textId="77777777" w:rsidR="00E47AB8" w:rsidRPr="008B2F8A" w:rsidRDefault="00E47AB8" w:rsidP="00422306">
            <w:pPr>
              <w:pStyle w:val="TableText0"/>
              <w:keepNext w:val="0"/>
              <w:spacing w:before="40" w:after="80" w:line="276" w:lineRule="auto"/>
              <w:jc w:val="right"/>
            </w:pPr>
            <w:r w:rsidRPr="008B2F8A">
              <w:t xml:space="preserve"> 4,730 </w:t>
            </w:r>
          </w:p>
        </w:tc>
        <w:tc>
          <w:tcPr>
            <w:tcW w:w="0" w:type="auto"/>
            <w:noWrap/>
            <w:hideMark/>
          </w:tcPr>
          <w:p w14:paraId="513064AD" w14:textId="77777777" w:rsidR="00E47AB8" w:rsidRPr="008B2F8A" w:rsidRDefault="00E47AB8" w:rsidP="00422306">
            <w:pPr>
              <w:pStyle w:val="TableText0"/>
              <w:keepNext w:val="0"/>
              <w:spacing w:before="40" w:after="80" w:line="276" w:lineRule="auto"/>
              <w:jc w:val="right"/>
            </w:pPr>
            <w:r w:rsidRPr="008B2F8A">
              <w:t xml:space="preserve"> 5,271 </w:t>
            </w:r>
          </w:p>
        </w:tc>
        <w:tc>
          <w:tcPr>
            <w:tcW w:w="0" w:type="auto"/>
            <w:noWrap/>
            <w:hideMark/>
          </w:tcPr>
          <w:p w14:paraId="48930FBF" w14:textId="77777777" w:rsidR="00E47AB8" w:rsidRPr="008B2F8A" w:rsidRDefault="00E47AB8" w:rsidP="00422306">
            <w:pPr>
              <w:pStyle w:val="TableText0"/>
              <w:keepNext w:val="0"/>
              <w:spacing w:before="40" w:after="80" w:line="276" w:lineRule="auto"/>
              <w:jc w:val="right"/>
            </w:pPr>
            <w:r w:rsidRPr="008B2F8A">
              <w:t xml:space="preserve"> 5,811 </w:t>
            </w:r>
          </w:p>
        </w:tc>
        <w:tc>
          <w:tcPr>
            <w:tcW w:w="0" w:type="auto"/>
            <w:noWrap/>
            <w:hideMark/>
          </w:tcPr>
          <w:p w14:paraId="4CCFF67E" w14:textId="77777777" w:rsidR="00E47AB8" w:rsidRPr="008B2F8A" w:rsidRDefault="00E47AB8" w:rsidP="00422306">
            <w:pPr>
              <w:pStyle w:val="TableText0"/>
              <w:keepNext w:val="0"/>
              <w:spacing w:before="40" w:after="80" w:line="276" w:lineRule="auto"/>
              <w:jc w:val="right"/>
            </w:pPr>
            <w:r w:rsidRPr="008B2F8A">
              <w:t xml:space="preserve"> 6,351 </w:t>
            </w:r>
          </w:p>
        </w:tc>
      </w:tr>
      <w:tr w:rsidR="00E47AB8" w:rsidRPr="008B2F8A" w14:paraId="5C003F47" w14:textId="77777777" w:rsidTr="004E7861">
        <w:tc>
          <w:tcPr>
            <w:tcW w:w="0" w:type="auto"/>
            <w:noWrap/>
            <w:vAlign w:val="bottom"/>
          </w:tcPr>
          <w:p w14:paraId="0B708370"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vAlign w:val="center"/>
          </w:tcPr>
          <w:p w14:paraId="766F1482" w14:textId="77777777" w:rsidR="00E47AB8" w:rsidRPr="008B2F8A" w:rsidRDefault="00E47AB8" w:rsidP="00422306">
            <w:pPr>
              <w:pStyle w:val="TableText0"/>
              <w:keepNext w:val="0"/>
              <w:spacing w:before="40" w:after="80" w:line="276" w:lineRule="auto"/>
              <w:jc w:val="right"/>
            </w:pPr>
            <w:r w:rsidRPr="008B2F8A">
              <w:t xml:space="preserve"> 6,017</w:t>
            </w:r>
          </w:p>
        </w:tc>
        <w:tc>
          <w:tcPr>
            <w:tcW w:w="0" w:type="auto"/>
            <w:noWrap/>
            <w:vAlign w:val="center"/>
          </w:tcPr>
          <w:p w14:paraId="1E72C19B" w14:textId="77777777" w:rsidR="00E47AB8" w:rsidRPr="008B2F8A" w:rsidRDefault="00E47AB8" w:rsidP="00422306">
            <w:pPr>
              <w:pStyle w:val="TableText0"/>
              <w:keepNext w:val="0"/>
              <w:spacing w:before="40" w:after="80" w:line="276" w:lineRule="auto"/>
              <w:jc w:val="right"/>
            </w:pPr>
            <w:r w:rsidRPr="008B2F8A">
              <w:t xml:space="preserve"> 9,183</w:t>
            </w:r>
          </w:p>
        </w:tc>
        <w:tc>
          <w:tcPr>
            <w:tcW w:w="0" w:type="auto"/>
            <w:noWrap/>
            <w:vAlign w:val="center"/>
          </w:tcPr>
          <w:p w14:paraId="337A0CE2" w14:textId="77777777" w:rsidR="00E47AB8" w:rsidRPr="008B2F8A" w:rsidRDefault="00E47AB8" w:rsidP="00422306">
            <w:pPr>
              <w:pStyle w:val="TableText0"/>
              <w:keepNext w:val="0"/>
              <w:spacing w:before="40" w:after="80" w:line="276" w:lineRule="auto"/>
              <w:jc w:val="right"/>
            </w:pPr>
            <w:r w:rsidRPr="008B2F8A">
              <w:t xml:space="preserve"> 12,456</w:t>
            </w:r>
          </w:p>
        </w:tc>
        <w:tc>
          <w:tcPr>
            <w:tcW w:w="0" w:type="auto"/>
            <w:noWrap/>
            <w:vAlign w:val="center"/>
          </w:tcPr>
          <w:p w14:paraId="6C4D0F11" w14:textId="77777777" w:rsidR="00E47AB8" w:rsidRPr="008B2F8A" w:rsidRDefault="00E47AB8" w:rsidP="00422306">
            <w:pPr>
              <w:pStyle w:val="TableText0"/>
              <w:keepNext w:val="0"/>
              <w:spacing w:before="40" w:after="80" w:line="276" w:lineRule="auto"/>
              <w:jc w:val="right"/>
            </w:pPr>
            <w:r w:rsidRPr="008B2F8A">
              <w:t xml:space="preserve"> 15,833</w:t>
            </w:r>
          </w:p>
        </w:tc>
        <w:tc>
          <w:tcPr>
            <w:tcW w:w="0" w:type="auto"/>
            <w:noWrap/>
            <w:vAlign w:val="center"/>
          </w:tcPr>
          <w:p w14:paraId="6347FEA1" w14:textId="77777777" w:rsidR="00E47AB8" w:rsidRPr="008B2F8A" w:rsidRDefault="00E47AB8" w:rsidP="00422306">
            <w:pPr>
              <w:pStyle w:val="TableText0"/>
              <w:keepNext w:val="0"/>
              <w:spacing w:before="40" w:after="80" w:line="276" w:lineRule="auto"/>
              <w:jc w:val="right"/>
            </w:pPr>
            <w:r w:rsidRPr="008B2F8A">
              <w:t xml:space="preserve"> 17,577</w:t>
            </w:r>
          </w:p>
        </w:tc>
      </w:tr>
      <w:tr w:rsidR="00E47AB8" w:rsidRPr="008B2F8A" w14:paraId="7CF3EB5F" w14:textId="77777777" w:rsidTr="004E7861">
        <w:tc>
          <w:tcPr>
            <w:tcW w:w="0" w:type="auto"/>
            <w:noWrap/>
            <w:vAlign w:val="bottom"/>
          </w:tcPr>
          <w:p w14:paraId="10886A00" w14:textId="3698B9F8"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5C57485B" w14:textId="77777777" w:rsidR="00E47AB8" w:rsidRPr="008B2F8A" w:rsidRDefault="00E47AB8" w:rsidP="00422306">
            <w:pPr>
              <w:pStyle w:val="TableText0"/>
              <w:keepNext w:val="0"/>
              <w:spacing w:before="40" w:after="80" w:line="276" w:lineRule="auto"/>
              <w:jc w:val="right"/>
            </w:pPr>
            <w:r w:rsidRPr="008B2F8A">
              <w:t xml:space="preserve"> 717 </w:t>
            </w:r>
          </w:p>
        </w:tc>
        <w:tc>
          <w:tcPr>
            <w:tcW w:w="0" w:type="auto"/>
            <w:noWrap/>
          </w:tcPr>
          <w:p w14:paraId="1B7FBA68" w14:textId="77777777" w:rsidR="00E47AB8" w:rsidRPr="008B2F8A" w:rsidRDefault="00E47AB8" w:rsidP="00422306">
            <w:pPr>
              <w:pStyle w:val="TableText0"/>
              <w:keepNext w:val="0"/>
              <w:spacing w:before="40" w:after="80" w:line="276" w:lineRule="auto"/>
              <w:jc w:val="right"/>
            </w:pPr>
            <w:r w:rsidRPr="008B2F8A">
              <w:t xml:space="preserve"> 1,094 </w:t>
            </w:r>
          </w:p>
        </w:tc>
        <w:tc>
          <w:tcPr>
            <w:tcW w:w="0" w:type="auto"/>
            <w:noWrap/>
          </w:tcPr>
          <w:p w14:paraId="0E1ED81D" w14:textId="77777777" w:rsidR="00E47AB8" w:rsidRPr="008B2F8A" w:rsidRDefault="00E47AB8" w:rsidP="00422306">
            <w:pPr>
              <w:pStyle w:val="TableText0"/>
              <w:keepNext w:val="0"/>
              <w:spacing w:before="40" w:after="80" w:line="276" w:lineRule="auto"/>
              <w:jc w:val="right"/>
            </w:pPr>
            <w:r w:rsidRPr="008B2F8A">
              <w:t xml:space="preserve"> 1,484 </w:t>
            </w:r>
          </w:p>
        </w:tc>
        <w:tc>
          <w:tcPr>
            <w:tcW w:w="0" w:type="auto"/>
            <w:noWrap/>
          </w:tcPr>
          <w:p w14:paraId="50558A14" w14:textId="77777777" w:rsidR="00E47AB8" w:rsidRPr="008B2F8A" w:rsidRDefault="00E47AB8" w:rsidP="00422306">
            <w:pPr>
              <w:pStyle w:val="TableText0"/>
              <w:keepNext w:val="0"/>
              <w:spacing w:before="40" w:after="80" w:line="276" w:lineRule="auto"/>
              <w:jc w:val="right"/>
            </w:pPr>
            <w:r w:rsidRPr="008B2F8A">
              <w:t xml:space="preserve"> 1,886 </w:t>
            </w:r>
          </w:p>
        </w:tc>
        <w:tc>
          <w:tcPr>
            <w:tcW w:w="0" w:type="auto"/>
            <w:noWrap/>
          </w:tcPr>
          <w:p w14:paraId="7C9F0E48" w14:textId="77777777" w:rsidR="00E47AB8" w:rsidRPr="008B2F8A" w:rsidRDefault="00E47AB8" w:rsidP="00422306">
            <w:pPr>
              <w:pStyle w:val="TableText0"/>
              <w:keepNext w:val="0"/>
              <w:spacing w:before="40" w:after="80" w:line="276" w:lineRule="auto"/>
              <w:jc w:val="right"/>
            </w:pPr>
            <w:r w:rsidRPr="008B2F8A">
              <w:t xml:space="preserve"> 2,095 </w:t>
            </w:r>
          </w:p>
        </w:tc>
      </w:tr>
      <w:tr w:rsidR="00E47AB8" w:rsidRPr="008B2F8A" w14:paraId="06D35124" w14:textId="77777777" w:rsidTr="004E7861">
        <w:tc>
          <w:tcPr>
            <w:tcW w:w="0" w:type="auto"/>
            <w:noWrap/>
            <w:vAlign w:val="bottom"/>
          </w:tcPr>
          <w:p w14:paraId="3499883C"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vAlign w:val="center"/>
          </w:tcPr>
          <w:p w14:paraId="010C2EDB" w14:textId="77777777" w:rsidR="00E47AB8" w:rsidRPr="008B2F8A" w:rsidRDefault="00E47AB8" w:rsidP="00422306">
            <w:pPr>
              <w:pStyle w:val="TableText0"/>
              <w:keepNext w:val="0"/>
              <w:spacing w:before="40" w:after="80" w:line="276" w:lineRule="auto"/>
              <w:jc w:val="right"/>
            </w:pPr>
            <w:r w:rsidRPr="008B2F8A">
              <w:t xml:space="preserve"> 70</w:t>
            </w:r>
          </w:p>
        </w:tc>
        <w:tc>
          <w:tcPr>
            <w:tcW w:w="0" w:type="auto"/>
            <w:noWrap/>
            <w:vAlign w:val="center"/>
          </w:tcPr>
          <w:p w14:paraId="4B6E3EDB" w14:textId="77777777" w:rsidR="00E47AB8" w:rsidRPr="008B2F8A" w:rsidRDefault="00E47AB8" w:rsidP="00422306">
            <w:pPr>
              <w:pStyle w:val="TableText0"/>
              <w:keepNext w:val="0"/>
              <w:spacing w:before="40" w:after="80" w:line="276" w:lineRule="auto"/>
              <w:jc w:val="right"/>
            </w:pPr>
            <w:r w:rsidRPr="008B2F8A">
              <w:t xml:space="preserve"> 142</w:t>
            </w:r>
          </w:p>
        </w:tc>
        <w:tc>
          <w:tcPr>
            <w:tcW w:w="0" w:type="auto"/>
            <w:noWrap/>
            <w:vAlign w:val="center"/>
          </w:tcPr>
          <w:p w14:paraId="5F6E3358" w14:textId="77777777" w:rsidR="00E47AB8" w:rsidRPr="008B2F8A" w:rsidRDefault="00E47AB8" w:rsidP="00422306">
            <w:pPr>
              <w:pStyle w:val="TableText0"/>
              <w:keepNext w:val="0"/>
              <w:spacing w:before="40" w:after="80" w:line="276" w:lineRule="auto"/>
              <w:jc w:val="right"/>
            </w:pPr>
            <w:r w:rsidRPr="008B2F8A">
              <w:t xml:space="preserve"> 217</w:t>
            </w:r>
          </w:p>
        </w:tc>
        <w:tc>
          <w:tcPr>
            <w:tcW w:w="0" w:type="auto"/>
            <w:noWrap/>
            <w:vAlign w:val="center"/>
          </w:tcPr>
          <w:p w14:paraId="21B4AFD5" w14:textId="77777777" w:rsidR="00E47AB8" w:rsidRPr="008B2F8A" w:rsidRDefault="00E47AB8" w:rsidP="00422306">
            <w:pPr>
              <w:pStyle w:val="TableText0"/>
              <w:keepNext w:val="0"/>
              <w:spacing w:before="40" w:after="80" w:line="276" w:lineRule="auto"/>
              <w:jc w:val="right"/>
            </w:pPr>
            <w:r w:rsidRPr="008B2F8A">
              <w:t xml:space="preserve"> 295</w:t>
            </w:r>
          </w:p>
        </w:tc>
        <w:tc>
          <w:tcPr>
            <w:tcW w:w="0" w:type="auto"/>
            <w:noWrap/>
            <w:vAlign w:val="center"/>
          </w:tcPr>
          <w:p w14:paraId="2BCA3155" w14:textId="77777777" w:rsidR="00E47AB8" w:rsidRPr="008B2F8A" w:rsidRDefault="00E47AB8" w:rsidP="00422306">
            <w:pPr>
              <w:pStyle w:val="TableText0"/>
              <w:keepNext w:val="0"/>
              <w:spacing w:before="40" w:after="80" w:line="276" w:lineRule="auto"/>
              <w:jc w:val="right"/>
            </w:pPr>
            <w:r w:rsidRPr="008B2F8A">
              <w:t xml:space="preserve"> 341</w:t>
            </w:r>
          </w:p>
        </w:tc>
      </w:tr>
    </w:tbl>
    <w:p w14:paraId="6C7E1B75" w14:textId="5ABC0BF6" w:rsidR="00E47AB8" w:rsidRPr="008B2F8A" w:rsidRDefault="00E47AB8" w:rsidP="004E7861">
      <w:pPr>
        <w:pStyle w:val="TableNotesLast"/>
      </w:pPr>
      <w:r w:rsidRPr="008B2F8A">
        <w:t>DCIS = ductal carcinoma in situ; FY = financial year; LCIS = lobular carcinoma in situ.</w:t>
      </w:r>
      <w:r>
        <w:t xml:space="preserve"> </w:t>
      </w:r>
      <w:r w:rsidRPr="008B2F8A">
        <w:t>Note: Rounding has been applied.</w:t>
      </w:r>
    </w:p>
    <w:p w14:paraId="3CF03BFC" w14:textId="7B23CF74" w:rsidR="00E47AB8" w:rsidRPr="008B2F8A" w:rsidRDefault="00E47AB8" w:rsidP="00422306">
      <w:r w:rsidRPr="008B2F8A">
        <w:lastRenderedPageBreak/>
        <w:t xml:space="preserve">The cost of initial breast MRI was calculated by multiplying the number of patients in each population who take up MRI screening by the average benefit per service for MBS item 63464 (breast MRI, initial imaging). The results of the calculations are shown in </w:t>
      </w:r>
      <w:r w:rsidRPr="008B2F8A">
        <w:rPr>
          <w:highlight w:val="yellow"/>
        </w:rPr>
        <w:fldChar w:fldCharType="begin"/>
      </w:r>
      <w:r w:rsidRPr="008B2F8A">
        <w:instrText xml:space="preserve"> REF _Ref376856008 \h </w:instrText>
      </w:r>
      <w:r w:rsidRPr="008B2F8A">
        <w:rPr>
          <w:highlight w:val="yellow"/>
        </w:rPr>
      </w:r>
      <w:r w:rsidRPr="008B2F8A">
        <w:rPr>
          <w:highlight w:val="yellow"/>
        </w:rPr>
        <w:fldChar w:fldCharType="separate"/>
      </w:r>
      <w:r w:rsidR="00B81273" w:rsidRPr="008B2F8A">
        <w:t xml:space="preserve">Table </w:t>
      </w:r>
      <w:r w:rsidR="00B81273">
        <w:rPr>
          <w:noProof/>
        </w:rPr>
        <w:t>E</w:t>
      </w:r>
      <w:r w:rsidR="00B81273" w:rsidRPr="008B2F8A">
        <w:t>.</w:t>
      </w:r>
      <w:r w:rsidR="00B81273">
        <w:rPr>
          <w:noProof/>
        </w:rPr>
        <w:t>13</w:t>
      </w:r>
      <w:r w:rsidRPr="008B2F8A">
        <w:rPr>
          <w:highlight w:val="yellow"/>
        </w:rPr>
        <w:fldChar w:fldCharType="end"/>
      </w:r>
      <w:r w:rsidRPr="008B2F8A">
        <w:t>. The total cost for all populations was estimated to be $7.2 million in 2015, rising to $17.3 million in 2019.</w:t>
      </w:r>
    </w:p>
    <w:p w14:paraId="6739FC59" w14:textId="07A022B8" w:rsidR="00E47AB8" w:rsidRPr="008B2F8A" w:rsidRDefault="00E47AB8" w:rsidP="00422306">
      <w:pPr>
        <w:pStyle w:val="Caption"/>
      </w:pPr>
      <w:bookmarkStart w:id="1345" w:name="_Ref376856008"/>
      <w:bookmarkStart w:id="1346" w:name="_Toc383424644"/>
      <w:r w:rsidRPr="008B2F8A">
        <w:t xml:space="preserve">Table </w:t>
      </w:r>
      <w:fldSimple w:instr=" STYLEREF 1 \s ">
        <w:r w:rsidR="00B81273">
          <w:rPr>
            <w:noProof/>
          </w:rPr>
          <w:t>E</w:t>
        </w:r>
      </w:fldSimple>
      <w:r w:rsidRPr="008B2F8A">
        <w:t>.</w:t>
      </w:r>
      <w:fldSimple w:instr=" SEQ Table \* ARABIC \s 1 ">
        <w:r w:rsidR="00B81273">
          <w:rPr>
            <w:noProof/>
          </w:rPr>
          <w:t>13</w:t>
        </w:r>
      </w:fldSimple>
      <w:bookmarkEnd w:id="1338"/>
      <w:bookmarkEnd w:id="1345"/>
      <w:r w:rsidRPr="008B2F8A">
        <w:tab/>
        <w:t xml:space="preserve">Estimated cost of </w:t>
      </w:r>
      <w:bookmarkEnd w:id="1339"/>
      <w:r w:rsidRPr="008B2F8A">
        <w:t>initial MRI in the requested populations.</w:t>
      </w:r>
      <w:bookmarkEnd w:id="1346"/>
    </w:p>
    <w:tbl>
      <w:tblPr>
        <w:tblStyle w:val="TableGrid"/>
        <w:tblW w:w="9070" w:type="dxa"/>
        <w:tblCellMar>
          <w:left w:w="28" w:type="dxa"/>
          <w:right w:w="28" w:type="dxa"/>
        </w:tblCellMar>
        <w:tblLook w:val="04A0" w:firstRow="1" w:lastRow="0" w:firstColumn="1" w:lastColumn="0" w:noHBand="0" w:noVBand="1"/>
        <w:tblCaption w:val="Estimated cost of initial MRI in the requested populations."/>
      </w:tblPr>
      <w:tblGrid>
        <w:gridCol w:w="3914"/>
        <w:gridCol w:w="970"/>
        <w:gridCol w:w="970"/>
        <w:gridCol w:w="1072"/>
        <w:gridCol w:w="1072"/>
        <w:gridCol w:w="1072"/>
      </w:tblGrid>
      <w:tr w:rsidR="00E47AB8" w:rsidRPr="008B2F8A" w14:paraId="08EB30FD" w14:textId="77777777" w:rsidTr="00422306">
        <w:trPr>
          <w:tblHeader/>
        </w:trPr>
        <w:tc>
          <w:tcPr>
            <w:tcW w:w="0" w:type="auto"/>
            <w:noWrap/>
            <w:hideMark/>
          </w:tcPr>
          <w:p w14:paraId="3692DF50"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3B8DD901"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4BCAC624"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3D20378F"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180032AE"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5AA50CDC"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63C8774C" w14:textId="77777777" w:rsidTr="00422306">
        <w:tc>
          <w:tcPr>
            <w:tcW w:w="0" w:type="auto"/>
            <w:noWrap/>
            <w:vAlign w:val="bottom"/>
            <w:hideMark/>
          </w:tcPr>
          <w:p w14:paraId="41C2FDF3"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70953B46" w14:textId="77777777" w:rsidR="00E47AB8" w:rsidRPr="008B2F8A" w:rsidRDefault="00E47AB8" w:rsidP="00422306">
            <w:pPr>
              <w:pStyle w:val="TableText0"/>
              <w:keepNext w:val="0"/>
              <w:spacing w:before="40" w:after="80" w:line="276" w:lineRule="auto"/>
              <w:jc w:val="right"/>
            </w:pPr>
            <w:r w:rsidRPr="008B2F8A">
              <w:t xml:space="preserve">$2,742,084 </w:t>
            </w:r>
          </w:p>
        </w:tc>
        <w:tc>
          <w:tcPr>
            <w:tcW w:w="0" w:type="auto"/>
            <w:noWrap/>
            <w:hideMark/>
          </w:tcPr>
          <w:p w14:paraId="280FF121" w14:textId="77777777" w:rsidR="00E47AB8" w:rsidRPr="008B2F8A" w:rsidRDefault="00E47AB8" w:rsidP="00422306">
            <w:pPr>
              <w:pStyle w:val="TableText0"/>
              <w:keepNext w:val="0"/>
              <w:spacing w:before="40" w:after="80" w:line="276" w:lineRule="auto"/>
              <w:jc w:val="right"/>
            </w:pPr>
            <w:r w:rsidRPr="008B2F8A">
              <w:t xml:space="preserve">$3,095,593 </w:t>
            </w:r>
          </w:p>
        </w:tc>
        <w:tc>
          <w:tcPr>
            <w:tcW w:w="0" w:type="auto"/>
            <w:noWrap/>
            <w:hideMark/>
          </w:tcPr>
          <w:p w14:paraId="06A24CD8" w14:textId="77777777" w:rsidR="00E47AB8" w:rsidRPr="008B2F8A" w:rsidRDefault="00E47AB8" w:rsidP="00422306">
            <w:pPr>
              <w:pStyle w:val="TableText0"/>
              <w:keepNext w:val="0"/>
              <w:spacing w:before="40" w:after="80" w:line="276" w:lineRule="auto"/>
              <w:jc w:val="right"/>
            </w:pPr>
            <w:r w:rsidRPr="008B2F8A">
              <w:t xml:space="preserve"> $3,449,102 </w:t>
            </w:r>
          </w:p>
        </w:tc>
        <w:tc>
          <w:tcPr>
            <w:tcW w:w="0" w:type="auto"/>
            <w:noWrap/>
            <w:hideMark/>
          </w:tcPr>
          <w:p w14:paraId="1B6AA362" w14:textId="77777777" w:rsidR="00E47AB8" w:rsidRPr="008B2F8A" w:rsidRDefault="00E47AB8" w:rsidP="00422306">
            <w:pPr>
              <w:pStyle w:val="TableText0"/>
              <w:keepNext w:val="0"/>
              <w:spacing w:before="40" w:after="80" w:line="276" w:lineRule="auto"/>
              <w:jc w:val="right"/>
            </w:pPr>
            <w:r w:rsidRPr="008B2F8A">
              <w:t xml:space="preserve"> $3,802,611 </w:t>
            </w:r>
          </w:p>
        </w:tc>
        <w:tc>
          <w:tcPr>
            <w:tcW w:w="0" w:type="auto"/>
            <w:noWrap/>
            <w:hideMark/>
          </w:tcPr>
          <w:p w14:paraId="650AA0D2" w14:textId="77777777" w:rsidR="00E47AB8" w:rsidRPr="008B2F8A" w:rsidRDefault="00E47AB8" w:rsidP="00422306">
            <w:pPr>
              <w:pStyle w:val="TableText0"/>
              <w:keepNext w:val="0"/>
              <w:spacing w:before="40" w:after="80" w:line="276" w:lineRule="auto"/>
              <w:jc w:val="right"/>
            </w:pPr>
            <w:r w:rsidRPr="008B2F8A">
              <w:t xml:space="preserve"> $4,156,120 </w:t>
            </w:r>
          </w:p>
        </w:tc>
      </w:tr>
      <w:tr w:rsidR="00E47AB8" w:rsidRPr="008B2F8A" w14:paraId="795634AD" w14:textId="77777777" w:rsidTr="00422306">
        <w:tc>
          <w:tcPr>
            <w:tcW w:w="0" w:type="auto"/>
            <w:noWrap/>
            <w:vAlign w:val="bottom"/>
          </w:tcPr>
          <w:p w14:paraId="1C9584BD"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2F12103E" w14:textId="77777777" w:rsidR="00E47AB8" w:rsidRPr="008B2F8A" w:rsidRDefault="00E47AB8" w:rsidP="00422306">
            <w:pPr>
              <w:pStyle w:val="TableText0"/>
              <w:keepNext w:val="0"/>
              <w:spacing w:before="40" w:after="80" w:line="276" w:lineRule="auto"/>
              <w:jc w:val="right"/>
            </w:pPr>
            <w:r w:rsidRPr="008B2F8A">
              <w:t xml:space="preserve">$3,937,377 </w:t>
            </w:r>
          </w:p>
        </w:tc>
        <w:tc>
          <w:tcPr>
            <w:tcW w:w="0" w:type="auto"/>
            <w:noWrap/>
          </w:tcPr>
          <w:p w14:paraId="6305DC3C" w14:textId="77777777" w:rsidR="00E47AB8" w:rsidRPr="008B2F8A" w:rsidRDefault="00E47AB8" w:rsidP="00422306">
            <w:pPr>
              <w:pStyle w:val="TableText0"/>
              <w:keepNext w:val="0"/>
              <w:spacing w:before="40" w:after="80" w:line="276" w:lineRule="auto"/>
              <w:jc w:val="right"/>
            </w:pPr>
            <w:r w:rsidRPr="008B2F8A">
              <w:t xml:space="preserve">$6,009,356 </w:t>
            </w:r>
          </w:p>
        </w:tc>
        <w:tc>
          <w:tcPr>
            <w:tcW w:w="0" w:type="auto"/>
            <w:noWrap/>
          </w:tcPr>
          <w:p w14:paraId="72DECF19" w14:textId="77777777" w:rsidR="00E47AB8" w:rsidRPr="008B2F8A" w:rsidRDefault="00E47AB8" w:rsidP="00422306">
            <w:pPr>
              <w:pStyle w:val="TableText0"/>
              <w:keepNext w:val="0"/>
              <w:spacing w:before="40" w:after="80" w:line="276" w:lineRule="auto"/>
              <w:jc w:val="right"/>
            </w:pPr>
            <w:r w:rsidRPr="008B2F8A">
              <w:t xml:space="preserve"> $8,150,949 </w:t>
            </w:r>
          </w:p>
        </w:tc>
        <w:tc>
          <w:tcPr>
            <w:tcW w:w="0" w:type="auto"/>
            <w:noWrap/>
          </w:tcPr>
          <w:p w14:paraId="68BBE219" w14:textId="77777777" w:rsidR="00E47AB8" w:rsidRPr="008B2F8A" w:rsidRDefault="00E47AB8" w:rsidP="00422306">
            <w:pPr>
              <w:pStyle w:val="TableText0"/>
              <w:keepNext w:val="0"/>
              <w:spacing w:before="40" w:after="80" w:line="276" w:lineRule="auto"/>
              <w:jc w:val="right"/>
            </w:pPr>
            <w:r w:rsidRPr="008B2F8A">
              <w:t xml:space="preserve">$10,361,350 </w:t>
            </w:r>
          </w:p>
        </w:tc>
        <w:tc>
          <w:tcPr>
            <w:tcW w:w="0" w:type="auto"/>
            <w:noWrap/>
          </w:tcPr>
          <w:p w14:paraId="0ADDC834" w14:textId="77777777" w:rsidR="00E47AB8" w:rsidRPr="008B2F8A" w:rsidRDefault="00E47AB8" w:rsidP="00422306">
            <w:pPr>
              <w:pStyle w:val="TableText0"/>
              <w:keepNext w:val="0"/>
              <w:spacing w:before="40" w:after="80" w:line="276" w:lineRule="auto"/>
              <w:jc w:val="right"/>
            </w:pPr>
            <w:r w:rsidRPr="008B2F8A">
              <w:t xml:space="preserve">$11,502,500 </w:t>
            </w:r>
          </w:p>
        </w:tc>
      </w:tr>
      <w:tr w:rsidR="00E47AB8" w:rsidRPr="008B2F8A" w14:paraId="76052122" w14:textId="77777777" w:rsidTr="00422306">
        <w:tc>
          <w:tcPr>
            <w:tcW w:w="0" w:type="auto"/>
            <w:noWrap/>
            <w:vAlign w:val="bottom"/>
          </w:tcPr>
          <w:p w14:paraId="7B2FBD1E" w14:textId="2560A6D7"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717713DE" w14:textId="77777777" w:rsidR="00E47AB8" w:rsidRPr="008B2F8A" w:rsidRDefault="00E47AB8" w:rsidP="00422306">
            <w:pPr>
              <w:pStyle w:val="TableText0"/>
              <w:keepNext w:val="0"/>
              <w:spacing w:before="40" w:after="80" w:line="276" w:lineRule="auto"/>
              <w:jc w:val="right"/>
            </w:pPr>
            <w:r w:rsidRPr="008B2F8A">
              <w:t xml:space="preserve"> $469,339 </w:t>
            </w:r>
          </w:p>
        </w:tc>
        <w:tc>
          <w:tcPr>
            <w:tcW w:w="0" w:type="auto"/>
            <w:noWrap/>
          </w:tcPr>
          <w:p w14:paraId="0042221D" w14:textId="77777777" w:rsidR="00E47AB8" w:rsidRPr="008B2F8A" w:rsidRDefault="00E47AB8" w:rsidP="00422306">
            <w:pPr>
              <w:pStyle w:val="TableText0"/>
              <w:keepNext w:val="0"/>
              <w:spacing w:before="40" w:after="80" w:line="276" w:lineRule="auto"/>
              <w:jc w:val="right"/>
            </w:pPr>
            <w:r w:rsidRPr="008B2F8A">
              <w:t xml:space="preserve"> $715,976 </w:t>
            </w:r>
          </w:p>
        </w:tc>
        <w:tc>
          <w:tcPr>
            <w:tcW w:w="0" w:type="auto"/>
            <w:noWrap/>
          </w:tcPr>
          <w:p w14:paraId="04236CC2" w14:textId="77777777" w:rsidR="00E47AB8" w:rsidRPr="008B2F8A" w:rsidRDefault="00E47AB8" w:rsidP="00422306">
            <w:pPr>
              <w:pStyle w:val="TableText0"/>
              <w:keepNext w:val="0"/>
              <w:spacing w:before="40" w:after="80" w:line="276" w:lineRule="auto"/>
              <w:jc w:val="right"/>
            </w:pPr>
            <w:r w:rsidRPr="008B2F8A">
              <w:t xml:space="preserve"> $970,863 </w:t>
            </w:r>
          </w:p>
        </w:tc>
        <w:tc>
          <w:tcPr>
            <w:tcW w:w="0" w:type="auto"/>
            <w:noWrap/>
          </w:tcPr>
          <w:p w14:paraId="5E10071F" w14:textId="77777777" w:rsidR="00E47AB8" w:rsidRPr="008B2F8A" w:rsidRDefault="00E47AB8" w:rsidP="00422306">
            <w:pPr>
              <w:pStyle w:val="TableText0"/>
              <w:keepNext w:val="0"/>
              <w:spacing w:before="40" w:after="80" w:line="276" w:lineRule="auto"/>
              <w:jc w:val="right"/>
            </w:pPr>
            <w:r w:rsidRPr="008B2F8A">
              <w:t xml:space="preserve"> $1,234,210 </w:t>
            </w:r>
          </w:p>
        </w:tc>
        <w:tc>
          <w:tcPr>
            <w:tcW w:w="0" w:type="auto"/>
            <w:noWrap/>
          </w:tcPr>
          <w:p w14:paraId="27EE24C3" w14:textId="77777777" w:rsidR="00E47AB8" w:rsidRPr="008B2F8A" w:rsidRDefault="00E47AB8" w:rsidP="00422306">
            <w:pPr>
              <w:pStyle w:val="TableText0"/>
              <w:keepNext w:val="0"/>
              <w:spacing w:before="40" w:after="80" w:line="276" w:lineRule="auto"/>
              <w:jc w:val="right"/>
            </w:pPr>
            <w:r w:rsidRPr="008B2F8A">
              <w:t xml:space="preserve"> $1,370,669 </w:t>
            </w:r>
          </w:p>
        </w:tc>
      </w:tr>
      <w:tr w:rsidR="00E47AB8" w:rsidRPr="008B2F8A" w14:paraId="21C40F72" w14:textId="77777777" w:rsidTr="00422306">
        <w:tc>
          <w:tcPr>
            <w:tcW w:w="0" w:type="auto"/>
            <w:noWrap/>
            <w:vAlign w:val="bottom"/>
          </w:tcPr>
          <w:p w14:paraId="3DD4FC74"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2EE5C595" w14:textId="77777777" w:rsidR="00E47AB8" w:rsidRPr="008B2F8A" w:rsidRDefault="00E47AB8" w:rsidP="00422306">
            <w:pPr>
              <w:pStyle w:val="TableText0"/>
              <w:keepNext w:val="0"/>
              <w:spacing w:before="40" w:after="80" w:line="276" w:lineRule="auto"/>
              <w:jc w:val="right"/>
            </w:pPr>
            <w:r w:rsidRPr="008B2F8A">
              <w:t xml:space="preserve"> $45,808 </w:t>
            </w:r>
          </w:p>
        </w:tc>
        <w:tc>
          <w:tcPr>
            <w:tcW w:w="0" w:type="auto"/>
            <w:noWrap/>
          </w:tcPr>
          <w:p w14:paraId="3FD9BDFF" w14:textId="77777777" w:rsidR="00E47AB8" w:rsidRPr="008B2F8A" w:rsidRDefault="00E47AB8" w:rsidP="00422306">
            <w:pPr>
              <w:pStyle w:val="TableText0"/>
              <w:keepNext w:val="0"/>
              <w:spacing w:before="40" w:after="80" w:line="276" w:lineRule="auto"/>
              <w:jc w:val="right"/>
            </w:pPr>
            <w:r w:rsidRPr="008B2F8A">
              <w:t xml:space="preserve"> $93,174 </w:t>
            </w:r>
          </w:p>
        </w:tc>
        <w:tc>
          <w:tcPr>
            <w:tcW w:w="0" w:type="auto"/>
            <w:noWrap/>
          </w:tcPr>
          <w:p w14:paraId="1F5AA373" w14:textId="77777777" w:rsidR="00E47AB8" w:rsidRPr="008B2F8A" w:rsidRDefault="00E47AB8" w:rsidP="00422306">
            <w:pPr>
              <w:pStyle w:val="TableText0"/>
              <w:keepNext w:val="0"/>
              <w:spacing w:before="40" w:after="80" w:line="276" w:lineRule="auto"/>
              <w:jc w:val="right"/>
            </w:pPr>
            <w:r w:rsidRPr="008B2F8A">
              <w:t xml:space="preserve"> $142,137 </w:t>
            </w:r>
          </w:p>
        </w:tc>
        <w:tc>
          <w:tcPr>
            <w:tcW w:w="0" w:type="auto"/>
            <w:noWrap/>
          </w:tcPr>
          <w:p w14:paraId="733D3503" w14:textId="77777777" w:rsidR="00E47AB8" w:rsidRPr="008B2F8A" w:rsidRDefault="00E47AB8" w:rsidP="00422306">
            <w:pPr>
              <w:pStyle w:val="TableText0"/>
              <w:keepNext w:val="0"/>
              <w:spacing w:before="40" w:after="80" w:line="276" w:lineRule="auto"/>
              <w:jc w:val="right"/>
            </w:pPr>
            <w:r w:rsidRPr="008B2F8A">
              <w:t xml:space="preserve"> $192,738 </w:t>
            </w:r>
          </w:p>
        </w:tc>
        <w:tc>
          <w:tcPr>
            <w:tcW w:w="0" w:type="auto"/>
            <w:noWrap/>
          </w:tcPr>
          <w:p w14:paraId="0E27A3D0" w14:textId="77777777" w:rsidR="00E47AB8" w:rsidRPr="008B2F8A" w:rsidRDefault="00E47AB8" w:rsidP="00422306">
            <w:pPr>
              <w:pStyle w:val="TableText0"/>
              <w:keepNext w:val="0"/>
              <w:spacing w:before="40" w:after="80" w:line="276" w:lineRule="auto"/>
              <w:jc w:val="right"/>
            </w:pPr>
            <w:r w:rsidRPr="008B2F8A">
              <w:t xml:space="preserve"> $223,316 </w:t>
            </w:r>
          </w:p>
        </w:tc>
      </w:tr>
      <w:tr w:rsidR="00E47AB8" w:rsidRPr="008B2F8A" w14:paraId="7A10785C" w14:textId="77777777" w:rsidTr="00422306">
        <w:tc>
          <w:tcPr>
            <w:tcW w:w="0" w:type="auto"/>
            <w:noWrap/>
            <w:vAlign w:val="bottom"/>
          </w:tcPr>
          <w:p w14:paraId="79915AAF"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5850D659" w14:textId="77777777" w:rsidR="00E47AB8" w:rsidRPr="008B2F8A" w:rsidRDefault="00E47AB8" w:rsidP="00422306">
            <w:pPr>
              <w:pStyle w:val="TableText0"/>
              <w:keepNext w:val="0"/>
              <w:spacing w:before="40" w:after="80" w:line="276" w:lineRule="auto"/>
              <w:jc w:val="right"/>
            </w:pPr>
            <w:r w:rsidRPr="008B2F8A">
              <w:t xml:space="preserve">$7,194,607 </w:t>
            </w:r>
          </w:p>
        </w:tc>
        <w:tc>
          <w:tcPr>
            <w:tcW w:w="0" w:type="auto"/>
            <w:noWrap/>
          </w:tcPr>
          <w:p w14:paraId="303BE807" w14:textId="77777777" w:rsidR="00E47AB8" w:rsidRPr="008B2F8A" w:rsidRDefault="00E47AB8" w:rsidP="00422306">
            <w:pPr>
              <w:pStyle w:val="TableText0"/>
              <w:keepNext w:val="0"/>
              <w:spacing w:before="40" w:after="80" w:line="276" w:lineRule="auto"/>
              <w:jc w:val="right"/>
            </w:pPr>
            <w:r w:rsidRPr="008B2F8A">
              <w:t xml:space="preserve">$9,914,099 </w:t>
            </w:r>
          </w:p>
        </w:tc>
        <w:tc>
          <w:tcPr>
            <w:tcW w:w="0" w:type="auto"/>
            <w:noWrap/>
          </w:tcPr>
          <w:p w14:paraId="05412A44" w14:textId="77777777" w:rsidR="00E47AB8" w:rsidRPr="008B2F8A" w:rsidRDefault="00E47AB8" w:rsidP="00422306">
            <w:pPr>
              <w:pStyle w:val="TableText0"/>
              <w:keepNext w:val="0"/>
              <w:spacing w:before="40" w:after="80" w:line="276" w:lineRule="auto"/>
              <w:jc w:val="right"/>
            </w:pPr>
            <w:r w:rsidRPr="008B2F8A">
              <w:t xml:space="preserve">$12,713,052 </w:t>
            </w:r>
          </w:p>
        </w:tc>
        <w:tc>
          <w:tcPr>
            <w:tcW w:w="0" w:type="auto"/>
            <w:noWrap/>
          </w:tcPr>
          <w:p w14:paraId="2FFF1E63" w14:textId="77777777" w:rsidR="00E47AB8" w:rsidRPr="008B2F8A" w:rsidRDefault="00E47AB8" w:rsidP="00422306">
            <w:pPr>
              <w:pStyle w:val="TableText0"/>
              <w:keepNext w:val="0"/>
              <w:spacing w:before="40" w:after="80" w:line="276" w:lineRule="auto"/>
              <w:jc w:val="right"/>
            </w:pPr>
            <w:r w:rsidRPr="008B2F8A">
              <w:t xml:space="preserve">$15,590,909 </w:t>
            </w:r>
          </w:p>
        </w:tc>
        <w:tc>
          <w:tcPr>
            <w:tcW w:w="0" w:type="auto"/>
            <w:noWrap/>
          </w:tcPr>
          <w:p w14:paraId="693D91D5" w14:textId="77777777" w:rsidR="00E47AB8" w:rsidRPr="008B2F8A" w:rsidRDefault="00E47AB8" w:rsidP="00422306">
            <w:pPr>
              <w:pStyle w:val="TableText0"/>
              <w:keepNext w:val="0"/>
              <w:spacing w:before="40" w:after="80" w:line="276" w:lineRule="auto"/>
              <w:jc w:val="right"/>
            </w:pPr>
            <w:r w:rsidRPr="008B2F8A">
              <w:t xml:space="preserve">$17,252,606 </w:t>
            </w:r>
          </w:p>
        </w:tc>
      </w:tr>
    </w:tbl>
    <w:p w14:paraId="73677DE0" w14:textId="24589BAC" w:rsidR="00E47AB8"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7658D09A" w14:textId="77777777" w:rsidR="00F56FD1" w:rsidRPr="008B2F8A" w:rsidRDefault="00F56FD1" w:rsidP="00F56FD1">
      <w:pPr>
        <w:pStyle w:val="TableNotesFirst"/>
      </w:pPr>
    </w:p>
    <w:p w14:paraId="6454E752" w14:textId="77777777" w:rsidR="00E47AB8" w:rsidRPr="008B2F8A" w:rsidRDefault="00E47AB8" w:rsidP="00422306">
      <w:pPr>
        <w:pStyle w:val="Heading4"/>
      </w:pPr>
      <w:r w:rsidRPr="008B2F8A">
        <w:t>Follow-up breast MRI</w:t>
      </w:r>
    </w:p>
    <w:p w14:paraId="283B12D3" w14:textId="520955C7" w:rsidR="00E47AB8" w:rsidRPr="008B2F8A" w:rsidRDefault="00E47AB8" w:rsidP="00422306">
      <w:r w:rsidRPr="008B2F8A">
        <w:t xml:space="preserve">The estimated number of women in each of the populations who have a follow-up breast MRI each year the first 5 years of listing is shown in </w:t>
      </w:r>
      <w:r w:rsidRPr="008B2F8A">
        <w:fldChar w:fldCharType="begin"/>
      </w:r>
      <w:r w:rsidRPr="008B2F8A">
        <w:instrText xml:space="preserve"> REF _Ref376856219 \h </w:instrText>
      </w:r>
      <w:r w:rsidRPr="008B2F8A">
        <w:fldChar w:fldCharType="separate"/>
      </w:r>
      <w:r w:rsidR="00B81273" w:rsidRPr="008B2F8A">
        <w:t xml:space="preserve">Table </w:t>
      </w:r>
      <w:r w:rsidR="00B81273">
        <w:rPr>
          <w:noProof/>
        </w:rPr>
        <w:t>E</w:t>
      </w:r>
      <w:r w:rsidR="00B81273" w:rsidRPr="008B2F8A">
        <w:t>.</w:t>
      </w:r>
      <w:r w:rsidR="00B81273">
        <w:rPr>
          <w:noProof/>
        </w:rPr>
        <w:t>14</w:t>
      </w:r>
      <w:r w:rsidRPr="008B2F8A">
        <w:fldChar w:fldCharType="end"/>
      </w:r>
      <w:r w:rsidRPr="008B2F8A">
        <w:t xml:space="preserve">. Details of how patient numbers were estimated </w:t>
      </w:r>
      <w:r>
        <w:t>are explained in</w:t>
      </w:r>
      <w:r w:rsidRPr="008B2F8A">
        <w:t xml:space="preserve"> Section </w:t>
      </w:r>
      <w:r w:rsidRPr="008B2F8A">
        <w:fldChar w:fldCharType="begin"/>
      </w:r>
      <w:r w:rsidRPr="008B2F8A">
        <w:instrText xml:space="preserve"> REF _Ref376855502 \r \h </w:instrText>
      </w:r>
      <w:r w:rsidRPr="008B2F8A">
        <w:fldChar w:fldCharType="separate"/>
      </w:r>
      <w:r w:rsidR="00B81273">
        <w:t>E.2.1</w:t>
      </w:r>
      <w:r w:rsidRPr="008B2F8A">
        <w:fldChar w:fldCharType="end"/>
      </w:r>
      <w:r w:rsidRPr="008B2F8A">
        <w:t>.</w:t>
      </w:r>
    </w:p>
    <w:p w14:paraId="7D4E00EA" w14:textId="77777777" w:rsidR="00E47AB8" w:rsidRPr="008B2F8A" w:rsidRDefault="00E47AB8" w:rsidP="00422306">
      <w:pPr>
        <w:pStyle w:val="Caption"/>
      </w:pPr>
      <w:bookmarkStart w:id="1347" w:name="_Ref376856219"/>
      <w:bookmarkStart w:id="1348" w:name="_Toc383424645"/>
      <w:r w:rsidRPr="008B2F8A">
        <w:t xml:space="preserve">Table </w:t>
      </w:r>
      <w:fldSimple w:instr=" STYLEREF 1 \s ">
        <w:r w:rsidR="00B81273">
          <w:rPr>
            <w:noProof/>
          </w:rPr>
          <w:t>E</w:t>
        </w:r>
      </w:fldSimple>
      <w:r w:rsidRPr="008B2F8A">
        <w:t>.</w:t>
      </w:r>
      <w:fldSimple w:instr=" SEQ Table \* ARABIC \s 1 ">
        <w:r w:rsidR="00B81273">
          <w:rPr>
            <w:noProof/>
          </w:rPr>
          <w:t>14</w:t>
        </w:r>
      </w:fldSimple>
      <w:bookmarkEnd w:id="1347"/>
      <w:r w:rsidRPr="008B2F8A">
        <w:tab/>
        <w:t>Number of women in the four populations who have a follow-up breast MRI.</w:t>
      </w:r>
      <w:bookmarkEnd w:id="1348"/>
    </w:p>
    <w:tbl>
      <w:tblPr>
        <w:tblStyle w:val="TableGrid"/>
        <w:tblW w:w="9070" w:type="dxa"/>
        <w:tblCellMar>
          <w:left w:w="28" w:type="dxa"/>
          <w:right w:w="28" w:type="dxa"/>
        </w:tblCellMar>
        <w:tblLook w:val="04A0" w:firstRow="1" w:lastRow="0" w:firstColumn="1" w:lastColumn="0" w:noHBand="0" w:noVBand="1"/>
        <w:tblCaption w:val="Number of women in the four populations who have a follow-up breast MRI."/>
      </w:tblPr>
      <w:tblGrid>
        <w:gridCol w:w="4635"/>
        <w:gridCol w:w="887"/>
        <w:gridCol w:w="887"/>
        <w:gridCol w:w="887"/>
        <w:gridCol w:w="887"/>
        <w:gridCol w:w="887"/>
      </w:tblGrid>
      <w:tr w:rsidR="00E47AB8" w:rsidRPr="008B2F8A" w14:paraId="2F7EC14E" w14:textId="77777777" w:rsidTr="00422306">
        <w:trPr>
          <w:tblHeader/>
        </w:trPr>
        <w:tc>
          <w:tcPr>
            <w:tcW w:w="0" w:type="auto"/>
            <w:noWrap/>
            <w:hideMark/>
          </w:tcPr>
          <w:p w14:paraId="3486102A"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1626D82D"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6B4003AC"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11D9C8B6"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6AF59EE5"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6BDD9A8B"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33668EE0" w14:textId="77777777" w:rsidTr="00422306">
        <w:tc>
          <w:tcPr>
            <w:tcW w:w="0" w:type="auto"/>
            <w:noWrap/>
            <w:vAlign w:val="bottom"/>
            <w:hideMark/>
          </w:tcPr>
          <w:p w14:paraId="2CCA9C16"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73D2CE28" w14:textId="77777777" w:rsidR="00E47AB8" w:rsidRPr="008B2F8A" w:rsidRDefault="00E47AB8" w:rsidP="00422306">
            <w:pPr>
              <w:pStyle w:val="TableText0"/>
              <w:keepNext w:val="0"/>
              <w:spacing w:before="40" w:after="80" w:line="276" w:lineRule="auto"/>
              <w:jc w:val="right"/>
            </w:pPr>
            <w:r w:rsidRPr="008B2F8A">
              <w:t xml:space="preserve"> 312 </w:t>
            </w:r>
          </w:p>
        </w:tc>
        <w:tc>
          <w:tcPr>
            <w:tcW w:w="0" w:type="auto"/>
            <w:noWrap/>
            <w:hideMark/>
          </w:tcPr>
          <w:p w14:paraId="793BD062" w14:textId="77777777" w:rsidR="00E47AB8" w:rsidRPr="008B2F8A" w:rsidRDefault="00E47AB8" w:rsidP="00422306">
            <w:pPr>
              <w:pStyle w:val="TableText0"/>
              <w:keepNext w:val="0"/>
              <w:spacing w:before="40" w:after="80" w:line="276" w:lineRule="auto"/>
              <w:jc w:val="right"/>
            </w:pPr>
            <w:r w:rsidRPr="008B2F8A">
              <w:t xml:space="preserve"> 352 </w:t>
            </w:r>
          </w:p>
        </w:tc>
        <w:tc>
          <w:tcPr>
            <w:tcW w:w="0" w:type="auto"/>
            <w:noWrap/>
            <w:hideMark/>
          </w:tcPr>
          <w:p w14:paraId="06B6498C" w14:textId="77777777" w:rsidR="00E47AB8" w:rsidRPr="008B2F8A" w:rsidRDefault="00E47AB8" w:rsidP="00422306">
            <w:pPr>
              <w:pStyle w:val="TableText0"/>
              <w:keepNext w:val="0"/>
              <w:spacing w:before="40" w:after="80" w:line="276" w:lineRule="auto"/>
              <w:jc w:val="right"/>
            </w:pPr>
            <w:r w:rsidRPr="008B2F8A">
              <w:t xml:space="preserve"> 392 </w:t>
            </w:r>
          </w:p>
        </w:tc>
        <w:tc>
          <w:tcPr>
            <w:tcW w:w="0" w:type="auto"/>
            <w:noWrap/>
            <w:hideMark/>
          </w:tcPr>
          <w:p w14:paraId="1A3042C6" w14:textId="77777777" w:rsidR="00E47AB8" w:rsidRPr="008B2F8A" w:rsidRDefault="00E47AB8" w:rsidP="00422306">
            <w:pPr>
              <w:pStyle w:val="TableText0"/>
              <w:keepNext w:val="0"/>
              <w:spacing w:before="40" w:after="80" w:line="276" w:lineRule="auto"/>
              <w:jc w:val="right"/>
            </w:pPr>
            <w:r w:rsidRPr="008B2F8A">
              <w:t xml:space="preserve"> 432 </w:t>
            </w:r>
          </w:p>
        </w:tc>
        <w:tc>
          <w:tcPr>
            <w:tcW w:w="0" w:type="auto"/>
            <w:noWrap/>
            <w:hideMark/>
          </w:tcPr>
          <w:p w14:paraId="487E6146" w14:textId="77777777" w:rsidR="00E47AB8" w:rsidRPr="008B2F8A" w:rsidRDefault="00E47AB8" w:rsidP="00422306">
            <w:pPr>
              <w:pStyle w:val="TableText0"/>
              <w:keepNext w:val="0"/>
              <w:spacing w:before="40" w:after="80" w:line="276" w:lineRule="auto"/>
              <w:jc w:val="right"/>
            </w:pPr>
            <w:r w:rsidRPr="008B2F8A">
              <w:t xml:space="preserve"> 473 </w:t>
            </w:r>
          </w:p>
        </w:tc>
      </w:tr>
      <w:tr w:rsidR="00E47AB8" w:rsidRPr="008B2F8A" w14:paraId="44CEEEA0" w14:textId="77777777" w:rsidTr="00422306">
        <w:tc>
          <w:tcPr>
            <w:tcW w:w="0" w:type="auto"/>
            <w:noWrap/>
            <w:vAlign w:val="bottom"/>
          </w:tcPr>
          <w:p w14:paraId="0083F60E"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vAlign w:val="center"/>
          </w:tcPr>
          <w:p w14:paraId="61831FEC" w14:textId="77777777" w:rsidR="00E47AB8" w:rsidRPr="008B2F8A" w:rsidRDefault="00E47AB8" w:rsidP="00422306">
            <w:pPr>
              <w:pStyle w:val="TableText0"/>
              <w:keepNext w:val="0"/>
              <w:spacing w:before="40" w:after="80" w:line="276" w:lineRule="auto"/>
              <w:jc w:val="right"/>
            </w:pPr>
            <w:r w:rsidRPr="008B2F8A">
              <w:t xml:space="preserve"> 448 </w:t>
            </w:r>
          </w:p>
        </w:tc>
        <w:tc>
          <w:tcPr>
            <w:tcW w:w="0" w:type="auto"/>
            <w:noWrap/>
            <w:vAlign w:val="center"/>
          </w:tcPr>
          <w:p w14:paraId="7E6C7A59" w14:textId="77777777" w:rsidR="00E47AB8" w:rsidRPr="008B2F8A" w:rsidRDefault="00E47AB8" w:rsidP="00422306">
            <w:pPr>
              <w:pStyle w:val="TableText0"/>
              <w:keepNext w:val="0"/>
              <w:spacing w:before="40" w:after="80" w:line="276" w:lineRule="auto"/>
              <w:jc w:val="right"/>
            </w:pPr>
            <w:r w:rsidRPr="008B2F8A">
              <w:t xml:space="preserve"> 683 </w:t>
            </w:r>
          </w:p>
        </w:tc>
        <w:tc>
          <w:tcPr>
            <w:tcW w:w="0" w:type="auto"/>
            <w:noWrap/>
            <w:vAlign w:val="center"/>
          </w:tcPr>
          <w:p w14:paraId="229E96EE" w14:textId="77777777" w:rsidR="00E47AB8" w:rsidRPr="008B2F8A" w:rsidRDefault="00E47AB8" w:rsidP="00422306">
            <w:pPr>
              <w:pStyle w:val="TableText0"/>
              <w:keepNext w:val="0"/>
              <w:spacing w:before="40" w:after="80" w:line="276" w:lineRule="auto"/>
              <w:jc w:val="right"/>
            </w:pPr>
            <w:r w:rsidRPr="008B2F8A">
              <w:t xml:space="preserve"> 927 </w:t>
            </w:r>
          </w:p>
        </w:tc>
        <w:tc>
          <w:tcPr>
            <w:tcW w:w="0" w:type="auto"/>
            <w:noWrap/>
            <w:vAlign w:val="center"/>
          </w:tcPr>
          <w:p w14:paraId="3910DFD5" w14:textId="77777777" w:rsidR="00E47AB8" w:rsidRPr="008B2F8A" w:rsidRDefault="00E47AB8" w:rsidP="00422306">
            <w:pPr>
              <w:pStyle w:val="TableText0"/>
              <w:keepNext w:val="0"/>
              <w:spacing w:before="40" w:after="80" w:line="276" w:lineRule="auto"/>
              <w:jc w:val="right"/>
            </w:pPr>
            <w:r w:rsidRPr="008B2F8A">
              <w:t xml:space="preserve"> 1,178 </w:t>
            </w:r>
          </w:p>
        </w:tc>
        <w:tc>
          <w:tcPr>
            <w:tcW w:w="0" w:type="auto"/>
            <w:noWrap/>
            <w:vAlign w:val="center"/>
          </w:tcPr>
          <w:p w14:paraId="5767D122" w14:textId="77777777" w:rsidR="00E47AB8" w:rsidRPr="008B2F8A" w:rsidRDefault="00E47AB8" w:rsidP="00422306">
            <w:pPr>
              <w:pStyle w:val="TableText0"/>
              <w:keepNext w:val="0"/>
              <w:spacing w:before="40" w:after="80" w:line="276" w:lineRule="auto"/>
              <w:jc w:val="right"/>
            </w:pPr>
            <w:r w:rsidRPr="008B2F8A">
              <w:t xml:space="preserve"> 1,308 </w:t>
            </w:r>
          </w:p>
        </w:tc>
      </w:tr>
      <w:tr w:rsidR="00E47AB8" w:rsidRPr="008B2F8A" w14:paraId="2DE5C196" w14:textId="77777777" w:rsidTr="00422306">
        <w:tc>
          <w:tcPr>
            <w:tcW w:w="0" w:type="auto"/>
            <w:noWrap/>
            <w:vAlign w:val="bottom"/>
          </w:tcPr>
          <w:p w14:paraId="51A551D5" w14:textId="4B2C9DB1"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4E412CD3" w14:textId="77777777" w:rsidR="00E47AB8" w:rsidRPr="008B2F8A" w:rsidRDefault="00E47AB8" w:rsidP="00422306">
            <w:pPr>
              <w:pStyle w:val="TableText0"/>
              <w:keepNext w:val="0"/>
              <w:spacing w:before="40" w:after="80" w:line="276" w:lineRule="auto"/>
              <w:jc w:val="right"/>
            </w:pPr>
            <w:r w:rsidRPr="008B2F8A">
              <w:t xml:space="preserve"> 53 </w:t>
            </w:r>
          </w:p>
        </w:tc>
        <w:tc>
          <w:tcPr>
            <w:tcW w:w="0" w:type="auto"/>
            <w:noWrap/>
          </w:tcPr>
          <w:p w14:paraId="35616954" w14:textId="77777777" w:rsidR="00E47AB8" w:rsidRPr="008B2F8A" w:rsidRDefault="00E47AB8" w:rsidP="00422306">
            <w:pPr>
              <w:pStyle w:val="TableText0"/>
              <w:keepNext w:val="0"/>
              <w:spacing w:before="40" w:after="80" w:line="276" w:lineRule="auto"/>
              <w:jc w:val="right"/>
            </w:pPr>
            <w:r w:rsidRPr="008B2F8A">
              <w:t xml:space="preserve"> 81 </w:t>
            </w:r>
          </w:p>
        </w:tc>
        <w:tc>
          <w:tcPr>
            <w:tcW w:w="0" w:type="auto"/>
            <w:noWrap/>
          </w:tcPr>
          <w:p w14:paraId="75128AB6" w14:textId="77777777" w:rsidR="00E47AB8" w:rsidRPr="008B2F8A" w:rsidRDefault="00E47AB8" w:rsidP="00422306">
            <w:pPr>
              <w:pStyle w:val="TableText0"/>
              <w:keepNext w:val="0"/>
              <w:spacing w:before="40" w:after="80" w:line="276" w:lineRule="auto"/>
              <w:jc w:val="right"/>
            </w:pPr>
            <w:r w:rsidRPr="008B2F8A">
              <w:t xml:space="preserve"> 110 </w:t>
            </w:r>
          </w:p>
        </w:tc>
        <w:tc>
          <w:tcPr>
            <w:tcW w:w="0" w:type="auto"/>
            <w:noWrap/>
          </w:tcPr>
          <w:p w14:paraId="63606818" w14:textId="77777777" w:rsidR="00E47AB8" w:rsidRPr="008B2F8A" w:rsidRDefault="00E47AB8" w:rsidP="00422306">
            <w:pPr>
              <w:pStyle w:val="TableText0"/>
              <w:keepNext w:val="0"/>
              <w:spacing w:before="40" w:after="80" w:line="276" w:lineRule="auto"/>
              <w:jc w:val="right"/>
            </w:pPr>
            <w:r w:rsidRPr="008B2F8A">
              <w:t xml:space="preserve"> 140 </w:t>
            </w:r>
          </w:p>
        </w:tc>
        <w:tc>
          <w:tcPr>
            <w:tcW w:w="0" w:type="auto"/>
            <w:noWrap/>
          </w:tcPr>
          <w:p w14:paraId="048643DA" w14:textId="77777777" w:rsidR="00E47AB8" w:rsidRPr="008B2F8A" w:rsidRDefault="00E47AB8" w:rsidP="00422306">
            <w:pPr>
              <w:pStyle w:val="TableText0"/>
              <w:keepNext w:val="0"/>
              <w:spacing w:before="40" w:after="80" w:line="276" w:lineRule="auto"/>
              <w:jc w:val="right"/>
            </w:pPr>
            <w:r w:rsidRPr="008B2F8A">
              <w:t xml:space="preserve"> 156 </w:t>
            </w:r>
          </w:p>
        </w:tc>
      </w:tr>
      <w:tr w:rsidR="00E47AB8" w:rsidRPr="008B2F8A" w14:paraId="01948F4B" w14:textId="77777777" w:rsidTr="00422306">
        <w:tc>
          <w:tcPr>
            <w:tcW w:w="0" w:type="auto"/>
            <w:noWrap/>
            <w:vAlign w:val="bottom"/>
          </w:tcPr>
          <w:p w14:paraId="62406497"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vAlign w:val="center"/>
          </w:tcPr>
          <w:p w14:paraId="5B5FF189" w14:textId="77777777" w:rsidR="00E47AB8" w:rsidRPr="008B2F8A" w:rsidRDefault="00E47AB8" w:rsidP="00422306">
            <w:pPr>
              <w:pStyle w:val="TableText0"/>
              <w:keepNext w:val="0"/>
              <w:spacing w:before="40" w:after="80" w:line="276" w:lineRule="auto"/>
              <w:jc w:val="right"/>
            </w:pPr>
            <w:r w:rsidRPr="008B2F8A">
              <w:t xml:space="preserve"> 5 </w:t>
            </w:r>
          </w:p>
        </w:tc>
        <w:tc>
          <w:tcPr>
            <w:tcW w:w="0" w:type="auto"/>
            <w:noWrap/>
            <w:vAlign w:val="center"/>
          </w:tcPr>
          <w:p w14:paraId="0AC1F834" w14:textId="77777777" w:rsidR="00E47AB8" w:rsidRPr="008B2F8A" w:rsidRDefault="00E47AB8" w:rsidP="00422306">
            <w:pPr>
              <w:pStyle w:val="TableText0"/>
              <w:keepNext w:val="0"/>
              <w:spacing w:before="40" w:after="80" w:line="276" w:lineRule="auto"/>
              <w:jc w:val="right"/>
            </w:pPr>
            <w:r w:rsidRPr="008B2F8A">
              <w:t xml:space="preserve"> 11 </w:t>
            </w:r>
          </w:p>
        </w:tc>
        <w:tc>
          <w:tcPr>
            <w:tcW w:w="0" w:type="auto"/>
            <w:noWrap/>
            <w:vAlign w:val="center"/>
          </w:tcPr>
          <w:p w14:paraId="4E5B97CA" w14:textId="77777777" w:rsidR="00E47AB8" w:rsidRPr="008B2F8A" w:rsidRDefault="00E47AB8" w:rsidP="00422306">
            <w:pPr>
              <w:pStyle w:val="TableText0"/>
              <w:keepNext w:val="0"/>
              <w:spacing w:before="40" w:after="80" w:line="276" w:lineRule="auto"/>
              <w:jc w:val="right"/>
            </w:pPr>
            <w:r w:rsidRPr="008B2F8A">
              <w:t xml:space="preserve"> 16 </w:t>
            </w:r>
          </w:p>
        </w:tc>
        <w:tc>
          <w:tcPr>
            <w:tcW w:w="0" w:type="auto"/>
            <w:noWrap/>
            <w:vAlign w:val="center"/>
          </w:tcPr>
          <w:p w14:paraId="2ADB035D" w14:textId="77777777" w:rsidR="00E47AB8" w:rsidRPr="008B2F8A" w:rsidRDefault="00E47AB8" w:rsidP="00422306">
            <w:pPr>
              <w:pStyle w:val="TableText0"/>
              <w:keepNext w:val="0"/>
              <w:spacing w:before="40" w:after="80" w:line="276" w:lineRule="auto"/>
              <w:jc w:val="right"/>
            </w:pPr>
            <w:r w:rsidRPr="008B2F8A">
              <w:t xml:space="preserve"> 22 </w:t>
            </w:r>
          </w:p>
        </w:tc>
        <w:tc>
          <w:tcPr>
            <w:tcW w:w="0" w:type="auto"/>
            <w:noWrap/>
            <w:vAlign w:val="center"/>
          </w:tcPr>
          <w:p w14:paraId="2F1CDE9A" w14:textId="77777777" w:rsidR="00E47AB8" w:rsidRPr="008B2F8A" w:rsidRDefault="00E47AB8" w:rsidP="00422306">
            <w:pPr>
              <w:pStyle w:val="TableText0"/>
              <w:keepNext w:val="0"/>
              <w:spacing w:before="40" w:after="80" w:line="276" w:lineRule="auto"/>
              <w:jc w:val="right"/>
            </w:pPr>
            <w:r w:rsidRPr="008B2F8A">
              <w:t xml:space="preserve"> 25 </w:t>
            </w:r>
          </w:p>
        </w:tc>
      </w:tr>
    </w:tbl>
    <w:p w14:paraId="1C0E2941" w14:textId="765B3214" w:rsidR="00E47AB8"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239D25A6" w14:textId="77777777" w:rsidR="00F56FD1" w:rsidRPr="008B2F8A" w:rsidRDefault="00F56FD1" w:rsidP="00F56FD1">
      <w:pPr>
        <w:pStyle w:val="TableNotesFirst"/>
      </w:pPr>
    </w:p>
    <w:p w14:paraId="665165D2" w14:textId="77777777" w:rsidR="00E47AB8" w:rsidRPr="008B2F8A" w:rsidRDefault="00E47AB8" w:rsidP="00422306">
      <w:pPr>
        <w:spacing w:after="240"/>
        <w:rPr>
          <w:sz w:val="24"/>
          <w:szCs w:val="24"/>
        </w:rPr>
      </w:pPr>
      <w:r w:rsidRPr="008B2F8A">
        <w:t xml:space="preserve">The cost of follow-up breast MRI was calculated by multiplying the number of patients in each population who have follow-up MRI by the average benefit per service for MBS item 63467 (breast MRI, follow-up imaging). The results of the calculations are shown in </w:t>
      </w:r>
      <w:r w:rsidRPr="008B2F8A">
        <w:rPr>
          <w:highlight w:val="yellow"/>
        </w:rPr>
        <w:fldChar w:fldCharType="begin"/>
      </w:r>
      <w:r w:rsidRPr="008B2F8A">
        <w:instrText xml:space="preserve"> REF _Ref376856266 \h </w:instrText>
      </w:r>
      <w:r w:rsidRPr="008B2F8A">
        <w:rPr>
          <w:highlight w:val="yellow"/>
        </w:rPr>
      </w:r>
      <w:r w:rsidRPr="008B2F8A">
        <w:rPr>
          <w:highlight w:val="yellow"/>
        </w:rPr>
        <w:fldChar w:fldCharType="separate"/>
      </w:r>
      <w:r w:rsidR="00B81273" w:rsidRPr="008B2F8A">
        <w:t xml:space="preserve">Table </w:t>
      </w:r>
      <w:r w:rsidR="00B81273">
        <w:rPr>
          <w:noProof/>
        </w:rPr>
        <w:t>E</w:t>
      </w:r>
      <w:r w:rsidR="00B81273" w:rsidRPr="008B2F8A">
        <w:t>.</w:t>
      </w:r>
      <w:r w:rsidR="00B81273">
        <w:rPr>
          <w:noProof/>
        </w:rPr>
        <w:t>15</w:t>
      </w:r>
      <w:r w:rsidRPr="008B2F8A">
        <w:rPr>
          <w:highlight w:val="yellow"/>
        </w:rPr>
        <w:fldChar w:fldCharType="end"/>
      </w:r>
      <w:r w:rsidRPr="008B2F8A">
        <w:t>. The total cost for all populations was estimated to be $0.5 million in 2015, rising to $1.3 million in 2019.</w:t>
      </w:r>
    </w:p>
    <w:p w14:paraId="5BBC26DE" w14:textId="0A962202" w:rsidR="00E47AB8" w:rsidRPr="008B2F8A" w:rsidRDefault="00E47AB8" w:rsidP="00422306">
      <w:pPr>
        <w:pStyle w:val="Caption"/>
      </w:pPr>
      <w:bookmarkStart w:id="1349" w:name="_Ref376856266"/>
      <w:bookmarkStart w:id="1350" w:name="_Toc383424646"/>
      <w:r w:rsidRPr="008B2F8A">
        <w:t xml:space="preserve">Table </w:t>
      </w:r>
      <w:fldSimple w:instr=" STYLEREF 1 \s ">
        <w:r w:rsidR="00B81273">
          <w:rPr>
            <w:noProof/>
          </w:rPr>
          <w:t>E</w:t>
        </w:r>
      </w:fldSimple>
      <w:r w:rsidRPr="008B2F8A">
        <w:t>.</w:t>
      </w:r>
      <w:fldSimple w:instr=" SEQ Table \* ARABIC \s 1 ">
        <w:r w:rsidR="00B81273">
          <w:rPr>
            <w:noProof/>
          </w:rPr>
          <w:t>15</w:t>
        </w:r>
      </w:fldSimple>
      <w:bookmarkEnd w:id="1349"/>
      <w:r w:rsidRPr="008B2F8A">
        <w:tab/>
        <w:t>Estimated cost of follow-up MRI in the requested populations.</w:t>
      </w:r>
      <w:bookmarkEnd w:id="1350"/>
    </w:p>
    <w:tbl>
      <w:tblPr>
        <w:tblStyle w:val="TableGrid"/>
        <w:tblW w:w="9070" w:type="dxa"/>
        <w:tblCellMar>
          <w:left w:w="28" w:type="dxa"/>
          <w:right w:w="28" w:type="dxa"/>
        </w:tblCellMar>
        <w:tblLook w:val="04A0" w:firstRow="1" w:lastRow="0" w:firstColumn="1" w:lastColumn="0" w:noHBand="0" w:noVBand="1"/>
        <w:tblCaption w:val="Estimated cost of follow-up MRI in the requested populations."/>
      </w:tblPr>
      <w:tblGrid>
        <w:gridCol w:w="4145"/>
        <w:gridCol w:w="921"/>
        <w:gridCol w:w="921"/>
        <w:gridCol w:w="921"/>
        <w:gridCol w:w="1081"/>
        <w:gridCol w:w="1081"/>
      </w:tblGrid>
      <w:tr w:rsidR="00E47AB8" w:rsidRPr="008B2F8A" w14:paraId="1B08D270" w14:textId="77777777" w:rsidTr="00422306">
        <w:trPr>
          <w:tblHeader/>
        </w:trPr>
        <w:tc>
          <w:tcPr>
            <w:tcW w:w="0" w:type="auto"/>
            <w:noWrap/>
            <w:hideMark/>
          </w:tcPr>
          <w:p w14:paraId="5C2BFCF8"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1E94ACA2"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48AF83F7"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10666EA7"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44AFC0ED"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25893025"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416DA320" w14:textId="77777777" w:rsidTr="00422306">
        <w:tc>
          <w:tcPr>
            <w:tcW w:w="0" w:type="auto"/>
            <w:noWrap/>
            <w:vAlign w:val="bottom"/>
            <w:hideMark/>
          </w:tcPr>
          <w:p w14:paraId="3C7DC1BE"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3F7E728F" w14:textId="77777777" w:rsidR="00E47AB8" w:rsidRPr="008B2F8A" w:rsidRDefault="00E47AB8" w:rsidP="00422306">
            <w:pPr>
              <w:pStyle w:val="TableText0"/>
              <w:keepNext w:val="0"/>
              <w:spacing w:before="40" w:after="80" w:line="276" w:lineRule="auto"/>
              <w:jc w:val="right"/>
            </w:pPr>
            <w:r w:rsidRPr="008B2F8A">
              <w:t xml:space="preserve"> $205,286 </w:t>
            </w:r>
          </w:p>
        </w:tc>
        <w:tc>
          <w:tcPr>
            <w:tcW w:w="0" w:type="auto"/>
            <w:noWrap/>
            <w:hideMark/>
          </w:tcPr>
          <w:p w14:paraId="70FDBE4C" w14:textId="77777777" w:rsidR="00E47AB8" w:rsidRPr="008B2F8A" w:rsidRDefault="00E47AB8" w:rsidP="00422306">
            <w:pPr>
              <w:pStyle w:val="TableText0"/>
              <w:keepNext w:val="0"/>
              <w:spacing w:before="40" w:after="80" w:line="276" w:lineRule="auto"/>
              <w:jc w:val="right"/>
            </w:pPr>
            <w:r w:rsidRPr="008B2F8A">
              <w:t xml:space="preserve"> $231,751 </w:t>
            </w:r>
          </w:p>
        </w:tc>
        <w:tc>
          <w:tcPr>
            <w:tcW w:w="0" w:type="auto"/>
            <w:noWrap/>
            <w:hideMark/>
          </w:tcPr>
          <w:p w14:paraId="517A6E75" w14:textId="77777777" w:rsidR="00E47AB8" w:rsidRPr="008B2F8A" w:rsidRDefault="00E47AB8" w:rsidP="00422306">
            <w:pPr>
              <w:pStyle w:val="TableText0"/>
              <w:keepNext w:val="0"/>
              <w:spacing w:before="40" w:after="80" w:line="276" w:lineRule="auto"/>
              <w:jc w:val="right"/>
            </w:pPr>
            <w:r w:rsidRPr="008B2F8A">
              <w:t xml:space="preserve"> $258,217 </w:t>
            </w:r>
          </w:p>
        </w:tc>
        <w:tc>
          <w:tcPr>
            <w:tcW w:w="0" w:type="auto"/>
            <w:noWrap/>
            <w:hideMark/>
          </w:tcPr>
          <w:p w14:paraId="60EC5A4A" w14:textId="77777777" w:rsidR="00E47AB8" w:rsidRPr="008B2F8A" w:rsidRDefault="00E47AB8" w:rsidP="00422306">
            <w:pPr>
              <w:pStyle w:val="TableText0"/>
              <w:keepNext w:val="0"/>
              <w:spacing w:before="40" w:after="80" w:line="276" w:lineRule="auto"/>
              <w:jc w:val="right"/>
            </w:pPr>
            <w:r w:rsidRPr="008B2F8A">
              <w:t xml:space="preserve"> $284,682 </w:t>
            </w:r>
          </w:p>
        </w:tc>
        <w:tc>
          <w:tcPr>
            <w:tcW w:w="0" w:type="auto"/>
            <w:noWrap/>
            <w:hideMark/>
          </w:tcPr>
          <w:p w14:paraId="6650B647" w14:textId="77777777" w:rsidR="00E47AB8" w:rsidRPr="008B2F8A" w:rsidRDefault="00E47AB8" w:rsidP="00422306">
            <w:pPr>
              <w:pStyle w:val="TableText0"/>
              <w:keepNext w:val="0"/>
              <w:spacing w:before="40" w:after="80" w:line="276" w:lineRule="auto"/>
              <w:jc w:val="right"/>
            </w:pPr>
            <w:r w:rsidRPr="008B2F8A">
              <w:t xml:space="preserve"> $311,148 </w:t>
            </w:r>
          </w:p>
        </w:tc>
      </w:tr>
      <w:tr w:rsidR="00E47AB8" w:rsidRPr="008B2F8A" w14:paraId="20147C02" w14:textId="77777777" w:rsidTr="00422306">
        <w:tc>
          <w:tcPr>
            <w:tcW w:w="0" w:type="auto"/>
            <w:noWrap/>
            <w:vAlign w:val="bottom"/>
          </w:tcPr>
          <w:p w14:paraId="2617DA98"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7C29B622" w14:textId="77777777" w:rsidR="00E47AB8" w:rsidRPr="008B2F8A" w:rsidRDefault="00E47AB8" w:rsidP="00422306">
            <w:pPr>
              <w:pStyle w:val="TableText0"/>
              <w:keepNext w:val="0"/>
              <w:spacing w:before="40" w:after="80" w:line="276" w:lineRule="auto"/>
              <w:jc w:val="right"/>
            </w:pPr>
            <w:r w:rsidRPr="008B2F8A">
              <w:t xml:space="preserve"> $294,771 </w:t>
            </w:r>
          </w:p>
        </w:tc>
        <w:tc>
          <w:tcPr>
            <w:tcW w:w="0" w:type="auto"/>
            <w:noWrap/>
          </w:tcPr>
          <w:p w14:paraId="673D2A0A" w14:textId="77777777" w:rsidR="00E47AB8" w:rsidRPr="008B2F8A" w:rsidRDefault="00E47AB8" w:rsidP="00422306">
            <w:pPr>
              <w:pStyle w:val="TableText0"/>
              <w:keepNext w:val="0"/>
              <w:spacing w:before="40" w:after="80" w:line="276" w:lineRule="auto"/>
              <w:jc w:val="right"/>
            </w:pPr>
            <w:r w:rsidRPr="008B2F8A">
              <w:t xml:space="preserve"> $449,890 </w:t>
            </w:r>
          </w:p>
        </w:tc>
        <w:tc>
          <w:tcPr>
            <w:tcW w:w="0" w:type="auto"/>
            <w:noWrap/>
          </w:tcPr>
          <w:p w14:paraId="3082ACDB" w14:textId="77777777" w:rsidR="00E47AB8" w:rsidRPr="008B2F8A" w:rsidRDefault="00E47AB8" w:rsidP="00422306">
            <w:pPr>
              <w:pStyle w:val="TableText0"/>
              <w:keepNext w:val="0"/>
              <w:spacing w:before="40" w:after="80" w:line="276" w:lineRule="auto"/>
              <w:jc w:val="right"/>
            </w:pPr>
            <w:r w:rsidRPr="008B2F8A">
              <w:t xml:space="preserve"> $610,220 </w:t>
            </w:r>
          </w:p>
        </w:tc>
        <w:tc>
          <w:tcPr>
            <w:tcW w:w="0" w:type="auto"/>
            <w:noWrap/>
          </w:tcPr>
          <w:p w14:paraId="202E24A1" w14:textId="77777777" w:rsidR="00E47AB8" w:rsidRPr="008B2F8A" w:rsidRDefault="00E47AB8" w:rsidP="00422306">
            <w:pPr>
              <w:pStyle w:val="TableText0"/>
              <w:keepNext w:val="0"/>
              <w:spacing w:before="40" w:after="80" w:line="276" w:lineRule="auto"/>
              <w:jc w:val="right"/>
            </w:pPr>
            <w:r w:rsidRPr="008B2F8A">
              <w:t xml:space="preserve"> $775,702 </w:t>
            </w:r>
          </w:p>
        </w:tc>
        <w:tc>
          <w:tcPr>
            <w:tcW w:w="0" w:type="auto"/>
            <w:noWrap/>
          </w:tcPr>
          <w:p w14:paraId="253FEA83" w14:textId="77777777" w:rsidR="00E47AB8" w:rsidRPr="008B2F8A" w:rsidRDefault="00E47AB8" w:rsidP="00422306">
            <w:pPr>
              <w:pStyle w:val="TableText0"/>
              <w:keepNext w:val="0"/>
              <w:spacing w:before="40" w:after="80" w:line="276" w:lineRule="auto"/>
              <w:jc w:val="right"/>
            </w:pPr>
            <w:r w:rsidRPr="008B2F8A">
              <w:t xml:space="preserve"> $861,134 </w:t>
            </w:r>
          </w:p>
        </w:tc>
      </w:tr>
      <w:tr w:rsidR="00E47AB8" w:rsidRPr="008B2F8A" w14:paraId="1129940B" w14:textId="77777777" w:rsidTr="00422306">
        <w:tc>
          <w:tcPr>
            <w:tcW w:w="0" w:type="auto"/>
            <w:noWrap/>
            <w:vAlign w:val="bottom"/>
          </w:tcPr>
          <w:p w14:paraId="4CE61917" w14:textId="3CA357CE"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325D6252" w14:textId="77777777" w:rsidR="00E47AB8" w:rsidRPr="008B2F8A" w:rsidRDefault="00E47AB8" w:rsidP="00422306">
            <w:pPr>
              <w:pStyle w:val="TableText0"/>
              <w:keepNext w:val="0"/>
              <w:spacing w:before="40" w:after="80" w:line="276" w:lineRule="auto"/>
              <w:jc w:val="right"/>
            </w:pPr>
            <w:r w:rsidRPr="008B2F8A">
              <w:t xml:space="preserve"> $35,137 </w:t>
            </w:r>
          </w:p>
        </w:tc>
        <w:tc>
          <w:tcPr>
            <w:tcW w:w="0" w:type="auto"/>
            <w:noWrap/>
          </w:tcPr>
          <w:p w14:paraId="4391AAE5" w14:textId="77777777" w:rsidR="00E47AB8" w:rsidRPr="008B2F8A" w:rsidRDefault="00E47AB8" w:rsidP="00422306">
            <w:pPr>
              <w:pStyle w:val="TableText0"/>
              <w:keepNext w:val="0"/>
              <w:spacing w:before="40" w:after="80" w:line="276" w:lineRule="auto"/>
              <w:jc w:val="right"/>
            </w:pPr>
            <w:r w:rsidRPr="008B2F8A">
              <w:t xml:space="preserve"> $53,601 </w:t>
            </w:r>
          </w:p>
        </w:tc>
        <w:tc>
          <w:tcPr>
            <w:tcW w:w="0" w:type="auto"/>
            <w:noWrap/>
          </w:tcPr>
          <w:p w14:paraId="4655FB7E" w14:textId="77777777" w:rsidR="00E47AB8" w:rsidRPr="008B2F8A" w:rsidRDefault="00E47AB8" w:rsidP="00422306">
            <w:pPr>
              <w:pStyle w:val="TableText0"/>
              <w:keepNext w:val="0"/>
              <w:spacing w:before="40" w:after="80" w:line="276" w:lineRule="auto"/>
              <w:jc w:val="right"/>
            </w:pPr>
            <w:r w:rsidRPr="008B2F8A">
              <w:t xml:space="preserve"> $72,684 </w:t>
            </w:r>
          </w:p>
        </w:tc>
        <w:tc>
          <w:tcPr>
            <w:tcW w:w="0" w:type="auto"/>
            <w:noWrap/>
          </w:tcPr>
          <w:p w14:paraId="6B9DE49E" w14:textId="77777777" w:rsidR="00E47AB8" w:rsidRPr="008B2F8A" w:rsidRDefault="00E47AB8" w:rsidP="00422306">
            <w:pPr>
              <w:pStyle w:val="TableText0"/>
              <w:keepNext w:val="0"/>
              <w:spacing w:before="40" w:after="80" w:line="276" w:lineRule="auto"/>
              <w:jc w:val="right"/>
            </w:pPr>
            <w:r w:rsidRPr="008B2F8A">
              <w:t xml:space="preserve"> $92,399 </w:t>
            </w:r>
          </w:p>
        </w:tc>
        <w:tc>
          <w:tcPr>
            <w:tcW w:w="0" w:type="auto"/>
            <w:noWrap/>
          </w:tcPr>
          <w:p w14:paraId="2358650E" w14:textId="77777777" w:rsidR="00E47AB8" w:rsidRPr="008B2F8A" w:rsidRDefault="00E47AB8" w:rsidP="00422306">
            <w:pPr>
              <w:pStyle w:val="TableText0"/>
              <w:keepNext w:val="0"/>
              <w:spacing w:before="40" w:after="80" w:line="276" w:lineRule="auto"/>
              <w:jc w:val="right"/>
            </w:pPr>
            <w:r w:rsidRPr="008B2F8A">
              <w:t xml:space="preserve"> $102,615 </w:t>
            </w:r>
          </w:p>
        </w:tc>
      </w:tr>
      <w:tr w:rsidR="00E47AB8" w:rsidRPr="008B2F8A" w14:paraId="52F9BD66" w14:textId="77777777" w:rsidTr="00422306">
        <w:tc>
          <w:tcPr>
            <w:tcW w:w="0" w:type="auto"/>
            <w:noWrap/>
            <w:vAlign w:val="bottom"/>
          </w:tcPr>
          <w:p w14:paraId="03212831"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2A0F8A23" w14:textId="77777777" w:rsidR="00E47AB8" w:rsidRPr="008B2F8A" w:rsidRDefault="00E47AB8" w:rsidP="00422306">
            <w:pPr>
              <w:pStyle w:val="TableText0"/>
              <w:keepNext w:val="0"/>
              <w:spacing w:before="40" w:after="80" w:line="276" w:lineRule="auto"/>
              <w:jc w:val="right"/>
            </w:pPr>
            <w:r w:rsidRPr="008B2F8A">
              <w:t xml:space="preserve"> $3,429 </w:t>
            </w:r>
          </w:p>
        </w:tc>
        <w:tc>
          <w:tcPr>
            <w:tcW w:w="0" w:type="auto"/>
            <w:noWrap/>
          </w:tcPr>
          <w:p w14:paraId="31332C3F" w14:textId="77777777" w:rsidR="00E47AB8" w:rsidRPr="008B2F8A" w:rsidRDefault="00E47AB8" w:rsidP="00422306">
            <w:pPr>
              <w:pStyle w:val="TableText0"/>
              <w:keepNext w:val="0"/>
              <w:spacing w:before="40" w:after="80" w:line="276" w:lineRule="auto"/>
              <w:jc w:val="right"/>
            </w:pPr>
            <w:r w:rsidRPr="008B2F8A">
              <w:t xml:space="preserve"> $6,975 </w:t>
            </w:r>
          </w:p>
        </w:tc>
        <w:tc>
          <w:tcPr>
            <w:tcW w:w="0" w:type="auto"/>
            <w:noWrap/>
          </w:tcPr>
          <w:p w14:paraId="13353AF7" w14:textId="77777777" w:rsidR="00E47AB8" w:rsidRPr="008B2F8A" w:rsidRDefault="00E47AB8" w:rsidP="00422306">
            <w:pPr>
              <w:pStyle w:val="TableText0"/>
              <w:keepNext w:val="0"/>
              <w:spacing w:before="40" w:after="80" w:line="276" w:lineRule="auto"/>
              <w:jc w:val="right"/>
            </w:pPr>
            <w:r w:rsidRPr="008B2F8A">
              <w:t xml:space="preserve"> $10,641 </w:t>
            </w:r>
          </w:p>
        </w:tc>
        <w:tc>
          <w:tcPr>
            <w:tcW w:w="0" w:type="auto"/>
            <w:noWrap/>
          </w:tcPr>
          <w:p w14:paraId="7C23D38B" w14:textId="77777777" w:rsidR="00E47AB8" w:rsidRPr="008B2F8A" w:rsidRDefault="00E47AB8" w:rsidP="00422306">
            <w:pPr>
              <w:pStyle w:val="TableText0"/>
              <w:keepNext w:val="0"/>
              <w:spacing w:before="40" w:after="80" w:line="276" w:lineRule="auto"/>
              <w:jc w:val="right"/>
            </w:pPr>
            <w:r w:rsidRPr="008B2F8A">
              <w:t xml:space="preserve"> $14,429 </w:t>
            </w:r>
          </w:p>
        </w:tc>
        <w:tc>
          <w:tcPr>
            <w:tcW w:w="0" w:type="auto"/>
            <w:noWrap/>
          </w:tcPr>
          <w:p w14:paraId="05777615" w14:textId="77777777" w:rsidR="00E47AB8" w:rsidRPr="008B2F8A" w:rsidRDefault="00E47AB8" w:rsidP="00422306">
            <w:pPr>
              <w:pStyle w:val="TableText0"/>
              <w:keepNext w:val="0"/>
              <w:spacing w:before="40" w:after="80" w:line="276" w:lineRule="auto"/>
              <w:jc w:val="right"/>
            </w:pPr>
            <w:r w:rsidRPr="008B2F8A">
              <w:t xml:space="preserve"> $16,719 </w:t>
            </w:r>
          </w:p>
        </w:tc>
      </w:tr>
      <w:tr w:rsidR="00E47AB8" w:rsidRPr="008B2F8A" w14:paraId="399804E7" w14:textId="77777777" w:rsidTr="00422306">
        <w:tc>
          <w:tcPr>
            <w:tcW w:w="0" w:type="auto"/>
            <w:noWrap/>
            <w:vAlign w:val="bottom"/>
          </w:tcPr>
          <w:p w14:paraId="51E3CD9E"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2B53FEE4" w14:textId="77777777" w:rsidR="00E47AB8" w:rsidRPr="008B2F8A" w:rsidRDefault="00E47AB8" w:rsidP="00422306">
            <w:pPr>
              <w:pStyle w:val="TableText0"/>
              <w:keepNext w:val="0"/>
              <w:spacing w:before="40" w:after="80" w:line="276" w:lineRule="auto"/>
              <w:jc w:val="right"/>
            </w:pPr>
            <w:r w:rsidRPr="008B2F8A">
              <w:t xml:space="preserve"> $538,624 </w:t>
            </w:r>
          </w:p>
        </w:tc>
        <w:tc>
          <w:tcPr>
            <w:tcW w:w="0" w:type="auto"/>
            <w:noWrap/>
          </w:tcPr>
          <w:p w14:paraId="50663829" w14:textId="77777777" w:rsidR="00E47AB8" w:rsidRPr="008B2F8A" w:rsidRDefault="00E47AB8" w:rsidP="00422306">
            <w:pPr>
              <w:pStyle w:val="TableText0"/>
              <w:keepNext w:val="0"/>
              <w:spacing w:before="40" w:after="80" w:line="276" w:lineRule="auto"/>
              <w:jc w:val="right"/>
            </w:pPr>
            <w:r w:rsidRPr="008B2F8A">
              <w:t xml:space="preserve"> $742,218 </w:t>
            </w:r>
          </w:p>
        </w:tc>
        <w:tc>
          <w:tcPr>
            <w:tcW w:w="0" w:type="auto"/>
            <w:noWrap/>
          </w:tcPr>
          <w:p w14:paraId="7C8553BC" w14:textId="77777777" w:rsidR="00E47AB8" w:rsidRPr="008B2F8A" w:rsidRDefault="00E47AB8" w:rsidP="00422306">
            <w:pPr>
              <w:pStyle w:val="TableText0"/>
              <w:keepNext w:val="0"/>
              <w:spacing w:before="40" w:after="80" w:line="276" w:lineRule="auto"/>
              <w:jc w:val="right"/>
            </w:pPr>
            <w:r w:rsidRPr="008B2F8A">
              <w:t xml:space="preserve"> $951,762 </w:t>
            </w:r>
          </w:p>
        </w:tc>
        <w:tc>
          <w:tcPr>
            <w:tcW w:w="0" w:type="auto"/>
            <w:noWrap/>
          </w:tcPr>
          <w:p w14:paraId="21EA4125" w14:textId="77777777" w:rsidR="00E47AB8" w:rsidRPr="008B2F8A" w:rsidRDefault="00E47AB8" w:rsidP="00422306">
            <w:pPr>
              <w:pStyle w:val="TableText0"/>
              <w:keepNext w:val="0"/>
              <w:spacing w:before="40" w:after="80" w:line="276" w:lineRule="auto"/>
              <w:jc w:val="right"/>
            </w:pPr>
            <w:r w:rsidRPr="008B2F8A">
              <w:t xml:space="preserve"> $1,167,212 </w:t>
            </w:r>
          </w:p>
        </w:tc>
        <w:tc>
          <w:tcPr>
            <w:tcW w:w="0" w:type="auto"/>
            <w:noWrap/>
          </w:tcPr>
          <w:p w14:paraId="32D1E702" w14:textId="77777777" w:rsidR="00E47AB8" w:rsidRPr="008B2F8A" w:rsidRDefault="00E47AB8" w:rsidP="00422306">
            <w:pPr>
              <w:pStyle w:val="TableText0"/>
              <w:keepNext w:val="0"/>
              <w:spacing w:before="40" w:after="80" w:line="276" w:lineRule="auto"/>
              <w:jc w:val="right"/>
            </w:pPr>
            <w:r w:rsidRPr="008B2F8A">
              <w:t xml:space="preserve"> $1,291,615 </w:t>
            </w:r>
          </w:p>
        </w:tc>
      </w:tr>
    </w:tbl>
    <w:p w14:paraId="76E57D32" w14:textId="4760F358" w:rsidR="00E47AB8" w:rsidRPr="008B2F8A" w:rsidRDefault="00E47AB8" w:rsidP="004E7861">
      <w:pPr>
        <w:pStyle w:val="TableNotesLast"/>
      </w:pPr>
      <w:r w:rsidRPr="008B2F8A">
        <w:t>DCIS = ductal carcinoma in situ; FY = financial year; LCIS = lobular carcinoma in situ.</w:t>
      </w:r>
      <w:r>
        <w:t xml:space="preserve"> </w:t>
      </w:r>
      <w:r w:rsidRPr="008B2F8A">
        <w:t>Note: Rounding has been applied.</w:t>
      </w:r>
    </w:p>
    <w:p w14:paraId="5D00E92A" w14:textId="77777777" w:rsidR="00E47AB8" w:rsidRPr="008B2F8A" w:rsidRDefault="00E47AB8" w:rsidP="00422306">
      <w:pPr>
        <w:pStyle w:val="Heading4"/>
      </w:pPr>
      <w:r w:rsidRPr="008B2F8A">
        <w:lastRenderedPageBreak/>
        <w:t>Total cost of initial and follow-up breast MRI</w:t>
      </w:r>
    </w:p>
    <w:p w14:paraId="06FDCFCC" w14:textId="4BA97A6E" w:rsidR="00E47AB8" w:rsidRPr="008B2F8A" w:rsidRDefault="00E47AB8" w:rsidP="00422306">
      <w:r w:rsidRPr="008B2F8A">
        <w:t xml:space="preserve">The total cost of initial and follow-up breast MRI (MBS items 63464 and 63467) is shown in </w:t>
      </w:r>
      <w:r w:rsidRPr="008B2F8A">
        <w:fldChar w:fldCharType="begin"/>
      </w:r>
      <w:r w:rsidRPr="008B2F8A">
        <w:instrText xml:space="preserve"> REF _Ref376856334 \h </w:instrText>
      </w:r>
      <w:r w:rsidRPr="008B2F8A">
        <w:fldChar w:fldCharType="separate"/>
      </w:r>
      <w:r w:rsidR="00B81273" w:rsidRPr="008B2F8A">
        <w:t xml:space="preserve">Table </w:t>
      </w:r>
      <w:r w:rsidR="00B81273">
        <w:rPr>
          <w:noProof/>
        </w:rPr>
        <w:t>E</w:t>
      </w:r>
      <w:r w:rsidR="00B81273" w:rsidRPr="008B2F8A">
        <w:t>.</w:t>
      </w:r>
      <w:r w:rsidR="00B81273">
        <w:rPr>
          <w:noProof/>
        </w:rPr>
        <w:t>16</w:t>
      </w:r>
      <w:r w:rsidRPr="008B2F8A">
        <w:fldChar w:fldCharType="end"/>
      </w:r>
      <w:r w:rsidRPr="008B2F8A">
        <w:t>. The total cost across all populations was estimated to be $7.7 million in 2015, rising to $18.6 million in 2019. The largest contributor to the total cost was the population of women with a prior history of invasive breast cancer. Given the moderately high level of bulk-billing for breast MRI, as reflected in the average benefit paid, the proposed listing could be expected to have a small</w:t>
      </w:r>
      <w:r>
        <w:t xml:space="preserve"> </w:t>
      </w:r>
      <w:r w:rsidRPr="008B2F8A">
        <w:t>to</w:t>
      </w:r>
      <w:r>
        <w:t xml:space="preserve"> </w:t>
      </w:r>
      <w:r w:rsidRPr="008B2F8A">
        <w:t xml:space="preserve">moderate impact on the </w:t>
      </w:r>
      <w:bookmarkStart w:id="1351" w:name="OLE_LINK413"/>
      <w:bookmarkStart w:id="1352" w:name="OLE_LINK414"/>
      <w:r w:rsidRPr="008B2F8A">
        <w:t>Extended Medicare Safety Net</w:t>
      </w:r>
      <w:bookmarkEnd w:id="1351"/>
      <w:bookmarkEnd w:id="1352"/>
      <w:r w:rsidRPr="008B2F8A">
        <w:t>.</w:t>
      </w:r>
    </w:p>
    <w:p w14:paraId="521968ED" w14:textId="5BB6DF1A" w:rsidR="00E47AB8" w:rsidRPr="008B2F8A" w:rsidRDefault="00E47AB8" w:rsidP="00422306">
      <w:pPr>
        <w:pStyle w:val="Caption"/>
      </w:pPr>
      <w:bookmarkStart w:id="1353" w:name="_Ref376856334"/>
      <w:bookmarkStart w:id="1354" w:name="_Toc383424647"/>
      <w:r w:rsidRPr="008B2F8A">
        <w:t xml:space="preserve">Table </w:t>
      </w:r>
      <w:fldSimple w:instr=" STYLEREF 1 \s ">
        <w:r w:rsidR="00B81273">
          <w:rPr>
            <w:noProof/>
          </w:rPr>
          <w:t>E</w:t>
        </w:r>
      </w:fldSimple>
      <w:r w:rsidRPr="008B2F8A">
        <w:t>.</w:t>
      </w:r>
      <w:fldSimple w:instr=" SEQ Table \* ARABIC \s 1 ">
        <w:r w:rsidR="00B81273">
          <w:rPr>
            <w:noProof/>
          </w:rPr>
          <w:t>16</w:t>
        </w:r>
      </w:fldSimple>
      <w:bookmarkEnd w:id="1353"/>
      <w:r w:rsidRPr="008B2F8A">
        <w:tab/>
        <w:t>Total estimated cost of MRI in the requested populations.</w:t>
      </w:r>
      <w:bookmarkEnd w:id="1354"/>
    </w:p>
    <w:tbl>
      <w:tblPr>
        <w:tblStyle w:val="TableGrid"/>
        <w:tblW w:w="9213" w:type="dxa"/>
        <w:tblLayout w:type="fixed"/>
        <w:tblCellMar>
          <w:left w:w="28" w:type="dxa"/>
          <w:right w:w="28" w:type="dxa"/>
        </w:tblCellMar>
        <w:tblLook w:val="04A0" w:firstRow="1" w:lastRow="0" w:firstColumn="1" w:lastColumn="0" w:noHBand="0" w:noVBand="1"/>
        <w:tblCaption w:val="Total estimated cost of MRI in the requested populations."/>
      </w:tblPr>
      <w:tblGrid>
        <w:gridCol w:w="3578"/>
        <w:gridCol w:w="1136"/>
        <w:gridCol w:w="1136"/>
        <w:gridCol w:w="1136"/>
        <w:gridCol w:w="1136"/>
        <w:gridCol w:w="1091"/>
      </w:tblGrid>
      <w:tr w:rsidR="00E47AB8" w:rsidRPr="008B2F8A" w14:paraId="7EC33EB9" w14:textId="77777777" w:rsidTr="004E7861">
        <w:trPr>
          <w:tblHeader/>
        </w:trPr>
        <w:tc>
          <w:tcPr>
            <w:tcW w:w="3578" w:type="dxa"/>
            <w:noWrap/>
            <w:hideMark/>
          </w:tcPr>
          <w:p w14:paraId="33DB1F32" w14:textId="77777777" w:rsidR="00E47AB8" w:rsidRPr="008B2F8A" w:rsidRDefault="00E47AB8" w:rsidP="00422306">
            <w:pPr>
              <w:pStyle w:val="Tableheaderrow"/>
              <w:spacing w:before="40" w:after="80" w:line="276" w:lineRule="auto"/>
            </w:pPr>
            <w:r w:rsidRPr="008B2F8A">
              <w:t>Population</w:t>
            </w:r>
          </w:p>
        </w:tc>
        <w:tc>
          <w:tcPr>
            <w:tcW w:w="1136" w:type="dxa"/>
            <w:noWrap/>
            <w:hideMark/>
          </w:tcPr>
          <w:p w14:paraId="7848857F" w14:textId="77777777" w:rsidR="00E47AB8" w:rsidRPr="008B2F8A" w:rsidRDefault="00E47AB8" w:rsidP="00422306">
            <w:pPr>
              <w:pStyle w:val="Tableheaderrow"/>
              <w:spacing w:before="40" w:after="80" w:line="276" w:lineRule="auto"/>
              <w:jc w:val="center"/>
            </w:pPr>
            <w:r w:rsidRPr="008B2F8A">
              <w:t>FY 2015</w:t>
            </w:r>
          </w:p>
        </w:tc>
        <w:tc>
          <w:tcPr>
            <w:tcW w:w="1136" w:type="dxa"/>
            <w:noWrap/>
            <w:hideMark/>
          </w:tcPr>
          <w:p w14:paraId="11364C28" w14:textId="77777777" w:rsidR="00E47AB8" w:rsidRPr="008B2F8A" w:rsidRDefault="00E47AB8" w:rsidP="00422306">
            <w:pPr>
              <w:pStyle w:val="Tableheaderrow"/>
              <w:spacing w:before="40" w:after="80" w:line="276" w:lineRule="auto"/>
              <w:jc w:val="center"/>
            </w:pPr>
            <w:r w:rsidRPr="008B2F8A">
              <w:t>FY 2016</w:t>
            </w:r>
          </w:p>
        </w:tc>
        <w:tc>
          <w:tcPr>
            <w:tcW w:w="1136" w:type="dxa"/>
            <w:noWrap/>
            <w:hideMark/>
          </w:tcPr>
          <w:p w14:paraId="6B14471C" w14:textId="77777777" w:rsidR="00E47AB8" w:rsidRPr="008B2F8A" w:rsidRDefault="00E47AB8" w:rsidP="00422306">
            <w:pPr>
              <w:pStyle w:val="Tableheaderrow"/>
              <w:spacing w:before="40" w:after="80" w:line="276" w:lineRule="auto"/>
              <w:jc w:val="center"/>
            </w:pPr>
            <w:r w:rsidRPr="008B2F8A">
              <w:t>FY 2017</w:t>
            </w:r>
          </w:p>
        </w:tc>
        <w:tc>
          <w:tcPr>
            <w:tcW w:w="1136" w:type="dxa"/>
            <w:noWrap/>
            <w:hideMark/>
          </w:tcPr>
          <w:p w14:paraId="03F9004D" w14:textId="77777777" w:rsidR="00E47AB8" w:rsidRPr="008B2F8A" w:rsidRDefault="00E47AB8" w:rsidP="00422306">
            <w:pPr>
              <w:pStyle w:val="Tableheaderrow"/>
              <w:spacing w:before="40" w:after="80" w:line="276" w:lineRule="auto"/>
              <w:jc w:val="center"/>
            </w:pPr>
            <w:r w:rsidRPr="008B2F8A">
              <w:t>FY 2018</w:t>
            </w:r>
          </w:p>
        </w:tc>
        <w:tc>
          <w:tcPr>
            <w:tcW w:w="1091" w:type="dxa"/>
            <w:noWrap/>
            <w:hideMark/>
          </w:tcPr>
          <w:p w14:paraId="028D38A8"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40B3DB72" w14:textId="77777777" w:rsidTr="004E7861">
        <w:tc>
          <w:tcPr>
            <w:tcW w:w="3578" w:type="dxa"/>
            <w:noWrap/>
            <w:vAlign w:val="bottom"/>
            <w:hideMark/>
          </w:tcPr>
          <w:p w14:paraId="234A3A2B" w14:textId="77777777" w:rsidR="00E47AB8" w:rsidRPr="008B2F8A" w:rsidRDefault="00E47AB8" w:rsidP="00422306">
            <w:pPr>
              <w:pStyle w:val="TableText0"/>
              <w:keepNext w:val="0"/>
              <w:spacing w:before="40" w:after="80" w:line="276" w:lineRule="auto"/>
            </w:pPr>
            <w:r w:rsidRPr="008B2F8A">
              <w:t>Gene mutation or family history</w:t>
            </w:r>
          </w:p>
        </w:tc>
        <w:tc>
          <w:tcPr>
            <w:tcW w:w="1136" w:type="dxa"/>
            <w:noWrap/>
            <w:hideMark/>
          </w:tcPr>
          <w:p w14:paraId="71A650DF" w14:textId="77777777" w:rsidR="00E47AB8" w:rsidRPr="008B2F8A" w:rsidRDefault="00E47AB8" w:rsidP="00422306">
            <w:pPr>
              <w:pStyle w:val="TableText0"/>
              <w:keepNext w:val="0"/>
              <w:spacing w:before="40" w:after="80" w:line="276" w:lineRule="auto"/>
              <w:jc w:val="right"/>
            </w:pPr>
            <w:r w:rsidRPr="008B2F8A">
              <w:t xml:space="preserve"> $2,947,370 </w:t>
            </w:r>
          </w:p>
        </w:tc>
        <w:tc>
          <w:tcPr>
            <w:tcW w:w="1136" w:type="dxa"/>
            <w:noWrap/>
            <w:hideMark/>
          </w:tcPr>
          <w:p w14:paraId="14795F45" w14:textId="77777777" w:rsidR="00E47AB8" w:rsidRPr="008B2F8A" w:rsidRDefault="00E47AB8" w:rsidP="00422306">
            <w:pPr>
              <w:pStyle w:val="TableText0"/>
              <w:keepNext w:val="0"/>
              <w:spacing w:before="40" w:after="80" w:line="276" w:lineRule="auto"/>
              <w:jc w:val="right"/>
            </w:pPr>
            <w:r w:rsidRPr="008B2F8A">
              <w:t xml:space="preserve"> $3,327,344 </w:t>
            </w:r>
          </w:p>
        </w:tc>
        <w:tc>
          <w:tcPr>
            <w:tcW w:w="1136" w:type="dxa"/>
            <w:noWrap/>
            <w:hideMark/>
          </w:tcPr>
          <w:p w14:paraId="0F488F0B" w14:textId="77777777" w:rsidR="00E47AB8" w:rsidRPr="008B2F8A" w:rsidRDefault="00E47AB8" w:rsidP="00422306">
            <w:pPr>
              <w:pStyle w:val="TableText0"/>
              <w:keepNext w:val="0"/>
              <w:spacing w:before="40" w:after="80" w:line="276" w:lineRule="auto"/>
              <w:jc w:val="right"/>
            </w:pPr>
            <w:r w:rsidRPr="008B2F8A">
              <w:t xml:space="preserve"> $3,707,319 </w:t>
            </w:r>
          </w:p>
        </w:tc>
        <w:tc>
          <w:tcPr>
            <w:tcW w:w="1136" w:type="dxa"/>
            <w:noWrap/>
            <w:hideMark/>
          </w:tcPr>
          <w:p w14:paraId="6DA45C94" w14:textId="77777777" w:rsidR="00E47AB8" w:rsidRPr="008B2F8A" w:rsidRDefault="00E47AB8" w:rsidP="00422306">
            <w:pPr>
              <w:pStyle w:val="TableText0"/>
              <w:keepNext w:val="0"/>
              <w:spacing w:before="40" w:after="80" w:line="276" w:lineRule="auto"/>
              <w:jc w:val="right"/>
            </w:pPr>
            <w:r w:rsidRPr="008B2F8A">
              <w:t xml:space="preserve"> $4,087,293 </w:t>
            </w:r>
          </w:p>
        </w:tc>
        <w:tc>
          <w:tcPr>
            <w:tcW w:w="1091" w:type="dxa"/>
            <w:noWrap/>
            <w:hideMark/>
          </w:tcPr>
          <w:p w14:paraId="558093D3" w14:textId="77777777" w:rsidR="00E47AB8" w:rsidRPr="008B2F8A" w:rsidRDefault="00E47AB8" w:rsidP="00422306">
            <w:pPr>
              <w:pStyle w:val="TableText0"/>
              <w:keepNext w:val="0"/>
              <w:spacing w:before="40" w:after="80" w:line="276" w:lineRule="auto"/>
              <w:jc w:val="right"/>
            </w:pPr>
            <w:r w:rsidRPr="008B2F8A">
              <w:t xml:space="preserve"> $4,467,268 </w:t>
            </w:r>
          </w:p>
        </w:tc>
      </w:tr>
      <w:tr w:rsidR="00E47AB8" w:rsidRPr="008B2F8A" w14:paraId="425AEAF8" w14:textId="77777777" w:rsidTr="004E7861">
        <w:tc>
          <w:tcPr>
            <w:tcW w:w="3578" w:type="dxa"/>
            <w:noWrap/>
            <w:vAlign w:val="bottom"/>
          </w:tcPr>
          <w:p w14:paraId="4EF67D6E" w14:textId="77777777" w:rsidR="00E47AB8" w:rsidRPr="008B2F8A" w:rsidRDefault="00E47AB8" w:rsidP="00422306">
            <w:pPr>
              <w:pStyle w:val="TableText0"/>
              <w:keepNext w:val="0"/>
              <w:spacing w:before="40" w:after="80" w:line="276" w:lineRule="auto"/>
            </w:pPr>
            <w:r w:rsidRPr="008B2F8A">
              <w:t>Prior history of invasive breast cancer</w:t>
            </w:r>
          </w:p>
        </w:tc>
        <w:tc>
          <w:tcPr>
            <w:tcW w:w="1136" w:type="dxa"/>
            <w:noWrap/>
          </w:tcPr>
          <w:p w14:paraId="6136B6B5" w14:textId="77777777" w:rsidR="00E47AB8" w:rsidRPr="008B2F8A" w:rsidRDefault="00E47AB8" w:rsidP="00422306">
            <w:pPr>
              <w:pStyle w:val="TableText0"/>
              <w:keepNext w:val="0"/>
              <w:spacing w:before="40" w:after="80" w:line="276" w:lineRule="auto"/>
              <w:jc w:val="right"/>
            </w:pPr>
            <w:r w:rsidRPr="008B2F8A">
              <w:t xml:space="preserve"> $4,232,148 </w:t>
            </w:r>
          </w:p>
        </w:tc>
        <w:tc>
          <w:tcPr>
            <w:tcW w:w="1136" w:type="dxa"/>
            <w:noWrap/>
          </w:tcPr>
          <w:p w14:paraId="0B0C1E1E" w14:textId="77777777" w:rsidR="00E47AB8" w:rsidRPr="008B2F8A" w:rsidRDefault="00E47AB8" w:rsidP="00422306">
            <w:pPr>
              <w:pStyle w:val="TableText0"/>
              <w:keepNext w:val="0"/>
              <w:spacing w:before="40" w:after="80" w:line="276" w:lineRule="auto"/>
              <w:jc w:val="right"/>
            </w:pPr>
            <w:r w:rsidRPr="008B2F8A">
              <w:t xml:space="preserve"> $6,459,246 </w:t>
            </w:r>
          </w:p>
        </w:tc>
        <w:tc>
          <w:tcPr>
            <w:tcW w:w="1136" w:type="dxa"/>
            <w:noWrap/>
          </w:tcPr>
          <w:p w14:paraId="6AEC08A3" w14:textId="77777777" w:rsidR="00E47AB8" w:rsidRPr="008B2F8A" w:rsidRDefault="00E47AB8" w:rsidP="00422306">
            <w:pPr>
              <w:pStyle w:val="TableText0"/>
              <w:keepNext w:val="0"/>
              <w:spacing w:before="40" w:after="80" w:line="276" w:lineRule="auto"/>
              <w:jc w:val="right"/>
            </w:pPr>
            <w:r w:rsidRPr="008B2F8A">
              <w:t xml:space="preserve"> $8,761,169 </w:t>
            </w:r>
          </w:p>
        </w:tc>
        <w:tc>
          <w:tcPr>
            <w:tcW w:w="1136" w:type="dxa"/>
            <w:noWrap/>
          </w:tcPr>
          <w:p w14:paraId="7C1447B4" w14:textId="77777777" w:rsidR="00E47AB8" w:rsidRPr="008B2F8A" w:rsidRDefault="00E47AB8" w:rsidP="00422306">
            <w:pPr>
              <w:pStyle w:val="TableText0"/>
              <w:keepNext w:val="0"/>
              <w:spacing w:before="40" w:after="80" w:line="276" w:lineRule="auto"/>
              <w:jc w:val="right"/>
            </w:pPr>
            <w:r w:rsidRPr="008B2F8A">
              <w:t xml:space="preserve"> $11,137,052 </w:t>
            </w:r>
          </w:p>
        </w:tc>
        <w:tc>
          <w:tcPr>
            <w:tcW w:w="1091" w:type="dxa"/>
            <w:noWrap/>
          </w:tcPr>
          <w:p w14:paraId="310FB336" w14:textId="77777777" w:rsidR="00E47AB8" w:rsidRPr="008B2F8A" w:rsidRDefault="00E47AB8" w:rsidP="00422306">
            <w:pPr>
              <w:pStyle w:val="TableText0"/>
              <w:keepNext w:val="0"/>
              <w:spacing w:before="40" w:after="80" w:line="276" w:lineRule="auto"/>
              <w:jc w:val="right"/>
            </w:pPr>
            <w:r w:rsidRPr="008B2F8A">
              <w:t xml:space="preserve"> $12,363,634 </w:t>
            </w:r>
          </w:p>
        </w:tc>
      </w:tr>
      <w:tr w:rsidR="00E47AB8" w:rsidRPr="008B2F8A" w14:paraId="0E92D397" w14:textId="77777777" w:rsidTr="004E7861">
        <w:tc>
          <w:tcPr>
            <w:tcW w:w="3578" w:type="dxa"/>
            <w:noWrap/>
            <w:vAlign w:val="bottom"/>
          </w:tcPr>
          <w:p w14:paraId="34F50975" w14:textId="1199CC41"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1136" w:type="dxa"/>
            <w:noWrap/>
          </w:tcPr>
          <w:p w14:paraId="37788D6B" w14:textId="77777777" w:rsidR="00E47AB8" w:rsidRPr="008B2F8A" w:rsidRDefault="00E47AB8" w:rsidP="00422306">
            <w:pPr>
              <w:pStyle w:val="TableText0"/>
              <w:keepNext w:val="0"/>
              <w:spacing w:before="40" w:after="80" w:line="276" w:lineRule="auto"/>
              <w:jc w:val="right"/>
            </w:pPr>
            <w:r w:rsidRPr="008B2F8A">
              <w:t xml:space="preserve"> $504,476 </w:t>
            </w:r>
          </w:p>
        </w:tc>
        <w:tc>
          <w:tcPr>
            <w:tcW w:w="1136" w:type="dxa"/>
            <w:noWrap/>
          </w:tcPr>
          <w:p w14:paraId="26D61964" w14:textId="77777777" w:rsidR="00E47AB8" w:rsidRPr="008B2F8A" w:rsidRDefault="00E47AB8" w:rsidP="00422306">
            <w:pPr>
              <w:pStyle w:val="TableText0"/>
              <w:keepNext w:val="0"/>
              <w:spacing w:before="40" w:after="80" w:line="276" w:lineRule="auto"/>
              <w:jc w:val="right"/>
            </w:pPr>
            <w:r w:rsidRPr="008B2F8A">
              <w:t xml:space="preserve"> $769,578 </w:t>
            </w:r>
          </w:p>
        </w:tc>
        <w:tc>
          <w:tcPr>
            <w:tcW w:w="1136" w:type="dxa"/>
            <w:noWrap/>
          </w:tcPr>
          <w:p w14:paraId="7E98CACB" w14:textId="77777777" w:rsidR="00E47AB8" w:rsidRPr="008B2F8A" w:rsidRDefault="00E47AB8" w:rsidP="00422306">
            <w:pPr>
              <w:pStyle w:val="TableText0"/>
              <w:keepNext w:val="0"/>
              <w:spacing w:before="40" w:after="80" w:line="276" w:lineRule="auto"/>
              <w:jc w:val="right"/>
            </w:pPr>
            <w:r w:rsidRPr="008B2F8A">
              <w:t xml:space="preserve"> $1,043,547 </w:t>
            </w:r>
          </w:p>
        </w:tc>
        <w:tc>
          <w:tcPr>
            <w:tcW w:w="1136" w:type="dxa"/>
            <w:noWrap/>
          </w:tcPr>
          <w:p w14:paraId="46A8DA29" w14:textId="77777777" w:rsidR="00E47AB8" w:rsidRPr="008B2F8A" w:rsidRDefault="00E47AB8" w:rsidP="00422306">
            <w:pPr>
              <w:pStyle w:val="TableText0"/>
              <w:keepNext w:val="0"/>
              <w:spacing w:before="40" w:after="80" w:line="276" w:lineRule="auto"/>
              <w:jc w:val="right"/>
            </w:pPr>
            <w:r w:rsidRPr="008B2F8A">
              <w:t xml:space="preserve"> $1,326,609 </w:t>
            </w:r>
          </w:p>
        </w:tc>
        <w:tc>
          <w:tcPr>
            <w:tcW w:w="1091" w:type="dxa"/>
            <w:noWrap/>
          </w:tcPr>
          <w:p w14:paraId="56C64005" w14:textId="77777777" w:rsidR="00E47AB8" w:rsidRPr="008B2F8A" w:rsidRDefault="00E47AB8" w:rsidP="00422306">
            <w:pPr>
              <w:pStyle w:val="TableText0"/>
              <w:keepNext w:val="0"/>
              <w:spacing w:before="40" w:after="80" w:line="276" w:lineRule="auto"/>
              <w:jc w:val="right"/>
            </w:pPr>
            <w:r w:rsidRPr="008B2F8A">
              <w:t xml:space="preserve"> $1,473,284 </w:t>
            </w:r>
          </w:p>
        </w:tc>
      </w:tr>
      <w:tr w:rsidR="00E47AB8" w:rsidRPr="008B2F8A" w14:paraId="5C7D799E" w14:textId="77777777" w:rsidTr="004E7861">
        <w:tc>
          <w:tcPr>
            <w:tcW w:w="3578" w:type="dxa"/>
            <w:noWrap/>
            <w:vAlign w:val="bottom"/>
          </w:tcPr>
          <w:p w14:paraId="31CBFE2E"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1136" w:type="dxa"/>
            <w:noWrap/>
          </w:tcPr>
          <w:p w14:paraId="79E2F8A2" w14:textId="77777777" w:rsidR="00E47AB8" w:rsidRPr="008B2F8A" w:rsidRDefault="00E47AB8" w:rsidP="00422306">
            <w:pPr>
              <w:pStyle w:val="TableText0"/>
              <w:keepNext w:val="0"/>
              <w:spacing w:before="40" w:after="80" w:line="276" w:lineRule="auto"/>
              <w:jc w:val="right"/>
            </w:pPr>
            <w:r w:rsidRPr="008B2F8A">
              <w:t xml:space="preserve"> $49,238 </w:t>
            </w:r>
          </w:p>
        </w:tc>
        <w:tc>
          <w:tcPr>
            <w:tcW w:w="1136" w:type="dxa"/>
            <w:noWrap/>
          </w:tcPr>
          <w:p w14:paraId="13695B76" w14:textId="77777777" w:rsidR="00E47AB8" w:rsidRPr="008B2F8A" w:rsidRDefault="00E47AB8" w:rsidP="00422306">
            <w:pPr>
              <w:pStyle w:val="TableText0"/>
              <w:keepNext w:val="0"/>
              <w:spacing w:before="40" w:after="80" w:line="276" w:lineRule="auto"/>
              <w:jc w:val="right"/>
            </w:pPr>
            <w:r w:rsidRPr="008B2F8A">
              <w:t xml:space="preserve"> $100,150 </w:t>
            </w:r>
          </w:p>
        </w:tc>
        <w:tc>
          <w:tcPr>
            <w:tcW w:w="1136" w:type="dxa"/>
            <w:noWrap/>
          </w:tcPr>
          <w:p w14:paraId="4BE6740A" w14:textId="77777777" w:rsidR="00E47AB8" w:rsidRPr="008B2F8A" w:rsidRDefault="00E47AB8" w:rsidP="00422306">
            <w:pPr>
              <w:pStyle w:val="TableText0"/>
              <w:keepNext w:val="0"/>
              <w:spacing w:before="40" w:after="80" w:line="276" w:lineRule="auto"/>
              <w:jc w:val="right"/>
            </w:pPr>
            <w:r w:rsidRPr="008B2F8A">
              <w:t xml:space="preserve"> $152,778 </w:t>
            </w:r>
          </w:p>
        </w:tc>
        <w:tc>
          <w:tcPr>
            <w:tcW w:w="1136" w:type="dxa"/>
            <w:noWrap/>
          </w:tcPr>
          <w:p w14:paraId="62FE89FC" w14:textId="77777777" w:rsidR="00E47AB8" w:rsidRPr="008B2F8A" w:rsidRDefault="00E47AB8" w:rsidP="00422306">
            <w:pPr>
              <w:pStyle w:val="TableText0"/>
              <w:keepNext w:val="0"/>
              <w:spacing w:before="40" w:after="80" w:line="276" w:lineRule="auto"/>
              <w:jc w:val="right"/>
            </w:pPr>
            <w:r w:rsidRPr="008B2F8A">
              <w:t xml:space="preserve"> $207,167 </w:t>
            </w:r>
          </w:p>
        </w:tc>
        <w:tc>
          <w:tcPr>
            <w:tcW w:w="1091" w:type="dxa"/>
            <w:noWrap/>
          </w:tcPr>
          <w:p w14:paraId="5A006708" w14:textId="77777777" w:rsidR="00E47AB8" w:rsidRPr="008B2F8A" w:rsidRDefault="00E47AB8" w:rsidP="00422306">
            <w:pPr>
              <w:pStyle w:val="TableText0"/>
              <w:keepNext w:val="0"/>
              <w:spacing w:before="40" w:after="80" w:line="276" w:lineRule="auto"/>
              <w:jc w:val="right"/>
            </w:pPr>
            <w:r w:rsidRPr="008B2F8A">
              <w:t xml:space="preserve"> $240,035 </w:t>
            </w:r>
          </w:p>
        </w:tc>
      </w:tr>
      <w:tr w:rsidR="00E47AB8" w:rsidRPr="008B2F8A" w14:paraId="76833B5B" w14:textId="77777777" w:rsidTr="004E7861">
        <w:tc>
          <w:tcPr>
            <w:tcW w:w="3578" w:type="dxa"/>
            <w:noWrap/>
            <w:vAlign w:val="bottom"/>
          </w:tcPr>
          <w:p w14:paraId="54AF88D3" w14:textId="77777777" w:rsidR="00E47AB8" w:rsidRPr="008B2F8A" w:rsidRDefault="00E47AB8" w:rsidP="00422306">
            <w:pPr>
              <w:pStyle w:val="TableText0"/>
              <w:keepNext w:val="0"/>
              <w:spacing w:before="40" w:after="80" w:line="276" w:lineRule="auto"/>
            </w:pPr>
            <w:r w:rsidRPr="008B2F8A">
              <w:t>All populations</w:t>
            </w:r>
          </w:p>
        </w:tc>
        <w:tc>
          <w:tcPr>
            <w:tcW w:w="1136" w:type="dxa"/>
            <w:noWrap/>
          </w:tcPr>
          <w:p w14:paraId="6D20EC1A" w14:textId="77777777" w:rsidR="00E47AB8" w:rsidRPr="008B2F8A" w:rsidRDefault="00E47AB8" w:rsidP="00422306">
            <w:pPr>
              <w:pStyle w:val="TableText0"/>
              <w:keepNext w:val="0"/>
              <w:spacing w:before="40" w:after="80" w:line="276" w:lineRule="auto"/>
              <w:jc w:val="right"/>
            </w:pPr>
            <w:r w:rsidRPr="008B2F8A">
              <w:t xml:space="preserve"> $7,733,231 </w:t>
            </w:r>
          </w:p>
        </w:tc>
        <w:tc>
          <w:tcPr>
            <w:tcW w:w="1136" w:type="dxa"/>
            <w:noWrap/>
          </w:tcPr>
          <w:p w14:paraId="230E9F67" w14:textId="77777777" w:rsidR="00E47AB8" w:rsidRPr="008B2F8A" w:rsidRDefault="00E47AB8" w:rsidP="00422306">
            <w:pPr>
              <w:pStyle w:val="TableText0"/>
              <w:keepNext w:val="0"/>
              <w:spacing w:before="40" w:after="80" w:line="276" w:lineRule="auto"/>
              <w:jc w:val="right"/>
            </w:pPr>
            <w:r w:rsidRPr="008B2F8A">
              <w:t xml:space="preserve"> $10,656,318 </w:t>
            </w:r>
          </w:p>
        </w:tc>
        <w:tc>
          <w:tcPr>
            <w:tcW w:w="1136" w:type="dxa"/>
            <w:noWrap/>
          </w:tcPr>
          <w:p w14:paraId="0305F2EF" w14:textId="77777777" w:rsidR="00E47AB8" w:rsidRPr="008B2F8A" w:rsidRDefault="00E47AB8" w:rsidP="00422306">
            <w:pPr>
              <w:pStyle w:val="TableText0"/>
              <w:keepNext w:val="0"/>
              <w:spacing w:before="40" w:after="80" w:line="276" w:lineRule="auto"/>
              <w:jc w:val="right"/>
            </w:pPr>
            <w:r w:rsidRPr="008B2F8A">
              <w:t xml:space="preserve"> $13,664,813 </w:t>
            </w:r>
          </w:p>
        </w:tc>
        <w:tc>
          <w:tcPr>
            <w:tcW w:w="1136" w:type="dxa"/>
            <w:noWrap/>
          </w:tcPr>
          <w:p w14:paraId="16457D5D" w14:textId="77777777" w:rsidR="00E47AB8" w:rsidRPr="008B2F8A" w:rsidRDefault="00E47AB8" w:rsidP="00422306">
            <w:pPr>
              <w:pStyle w:val="TableText0"/>
              <w:keepNext w:val="0"/>
              <w:spacing w:before="40" w:after="80" w:line="276" w:lineRule="auto"/>
              <w:jc w:val="right"/>
            </w:pPr>
            <w:r w:rsidRPr="008B2F8A">
              <w:t xml:space="preserve"> $16,758,122 </w:t>
            </w:r>
          </w:p>
        </w:tc>
        <w:tc>
          <w:tcPr>
            <w:tcW w:w="1091" w:type="dxa"/>
            <w:noWrap/>
          </w:tcPr>
          <w:p w14:paraId="02E717A8" w14:textId="77777777" w:rsidR="00E47AB8" w:rsidRPr="008B2F8A" w:rsidRDefault="00E47AB8" w:rsidP="00422306">
            <w:pPr>
              <w:pStyle w:val="TableText0"/>
              <w:keepNext w:val="0"/>
              <w:spacing w:before="40" w:after="80" w:line="276" w:lineRule="auto"/>
              <w:jc w:val="right"/>
            </w:pPr>
            <w:r w:rsidRPr="008B2F8A">
              <w:t xml:space="preserve"> $18,544,221 </w:t>
            </w:r>
          </w:p>
        </w:tc>
      </w:tr>
    </w:tbl>
    <w:p w14:paraId="593E833D" w14:textId="62C46A15" w:rsidR="00E47AB8" w:rsidRPr="008B2F8A"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4E3DACE7" w14:textId="77777777" w:rsidR="00E47AB8" w:rsidRPr="008B2F8A" w:rsidRDefault="00E47AB8" w:rsidP="00E47AB8">
      <w:pPr>
        <w:pStyle w:val="Heading2"/>
      </w:pPr>
      <w:bookmarkStart w:id="1355" w:name="_Toc355274827"/>
      <w:bookmarkStart w:id="1356" w:name="_Toc383424528"/>
      <w:r w:rsidRPr="008B2F8A">
        <w:t>Estimation of changes in use and cost of other medical services</w:t>
      </w:r>
      <w:bookmarkEnd w:id="1355"/>
      <w:bookmarkEnd w:id="1356"/>
    </w:p>
    <w:p w14:paraId="2F1EE96B" w14:textId="77777777" w:rsidR="00E47AB8" w:rsidRPr="008B2F8A" w:rsidRDefault="00E47AB8" w:rsidP="00E47AB8">
      <w:pPr>
        <w:pStyle w:val="Heading3"/>
        <w:numPr>
          <w:ilvl w:val="2"/>
          <w:numId w:val="42"/>
        </w:numPr>
      </w:pPr>
      <w:bookmarkStart w:id="1357" w:name="_Ref377648394"/>
      <w:bookmarkStart w:id="1358" w:name="_Toc383424529"/>
      <w:r w:rsidRPr="008B2F8A">
        <w:t>Cost of specialist attendance with breast MRI</w:t>
      </w:r>
      <w:bookmarkEnd w:id="1357"/>
      <w:bookmarkEnd w:id="1358"/>
    </w:p>
    <w:p w14:paraId="4FED7CFF" w14:textId="12C7B9FF" w:rsidR="00E47AB8" w:rsidRPr="008B2F8A" w:rsidRDefault="00E47AB8" w:rsidP="00422306">
      <w:r w:rsidRPr="008B2F8A">
        <w:t>It is assumed that for each episode of breast MRI, there will be an associated claim for specialist attendance. For initial breast MRI</w:t>
      </w:r>
      <w:r>
        <w:t>,</w:t>
      </w:r>
      <w:r w:rsidRPr="008B2F8A">
        <w:t xml:space="preserve"> the MBS item used to estimate cost was item 104</w:t>
      </w:r>
      <w:r>
        <w:t>,</w:t>
      </w:r>
      <w:r w:rsidRPr="008B2F8A">
        <w:t xml:space="preserve"> and for follow-up imaging </w:t>
      </w:r>
      <w:r>
        <w:t>it was</w:t>
      </w:r>
      <w:r w:rsidRPr="008B2F8A">
        <w:t xml:space="preserve"> item 105.</w:t>
      </w:r>
    </w:p>
    <w:p w14:paraId="64E11548" w14:textId="13372F60" w:rsidR="00E47AB8" w:rsidRPr="008B2F8A" w:rsidRDefault="00E47AB8" w:rsidP="00422306">
      <w:r w:rsidRPr="008B2F8A">
        <w:t xml:space="preserve">The cost of specialist attendance with initial breast MRI was calculated by multiplying the number of patients in each population who take up MRI screening by the 85% benefit for MBS item 104. The results of the analysis are shown in </w:t>
      </w:r>
      <w:r w:rsidRPr="008B2F8A">
        <w:rPr>
          <w:highlight w:val="yellow"/>
        </w:rPr>
        <w:fldChar w:fldCharType="begin"/>
      </w:r>
      <w:r w:rsidRPr="008B2F8A">
        <w:instrText xml:space="preserve"> REF _Ref376856685 \h </w:instrText>
      </w:r>
      <w:r w:rsidRPr="008B2F8A">
        <w:rPr>
          <w:highlight w:val="yellow"/>
        </w:rPr>
      </w:r>
      <w:r w:rsidRPr="008B2F8A">
        <w:rPr>
          <w:highlight w:val="yellow"/>
        </w:rPr>
        <w:fldChar w:fldCharType="separate"/>
      </w:r>
      <w:r w:rsidR="00B81273" w:rsidRPr="008B2F8A">
        <w:t xml:space="preserve">Table </w:t>
      </w:r>
      <w:r w:rsidR="00B81273">
        <w:rPr>
          <w:noProof/>
        </w:rPr>
        <w:t>E</w:t>
      </w:r>
      <w:r w:rsidR="00B81273" w:rsidRPr="008B2F8A">
        <w:t>.</w:t>
      </w:r>
      <w:r w:rsidR="00B81273">
        <w:rPr>
          <w:noProof/>
        </w:rPr>
        <w:t>17</w:t>
      </w:r>
      <w:r w:rsidRPr="008B2F8A">
        <w:rPr>
          <w:highlight w:val="yellow"/>
        </w:rPr>
        <w:fldChar w:fldCharType="end"/>
      </w:r>
      <w:r w:rsidRPr="008B2F8A">
        <w:t>. The total cost for specialist attendance with initial breast MRI was estimated to be $0.8 million in 2015, rising to $1.9 million in 2019.</w:t>
      </w:r>
    </w:p>
    <w:p w14:paraId="29FA5269" w14:textId="5F6725EA" w:rsidR="00E47AB8" w:rsidRPr="008B2F8A" w:rsidRDefault="00E47AB8" w:rsidP="00D2611C">
      <w:pPr>
        <w:pStyle w:val="Caption"/>
      </w:pPr>
      <w:bookmarkStart w:id="1359" w:name="_Ref376856685"/>
      <w:bookmarkStart w:id="1360" w:name="_Toc383424648"/>
      <w:r w:rsidRPr="008B2F8A">
        <w:t xml:space="preserve">Table </w:t>
      </w:r>
      <w:fldSimple w:instr=" STYLEREF 1 \s ">
        <w:r w:rsidR="00B81273">
          <w:rPr>
            <w:noProof/>
          </w:rPr>
          <w:t>E</w:t>
        </w:r>
      </w:fldSimple>
      <w:r w:rsidRPr="008B2F8A">
        <w:t>.</w:t>
      </w:r>
      <w:fldSimple w:instr=" SEQ Table \* ARABIC \s 1 ">
        <w:r w:rsidR="00B81273">
          <w:rPr>
            <w:noProof/>
          </w:rPr>
          <w:t>17</w:t>
        </w:r>
      </w:fldSimple>
      <w:bookmarkEnd w:id="1359"/>
      <w:r w:rsidRPr="008B2F8A">
        <w:tab/>
        <w:t>Cost of specialist attendance with initial MRI in the requested populations.</w:t>
      </w:r>
      <w:bookmarkEnd w:id="1360"/>
    </w:p>
    <w:tbl>
      <w:tblPr>
        <w:tblStyle w:val="TableGrid"/>
        <w:tblW w:w="9070" w:type="dxa"/>
        <w:tblCellMar>
          <w:left w:w="28" w:type="dxa"/>
          <w:right w:w="28" w:type="dxa"/>
        </w:tblCellMar>
        <w:tblLook w:val="04A0" w:firstRow="1" w:lastRow="0" w:firstColumn="1" w:lastColumn="0" w:noHBand="0" w:noVBand="1"/>
        <w:tblCaption w:val="Cost of specialist attendance with initial MRI in the requested populations."/>
      </w:tblPr>
      <w:tblGrid>
        <w:gridCol w:w="4005"/>
        <w:gridCol w:w="889"/>
        <w:gridCol w:w="1044"/>
        <w:gridCol w:w="1044"/>
        <w:gridCol w:w="1044"/>
        <w:gridCol w:w="1044"/>
      </w:tblGrid>
      <w:tr w:rsidR="00E47AB8" w:rsidRPr="008B2F8A" w14:paraId="4DBC9ECF" w14:textId="77777777" w:rsidTr="00422306">
        <w:trPr>
          <w:tblHeader/>
        </w:trPr>
        <w:tc>
          <w:tcPr>
            <w:tcW w:w="0" w:type="auto"/>
            <w:noWrap/>
            <w:hideMark/>
          </w:tcPr>
          <w:p w14:paraId="0338452A" w14:textId="77777777" w:rsidR="00E47AB8" w:rsidRPr="008B2F8A" w:rsidRDefault="00E47AB8" w:rsidP="00D2611C">
            <w:pPr>
              <w:pStyle w:val="Tableheaderrow"/>
              <w:keepNext/>
              <w:spacing w:before="40" w:after="80" w:line="276" w:lineRule="auto"/>
            </w:pPr>
            <w:r w:rsidRPr="008B2F8A">
              <w:t>Population</w:t>
            </w:r>
          </w:p>
        </w:tc>
        <w:tc>
          <w:tcPr>
            <w:tcW w:w="0" w:type="auto"/>
            <w:noWrap/>
            <w:hideMark/>
          </w:tcPr>
          <w:p w14:paraId="20C20685" w14:textId="77777777" w:rsidR="00E47AB8" w:rsidRPr="008B2F8A" w:rsidRDefault="00E47AB8" w:rsidP="00D2611C">
            <w:pPr>
              <w:pStyle w:val="Tableheaderrow"/>
              <w:keepNext/>
              <w:spacing w:before="40" w:after="80" w:line="276" w:lineRule="auto"/>
              <w:jc w:val="center"/>
            </w:pPr>
            <w:r w:rsidRPr="008B2F8A">
              <w:t>FY 2015</w:t>
            </w:r>
          </w:p>
        </w:tc>
        <w:tc>
          <w:tcPr>
            <w:tcW w:w="0" w:type="auto"/>
            <w:noWrap/>
            <w:hideMark/>
          </w:tcPr>
          <w:p w14:paraId="4E80E0E1" w14:textId="77777777" w:rsidR="00E47AB8" w:rsidRPr="008B2F8A" w:rsidRDefault="00E47AB8" w:rsidP="00D2611C">
            <w:pPr>
              <w:pStyle w:val="Tableheaderrow"/>
              <w:keepNext/>
              <w:spacing w:before="40" w:after="80" w:line="276" w:lineRule="auto"/>
              <w:jc w:val="center"/>
            </w:pPr>
            <w:r w:rsidRPr="008B2F8A">
              <w:t>FY 2016</w:t>
            </w:r>
          </w:p>
        </w:tc>
        <w:tc>
          <w:tcPr>
            <w:tcW w:w="0" w:type="auto"/>
            <w:noWrap/>
            <w:hideMark/>
          </w:tcPr>
          <w:p w14:paraId="413FE9EF" w14:textId="77777777" w:rsidR="00E47AB8" w:rsidRPr="008B2F8A" w:rsidRDefault="00E47AB8" w:rsidP="00D2611C">
            <w:pPr>
              <w:pStyle w:val="Tableheaderrow"/>
              <w:keepNext/>
              <w:spacing w:before="40" w:after="80" w:line="276" w:lineRule="auto"/>
              <w:jc w:val="center"/>
            </w:pPr>
            <w:r w:rsidRPr="008B2F8A">
              <w:t>FY 2017</w:t>
            </w:r>
          </w:p>
        </w:tc>
        <w:tc>
          <w:tcPr>
            <w:tcW w:w="0" w:type="auto"/>
            <w:noWrap/>
            <w:hideMark/>
          </w:tcPr>
          <w:p w14:paraId="4BFE59A1" w14:textId="77777777" w:rsidR="00E47AB8" w:rsidRPr="008B2F8A" w:rsidRDefault="00E47AB8" w:rsidP="00D2611C">
            <w:pPr>
              <w:pStyle w:val="Tableheaderrow"/>
              <w:keepNext/>
              <w:spacing w:before="40" w:after="80" w:line="276" w:lineRule="auto"/>
              <w:jc w:val="center"/>
            </w:pPr>
            <w:r w:rsidRPr="008B2F8A">
              <w:t>FY 2018</w:t>
            </w:r>
          </w:p>
        </w:tc>
        <w:tc>
          <w:tcPr>
            <w:tcW w:w="0" w:type="auto"/>
            <w:noWrap/>
            <w:hideMark/>
          </w:tcPr>
          <w:p w14:paraId="77C14D3A" w14:textId="77777777" w:rsidR="00E47AB8" w:rsidRPr="008B2F8A" w:rsidRDefault="00E47AB8" w:rsidP="00D2611C">
            <w:pPr>
              <w:pStyle w:val="Tableheaderrow"/>
              <w:keepNext/>
              <w:spacing w:before="40" w:after="80" w:line="276" w:lineRule="auto"/>
              <w:jc w:val="center"/>
            </w:pPr>
            <w:r w:rsidRPr="008B2F8A">
              <w:t>FY 2019</w:t>
            </w:r>
          </w:p>
        </w:tc>
      </w:tr>
      <w:tr w:rsidR="00E47AB8" w:rsidRPr="008B2F8A" w14:paraId="65C0E638" w14:textId="77777777" w:rsidTr="00422306">
        <w:tc>
          <w:tcPr>
            <w:tcW w:w="0" w:type="auto"/>
            <w:noWrap/>
            <w:vAlign w:val="bottom"/>
            <w:hideMark/>
          </w:tcPr>
          <w:p w14:paraId="58254509"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28D6624E" w14:textId="77777777" w:rsidR="00E47AB8" w:rsidRPr="008B2F8A" w:rsidRDefault="00E47AB8" w:rsidP="00422306">
            <w:pPr>
              <w:pStyle w:val="TableText0"/>
              <w:keepNext w:val="0"/>
              <w:spacing w:before="40" w:after="80" w:line="276" w:lineRule="auto"/>
              <w:jc w:val="right"/>
            </w:pPr>
            <w:r w:rsidRPr="008B2F8A">
              <w:t xml:space="preserve"> $304,837 </w:t>
            </w:r>
          </w:p>
        </w:tc>
        <w:tc>
          <w:tcPr>
            <w:tcW w:w="0" w:type="auto"/>
            <w:noWrap/>
            <w:hideMark/>
          </w:tcPr>
          <w:p w14:paraId="438623BA" w14:textId="77777777" w:rsidR="00E47AB8" w:rsidRPr="008B2F8A" w:rsidRDefault="00E47AB8" w:rsidP="00422306">
            <w:pPr>
              <w:pStyle w:val="TableText0"/>
              <w:keepNext w:val="0"/>
              <w:spacing w:before="40" w:after="80" w:line="276" w:lineRule="auto"/>
              <w:jc w:val="right"/>
            </w:pPr>
            <w:r w:rsidRPr="008B2F8A">
              <w:t xml:space="preserve"> $344,137 </w:t>
            </w:r>
          </w:p>
        </w:tc>
        <w:tc>
          <w:tcPr>
            <w:tcW w:w="0" w:type="auto"/>
            <w:noWrap/>
            <w:hideMark/>
          </w:tcPr>
          <w:p w14:paraId="0C1564CD" w14:textId="77777777" w:rsidR="00E47AB8" w:rsidRPr="008B2F8A" w:rsidRDefault="00E47AB8" w:rsidP="00422306">
            <w:pPr>
              <w:pStyle w:val="TableText0"/>
              <w:keepNext w:val="0"/>
              <w:spacing w:before="40" w:after="80" w:line="276" w:lineRule="auto"/>
              <w:jc w:val="right"/>
            </w:pPr>
            <w:r w:rsidRPr="008B2F8A">
              <w:t xml:space="preserve"> $383,436 </w:t>
            </w:r>
          </w:p>
        </w:tc>
        <w:tc>
          <w:tcPr>
            <w:tcW w:w="0" w:type="auto"/>
            <w:noWrap/>
            <w:hideMark/>
          </w:tcPr>
          <w:p w14:paraId="2BC8B1DD" w14:textId="77777777" w:rsidR="00E47AB8" w:rsidRPr="008B2F8A" w:rsidRDefault="00E47AB8" w:rsidP="00422306">
            <w:pPr>
              <w:pStyle w:val="TableText0"/>
              <w:keepNext w:val="0"/>
              <w:spacing w:before="40" w:after="80" w:line="276" w:lineRule="auto"/>
              <w:jc w:val="right"/>
            </w:pPr>
            <w:r w:rsidRPr="008B2F8A">
              <w:t xml:space="preserve"> $422,736 </w:t>
            </w:r>
          </w:p>
        </w:tc>
        <w:tc>
          <w:tcPr>
            <w:tcW w:w="0" w:type="auto"/>
            <w:noWrap/>
            <w:hideMark/>
          </w:tcPr>
          <w:p w14:paraId="4D5C3743" w14:textId="77777777" w:rsidR="00E47AB8" w:rsidRPr="008B2F8A" w:rsidRDefault="00E47AB8" w:rsidP="00422306">
            <w:pPr>
              <w:pStyle w:val="TableText0"/>
              <w:keepNext w:val="0"/>
              <w:spacing w:before="40" w:after="80" w:line="276" w:lineRule="auto"/>
              <w:jc w:val="right"/>
            </w:pPr>
            <w:r w:rsidRPr="008B2F8A">
              <w:t xml:space="preserve"> $462,035 </w:t>
            </w:r>
          </w:p>
        </w:tc>
      </w:tr>
      <w:tr w:rsidR="00E47AB8" w:rsidRPr="008B2F8A" w14:paraId="3C632CF4" w14:textId="77777777" w:rsidTr="00422306">
        <w:tc>
          <w:tcPr>
            <w:tcW w:w="0" w:type="auto"/>
            <w:noWrap/>
            <w:vAlign w:val="bottom"/>
          </w:tcPr>
          <w:p w14:paraId="344CED3A"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06359FB8" w14:textId="77777777" w:rsidR="00E47AB8" w:rsidRPr="008B2F8A" w:rsidRDefault="00E47AB8" w:rsidP="00422306">
            <w:pPr>
              <w:pStyle w:val="TableText0"/>
              <w:keepNext w:val="0"/>
              <w:spacing w:before="40" w:after="80" w:line="276" w:lineRule="auto"/>
              <w:jc w:val="right"/>
            </w:pPr>
            <w:r w:rsidRPr="008B2F8A">
              <w:t xml:space="preserve"> $437,718 </w:t>
            </w:r>
          </w:p>
        </w:tc>
        <w:tc>
          <w:tcPr>
            <w:tcW w:w="0" w:type="auto"/>
            <w:noWrap/>
          </w:tcPr>
          <w:p w14:paraId="523CFA8F" w14:textId="77777777" w:rsidR="00E47AB8" w:rsidRPr="008B2F8A" w:rsidRDefault="00E47AB8" w:rsidP="00422306">
            <w:pPr>
              <w:pStyle w:val="TableText0"/>
              <w:keepNext w:val="0"/>
              <w:spacing w:before="40" w:after="80" w:line="276" w:lineRule="auto"/>
              <w:jc w:val="right"/>
            </w:pPr>
            <w:r w:rsidRPr="008B2F8A">
              <w:t xml:space="preserve"> $668,059 </w:t>
            </w:r>
          </w:p>
        </w:tc>
        <w:tc>
          <w:tcPr>
            <w:tcW w:w="0" w:type="auto"/>
            <w:noWrap/>
          </w:tcPr>
          <w:p w14:paraId="086519F1" w14:textId="77777777" w:rsidR="00E47AB8" w:rsidRPr="008B2F8A" w:rsidRDefault="00E47AB8" w:rsidP="00422306">
            <w:pPr>
              <w:pStyle w:val="TableText0"/>
              <w:keepNext w:val="0"/>
              <w:spacing w:before="40" w:after="80" w:line="276" w:lineRule="auto"/>
              <w:jc w:val="right"/>
            </w:pPr>
            <w:r w:rsidRPr="008B2F8A">
              <w:t xml:space="preserve"> $906,140 </w:t>
            </w:r>
          </w:p>
        </w:tc>
        <w:tc>
          <w:tcPr>
            <w:tcW w:w="0" w:type="auto"/>
            <w:noWrap/>
          </w:tcPr>
          <w:p w14:paraId="29A0EBCC" w14:textId="77777777" w:rsidR="00E47AB8" w:rsidRPr="008B2F8A" w:rsidRDefault="00E47AB8" w:rsidP="00422306">
            <w:pPr>
              <w:pStyle w:val="TableText0"/>
              <w:keepNext w:val="0"/>
              <w:spacing w:before="40" w:after="80" w:line="276" w:lineRule="auto"/>
              <w:jc w:val="right"/>
            </w:pPr>
            <w:r w:rsidRPr="008B2F8A">
              <w:t xml:space="preserve"> $1,151,870 </w:t>
            </w:r>
          </w:p>
        </w:tc>
        <w:tc>
          <w:tcPr>
            <w:tcW w:w="0" w:type="auto"/>
            <w:noWrap/>
          </w:tcPr>
          <w:p w14:paraId="1D82C242" w14:textId="77777777" w:rsidR="00E47AB8" w:rsidRPr="008B2F8A" w:rsidRDefault="00E47AB8" w:rsidP="00422306">
            <w:pPr>
              <w:pStyle w:val="TableText0"/>
              <w:keepNext w:val="0"/>
              <w:spacing w:before="40" w:after="80" w:line="276" w:lineRule="auto"/>
              <w:jc w:val="right"/>
            </w:pPr>
            <w:r w:rsidRPr="008B2F8A">
              <w:t xml:space="preserve"> $1,278,731 </w:t>
            </w:r>
          </w:p>
        </w:tc>
      </w:tr>
      <w:tr w:rsidR="00E47AB8" w:rsidRPr="008B2F8A" w14:paraId="2679227C" w14:textId="77777777" w:rsidTr="00422306">
        <w:tc>
          <w:tcPr>
            <w:tcW w:w="0" w:type="auto"/>
            <w:noWrap/>
            <w:vAlign w:val="bottom"/>
          </w:tcPr>
          <w:p w14:paraId="43C0515A" w14:textId="13267B2B"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43FDB2D3" w14:textId="77777777" w:rsidR="00E47AB8" w:rsidRPr="008B2F8A" w:rsidRDefault="00E47AB8" w:rsidP="00422306">
            <w:pPr>
              <w:pStyle w:val="TableText0"/>
              <w:keepNext w:val="0"/>
              <w:spacing w:before="40" w:after="80" w:line="276" w:lineRule="auto"/>
              <w:jc w:val="right"/>
            </w:pPr>
            <w:r w:rsidRPr="008B2F8A">
              <w:t xml:space="preserve"> $52,176 </w:t>
            </w:r>
          </w:p>
        </w:tc>
        <w:tc>
          <w:tcPr>
            <w:tcW w:w="0" w:type="auto"/>
            <w:noWrap/>
          </w:tcPr>
          <w:p w14:paraId="76C22D47" w14:textId="77777777" w:rsidR="00E47AB8" w:rsidRPr="008B2F8A" w:rsidRDefault="00E47AB8" w:rsidP="00422306">
            <w:pPr>
              <w:pStyle w:val="TableText0"/>
              <w:keepNext w:val="0"/>
              <w:spacing w:before="40" w:after="80" w:line="276" w:lineRule="auto"/>
              <w:jc w:val="right"/>
            </w:pPr>
            <w:r w:rsidRPr="008B2F8A">
              <w:t xml:space="preserve"> $79,595 </w:t>
            </w:r>
          </w:p>
        </w:tc>
        <w:tc>
          <w:tcPr>
            <w:tcW w:w="0" w:type="auto"/>
            <w:noWrap/>
          </w:tcPr>
          <w:p w14:paraId="124FFAD3" w14:textId="77777777" w:rsidR="00E47AB8" w:rsidRPr="008B2F8A" w:rsidRDefault="00E47AB8" w:rsidP="00422306">
            <w:pPr>
              <w:pStyle w:val="TableText0"/>
              <w:keepNext w:val="0"/>
              <w:spacing w:before="40" w:after="80" w:line="276" w:lineRule="auto"/>
              <w:jc w:val="right"/>
            </w:pPr>
            <w:r w:rsidRPr="008B2F8A">
              <w:t xml:space="preserve"> $107,931 </w:t>
            </w:r>
          </w:p>
        </w:tc>
        <w:tc>
          <w:tcPr>
            <w:tcW w:w="0" w:type="auto"/>
            <w:noWrap/>
          </w:tcPr>
          <w:p w14:paraId="21563836" w14:textId="77777777" w:rsidR="00E47AB8" w:rsidRPr="008B2F8A" w:rsidRDefault="00E47AB8" w:rsidP="00422306">
            <w:pPr>
              <w:pStyle w:val="TableText0"/>
              <w:keepNext w:val="0"/>
              <w:spacing w:before="40" w:after="80" w:line="276" w:lineRule="auto"/>
              <w:jc w:val="right"/>
            </w:pPr>
            <w:r w:rsidRPr="008B2F8A">
              <w:t xml:space="preserve"> $137,207 </w:t>
            </w:r>
          </w:p>
        </w:tc>
        <w:tc>
          <w:tcPr>
            <w:tcW w:w="0" w:type="auto"/>
            <w:noWrap/>
          </w:tcPr>
          <w:p w14:paraId="03B73501" w14:textId="77777777" w:rsidR="00E47AB8" w:rsidRPr="008B2F8A" w:rsidRDefault="00E47AB8" w:rsidP="00422306">
            <w:pPr>
              <w:pStyle w:val="TableText0"/>
              <w:keepNext w:val="0"/>
              <w:spacing w:before="40" w:after="80" w:line="276" w:lineRule="auto"/>
              <w:jc w:val="right"/>
            </w:pPr>
            <w:r w:rsidRPr="008B2F8A">
              <w:t xml:space="preserve"> $152,377 </w:t>
            </w:r>
          </w:p>
        </w:tc>
      </w:tr>
      <w:tr w:rsidR="00E47AB8" w:rsidRPr="008B2F8A" w14:paraId="23E6A033" w14:textId="77777777" w:rsidTr="00422306">
        <w:tc>
          <w:tcPr>
            <w:tcW w:w="0" w:type="auto"/>
            <w:noWrap/>
            <w:vAlign w:val="bottom"/>
          </w:tcPr>
          <w:p w14:paraId="102CAE97"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1D328B88" w14:textId="77777777" w:rsidR="00E47AB8" w:rsidRPr="008B2F8A" w:rsidRDefault="00E47AB8" w:rsidP="00422306">
            <w:pPr>
              <w:pStyle w:val="TableText0"/>
              <w:keepNext w:val="0"/>
              <w:spacing w:before="40" w:after="80" w:line="276" w:lineRule="auto"/>
              <w:jc w:val="right"/>
            </w:pPr>
            <w:r w:rsidRPr="008B2F8A">
              <w:t xml:space="preserve"> $5,093 </w:t>
            </w:r>
          </w:p>
        </w:tc>
        <w:tc>
          <w:tcPr>
            <w:tcW w:w="0" w:type="auto"/>
            <w:noWrap/>
          </w:tcPr>
          <w:p w14:paraId="371FAE7B" w14:textId="77777777" w:rsidR="00E47AB8" w:rsidRPr="008B2F8A" w:rsidRDefault="00E47AB8" w:rsidP="00422306">
            <w:pPr>
              <w:pStyle w:val="TableText0"/>
              <w:keepNext w:val="0"/>
              <w:spacing w:before="40" w:after="80" w:line="276" w:lineRule="auto"/>
              <w:jc w:val="right"/>
            </w:pPr>
            <w:r w:rsidRPr="008B2F8A">
              <w:t xml:space="preserve"> $10,358 </w:t>
            </w:r>
          </w:p>
        </w:tc>
        <w:tc>
          <w:tcPr>
            <w:tcW w:w="0" w:type="auto"/>
            <w:noWrap/>
          </w:tcPr>
          <w:p w14:paraId="557588DD" w14:textId="77777777" w:rsidR="00E47AB8" w:rsidRPr="008B2F8A" w:rsidRDefault="00E47AB8" w:rsidP="00422306">
            <w:pPr>
              <w:pStyle w:val="TableText0"/>
              <w:keepNext w:val="0"/>
              <w:spacing w:before="40" w:after="80" w:line="276" w:lineRule="auto"/>
              <w:jc w:val="right"/>
            </w:pPr>
            <w:r w:rsidRPr="008B2F8A">
              <w:t xml:space="preserve"> $15,801 </w:t>
            </w:r>
          </w:p>
        </w:tc>
        <w:tc>
          <w:tcPr>
            <w:tcW w:w="0" w:type="auto"/>
            <w:noWrap/>
          </w:tcPr>
          <w:p w14:paraId="19105A82" w14:textId="77777777" w:rsidR="00E47AB8" w:rsidRPr="008B2F8A" w:rsidRDefault="00E47AB8" w:rsidP="00422306">
            <w:pPr>
              <w:pStyle w:val="TableText0"/>
              <w:keepNext w:val="0"/>
              <w:spacing w:before="40" w:after="80" w:line="276" w:lineRule="auto"/>
              <w:jc w:val="right"/>
            </w:pPr>
            <w:r w:rsidRPr="008B2F8A">
              <w:t xml:space="preserve"> $21,427 </w:t>
            </w:r>
          </w:p>
        </w:tc>
        <w:tc>
          <w:tcPr>
            <w:tcW w:w="0" w:type="auto"/>
            <w:noWrap/>
          </w:tcPr>
          <w:p w14:paraId="236CE700" w14:textId="77777777" w:rsidR="00E47AB8" w:rsidRPr="008B2F8A" w:rsidRDefault="00E47AB8" w:rsidP="00422306">
            <w:pPr>
              <w:pStyle w:val="TableText0"/>
              <w:keepNext w:val="0"/>
              <w:spacing w:before="40" w:after="80" w:line="276" w:lineRule="auto"/>
              <w:jc w:val="right"/>
            </w:pPr>
            <w:r w:rsidRPr="008B2F8A">
              <w:t xml:space="preserve"> $24,826 </w:t>
            </w:r>
          </w:p>
        </w:tc>
      </w:tr>
      <w:tr w:rsidR="00E47AB8" w:rsidRPr="008B2F8A" w14:paraId="7C2B5CA4" w14:textId="77777777" w:rsidTr="00422306">
        <w:tc>
          <w:tcPr>
            <w:tcW w:w="0" w:type="auto"/>
            <w:noWrap/>
            <w:vAlign w:val="bottom"/>
          </w:tcPr>
          <w:p w14:paraId="619C9D04"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50409026" w14:textId="77777777" w:rsidR="00E47AB8" w:rsidRPr="008B2F8A" w:rsidRDefault="00E47AB8" w:rsidP="00422306">
            <w:pPr>
              <w:pStyle w:val="TableText0"/>
              <w:keepNext w:val="0"/>
              <w:spacing w:before="40" w:after="80" w:line="276" w:lineRule="auto"/>
              <w:jc w:val="right"/>
            </w:pPr>
            <w:r w:rsidRPr="008B2F8A">
              <w:t xml:space="preserve"> $799,823 </w:t>
            </w:r>
          </w:p>
        </w:tc>
        <w:tc>
          <w:tcPr>
            <w:tcW w:w="0" w:type="auto"/>
            <w:noWrap/>
          </w:tcPr>
          <w:p w14:paraId="57E6D8A5" w14:textId="77777777" w:rsidR="00E47AB8" w:rsidRPr="008B2F8A" w:rsidRDefault="00E47AB8" w:rsidP="00422306">
            <w:pPr>
              <w:pStyle w:val="TableText0"/>
              <w:keepNext w:val="0"/>
              <w:spacing w:before="40" w:after="80" w:line="276" w:lineRule="auto"/>
              <w:jc w:val="right"/>
            </w:pPr>
            <w:r w:rsidRPr="008B2F8A">
              <w:t xml:space="preserve"> $1,102,149 </w:t>
            </w:r>
          </w:p>
        </w:tc>
        <w:tc>
          <w:tcPr>
            <w:tcW w:w="0" w:type="auto"/>
            <w:noWrap/>
          </w:tcPr>
          <w:p w14:paraId="4E121FC9" w14:textId="77777777" w:rsidR="00E47AB8" w:rsidRPr="008B2F8A" w:rsidRDefault="00E47AB8" w:rsidP="00422306">
            <w:pPr>
              <w:pStyle w:val="TableText0"/>
              <w:keepNext w:val="0"/>
              <w:spacing w:before="40" w:after="80" w:line="276" w:lineRule="auto"/>
              <w:jc w:val="right"/>
            </w:pPr>
            <w:r w:rsidRPr="008B2F8A">
              <w:t xml:space="preserve"> $1,413,308 </w:t>
            </w:r>
          </w:p>
        </w:tc>
        <w:tc>
          <w:tcPr>
            <w:tcW w:w="0" w:type="auto"/>
            <w:noWrap/>
          </w:tcPr>
          <w:p w14:paraId="285A46CD" w14:textId="77777777" w:rsidR="00E47AB8" w:rsidRPr="008B2F8A" w:rsidRDefault="00E47AB8" w:rsidP="00422306">
            <w:pPr>
              <w:pStyle w:val="TableText0"/>
              <w:keepNext w:val="0"/>
              <w:spacing w:before="40" w:after="80" w:line="276" w:lineRule="auto"/>
              <w:jc w:val="right"/>
            </w:pPr>
            <w:r w:rsidRPr="008B2F8A">
              <w:t xml:space="preserve"> $1,733,239 </w:t>
            </w:r>
          </w:p>
        </w:tc>
        <w:tc>
          <w:tcPr>
            <w:tcW w:w="0" w:type="auto"/>
            <w:noWrap/>
          </w:tcPr>
          <w:p w14:paraId="2A5AE5B7" w14:textId="77777777" w:rsidR="00E47AB8" w:rsidRPr="008B2F8A" w:rsidRDefault="00E47AB8" w:rsidP="00422306">
            <w:pPr>
              <w:pStyle w:val="TableText0"/>
              <w:keepNext w:val="0"/>
              <w:spacing w:before="40" w:after="80" w:line="276" w:lineRule="auto"/>
              <w:jc w:val="right"/>
            </w:pPr>
            <w:r w:rsidRPr="008B2F8A">
              <w:t xml:space="preserve"> $1,917,970 </w:t>
            </w:r>
          </w:p>
        </w:tc>
      </w:tr>
    </w:tbl>
    <w:p w14:paraId="268E0481" w14:textId="70248398" w:rsidR="00E47AB8" w:rsidRPr="008B2F8A" w:rsidRDefault="00E47AB8" w:rsidP="004E7861">
      <w:pPr>
        <w:pStyle w:val="TableNotesFirst"/>
      </w:pPr>
      <w:r w:rsidRPr="008B2F8A">
        <w:t>DCIS = ductal carcinoma in situ; FY = financial year; LCIS = lobular carcinoma in situ.</w:t>
      </w:r>
    </w:p>
    <w:p w14:paraId="314F8555" w14:textId="77777777" w:rsidR="00E47AB8" w:rsidRPr="008B2F8A" w:rsidRDefault="00E47AB8" w:rsidP="004E7861">
      <w:pPr>
        <w:pStyle w:val="TableNotesLast"/>
      </w:pPr>
      <w:r w:rsidRPr="008B2F8A">
        <w:t>Note: Rounding has been applied.</w:t>
      </w:r>
    </w:p>
    <w:p w14:paraId="52BAD7C2" w14:textId="00C997DF" w:rsidR="00E47AB8" w:rsidRPr="008B2F8A" w:rsidRDefault="00E47AB8" w:rsidP="00422306">
      <w:r w:rsidRPr="008B2F8A">
        <w:t xml:space="preserve">The cost of specialist attendance with follow-up breast MRI was calculated by multiplying the number of patients in each population who have follow-up MRI by the 85% benefit for MBS item </w:t>
      </w:r>
      <w:r w:rsidRPr="008B2F8A">
        <w:lastRenderedPageBreak/>
        <w:t xml:space="preserve">105. The results of the analysis are shown in </w:t>
      </w:r>
      <w:r w:rsidRPr="008B2F8A">
        <w:rPr>
          <w:highlight w:val="yellow"/>
        </w:rPr>
        <w:fldChar w:fldCharType="begin"/>
      </w:r>
      <w:r w:rsidRPr="008B2F8A">
        <w:instrText xml:space="preserve"> REF _Ref376856807 \h </w:instrText>
      </w:r>
      <w:r w:rsidRPr="008B2F8A">
        <w:rPr>
          <w:highlight w:val="yellow"/>
        </w:rPr>
      </w:r>
      <w:r w:rsidRPr="008B2F8A">
        <w:rPr>
          <w:highlight w:val="yellow"/>
        </w:rPr>
        <w:fldChar w:fldCharType="separate"/>
      </w:r>
      <w:r w:rsidR="00B81273" w:rsidRPr="008B2F8A">
        <w:t xml:space="preserve">Table </w:t>
      </w:r>
      <w:r w:rsidR="00B81273">
        <w:rPr>
          <w:noProof/>
        </w:rPr>
        <w:t>E</w:t>
      </w:r>
      <w:r w:rsidR="00B81273" w:rsidRPr="008B2F8A">
        <w:t>.</w:t>
      </w:r>
      <w:r w:rsidR="00B81273">
        <w:rPr>
          <w:noProof/>
        </w:rPr>
        <w:t>18</w:t>
      </w:r>
      <w:r w:rsidRPr="008B2F8A">
        <w:rPr>
          <w:highlight w:val="yellow"/>
        </w:rPr>
        <w:fldChar w:fldCharType="end"/>
      </w:r>
      <w:r w:rsidRPr="008B2F8A">
        <w:t>. The total cost for specialist attendance with follow-up breast MRI was estimated to be $29,897 in 2015, rising to $71,693 in 2019.</w:t>
      </w:r>
    </w:p>
    <w:p w14:paraId="64F40B0F" w14:textId="6DCC70F4" w:rsidR="00E47AB8" w:rsidRPr="008B2F8A" w:rsidRDefault="00E47AB8" w:rsidP="00422306">
      <w:pPr>
        <w:pStyle w:val="Caption"/>
      </w:pPr>
      <w:bookmarkStart w:id="1361" w:name="_Ref376856807"/>
      <w:bookmarkStart w:id="1362" w:name="_Toc383424649"/>
      <w:r w:rsidRPr="008B2F8A">
        <w:t xml:space="preserve">Table </w:t>
      </w:r>
      <w:fldSimple w:instr=" STYLEREF 1 \s ">
        <w:r w:rsidR="00B81273">
          <w:rPr>
            <w:noProof/>
          </w:rPr>
          <w:t>E</w:t>
        </w:r>
      </w:fldSimple>
      <w:r w:rsidRPr="008B2F8A">
        <w:t>.</w:t>
      </w:r>
      <w:fldSimple w:instr=" SEQ Table \* ARABIC \s 1 ">
        <w:r w:rsidR="00B81273">
          <w:rPr>
            <w:noProof/>
          </w:rPr>
          <w:t>18</w:t>
        </w:r>
      </w:fldSimple>
      <w:bookmarkEnd w:id="1361"/>
      <w:r w:rsidRPr="008B2F8A">
        <w:tab/>
        <w:t>Cost of specialist attendance with follow-up MRI in the requested populations.</w:t>
      </w:r>
      <w:bookmarkEnd w:id="1362"/>
    </w:p>
    <w:tbl>
      <w:tblPr>
        <w:tblStyle w:val="TableGrid"/>
        <w:tblW w:w="9070" w:type="dxa"/>
        <w:tblLayout w:type="fixed"/>
        <w:tblCellMar>
          <w:left w:w="28" w:type="dxa"/>
          <w:right w:w="28" w:type="dxa"/>
        </w:tblCellMar>
        <w:tblLook w:val="04A0" w:firstRow="1" w:lastRow="0" w:firstColumn="1" w:lastColumn="0" w:noHBand="0" w:noVBand="1"/>
        <w:tblCaption w:val="Cost of specialist attendance with follow-up MRI in the requested populations."/>
      </w:tblPr>
      <w:tblGrid>
        <w:gridCol w:w="4004"/>
        <w:gridCol w:w="994"/>
        <w:gridCol w:w="994"/>
        <w:gridCol w:w="994"/>
        <w:gridCol w:w="994"/>
        <w:gridCol w:w="1090"/>
      </w:tblGrid>
      <w:tr w:rsidR="00E47AB8" w:rsidRPr="008B2F8A" w14:paraId="0FEF4F03" w14:textId="77777777" w:rsidTr="00422306">
        <w:trPr>
          <w:tblHeader/>
        </w:trPr>
        <w:tc>
          <w:tcPr>
            <w:tcW w:w="4004" w:type="dxa"/>
            <w:noWrap/>
            <w:hideMark/>
          </w:tcPr>
          <w:p w14:paraId="015939A3" w14:textId="77777777" w:rsidR="00E47AB8" w:rsidRPr="008B2F8A" w:rsidRDefault="00E47AB8" w:rsidP="00422306">
            <w:pPr>
              <w:pStyle w:val="Tableheaderrow"/>
              <w:spacing w:before="40" w:after="80" w:line="276" w:lineRule="auto"/>
            </w:pPr>
            <w:r w:rsidRPr="008B2F8A">
              <w:t>Population</w:t>
            </w:r>
          </w:p>
        </w:tc>
        <w:tc>
          <w:tcPr>
            <w:tcW w:w="994" w:type="dxa"/>
            <w:noWrap/>
            <w:hideMark/>
          </w:tcPr>
          <w:p w14:paraId="5704C701" w14:textId="77777777" w:rsidR="00E47AB8" w:rsidRPr="008B2F8A" w:rsidRDefault="00E47AB8" w:rsidP="00422306">
            <w:pPr>
              <w:pStyle w:val="Tableheaderrow"/>
              <w:spacing w:before="40" w:after="80" w:line="276" w:lineRule="auto"/>
              <w:jc w:val="center"/>
            </w:pPr>
            <w:r w:rsidRPr="008B2F8A">
              <w:t>FY 2015</w:t>
            </w:r>
          </w:p>
        </w:tc>
        <w:tc>
          <w:tcPr>
            <w:tcW w:w="994" w:type="dxa"/>
            <w:noWrap/>
            <w:hideMark/>
          </w:tcPr>
          <w:p w14:paraId="6D535252" w14:textId="77777777" w:rsidR="00E47AB8" w:rsidRPr="008B2F8A" w:rsidRDefault="00E47AB8" w:rsidP="00422306">
            <w:pPr>
              <w:pStyle w:val="Tableheaderrow"/>
              <w:spacing w:before="40" w:after="80" w:line="276" w:lineRule="auto"/>
              <w:jc w:val="center"/>
            </w:pPr>
            <w:r w:rsidRPr="008B2F8A">
              <w:t>FY 2016</w:t>
            </w:r>
          </w:p>
        </w:tc>
        <w:tc>
          <w:tcPr>
            <w:tcW w:w="994" w:type="dxa"/>
            <w:noWrap/>
            <w:hideMark/>
          </w:tcPr>
          <w:p w14:paraId="3089FABE" w14:textId="77777777" w:rsidR="00E47AB8" w:rsidRPr="008B2F8A" w:rsidRDefault="00E47AB8" w:rsidP="00422306">
            <w:pPr>
              <w:pStyle w:val="Tableheaderrow"/>
              <w:spacing w:before="40" w:after="80" w:line="276" w:lineRule="auto"/>
              <w:jc w:val="center"/>
            </w:pPr>
            <w:r w:rsidRPr="008B2F8A">
              <w:t>FY 2017</w:t>
            </w:r>
          </w:p>
        </w:tc>
        <w:tc>
          <w:tcPr>
            <w:tcW w:w="994" w:type="dxa"/>
            <w:noWrap/>
            <w:hideMark/>
          </w:tcPr>
          <w:p w14:paraId="386514AE" w14:textId="77777777" w:rsidR="00E47AB8" w:rsidRPr="008B2F8A" w:rsidRDefault="00E47AB8" w:rsidP="00422306">
            <w:pPr>
              <w:pStyle w:val="Tableheaderrow"/>
              <w:spacing w:before="40" w:after="80" w:line="276" w:lineRule="auto"/>
              <w:jc w:val="center"/>
            </w:pPr>
            <w:r w:rsidRPr="008B2F8A">
              <w:t>FY 2018</w:t>
            </w:r>
          </w:p>
        </w:tc>
        <w:tc>
          <w:tcPr>
            <w:tcW w:w="1090" w:type="dxa"/>
            <w:noWrap/>
            <w:hideMark/>
          </w:tcPr>
          <w:p w14:paraId="18D71FE5"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62756FC9" w14:textId="77777777" w:rsidTr="00422306">
        <w:tc>
          <w:tcPr>
            <w:tcW w:w="4004" w:type="dxa"/>
            <w:noWrap/>
            <w:vAlign w:val="bottom"/>
            <w:hideMark/>
          </w:tcPr>
          <w:p w14:paraId="6AB6F01E" w14:textId="77777777" w:rsidR="00E47AB8" w:rsidRPr="008B2F8A" w:rsidRDefault="00E47AB8" w:rsidP="00422306">
            <w:pPr>
              <w:pStyle w:val="TableText0"/>
              <w:keepNext w:val="0"/>
              <w:spacing w:before="40" w:after="80" w:line="276" w:lineRule="auto"/>
            </w:pPr>
            <w:r w:rsidRPr="008B2F8A">
              <w:t>Gene mutation or family history</w:t>
            </w:r>
          </w:p>
        </w:tc>
        <w:tc>
          <w:tcPr>
            <w:tcW w:w="994" w:type="dxa"/>
            <w:noWrap/>
            <w:hideMark/>
          </w:tcPr>
          <w:p w14:paraId="07269A6D" w14:textId="77777777" w:rsidR="00E47AB8" w:rsidRPr="008B2F8A" w:rsidRDefault="00E47AB8" w:rsidP="00422306">
            <w:pPr>
              <w:pStyle w:val="TableText0"/>
              <w:keepNext w:val="0"/>
              <w:spacing w:before="40" w:after="80" w:line="276" w:lineRule="auto"/>
              <w:jc w:val="right"/>
            </w:pPr>
            <w:r w:rsidRPr="008B2F8A">
              <w:t xml:space="preserve"> $11,395 </w:t>
            </w:r>
          </w:p>
        </w:tc>
        <w:tc>
          <w:tcPr>
            <w:tcW w:w="994" w:type="dxa"/>
            <w:noWrap/>
            <w:hideMark/>
          </w:tcPr>
          <w:p w14:paraId="6EFEEDCF" w14:textId="77777777" w:rsidR="00E47AB8" w:rsidRPr="008B2F8A" w:rsidRDefault="00E47AB8" w:rsidP="00422306">
            <w:pPr>
              <w:pStyle w:val="TableText0"/>
              <w:keepNext w:val="0"/>
              <w:spacing w:before="40" w:after="80" w:line="276" w:lineRule="auto"/>
              <w:jc w:val="right"/>
            </w:pPr>
            <w:r w:rsidRPr="008B2F8A">
              <w:t xml:space="preserve"> $12,864 </w:t>
            </w:r>
          </w:p>
        </w:tc>
        <w:tc>
          <w:tcPr>
            <w:tcW w:w="994" w:type="dxa"/>
            <w:noWrap/>
            <w:hideMark/>
          </w:tcPr>
          <w:p w14:paraId="44F61077" w14:textId="77777777" w:rsidR="00E47AB8" w:rsidRPr="008B2F8A" w:rsidRDefault="00E47AB8" w:rsidP="00422306">
            <w:pPr>
              <w:pStyle w:val="TableText0"/>
              <w:keepNext w:val="0"/>
              <w:spacing w:before="40" w:after="80" w:line="276" w:lineRule="auto"/>
              <w:jc w:val="right"/>
            </w:pPr>
            <w:r w:rsidRPr="008B2F8A">
              <w:t xml:space="preserve"> $14,333 </w:t>
            </w:r>
          </w:p>
        </w:tc>
        <w:tc>
          <w:tcPr>
            <w:tcW w:w="994" w:type="dxa"/>
            <w:noWrap/>
            <w:hideMark/>
          </w:tcPr>
          <w:p w14:paraId="2EE27F39" w14:textId="77777777" w:rsidR="00E47AB8" w:rsidRPr="008B2F8A" w:rsidRDefault="00E47AB8" w:rsidP="00422306">
            <w:pPr>
              <w:pStyle w:val="TableText0"/>
              <w:keepNext w:val="0"/>
              <w:spacing w:before="40" w:after="80" w:line="276" w:lineRule="auto"/>
              <w:jc w:val="right"/>
            </w:pPr>
            <w:r w:rsidRPr="008B2F8A">
              <w:t xml:space="preserve"> $15,802 </w:t>
            </w:r>
          </w:p>
        </w:tc>
        <w:tc>
          <w:tcPr>
            <w:tcW w:w="1090" w:type="dxa"/>
            <w:noWrap/>
            <w:hideMark/>
          </w:tcPr>
          <w:p w14:paraId="423766F4" w14:textId="77777777" w:rsidR="00E47AB8" w:rsidRPr="008B2F8A" w:rsidRDefault="00E47AB8" w:rsidP="00422306">
            <w:pPr>
              <w:pStyle w:val="TableText0"/>
              <w:keepNext w:val="0"/>
              <w:spacing w:before="40" w:after="80" w:line="276" w:lineRule="auto"/>
              <w:jc w:val="right"/>
            </w:pPr>
            <w:r w:rsidRPr="008B2F8A">
              <w:t xml:space="preserve"> $17,271 </w:t>
            </w:r>
          </w:p>
        </w:tc>
      </w:tr>
      <w:tr w:rsidR="00E47AB8" w:rsidRPr="008B2F8A" w14:paraId="1B26A96B" w14:textId="77777777" w:rsidTr="00422306">
        <w:tc>
          <w:tcPr>
            <w:tcW w:w="4004" w:type="dxa"/>
            <w:noWrap/>
            <w:vAlign w:val="bottom"/>
          </w:tcPr>
          <w:p w14:paraId="4E4E675B" w14:textId="77777777" w:rsidR="00E47AB8" w:rsidRPr="008B2F8A" w:rsidRDefault="00E47AB8" w:rsidP="00422306">
            <w:pPr>
              <w:pStyle w:val="TableText0"/>
              <w:keepNext w:val="0"/>
              <w:spacing w:before="40" w:after="80" w:line="276" w:lineRule="auto"/>
            </w:pPr>
            <w:r w:rsidRPr="008B2F8A">
              <w:t>Prior history of invasive breast cancer</w:t>
            </w:r>
          </w:p>
        </w:tc>
        <w:tc>
          <w:tcPr>
            <w:tcW w:w="994" w:type="dxa"/>
            <w:noWrap/>
          </w:tcPr>
          <w:p w14:paraId="30DFF922" w14:textId="77777777" w:rsidR="00E47AB8" w:rsidRPr="008B2F8A" w:rsidRDefault="00E47AB8" w:rsidP="00422306">
            <w:pPr>
              <w:pStyle w:val="TableText0"/>
              <w:keepNext w:val="0"/>
              <w:spacing w:before="40" w:after="80" w:line="276" w:lineRule="auto"/>
              <w:jc w:val="right"/>
            </w:pPr>
            <w:r w:rsidRPr="008B2F8A">
              <w:t xml:space="preserve"> $16,362 </w:t>
            </w:r>
          </w:p>
        </w:tc>
        <w:tc>
          <w:tcPr>
            <w:tcW w:w="994" w:type="dxa"/>
            <w:noWrap/>
          </w:tcPr>
          <w:p w14:paraId="1B65567C" w14:textId="77777777" w:rsidR="00E47AB8" w:rsidRPr="008B2F8A" w:rsidRDefault="00E47AB8" w:rsidP="00422306">
            <w:pPr>
              <w:pStyle w:val="TableText0"/>
              <w:keepNext w:val="0"/>
              <w:spacing w:before="40" w:after="80" w:line="276" w:lineRule="auto"/>
              <w:jc w:val="right"/>
            </w:pPr>
            <w:r w:rsidRPr="008B2F8A">
              <w:t xml:space="preserve"> $24,972 </w:t>
            </w:r>
          </w:p>
        </w:tc>
        <w:tc>
          <w:tcPr>
            <w:tcW w:w="994" w:type="dxa"/>
            <w:noWrap/>
          </w:tcPr>
          <w:p w14:paraId="19B39151" w14:textId="77777777" w:rsidR="00E47AB8" w:rsidRPr="008B2F8A" w:rsidRDefault="00E47AB8" w:rsidP="00422306">
            <w:pPr>
              <w:pStyle w:val="TableText0"/>
              <w:keepNext w:val="0"/>
              <w:spacing w:before="40" w:after="80" w:line="276" w:lineRule="auto"/>
              <w:jc w:val="right"/>
            </w:pPr>
            <w:r w:rsidRPr="008B2F8A">
              <w:t xml:space="preserve"> $33,871 </w:t>
            </w:r>
          </w:p>
        </w:tc>
        <w:tc>
          <w:tcPr>
            <w:tcW w:w="994" w:type="dxa"/>
            <w:noWrap/>
          </w:tcPr>
          <w:p w14:paraId="18DA81BB" w14:textId="77777777" w:rsidR="00E47AB8" w:rsidRPr="008B2F8A" w:rsidRDefault="00E47AB8" w:rsidP="00422306">
            <w:pPr>
              <w:pStyle w:val="TableText0"/>
              <w:keepNext w:val="0"/>
              <w:spacing w:before="40" w:after="80" w:line="276" w:lineRule="auto"/>
              <w:jc w:val="right"/>
            </w:pPr>
            <w:r w:rsidRPr="008B2F8A">
              <w:t xml:space="preserve"> $43,056 </w:t>
            </w:r>
          </w:p>
        </w:tc>
        <w:tc>
          <w:tcPr>
            <w:tcW w:w="1090" w:type="dxa"/>
            <w:noWrap/>
          </w:tcPr>
          <w:p w14:paraId="11AFAA58" w14:textId="77777777" w:rsidR="00E47AB8" w:rsidRPr="008B2F8A" w:rsidRDefault="00E47AB8" w:rsidP="00422306">
            <w:pPr>
              <w:pStyle w:val="TableText0"/>
              <w:keepNext w:val="0"/>
              <w:spacing w:before="40" w:after="80" w:line="276" w:lineRule="auto"/>
              <w:jc w:val="right"/>
            </w:pPr>
            <w:r w:rsidRPr="008B2F8A">
              <w:t xml:space="preserve"> $47,798 </w:t>
            </w:r>
          </w:p>
        </w:tc>
      </w:tr>
      <w:tr w:rsidR="00E47AB8" w:rsidRPr="008B2F8A" w14:paraId="0668BAB0" w14:textId="77777777" w:rsidTr="00422306">
        <w:tc>
          <w:tcPr>
            <w:tcW w:w="4004" w:type="dxa"/>
            <w:noWrap/>
            <w:vAlign w:val="bottom"/>
          </w:tcPr>
          <w:p w14:paraId="353E313C" w14:textId="5716330E"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994" w:type="dxa"/>
            <w:noWrap/>
          </w:tcPr>
          <w:p w14:paraId="2DF38997" w14:textId="77777777" w:rsidR="00E47AB8" w:rsidRPr="008B2F8A" w:rsidRDefault="00E47AB8" w:rsidP="00422306">
            <w:pPr>
              <w:pStyle w:val="TableText0"/>
              <w:keepNext w:val="0"/>
              <w:spacing w:before="40" w:after="80" w:line="276" w:lineRule="auto"/>
              <w:jc w:val="right"/>
            </w:pPr>
            <w:r w:rsidRPr="008B2F8A">
              <w:t xml:space="preserve"> $1,950 </w:t>
            </w:r>
          </w:p>
        </w:tc>
        <w:tc>
          <w:tcPr>
            <w:tcW w:w="994" w:type="dxa"/>
            <w:noWrap/>
          </w:tcPr>
          <w:p w14:paraId="72F22192" w14:textId="77777777" w:rsidR="00E47AB8" w:rsidRPr="008B2F8A" w:rsidRDefault="00E47AB8" w:rsidP="00422306">
            <w:pPr>
              <w:pStyle w:val="TableText0"/>
              <w:keepNext w:val="0"/>
              <w:spacing w:before="40" w:after="80" w:line="276" w:lineRule="auto"/>
              <w:jc w:val="right"/>
            </w:pPr>
            <w:r w:rsidRPr="008B2F8A">
              <w:t xml:space="preserve"> $2,975 </w:t>
            </w:r>
          </w:p>
        </w:tc>
        <w:tc>
          <w:tcPr>
            <w:tcW w:w="994" w:type="dxa"/>
            <w:noWrap/>
          </w:tcPr>
          <w:p w14:paraId="4DFED553" w14:textId="77777777" w:rsidR="00E47AB8" w:rsidRPr="008B2F8A" w:rsidRDefault="00E47AB8" w:rsidP="00422306">
            <w:pPr>
              <w:pStyle w:val="TableText0"/>
              <w:keepNext w:val="0"/>
              <w:spacing w:before="40" w:after="80" w:line="276" w:lineRule="auto"/>
              <w:jc w:val="right"/>
            </w:pPr>
            <w:r w:rsidRPr="008B2F8A">
              <w:t xml:space="preserve"> $4,034 </w:t>
            </w:r>
          </w:p>
        </w:tc>
        <w:tc>
          <w:tcPr>
            <w:tcW w:w="994" w:type="dxa"/>
            <w:noWrap/>
          </w:tcPr>
          <w:p w14:paraId="444AB196" w14:textId="77777777" w:rsidR="00E47AB8" w:rsidRPr="008B2F8A" w:rsidRDefault="00E47AB8" w:rsidP="00422306">
            <w:pPr>
              <w:pStyle w:val="TableText0"/>
              <w:keepNext w:val="0"/>
              <w:spacing w:before="40" w:after="80" w:line="276" w:lineRule="auto"/>
              <w:jc w:val="right"/>
            </w:pPr>
            <w:r w:rsidRPr="008B2F8A">
              <w:t xml:space="preserve"> $5,129 </w:t>
            </w:r>
          </w:p>
        </w:tc>
        <w:tc>
          <w:tcPr>
            <w:tcW w:w="1090" w:type="dxa"/>
            <w:noWrap/>
          </w:tcPr>
          <w:p w14:paraId="008B9892" w14:textId="77777777" w:rsidR="00E47AB8" w:rsidRPr="008B2F8A" w:rsidRDefault="00E47AB8" w:rsidP="00422306">
            <w:pPr>
              <w:pStyle w:val="TableText0"/>
              <w:keepNext w:val="0"/>
              <w:spacing w:before="40" w:after="80" w:line="276" w:lineRule="auto"/>
              <w:jc w:val="right"/>
            </w:pPr>
            <w:r w:rsidRPr="008B2F8A">
              <w:t xml:space="preserve"> $5,696 </w:t>
            </w:r>
          </w:p>
        </w:tc>
      </w:tr>
      <w:tr w:rsidR="00E47AB8" w:rsidRPr="008B2F8A" w14:paraId="6290C12A" w14:textId="77777777" w:rsidTr="00422306">
        <w:tc>
          <w:tcPr>
            <w:tcW w:w="4004" w:type="dxa"/>
            <w:noWrap/>
            <w:vAlign w:val="bottom"/>
          </w:tcPr>
          <w:p w14:paraId="7ACE9467"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994" w:type="dxa"/>
            <w:noWrap/>
          </w:tcPr>
          <w:p w14:paraId="62202E08" w14:textId="77777777" w:rsidR="00E47AB8" w:rsidRPr="008B2F8A" w:rsidRDefault="00E47AB8" w:rsidP="00422306">
            <w:pPr>
              <w:pStyle w:val="TableText0"/>
              <w:keepNext w:val="0"/>
              <w:spacing w:before="40" w:after="80" w:line="276" w:lineRule="auto"/>
              <w:jc w:val="right"/>
            </w:pPr>
            <w:r w:rsidRPr="008B2F8A">
              <w:t xml:space="preserve"> $190 </w:t>
            </w:r>
          </w:p>
        </w:tc>
        <w:tc>
          <w:tcPr>
            <w:tcW w:w="994" w:type="dxa"/>
            <w:noWrap/>
          </w:tcPr>
          <w:p w14:paraId="0792D82E" w14:textId="77777777" w:rsidR="00E47AB8" w:rsidRPr="008B2F8A" w:rsidRDefault="00E47AB8" w:rsidP="00422306">
            <w:pPr>
              <w:pStyle w:val="TableText0"/>
              <w:keepNext w:val="0"/>
              <w:spacing w:before="40" w:after="80" w:line="276" w:lineRule="auto"/>
              <w:jc w:val="right"/>
            </w:pPr>
            <w:r w:rsidRPr="008B2F8A">
              <w:t xml:space="preserve"> $387 </w:t>
            </w:r>
          </w:p>
        </w:tc>
        <w:tc>
          <w:tcPr>
            <w:tcW w:w="994" w:type="dxa"/>
            <w:noWrap/>
          </w:tcPr>
          <w:p w14:paraId="277C0613" w14:textId="77777777" w:rsidR="00E47AB8" w:rsidRPr="008B2F8A" w:rsidRDefault="00E47AB8" w:rsidP="00422306">
            <w:pPr>
              <w:pStyle w:val="TableText0"/>
              <w:keepNext w:val="0"/>
              <w:spacing w:before="40" w:after="80" w:line="276" w:lineRule="auto"/>
              <w:jc w:val="right"/>
            </w:pPr>
            <w:r w:rsidRPr="008B2F8A">
              <w:t xml:space="preserve"> $591 </w:t>
            </w:r>
          </w:p>
        </w:tc>
        <w:tc>
          <w:tcPr>
            <w:tcW w:w="994" w:type="dxa"/>
            <w:noWrap/>
          </w:tcPr>
          <w:p w14:paraId="5C01C491" w14:textId="77777777" w:rsidR="00E47AB8" w:rsidRPr="008B2F8A" w:rsidRDefault="00E47AB8" w:rsidP="00422306">
            <w:pPr>
              <w:pStyle w:val="TableText0"/>
              <w:keepNext w:val="0"/>
              <w:spacing w:before="40" w:after="80" w:line="276" w:lineRule="auto"/>
              <w:jc w:val="right"/>
            </w:pPr>
            <w:r w:rsidRPr="008B2F8A">
              <w:t xml:space="preserve"> $801 </w:t>
            </w:r>
          </w:p>
        </w:tc>
        <w:tc>
          <w:tcPr>
            <w:tcW w:w="1090" w:type="dxa"/>
            <w:noWrap/>
          </w:tcPr>
          <w:p w14:paraId="4ADEDB52" w14:textId="77777777" w:rsidR="00E47AB8" w:rsidRPr="008B2F8A" w:rsidRDefault="00E47AB8" w:rsidP="00422306">
            <w:pPr>
              <w:pStyle w:val="TableText0"/>
              <w:keepNext w:val="0"/>
              <w:spacing w:before="40" w:after="80" w:line="276" w:lineRule="auto"/>
              <w:jc w:val="right"/>
            </w:pPr>
            <w:r w:rsidRPr="008B2F8A">
              <w:t xml:space="preserve"> $928 </w:t>
            </w:r>
          </w:p>
        </w:tc>
      </w:tr>
      <w:tr w:rsidR="00E47AB8" w:rsidRPr="008B2F8A" w14:paraId="124F8EB3" w14:textId="77777777" w:rsidTr="00422306">
        <w:tc>
          <w:tcPr>
            <w:tcW w:w="4004" w:type="dxa"/>
            <w:noWrap/>
            <w:vAlign w:val="bottom"/>
          </w:tcPr>
          <w:p w14:paraId="664F4312" w14:textId="77777777" w:rsidR="00E47AB8" w:rsidRPr="008B2F8A" w:rsidRDefault="00E47AB8" w:rsidP="00422306">
            <w:pPr>
              <w:pStyle w:val="TableText0"/>
              <w:keepNext w:val="0"/>
              <w:spacing w:before="40" w:after="80" w:line="276" w:lineRule="auto"/>
            </w:pPr>
            <w:r w:rsidRPr="008B2F8A">
              <w:t>All populations</w:t>
            </w:r>
          </w:p>
        </w:tc>
        <w:tc>
          <w:tcPr>
            <w:tcW w:w="994" w:type="dxa"/>
            <w:noWrap/>
          </w:tcPr>
          <w:p w14:paraId="09CCE914" w14:textId="77777777" w:rsidR="00E47AB8" w:rsidRPr="008B2F8A" w:rsidRDefault="00E47AB8" w:rsidP="00422306">
            <w:pPr>
              <w:pStyle w:val="TableText0"/>
              <w:keepNext w:val="0"/>
              <w:spacing w:before="40" w:after="80" w:line="276" w:lineRule="auto"/>
              <w:jc w:val="right"/>
            </w:pPr>
            <w:r w:rsidRPr="008B2F8A">
              <w:t xml:space="preserve"> $29,897 </w:t>
            </w:r>
          </w:p>
        </w:tc>
        <w:tc>
          <w:tcPr>
            <w:tcW w:w="994" w:type="dxa"/>
            <w:noWrap/>
          </w:tcPr>
          <w:p w14:paraId="15164816" w14:textId="77777777" w:rsidR="00E47AB8" w:rsidRPr="008B2F8A" w:rsidRDefault="00E47AB8" w:rsidP="00422306">
            <w:pPr>
              <w:pStyle w:val="TableText0"/>
              <w:keepNext w:val="0"/>
              <w:spacing w:before="40" w:after="80" w:line="276" w:lineRule="auto"/>
              <w:jc w:val="right"/>
            </w:pPr>
            <w:r w:rsidRPr="008B2F8A">
              <w:t xml:space="preserve"> $41,198 </w:t>
            </w:r>
          </w:p>
        </w:tc>
        <w:tc>
          <w:tcPr>
            <w:tcW w:w="994" w:type="dxa"/>
            <w:noWrap/>
          </w:tcPr>
          <w:p w14:paraId="12D820BA" w14:textId="77777777" w:rsidR="00E47AB8" w:rsidRPr="008B2F8A" w:rsidRDefault="00E47AB8" w:rsidP="00422306">
            <w:pPr>
              <w:pStyle w:val="TableText0"/>
              <w:keepNext w:val="0"/>
              <w:spacing w:before="40" w:after="80" w:line="276" w:lineRule="auto"/>
              <w:jc w:val="right"/>
            </w:pPr>
            <w:r w:rsidRPr="008B2F8A">
              <w:t xml:space="preserve"> $52,829 </w:t>
            </w:r>
          </w:p>
        </w:tc>
        <w:tc>
          <w:tcPr>
            <w:tcW w:w="994" w:type="dxa"/>
            <w:noWrap/>
          </w:tcPr>
          <w:p w14:paraId="086C43E9" w14:textId="77777777" w:rsidR="00E47AB8" w:rsidRPr="008B2F8A" w:rsidRDefault="00E47AB8" w:rsidP="00422306">
            <w:pPr>
              <w:pStyle w:val="TableText0"/>
              <w:keepNext w:val="0"/>
              <w:spacing w:before="40" w:after="80" w:line="276" w:lineRule="auto"/>
              <w:jc w:val="right"/>
            </w:pPr>
            <w:r w:rsidRPr="008B2F8A">
              <w:t xml:space="preserve"> $64,788 </w:t>
            </w:r>
          </w:p>
        </w:tc>
        <w:tc>
          <w:tcPr>
            <w:tcW w:w="1090" w:type="dxa"/>
            <w:noWrap/>
          </w:tcPr>
          <w:p w14:paraId="3C75E7EF" w14:textId="77777777" w:rsidR="00E47AB8" w:rsidRPr="008B2F8A" w:rsidRDefault="00E47AB8" w:rsidP="00422306">
            <w:pPr>
              <w:pStyle w:val="TableText0"/>
              <w:keepNext w:val="0"/>
              <w:spacing w:before="40" w:after="80" w:line="276" w:lineRule="auto"/>
              <w:jc w:val="right"/>
            </w:pPr>
            <w:r w:rsidRPr="008B2F8A">
              <w:t xml:space="preserve"> $71,693 </w:t>
            </w:r>
          </w:p>
        </w:tc>
      </w:tr>
    </w:tbl>
    <w:p w14:paraId="64111984" w14:textId="4DB39023" w:rsidR="00E47AB8"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7CAD6601" w14:textId="77777777" w:rsidR="00F56FD1" w:rsidRPr="008B2F8A" w:rsidRDefault="00F56FD1" w:rsidP="00F56FD1">
      <w:pPr>
        <w:pStyle w:val="TableNotesFirst"/>
      </w:pPr>
    </w:p>
    <w:p w14:paraId="7F0CD50F" w14:textId="3C883D6E" w:rsidR="00E47AB8" w:rsidRPr="008B2F8A" w:rsidRDefault="00E47AB8" w:rsidP="00422306">
      <w:r w:rsidRPr="008B2F8A">
        <w:t xml:space="preserve">The total cost for consultations, </w:t>
      </w:r>
      <w:r>
        <w:t>both</w:t>
      </w:r>
      <w:r w:rsidRPr="008B2F8A">
        <w:t xml:space="preserve"> initial and follow-up, is shown in </w:t>
      </w:r>
      <w:r w:rsidRPr="008B2F8A">
        <w:fldChar w:fldCharType="begin"/>
      </w:r>
      <w:r w:rsidRPr="008B2F8A">
        <w:instrText xml:space="preserve"> REF _Ref376856858 \h </w:instrText>
      </w:r>
      <w:r w:rsidRPr="008B2F8A">
        <w:fldChar w:fldCharType="separate"/>
      </w:r>
      <w:r w:rsidR="00B81273" w:rsidRPr="008B2F8A">
        <w:t xml:space="preserve">Table </w:t>
      </w:r>
      <w:r w:rsidR="00B81273">
        <w:rPr>
          <w:noProof/>
        </w:rPr>
        <w:t>E</w:t>
      </w:r>
      <w:r w:rsidR="00B81273" w:rsidRPr="008B2F8A">
        <w:t>.</w:t>
      </w:r>
      <w:r w:rsidR="00B81273">
        <w:rPr>
          <w:noProof/>
        </w:rPr>
        <w:t>19</w:t>
      </w:r>
      <w:r w:rsidRPr="008B2F8A">
        <w:fldChar w:fldCharType="end"/>
      </w:r>
      <w:r w:rsidRPr="008B2F8A">
        <w:t>. Across all populations, the total cost for specialist attendance was estimated to be $0.8 million in 2015, rising to $2.0 million in 2019.</w:t>
      </w:r>
    </w:p>
    <w:p w14:paraId="2A56A72C" w14:textId="6BE2EDA1" w:rsidR="00E47AB8" w:rsidRPr="008B2F8A" w:rsidRDefault="00E47AB8" w:rsidP="00422306">
      <w:pPr>
        <w:pStyle w:val="Caption"/>
      </w:pPr>
      <w:bookmarkStart w:id="1363" w:name="_Ref376856858"/>
      <w:bookmarkStart w:id="1364" w:name="_Toc383424650"/>
      <w:r w:rsidRPr="008B2F8A">
        <w:t xml:space="preserve">Table </w:t>
      </w:r>
      <w:fldSimple w:instr=" STYLEREF 1 \s ">
        <w:r w:rsidR="00B81273">
          <w:rPr>
            <w:noProof/>
          </w:rPr>
          <w:t>E</w:t>
        </w:r>
      </w:fldSimple>
      <w:r w:rsidRPr="008B2F8A">
        <w:t>.</w:t>
      </w:r>
      <w:fldSimple w:instr=" SEQ Table \* ARABIC \s 1 ">
        <w:r w:rsidR="00B81273">
          <w:rPr>
            <w:noProof/>
          </w:rPr>
          <w:t>19</w:t>
        </w:r>
      </w:fldSimple>
      <w:bookmarkEnd w:id="1363"/>
      <w:r w:rsidRPr="008B2F8A">
        <w:tab/>
        <w:t>Total estimated cost of specialist attendance with MRI in the requested populations.</w:t>
      </w:r>
      <w:bookmarkEnd w:id="1364"/>
    </w:p>
    <w:tbl>
      <w:tblPr>
        <w:tblStyle w:val="TableGrid"/>
        <w:tblW w:w="9070" w:type="dxa"/>
        <w:tblCellMar>
          <w:left w:w="28" w:type="dxa"/>
          <w:right w:w="28" w:type="dxa"/>
        </w:tblCellMar>
        <w:tblLook w:val="04A0" w:firstRow="1" w:lastRow="0" w:firstColumn="1" w:lastColumn="0" w:noHBand="0" w:noVBand="1"/>
        <w:tblCaption w:val="Total estimated cost of specialist attendance with MRI in the requested populations."/>
      </w:tblPr>
      <w:tblGrid>
        <w:gridCol w:w="4005"/>
        <w:gridCol w:w="889"/>
        <w:gridCol w:w="1044"/>
        <w:gridCol w:w="1044"/>
        <w:gridCol w:w="1044"/>
        <w:gridCol w:w="1044"/>
      </w:tblGrid>
      <w:tr w:rsidR="00E47AB8" w:rsidRPr="008B2F8A" w14:paraId="199C28E0" w14:textId="77777777" w:rsidTr="00422306">
        <w:trPr>
          <w:tblHeader/>
        </w:trPr>
        <w:tc>
          <w:tcPr>
            <w:tcW w:w="0" w:type="auto"/>
            <w:noWrap/>
            <w:hideMark/>
          </w:tcPr>
          <w:p w14:paraId="59580D3D"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2200B73A"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1081EC49"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6352798B"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6E0DBF35"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206D3BCF"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6078A05E" w14:textId="77777777" w:rsidTr="00422306">
        <w:tc>
          <w:tcPr>
            <w:tcW w:w="0" w:type="auto"/>
            <w:noWrap/>
            <w:vAlign w:val="bottom"/>
            <w:hideMark/>
          </w:tcPr>
          <w:p w14:paraId="16D8E774"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1A340AF6" w14:textId="77777777" w:rsidR="00E47AB8" w:rsidRPr="008B2F8A" w:rsidRDefault="00E47AB8" w:rsidP="00422306">
            <w:pPr>
              <w:pStyle w:val="TableText0"/>
              <w:keepNext w:val="0"/>
              <w:spacing w:before="40" w:after="80" w:line="276" w:lineRule="auto"/>
              <w:jc w:val="right"/>
            </w:pPr>
            <w:r w:rsidRPr="008B2F8A">
              <w:t xml:space="preserve"> $316,232 </w:t>
            </w:r>
          </w:p>
        </w:tc>
        <w:tc>
          <w:tcPr>
            <w:tcW w:w="0" w:type="auto"/>
            <w:noWrap/>
            <w:hideMark/>
          </w:tcPr>
          <w:p w14:paraId="59952D39" w14:textId="77777777" w:rsidR="00E47AB8" w:rsidRPr="008B2F8A" w:rsidRDefault="00E47AB8" w:rsidP="00422306">
            <w:pPr>
              <w:pStyle w:val="TableText0"/>
              <w:keepNext w:val="0"/>
              <w:spacing w:before="40" w:after="80" w:line="276" w:lineRule="auto"/>
              <w:jc w:val="right"/>
            </w:pPr>
            <w:r w:rsidRPr="008B2F8A">
              <w:t xml:space="preserve"> $357,000 </w:t>
            </w:r>
          </w:p>
        </w:tc>
        <w:tc>
          <w:tcPr>
            <w:tcW w:w="0" w:type="auto"/>
            <w:noWrap/>
            <w:hideMark/>
          </w:tcPr>
          <w:p w14:paraId="4AF4C3D7" w14:textId="77777777" w:rsidR="00E47AB8" w:rsidRPr="008B2F8A" w:rsidRDefault="00E47AB8" w:rsidP="00422306">
            <w:pPr>
              <w:pStyle w:val="TableText0"/>
              <w:keepNext w:val="0"/>
              <w:spacing w:before="40" w:after="80" w:line="276" w:lineRule="auto"/>
              <w:jc w:val="right"/>
            </w:pPr>
            <w:r w:rsidRPr="008B2F8A">
              <w:t xml:space="preserve"> $397,769 </w:t>
            </w:r>
          </w:p>
        </w:tc>
        <w:tc>
          <w:tcPr>
            <w:tcW w:w="0" w:type="auto"/>
            <w:noWrap/>
            <w:hideMark/>
          </w:tcPr>
          <w:p w14:paraId="2B09EAAB" w14:textId="77777777" w:rsidR="00E47AB8" w:rsidRPr="008B2F8A" w:rsidRDefault="00E47AB8" w:rsidP="00422306">
            <w:pPr>
              <w:pStyle w:val="TableText0"/>
              <w:keepNext w:val="0"/>
              <w:spacing w:before="40" w:after="80" w:line="276" w:lineRule="auto"/>
              <w:jc w:val="right"/>
            </w:pPr>
            <w:r w:rsidRPr="008B2F8A">
              <w:t xml:space="preserve"> $438,537 </w:t>
            </w:r>
          </w:p>
        </w:tc>
        <w:tc>
          <w:tcPr>
            <w:tcW w:w="0" w:type="auto"/>
            <w:noWrap/>
            <w:hideMark/>
          </w:tcPr>
          <w:p w14:paraId="367C7A9D" w14:textId="77777777" w:rsidR="00E47AB8" w:rsidRPr="008B2F8A" w:rsidRDefault="00E47AB8" w:rsidP="00422306">
            <w:pPr>
              <w:pStyle w:val="TableText0"/>
              <w:keepNext w:val="0"/>
              <w:spacing w:before="40" w:after="80" w:line="276" w:lineRule="auto"/>
              <w:jc w:val="right"/>
            </w:pPr>
            <w:r w:rsidRPr="008B2F8A">
              <w:t xml:space="preserve"> $479,306 </w:t>
            </w:r>
          </w:p>
        </w:tc>
      </w:tr>
      <w:tr w:rsidR="00E47AB8" w:rsidRPr="008B2F8A" w14:paraId="66EA21C6" w14:textId="77777777" w:rsidTr="00422306">
        <w:tc>
          <w:tcPr>
            <w:tcW w:w="0" w:type="auto"/>
            <w:noWrap/>
            <w:vAlign w:val="bottom"/>
          </w:tcPr>
          <w:p w14:paraId="0EAD0CFE"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1FD833C2" w14:textId="77777777" w:rsidR="00E47AB8" w:rsidRPr="008B2F8A" w:rsidRDefault="00E47AB8" w:rsidP="00422306">
            <w:pPr>
              <w:pStyle w:val="TableText0"/>
              <w:keepNext w:val="0"/>
              <w:spacing w:before="40" w:after="80" w:line="276" w:lineRule="auto"/>
              <w:jc w:val="right"/>
            </w:pPr>
            <w:r w:rsidRPr="008B2F8A">
              <w:t xml:space="preserve"> $454,079 </w:t>
            </w:r>
          </w:p>
        </w:tc>
        <w:tc>
          <w:tcPr>
            <w:tcW w:w="0" w:type="auto"/>
            <w:noWrap/>
          </w:tcPr>
          <w:p w14:paraId="444657E4" w14:textId="77777777" w:rsidR="00E47AB8" w:rsidRPr="008B2F8A" w:rsidRDefault="00E47AB8" w:rsidP="00422306">
            <w:pPr>
              <w:pStyle w:val="TableText0"/>
              <w:keepNext w:val="0"/>
              <w:spacing w:before="40" w:after="80" w:line="276" w:lineRule="auto"/>
              <w:jc w:val="right"/>
            </w:pPr>
            <w:r w:rsidRPr="008B2F8A">
              <w:t xml:space="preserve"> $693,031 </w:t>
            </w:r>
          </w:p>
        </w:tc>
        <w:tc>
          <w:tcPr>
            <w:tcW w:w="0" w:type="auto"/>
            <w:noWrap/>
          </w:tcPr>
          <w:p w14:paraId="59A6AB6E" w14:textId="77777777" w:rsidR="00E47AB8" w:rsidRPr="008B2F8A" w:rsidRDefault="00E47AB8" w:rsidP="00422306">
            <w:pPr>
              <w:pStyle w:val="TableText0"/>
              <w:keepNext w:val="0"/>
              <w:spacing w:before="40" w:after="80" w:line="276" w:lineRule="auto"/>
              <w:jc w:val="right"/>
            </w:pPr>
            <w:r w:rsidRPr="008B2F8A">
              <w:t xml:space="preserve"> $940,011 </w:t>
            </w:r>
          </w:p>
        </w:tc>
        <w:tc>
          <w:tcPr>
            <w:tcW w:w="0" w:type="auto"/>
            <w:noWrap/>
          </w:tcPr>
          <w:p w14:paraId="6A0B807D" w14:textId="77777777" w:rsidR="00E47AB8" w:rsidRPr="008B2F8A" w:rsidRDefault="00E47AB8" w:rsidP="00422306">
            <w:pPr>
              <w:pStyle w:val="TableText0"/>
              <w:keepNext w:val="0"/>
              <w:spacing w:before="40" w:after="80" w:line="276" w:lineRule="auto"/>
              <w:jc w:val="right"/>
            </w:pPr>
            <w:r w:rsidRPr="008B2F8A">
              <w:t xml:space="preserve"> $1,194,926 </w:t>
            </w:r>
          </w:p>
        </w:tc>
        <w:tc>
          <w:tcPr>
            <w:tcW w:w="0" w:type="auto"/>
            <w:noWrap/>
          </w:tcPr>
          <w:p w14:paraId="564D19F8" w14:textId="77777777" w:rsidR="00E47AB8" w:rsidRPr="008B2F8A" w:rsidRDefault="00E47AB8" w:rsidP="00422306">
            <w:pPr>
              <w:pStyle w:val="TableText0"/>
              <w:keepNext w:val="0"/>
              <w:spacing w:before="40" w:after="80" w:line="276" w:lineRule="auto"/>
              <w:jc w:val="right"/>
            </w:pPr>
            <w:r w:rsidRPr="008B2F8A">
              <w:t xml:space="preserve"> $1,326,530 </w:t>
            </w:r>
          </w:p>
        </w:tc>
      </w:tr>
      <w:tr w:rsidR="00E47AB8" w:rsidRPr="008B2F8A" w14:paraId="6402273C" w14:textId="77777777" w:rsidTr="00422306">
        <w:tc>
          <w:tcPr>
            <w:tcW w:w="0" w:type="auto"/>
            <w:noWrap/>
            <w:vAlign w:val="bottom"/>
          </w:tcPr>
          <w:p w14:paraId="3F1E8B3C" w14:textId="7BC325C2"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11D062A1" w14:textId="77777777" w:rsidR="00E47AB8" w:rsidRPr="008B2F8A" w:rsidRDefault="00E47AB8" w:rsidP="00422306">
            <w:pPr>
              <w:pStyle w:val="TableText0"/>
              <w:keepNext w:val="0"/>
              <w:spacing w:before="40" w:after="80" w:line="276" w:lineRule="auto"/>
              <w:jc w:val="right"/>
            </w:pPr>
            <w:r w:rsidRPr="008B2F8A">
              <w:t xml:space="preserve"> $54,127 </w:t>
            </w:r>
          </w:p>
        </w:tc>
        <w:tc>
          <w:tcPr>
            <w:tcW w:w="0" w:type="auto"/>
            <w:noWrap/>
          </w:tcPr>
          <w:p w14:paraId="02646833" w14:textId="77777777" w:rsidR="00E47AB8" w:rsidRPr="008B2F8A" w:rsidRDefault="00E47AB8" w:rsidP="00422306">
            <w:pPr>
              <w:pStyle w:val="TableText0"/>
              <w:keepNext w:val="0"/>
              <w:spacing w:before="40" w:after="80" w:line="276" w:lineRule="auto"/>
              <w:jc w:val="right"/>
            </w:pPr>
            <w:r w:rsidRPr="008B2F8A">
              <w:t xml:space="preserve"> $82,570 </w:t>
            </w:r>
          </w:p>
        </w:tc>
        <w:tc>
          <w:tcPr>
            <w:tcW w:w="0" w:type="auto"/>
            <w:noWrap/>
          </w:tcPr>
          <w:p w14:paraId="60FE185C" w14:textId="77777777" w:rsidR="00E47AB8" w:rsidRPr="008B2F8A" w:rsidRDefault="00E47AB8" w:rsidP="00422306">
            <w:pPr>
              <w:pStyle w:val="TableText0"/>
              <w:keepNext w:val="0"/>
              <w:spacing w:before="40" w:after="80" w:line="276" w:lineRule="auto"/>
              <w:jc w:val="right"/>
            </w:pPr>
            <w:r w:rsidRPr="008B2F8A">
              <w:t xml:space="preserve"> $111,965 </w:t>
            </w:r>
          </w:p>
        </w:tc>
        <w:tc>
          <w:tcPr>
            <w:tcW w:w="0" w:type="auto"/>
            <w:noWrap/>
          </w:tcPr>
          <w:p w14:paraId="0EF9653B" w14:textId="77777777" w:rsidR="00E47AB8" w:rsidRPr="008B2F8A" w:rsidRDefault="00E47AB8" w:rsidP="00422306">
            <w:pPr>
              <w:pStyle w:val="TableText0"/>
              <w:keepNext w:val="0"/>
              <w:spacing w:before="40" w:after="80" w:line="276" w:lineRule="auto"/>
              <w:jc w:val="right"/>
            </w:pPr>
            <w:r w:rsidRPr="008B2F8A">
              <w:t xml:space="preserve"> $142,336 </w:t>
            </w:r>
          </w:p>
        </w:tc>
        <w:tc>
          <w:tcPr>
            <w:tcW w:w="0" w:type="auto"/>
            <w:noWrap/>
          </w:tcPr>
          <w:p w14:paraId="10AD50D1" w14:textId="77777777" w:rsidR="00E47AB8" w:rsidRPr="008B2F8A" w:rsidRDefault="00E47AB8" w:rsidP="00422306">
            <w:pPr>
              <w:pStyle w:val="TableText0"/>
              <w:keepNext w:val="0"/>
              <w:spacing w:before="40" w:after="80" w:line="276" w:lineRule="auto"/>
              <w:jc w:val="right"/>
            </w:pPr>
            <w:r w:rsidRPr="008B2F8A">
              <w:t xml:space="preserve"> $158,073 </w:t>
            </w:r>
          </w:p>
        </w:tc>
      </w:tr>
      <w:tr w:rsidR="00E47AB8" w:rsidRPr="008B2F8A" w14:paraId="1C0FE572" w14:textId="77777777" w:rsidTr="00422306">
        <w:tc>
          <w:tcPr>
            <w:tcW w:w="0" w:type="auto"/>
            <w:noWrap/>
            <w:vAlign w:val="bottom"/>
          </w:tcPr>
          <w:p w14:paraId="41A8034F"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6593D7B9" w14:textId="77777777" w:rsidR="00E47AB8" w:rsidRPr="008B2F8A" w:rsidRDefault="00E47AB8" w:rsidP="00422306">
            <w:pPr>
              <w:pStyle w:val="TableText0"/>
              <w:keepNext w:val="0"/>
              <w:spacing w:before="40" w:after="80" w:line="276" w:lineRule="auto"/>
              <w:jc w:val="right"/>
            </w:pPr>
            <w:r w:rsidRPr="008B2F8A">
              <w:t xml:space="preserve"> $5,283 </w:t>
            </w:r>
          </w:p>
        </w:tc>
        <w:tc>
          <w:tcPr>
            <w:tcW w:w="0" w:type="auto"/>
            <w:noWrap/>
          </w:tcPr>
          <w:p w14:paraId="73C7AEDE" w14:textId="77777777" w:rsidR="00E47AB8" w:rsidRPr="008B2F8A" w:rsidRDefault="00E47AB8" w:rsidP="00422306">
            <w:pPr>
              <w:pStyle w:val="TableText0"/>
              <w:keepNext w:val="0"/>
              <w:spacing w:before="40" w:after="80" w:line="276" w:lineRule="auto"/>
              <w:jc w:val="right"/>
            </w:pPr>
            <w:r w:rsidRPr="008B2F8A">
              <w:t xml:space="preserve"> $10,745 </w:t>
            </w:r>
          </w:p>
        </w:tc>
        <w:tc>
          <w:tcPr>
            <w:tcW w:w="0" w:type="auto"/>
            <w:noWrap/>
          </w:tcPr>
          <w:p w14:paraId="4E8C729C" w14:textId="77777777" w:rsidR="00E47AB8" w:rsidRPr="008B2F8A" w:rsidRDefault="00E47AB8" w:rsidP="00422306">
            <w:pPr>
              <w:pStyle w:val="TableText0"/>
              <w:keepNext w:val="0"/>
              <w:spacing w:before="40" w:after="80" w:line="276" w:lineRule="auto"/>
              <w:jc w:val="right"/>
            </w:pPr>
            <w:r w:rsidRPr="008B2F8A">
              <w:t xml:space="preserve"> $16,392 </w:t>
            </w:r>
          </w:p>
        </w:tc>
        <w:tc>
          <w:tcPr>
            <w:tcW w:w="0" w:type="auto"/>
            <w:noWrap/>
          </w:tcPr>
          <w:p w14:paraId="7D159D2A" w14:textId="77777777" w:rsidR="00E47AB8" w:rsidRPr="008B2F8A" w:rsidRDefault="00E47AB8" w:rsidP="00422306">
            <w:pPr>
              <w:pStyle w:val="TableText0"/>
              <w:keepNext w:val="0"/>
              <w:spacing w:before="40" w:after="80" w:line="276" w:lineRule="auto"/>
              <w:jc w:val="right"/>
            </w:pPr>
            <w:r w:rsidRPr="008B2F8A">
              <w:t xml:space="preserve"> $22,228 </w:t>
            </w:r>
          </w:p>
        </w:tc>
        <w:tc>
          <w:tcPr>
            <w:tcW w:w="0" w:type="auto"/>
            <w:noWrap/>
          </w:tcPr>
          <w:p w14:paraId="413B53F0" w14:textId="77777777" w:rsidR="00E47AB8" w:rsidRPr="008B2F8A" w:rsidRDefault="00E47AB8" w:rsidP="00422306">
            <w:pPr>
              <w:pStyle w:val="TableText0"/>
              <w:keepNext w:val="0"/>
              <w:spacing w:before="40" w:after="80" w:line="276" w:lineRule="auto"/>
              <w:jc w:val="right"/>
            </w:pPr>
            <w:r w:rsidRPr="008B2F8A">
              <w:t xml:space="preserve"> $25,754 </w:t>
            </w:r>
          </w:p>
        </w:tc>
      </w:tr>
      <w:tr w:rsidR="00E47AB8" w:rsidRPr="008B2F8A" w14:paraId="6E6093F0" w14:textId="77777777" w:rsidTr="00422306">
        <w:tc>
          <w:tcPr>
            <w:tcW w:w="0" w:type="auto"/>
            <w:noWrap/>
            <w:vAlign w:val="bottom"/>
          </w:tcPr>
          <w:p w14:paraId="28E2164A"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047DE07D" w14:textId="77777777" w:rsidR="00E47AB8" w:rsidRPr="008B2F8A" w:rsidRDefault="00E47AB8" w:rsidP="00422306">
            <w:pPr>
              <w:pStyle w:val="TableText0"/>
              <w:keepNext w:val="0"/>
              <w:spacing w:before="40" w:after="80" w:line="276" w:lineRule="auto"/>
              <w:jc w:val="right"/>
            </w:pPr>
            <w:r w:rsidRPr="008B2F8A">
              <w:t xml:space="preserve"> $829,720 </w:t>
            </w:r>
          </w:p>
        </w:tc>
        <w:tc>
          <w:tcPr>
            <w:tcW w:w="0" w:type="auto"/>
            <w:noWrap/>
          </w:tcPr>
          <w:p w14:paraId="6C19D973" w14:textId="77777777" w:rsidR="00E47AB8" w:rsidRPr="008B2F8A" w:rsidRDefault="00E47AB8" w:rsidP="00422306">
            <w:pPr>
              <w:pStyle w:val="TableText0"/>
              <w:keepNext w:val="0"/>
              <w:spacing w:before="40" w:after="80" w:line="276" w:lineRule="auto"/>
              <w:jc w:val="right"/>
            </w:pPr>
            <w:r w:rsidRPr="008B2F8A">
              <w:t xml:space="preserve"> $1,143,347 </w:t>
            </w:r>
          </w:p>
        </w:tc>
        <w:tc>
          <w:tcPr>
            <w:tcW w:w="0" w:type="auto"/>
            <w:noWrap/>
          </w:tcPr>
          <w:p w14:paraId="36B7F9E7" w14:textId="77777777" w:rsidR="00E47AB8" w:rsidRPr="008B2F8A" w:rsidRDefault="00E47AB8" w:rsidP="00422306">
            <w:pPr>
              <w:pStyle w:val="TableText0"/>
              <w:keepNext w:val="0"/>
              <w:spacing w:before="40" w:after="80" w:line="276" w:lineRule="auto"/>
              <w:jc w:val="right"/>
            </w:pPr>
            <w:r w:rsidRPr="008B2F8A">
              <w:t xml:space="preserve"> $1,466,137 </w:t>
            </w:r>
          </w:p>
        </w:tc>
        <w:tc>
          <w:tcPr>
            <w:tcW w:w="0" w:type="auto"/>
            <w:noWrap/>
          </w:tcPr>
          <w:p w14:paraId="4AFAE6C3" w14:textId="77777777" w:rsidR="00E47AB8" w:rsidRPr="008B2F8A" w:rsidRDefault="00E47AB8" w:rsidP="00422306">
            <w:pPr>
              <w:pStyle w:val="TableText0"/>
              <w:keepNext w:val="0"/>
              <w:spacing w:before="40" w:after="80" w:line="276" w:lineRule="auto"/>
              <w:jc w:val="right"/>
            </w:pPr>
            <w:r w:rsidRPr="008B2F8A">
              <w:t xml:space="preserve"> $1,798,027 </w:t>
            </w:r>
          </w:p>
        </w:tc>
        <w:tc>
          <w:tcPr>
            <w:tcW w:w="0" w:type="auto"/>
            <w:noWrap/>
          </w:tcPr>
          <w:p w14:paraId="1673AA7F" w14:textId="77777777" w:rsidR="00E47AB8" w:rsidRPr="008B2F8A" w:rsidRDefault="00E47AB8" w:rsidP="00422306">
            <w:pPr>
              <w:pStyle w:val="TableText0"/>
              <w:keepNext w:val="0"/>
              <w:spacing w:before="40" w:after="80" w:line="276" w:lineRule="auto"/>
              <w:jc w:val="right"/>
            </w:pPr>
            <w:r w:rsidRPr="008B2F8A">
              <w:t xml:space="preserve"> $1,989,662 </w:t>
            </w:r>
          </w:p>
        </w:tc>
      </w:tr>
    </w:tbl>
    <w:p w14:paraId="636E598F" w14:textId="17E29E18" w:rsidR="00E47AB8" w:rsidRPr="008B2F8A"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1B6EB418" w14:textId="77777777" w:rsidR="00E47AB8" w:rsidRPr="008B2F8A" w:rsidRDefault="00E47AB8" w:rsidP="00E47AB8">
      <w:pPr>
        <w:pStyle w:val="Heading3"/>
        <w:numPr>
          <w:ilvl w:val="2"/>
          <w:numId w:val="42"/>
        </w:numPr>
      </w:pPr>
      <w:bookmarkStart w:id="1365" w:name="_Toc383424530"/>
      <w:r w:rsidRPr="008B2F8A">
        <w:t>Cost savings from replacement of ultrasound</w:t>
      </w:r>
      <w:bookmarkEnd w:id="1365"/>
    </w:p>
    <w:p w14:paraId="00FFBAD7" w14:textId="386F2E13" w:rsidR="00E47AB8" w:rsidRPr="008B2F8A" w:rsidRDefault="00E47AB8" w:rsidP="00422306">
      <w:r w:rsidRPr="008B2F8A">
        <w:t xml:space="preserve">The Health Expert Standing Panel </w:t>
      </w:r>
      <w:r>
        <w:t>advised</w:t>
      </w:r>
      <w:r w:rsidRPr="008B2F8A">
        <w:t xml:space="preserve"> that for a </w:t>
      </w:r>
      <w:r>
        <w:t>25%</w:t>
      </w:r>
      <w:r w:rsidRPr="008B2F8A">
        <w:t xml:space="preserve"> of women, breast MRI would replace ultrasound. The estimated number of women in each population for whom breast MRI replaces ultrasound is shown in </w:t>
      </w:r>
      <w:r w:rsidRPr="008B2F8A">
        <w:fldChar w:fldCharType="begin"/>
      </w:r>
      <w:r w:rsidRPr="008B2F8A">
        <w:instrText xml:space="preserve"> REF _Ref377482984 \h </w:instrText>
      </w:r>
      <w:r w:rsidRPr="008B2F8A">
        <w:fldChar w:fldCharType="separate"/>
      </w:r>
      <w:r w:rsidR="00B81273" w:rsidRPr="008B2F8A">
        <w:t xml:space="preserve">Table </w:t>
      </w:r>
      <w:r w:rsidR="00B81273">
        <w:rPr>
          <w:noProof/>
        </w:rPr>
        <w:t>E</w:t>
      </w:r>
      <w:r w:rsidR="00B81273" w:rsidRPr="008B2F8A">
        <w:t>.</w:t>
      </w:r>
      <w:r w:rsidR="00B81273">
        <w:rPr>
          <w:noProof/>
        </w:rPr>
        <w:t>20</w:t>
      </w:r>
      <w:r w:rsidRPr="008B2F8A">
        <w:fldChar w:fldCharType="end"/>
      </w:r>
      <w:r w:rsidRPr="008B2F8A">
        <w:t xml:space="preserve">. Details of how patient numbers were estimated </w:t>
      </w:r>
      <w:r>
        <w:t>are exp</w:t>
      </w:r>
      <w:r w:rsidR="003E5BCE">
        <w:t>l</w:t>
      </w:r>
      <w:r>
        <w:t>ained</w:t>
      </w:r>
      <w:r w:rsidRPr="008B2F8A">
        <w:t xml:space="preserve"> Section </w:t>
      </w:r>
      <w:r w:rsidRPr="008B2F8A">
        <w:fldChar w:fldCharType="begin"/>
      </w:r>
      <w:r w:rsidRPr="008B2F8A">
        <w:instrText xml:space="preserve"> REF _Ref376855502 \r \h </w:instrText>
      </w:r>
      <w:r w:rsidRPr="008B2F8A">
        <w:fldChar w:fldCharType="separate"/>
      </w:r>
      <w:r w:rsidR="00B81273">
        <w:t>E.2.1</w:t>
      </w:r>
      <w:r w:rsidRPr="008B2F8A">
        <w:fldChar w:fldCharType="end"/>
      </w:r>
      <w:r w:rsidRPr="008B2F8A">
        <w:t>.</w:t>
      </w:r>
    </w:p>
    <w:p w14:paraId="6DAF6D78" w14:textId="77777777" w:rsidR="00E47AB8" w:rsidRPr="008B2F8A" w:rsidRDefault="00E47AB8" w:rsidP="00422306">
      <w:pPr>
        <w:pStyle w:val="Caption"/>
      </w:pPr>
      <w:bookmarkStart w:id="1366" w:name="_Ref377482984"/>
      <w:bookmarkStart w:id="1367" w:name="_Toc383424651"/>
      <w:r w:rsidRPr="008B2F8A">
        <w:t xml:space="preserve">Table </w:t>
      </w:r>
      <w:fldSimple w:instr=" STYLEREF 1 \s ">
        <w:r w:rsidR="00B81273">
          <w:rPr>
            <w:noProof/>
          </w:rPr>
          <w:t>E</w:t>
        </w:r>
      </w:fldSimple>
      <w:r w:rsidRPr="008B2F8A">
        <w:t>.</w:t>
      </w:r>
      <w:fldSimple w:instr=" SEQ Table \* ARABIC \s 1 ">
        <w:r w:rsidR="00B81273">
          <w:rPr>
            <w:noProof/>
          </w:rPr>
          <w:t>20</w:t>
        </w:r>
      </w:fldSimple>
      <w:bookmarkEnd w:id="1366"/>
      <w:r w:rsidRPr="008B2F8A">
        <w:tab/>
        <w:t>Number of women for who breast MRI replaces ultrasound.</w:t>
      </w:r>
      <w:bookmarkEnd w:id="1367"/>
    </w:p>
    <w:tbl>
      <w:tblPr>
        <w:tblStyle w:val="TableGrid"/>
        <w:tblW w:w="9070" w:type="dxa"/>
        <w:tblCellMar>
          <w:left w:w="28" w:type="dxa"/>
          <w:right w:w="28" w:type="dxa"/>
        </w:tblCellMar>
        <w:tblLook w:val="04A0" w:firstRow="1" w:lastRow="0" w:firstColumn="1" w:lastColumn="0" w:noHBand="0" w:noVBand="1"/>
        <w:tblCaption w:val="Number of women for who breast MRI replaces ultrasound."/>
      </w:tblPr>
      <w:tblGrid>
        <w:gridCol w:w="4635"/>
        <w:gridCol w:w="887"/>
        <w:gridCol w:w="887"/>
        <w:gridCol w:w="887"/>
        <w:gridCol w:w="887"/>
        <w:gridCol w:w="887"/>
      </w:tblGrid>
      <w:tr w:rsidR="00E47AB8" w:rsidRPr="008B2F8A" w14:paraId="396E5134" w14:textId="77777777" w:rsidTr="00422306">
        <w:trPr>
          <w:tblHeader/>
        </w:trPr>
        <w:tc>
          <w:tcPr>
            <w:tcW w:w="0" w:type="auto"/>
            <w:noWrap/>
            <w:hideMark/>
          </w:tcPr>
          <w:p w14:paraId="7E078A9B"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025D44FD"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4F2C47F2"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70D0E4EE"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18EB8363"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1E1C296F"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0062BAA4" w14:textId="77777777" w:rsidTr="00422306">
        <w:tc>
          <w:tcPr>
            <w:tcW w:w="0" w:type="auto"/>
            <w:noWrap/>
            <w:vAlign w:val="bottom"/>
            <w:hideMark/>
          </w:tcPr>
          <w:p w14:paraId="582E157A"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7AFABE23" w14:textId="77777777" w:rsidR="00E47AB8" w:rsidRPr="008B2F8A" w:rsidRDefault="00E47AB8" w:rsidP="00422306">
            <w:pPr>
              <w:pStyle w:val="TableText0"/>
              <w:keepNext w:val="0"/>
              <w:spacing w:before="40" w:after="80" w:line="276" w:lineRule="auto"/>
              <w:jc w:val="right"/>
            </w:pPr>
            <w:r w:rsidRPr="008B2F8A">
              <w:t xml:space="preserve"> 1,048 </w:t>
            </w:r>
          </w:p>
        </w:tc>
        <w:tc>
          <w:tcPr>
            <w:tcW w:w="0" w:type="auto"/>
            <w:noWrap/>
            <w:hideMark/>
          </w:tcPr>
          <w:p w14:paraId="005D363C" w14:textId="77777777" w:rsidR="00E47AB8" w:rsidRPr="008B2F8A" w:rsidRDefault="00E47AB8" w:rsidP="00422306">
            <w:pPr>
              <w:pStyle w:val="TableText0"/>
              <w:keepNext w:val="0"/>
              <w:spacing w:before="40" w:after="80" w:line="276" w:lineRule="auto"/>
              <w:jc w:val="right"/>
            </w:pPr>
            <w:r w:rsidRPr="008B2F8A">
              <w:t xml:space="preserve"> 1,183 </w:t>
            </w:r>
          </w:p>
        </w:tc>
        <w:tc>
          <w:tcPr>
            <w:tcW w:w="0" w:type="auto"/>
            <w:noWrap/>
            <w:hideMark/>
          </w:tcPr>
          <w:p w14:paraId="12F65678" w14:textId="77777777" w:rsidR="00E47AB8" w:rsidRPr="008B2F8A" w:rsidRDefault="00E47AB8" w:rsidP="00422306">
            <w:pPr>
              <w:pStyle w:val="TableText0"/>
              <w:keepNext w:val="0"/>
              <w:spacing w:before="40" w:after="80" w:line="276" w:lineRule="auto"/>
              <w:jc w:val="right"/>
            </w:pPr>
            <w:r w:rsidRPr="008B2F8A">
              <w:t xml:space="preserve"> 1,318 </w:t>
            </w:r>
          </w:p>
        </w:tc>
        <w:tc>
          <w:tcPr>
            <w:tcW w:w="0" w:type="auto"/>
            <w:noWrap/>
            <w:hideMark/>
          </w:tcPr>
          <w:p w14:paraId="0F5FF5B1" w14:textId="77777777" w:rsidR="00E47AB8" w:rsidRPr="008B2F8A" w:rsidRDefault="00E47AB8" w:rsidP="00422306">
            <w:pPr>
              <w:pStyle w:val="TableText0"/>
              <w:keepNext w:val="0"/>
              <w:spacing w:before="40" w:after="80" w:line="276" w:lineRule="auto"/>
              <w:jc w:val="right"/>
            </w:pPr>
            <w:r w:rsidRPr="008B2F8A">
              <w:t xml:space="preserve"> 1,453 </w:t>
            </w:r>
          </w:p>
        </w:tc>
        <w:tc>
          <w:tcPr>
            <w:tcW w:w="0" w:type="auto"/>
            <w:noWrap/>
            <w:hideMark/>
          </w:tcPr>
          <w:p w14:paraId="6F613CB4" w14:textId="77777777" w:rsidR="00E47AB8" w:rsidRPr="008B2F8A" w:rsidRDefault="00E47AB8" w:rsidP="00422306">
            <w:pPr>
              <w:pStyle w:val="TableText0"/>
              <w:keepNext w:val="0"/>
              <w:spacing w:before="40" w:after="80" w:line="276" w:lineRule="auto"/>
              <w:jc w:val="right"/>
            </w:pPr>
            <w:r w:rsidRPr="008B2F8A">
              <w:t xml:space="preserve"> 1,588 </w:t>
            </w:r>
          </w:p>
        </w:tc>
      </w:tr>
      <w:tr w:rsidR="00E47AB8" w:rsidRPr="008B2F8A" w14:paraId="5A02C7F6" w14:textId="77777777" w:rsidTr="00422306">
        <w:tc>
          <w:tcPr>
            <w:tcW w:w="0" w:type="auto"/>
            <w:noWrap/>
            <w:vAlign w:val="bottom"/>
          </w:tcPr>
          <w:p w14:paraId="669EC4D2"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vAlign w:val="center"/>
          </w:tcPr>
          <w:p w14:paraId="73F1A2AD" w14:textId="77777777" w:rsidR="00E47AB8" w:rsidRPr="008B2F8A" w:rsidRDefault="00E47AB8" w:rsidP="00422306">
            <w:pPr>
              <w:pStyle w:val="TableText0"/>
              <w:keepNext w:val="0"/>
              <w:spacing w:before="40" w:after="80" w:line="276" w:lineRule="auto"/>
              <w:jc w:val="right"/>
            </w:pPr>
            <w:r w:rsidRPr="008B2F8A">
              <w:t xml:space="preserve"> 1,504 </w:t>
            </w:r>
          </w:p>
        </w:tc>
        <w:tc>
          <w:tcPr>
            <w:tcW w:w="0" w:type="auto"/>
            <w:noWrap/>
            <w:vAlign w:val="center"/>
          </w:tcPr>
          <w:p w14:paraId="17FAAEC7" w14:textId="77777777" w:rsidR="00E47AB8" w:rsidRPr="008B2F8A" w:rsidRDefault="00E47AB8" w:rsidP="00422306">
            <w:pPr>
              <w:pStyle w:val="TableText0"/>
              <w:keepNext w:val="0"/>
              <w:spacing w:before="40" w:after="80" w:line="276" w:lineRule="auto"/>
              <w:jc w:val="right"/>
            </w:pPr>
            <w:r w:rsidRPr="008B2F8A">
              <w:t xml:space="preserve"> 2,296 </w:t>
            </w:r>
          </w:p>
        </w:tc>
        <w:tc>
          <w:tcPr>
            <w:tcW w:w="0" w:type="auto"/>
            <w:noWrap/>
            <w:vAlign w:val="center"/>
          </w:tcPr>
          <w:p w14:paraId="070FB960" w14:textId="77777777" w:rsidR="00E47AB8" w:rsidRPr="008B2F8A" w:rsidRDefault="00E47AB8" w:rsidP="00422306">
            <w:pPr>
              <w:pStyle w:val="TableText0"/>
              <w:keepNext w:val="0"/>
              <w:spacing w:before="40" w:after="80" w:line="276" w:lineRule="auto"/>
              <w:jc w:val="right"/>
            </w:pPr>
            <w:r w:rsidRPr="008B2F8A">
              <w:t xml:space="preserve"> 3,114 </w:t>
            </w:r>
          </w:p>
        </w:tc>
        <w:tc>
          <w:tcPr>
            <w:tcW w:w="0" w:type="auto"/>
            <w:noWrap/>
            <w:vAlign w:val="center"/>
          </w:tcPr>
          <w:p w14:paraId="01474A61" w14:textId="77777777" w:rsidR="00E47AB8" w:rsidRPr="008B2F8A" w:rsidRDefault="00E47AB8" w:rsidP="00422306">
            <w:pPr>
              <w:pStyle w:val="TableText0"/>
              <w:keepNext w:val="0"/>
              <w:spacing w:before="40" w:after="80" w:line="276" w:lineRule="auto"/>
              <w:jc w:val="right"/>
            </w:pPr>
            <w:r w:rsidRPr="008B2F8A">
              <w:t xml:space="preserve"> 3,958 </w:t>
            </w:r>
          </w:p>
        </w:tc>
        <w:tc>
          <w:tcPr>
            <w:tcW w:w="0" w:type="auto"/>
            <w:noWrap/>
            <w:vAlign w:val="center"/>
          </w:tcPr>
          <w:p w14:paraId="26FD2F0D" w14:textId="77777777" w:rsidR="00E47AB8" w:rsidRPr="008B2F8A" w:rsidRDefault="00E47AB8" w:rsidP="00422306">
            <w:pPr>
              <w:pStyle w:val="TableText0"/>
              <w:keepNext w:val="0"/>
              <w:spacing w:before="40" w:after="80" w:line="276" w:lineRule="auto"/>
              <w:jc w:val="right"/>
            </w:pPr>
            <w:r w:rsidRPr="008B2F8A">
              <w:t xml:space="preserve"> 4,394 </w:t>
            </w:r>
          </w:p>
        </w:tc>
      </w:tr>
      <w:tr w:rsidR="00E47AB8" w:rsidRPr="008B2F8A" w14:paraId="0C0486C2" w14:textId="77777777" w:rsidTr="00422306">
        <w:tc>
          <w:tcPr>
            <w:tcW w:w="0" w:type="auto"/>
            <w:noWrap/>
            <w:vAlign w:val="bottom"/>
          </w:tcPr>
          <w:p w14:paraId="37BDFD39" w14:textId="1C476406"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0EA85591" w14:textId="77777777" w:rsidR="00E47AB8" w:rsidRPr="008B2F8A" w:rsidRDefault="00E47AB8" w:rsidP="00422306">
            <w:pPr>
              <w:pStyle w:val="TableText0"/>
              <w:keepNext w:val="0"/>
              <w:spacing w:before="40" w:after="80" w:line="276" w:lineRule="auto"/>
              <w:jc w:val="right"/>
            </w:pPr>
            <w:r w:rsidRPr="008B2F8A">
              <w:t xml:space="preserve"> 179 </w:t>
            </w:r>
          </w:p>
        </w:tc>
        <w:tc>
          <w:tcPr>
            <w:tcW w:w="0" w:type="auto"/>
            <w:noWrap/>
          </w:tcPr>
          <w:p w14:paraId="6AE757B1" w14:textId="77777777" w:rsidR="00E47AB8" w:rsidRPr="008B2F8A" w:rsidRDefault="00E47AB8" w:rsidP="00422306">
            <w:pPr>
              <w:pStyle w:val="TableText0"/>
              <w:keepNext w:val="0"/>
              <w:spacing w:before="40" w:after="80" w:line="276" w:lineRule="auto"/>
              <w:jc w:val="right"/>
            </w:pPr>
            <w:r w:rsidRPr="008B2F8A">
              <w:t xml:space="preserve"> 274 </w:t>
            </w:r>
          </w:p>
        </w:tc>
        <w:tc>
          <w:tcPr>
            <w:tcW w:w="0" w:type="auto"/>
            <w:noWrap/>
          </w:tcPr>
          <w:p w14:paraId="481C0E19" w14:textId="77777777" w:rsidR="00E47AB8" w:rsidRPr="008B2F8A" w:rsidRDefault="00E47AB8" w:rsidP="00422306">
            <w:pPr>
              <w:pStyle w:val="TableText0"/>
              <w:keepNext w:val="0"/>
              <w:spacing w:before="40" w:after="80" w:line="276" w:lineRule="auto"/>
              <w:jc w:val="right"/>
            </w:pPr>
            <w:r w:rsidRPr="008B2F8A">
              <w:t xml:space="preserve"> 371 </w:t>
            </w:r>
          </w:p>
        </w:tc>
        <w:tc>
          <w:tcPr>
            <w:tcW w:w="0" w:type="auto"/>
            <w:noWrap/>
          </w:tcPr>
          <w:p w14:paraId="7755A507" w14:textId="77777777" w:rsidR="00E47AB8" w:rsidRPr="008B2F8A" w:rsidRDefault="00E47AB8" w:rsidP="00422306">
            <w:pPr>
              <w:pStyle w:val="TableText0"/>
              <w:keepNext w:val="0"/>
              <w:spacing w:before="40" w:after="80" w:line="276" w:lineRule="auto"/>
              <w:jc w:val="right"/>
            </w:pPr>
            <w:r w:rsidRPr="008B2F8A">
              <w:t xml:space="preserve"> 472 </w:t>
            </w:r>
          </w:p>
        </w:tc>
        <w:tc>
          <w:tcPr>
            <w:tcW w:w="0" w:type="auto"/>
            <w:noWrap/>
          </w:tcPr>
          <w:p w14:paraId="2BA8F67B" w14:textId="77777777" w:rsidR="00E47AB8" w:rsidRPr="008B2F8A" w:rsidRDefault="00E47AB8" w:rsidP="00422306">
            <w:pPr>
              <w:pStyle w:val="TableText0"/>
              <w:keepNext w:val="0"/>
              <w:spacing w:before="40" w:after="80" w:line="276" w:lineRule="auto"/>
              <w:jc w:val="right"/>
            </w:pPr>
            <w:r w:rsidRPr="008B2F8A">
              <w:t xml:space="preserve"> 524 </w:t>
            </w:r>
          </w:p>
        </w:tc>
      </w:tr>
      <w:tr w:rsidR="00E47AB8" w:rsidRPr="008B2F8A" w14:paraId="2CC488BF" w14:textId="77777777" w:rsidTr="00422306">
        <w:tc>
          <w:tcPr>
            <w:tcW w:w="0" w:type="auto"/>
            <w:noWrap/>
            <w:vAlign w:val="bottom"/>
          </w:tcPr>
          <w:p w14:paraId="24B26B30"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vAlign w:val="center"/>
          </w:tcPr>
          <w:p w14:paraId="6BC6D871" w14:textId="77777777" w:rsidR="00E47AB8" w:rsidRPr="008B2F8A" w:rsidRDefault="00E47AB8" w:rsidP="00422306">
            <w:pPr>
              <w:pStyle w:val="TableText0"/>
              <w:keepNext w:val="0"/>
              <w:spacing w:before="40" w:after="80" w:line="276" w:lineRule="auto"/>
              <w:jc w:val="right"/>
            </w:pPr>
            <w:r w:rsidRPr="008B2F8A">
              <w:t xml:space="preserve"> 18 </w:t>
            </w:r>
          </w:p>
        </w:tc>
        <w:tc>
          <w:tcPr>
            <w:tcW w:w="0" w:type="auto"/>
            <w:noWrap/>
            <w:vAlign w:val="center"/>
          </w:tcPr>
          <w:p w14:paraId="466A563F" w14:textId="77777777" w:rsidR="00E47AB8" w:rsidRPr="008B2F8A" w:rsidRDefault="00E47AB8" w:rsidP="00422306">
            <w:pPr>
              <w:pStyle w:val="TableText0"/>
              <w:keepNext w:val="0"/>
              <w:spacing w:before="40" w:after="80" w:line="276" w:lineRule="auto"/>
              <w:jc w:val="right"/>
            </w:pPr>
            <w:r w:rsidRPr="008B2F8A">
              <w:t xml:space="preserve"> 36 </w:t>
            </w:r>
          </w:p>
        </w:tc>
        <w:tc>
          <w:tcPr>
            <w:tcW w:w="0" w:type="auto"/>
            <w:noWrap/>
            <w:vAlign w:val="center"/>
          </w:tcPr>
          <w:p w14:paraId="787B77A4" w14:textId="77777777" w:rsidR="00E47AB8" w:rsidRPr="008B2F8A" w:rsidRDefault="00E47AB8" w:rsidP="00422306">
            <w:pPr>
              <w:pStyle w:val="TableText0"/>
              <w:keepNext w:val="0"/>
              <w:spacing w:before="40" w:after="80" w:line="276" w:lineRule="auto"/>
              <w:jc w:val="right"/>
            </w:pPr>
            <w:r w:rsidRPr="008B2F8A">
              <w:t xml:space="preserve"> 54 </w:t>
            </w:r>
          </w:p>
        </w:tc>
        <w:tc>
          <w:tcPr>
            <w:tcW w:w="0" w:type="auto"/>
            <w:noWrap/>
            <w:vAlign w:val="center"/>
          </w:tcPr>
          <w:p w14:paraId="33A9B6BB" w14:textId="77777777" w:rsidR="00E47AB8" w:rsidRPr="008B2F8A" w:rsidRDefault="00E47AB8" w:rsidP="00422306">
            <w:pPr>
              <w:pStyle w:val="TableText0"/>
              <w:keepNext w:val="0"/>
              <w:spacing w:before="40" w:after="80" w:line="276" w:lineRule="auto"/>
              <w:jc w:val="right"/>
            </w:pPr>
            <w:r w:rsidRPr="008B2F8A">
              <w:t xml:space="preserve"> 74 </w:t>
            </w:r>
          </w:p>
        </w:tc>
        <w:tc>
          <w:tcPr>
            <w:tcW w:w="0" w:type="auto"/>
            <w:noWrap/>
            <w:vAlign w:val="center"/>
          </w:tcPr>
          <w:p w14:paraId="10D3E9FF" w14:textId="77777777" w:rsidR="00E47AB8" w:rsidRPr="008B2F8A" w:rsidRDefault="00E47AB8" w:rsidP="00422306">
            <w:pPr>
              <w:pStyle w:val="TableText0"/>
              <w:keepNext w:val="0"/>
              <w:spacing w:before="40" w:after="80" w:line="276" w:lineRule="auto"/>
              <w:jc w:val="right"/>
            </w:pPr>
            <w:r w:rsidRPr="008B2F8A">
              <w:t xml:space="preserve"> 85 </w:t>
            </w:r>
          </w:p>
        </w:tc>
      </w:tr>
    </w:tbl>
    <w:p w14:paraId="54132AF0" w14:textId="005E4204" w:rsidR="00E47AB8"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3B173BFD" w14:textId="77777777" w:rsidR="00F56FD1" w:rsidRPr="008B2F8A" w:rsidRDefault="00F56FD1" w:rsidP="00F56FD1">
      <w:pPr>
        <w:pStyle w:val="TableNotesFirst"/>
      </w:pPr>
    </w:p>
    <w:p w14:paraId="7E630DEE" w14:textId="16F043A5" w:rsidR="00E47AB8" w:rsidRPr="008B2F8A" w:rsidRDefault="00E47AB8" w:rsidP="00422306">
      <w:r w:rsidRPr="008B2F8A">
        <w:t xml:space="preserve">The MBS items included for women receiving ultrasound were specialist attendance (item 104) and ultrasound of both breasts (item 55076). The total MBS benefits paid per patient was $165.60 (85% benefit). The potential cost savings from the replacement of ultrasound with breast MRI are shown in </w:t>
      </w:r>
      <w:r w:rsidRPr="008B2F8A">
        <w:lastRenderedPageBreak/>
        <w:fldChar w:fldCharType="begin"/>
      </w:r>
      <w:r w:rsidRPr="008B2F8A">
        <w:instrText xml:space="preserve"> REF _Ref376857531 \h </w:instrText>
      </w:r>
      <w:r w:rsidRPr="008B2F8A">
        <w:fldChar w:fldCharType="separate"/>
      </w:r>
      <w:r w:rsidR="00B81273" w:rsidRPr="008B2F8A">
        <w:t xml:space="preserve">Table </w:t>
      </w:r>
      <w:r w:rsidR="00B81273">
        <w:rPr>
          <w:noProof/>
        </w:rPr>
        <w:t>E</w:t>
      </w:r>
      <w:r w:rsidR="00B81273" w:rsidRPr="008B2F8A">
        <w:t>.</w:t>
      </w:r>
      <w:r w:rsidR="00B81273">
        <w:rPr>
          <w:noProof/>
        </w:rPr>
        <w:t>21</w:t>
      </w:r>
      <w:r w:rsidRPr="008B2F8A">
        <w:fldChar w:fldCharType="end"/>
      </w:r>
      <w:r w:rsidRPr="008B2F8A">
        <w:t>. Across all populations, there was an estimated saving of $0.5 million in 2015, rising to $1.1 million in 2019.</w:t>
      </w:r>
    </w:p>
    <w:p w14:paraId="391A4E02" w14:textId="1A5FDDAC" w:rsidR="00E47AB8" w:rsidRPr="008B2F8A" w:rsidRDefault="00E47AB8" w:rsidP="00422306">
      <w:pPr>
        <w:pStyle w:val="Caption"/>
      </w:pPr>
      <w:bookmarkStart w:id="1368" w:name="_Ref376857531"/>
      <w:bookmarkStart w:id="1369" w:name="_Toc383424652"/>
      <w:r w:rsidRPr="008B2F8A">
        <w:t xml:space="preserve">Table </w:t>
      </w:r>
      <w:fldSimple w:instr=" STYLEREF 1 \s ">
        <w:r w:rsidR="00B81273">
          <w:rPr>
            <w:noProof/>
          </w:rPr>
          <w:t>E</w:t>
        </w:r>
      </w:fldSimple>
      <w:r w:rsidRPr="008B2F8A">
        <w:t>.</w:t>
      </w:r>
      <w:fldSimple w:instr=" SEQ Table \* ARABIC \s 1 ">
        <w:r w:rsidR="00B81273">
          <w:rPr>
            <w:noProof/>
          </w:rPr>
          <w:t>21</w:t>
        </w:r>
      </w:fldSimple>
      <w:bookmarkEnd w:id="1368"/>
      <w:r w:rsidRPr="008B2F8A">
        <w:tab/>
        <w:t>Total cost saving from replacement of ultrasound with MRI in the requested populations.</w:t>
      </w:r>
      <w:bookmarkEnd w:id="1369"/>
    </w:p>
    <w:tbl>
      <w:tblPr>
        <w:tblStyle w:val="TableGrid"/>
        <w:tblW w:w="9070" w:type="dxa"/>
        <w:tblCellMar>
          <w:left w:w="28" w:type="dxa"/>
          <w:right w:w="28" w:type="dxa"/>
        </w:tblCellMar>
        <w:tblLook w:val="04A0" w:firstRow="1" w:lastRow="0" w:firstColumn="1" w:lastColumn="0" w:noHBand="0" w:noVBand="1"/>
        <w:tblCaption w:val="Total cost saving from replacement of ultrasound with MRI in the requested populations."/>
      </w:tblPr>
      <w:tblGrid>
        <w:gridCol w:w="4096"/>
        <w:gridCol w:w="963"/>
        <w:gridCol w:w="963"/>
        <w:gridCol w:w="963"/>
        <w:gridCol w:w="963"/>
        <w:gridCol w:w="1122"/>
      </w:tblGrid>
      <w:tr w:rsidR="00E47AB8" w:rsidRPr="008B2F8A" w14:paraId="765319E1" w14:textId="77777777" w:rsidTr="00422306">
        <w:trPr>
          <w:tblHeader/>
        </w:trPr>
        <w:tc>
          <w:tcPr>
            <w:tcW w:w="0" w:type="auto"/>
            <w:noWrap/>
            <w:hideMark/>
          </w:tcPr>
          <w:p w14:paraId="412F87F4"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577F84B0"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5212471A"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223E9141"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5557382A"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0E127D06"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542D7AB8" w14:textId="77777777" w:rsidTr="00422306">
        <w:tc>
          <w:tcPr>
            <w:tcW w:w="0" w:type="auto"/>
            <w:noWrap/>
            <w:vAlign w:val="bottom"/>
            <w:hideMark/>
          </w:tcPr>
          <w:p w14:paraId="6D14D09C"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5293E4E3" w14:textId="6AC7C2F5" w:rsidR="00E47AB8" w:rsidRPr="008B2F8A" w:rsidRDefault="00E47AB8" w:rsidP="00422306">
            <w:pPr>
              <w:pStyle w:val="TableText0"/>
              <w:keepNext w:val="0"/>
              <w:spacing w:before="40" w:after="80" w:line="276" w:lineRule="auto"/>
              <w:jc w:val="right"/>
            </w:pPr>
            <w:r w:rsidRPr="008B2F8A">
              <w:t xml:space="preserve">–$173,370 </w:t>
            </w:r>
          </w:p>
        </w:tc>
        <w:tc>
          <w:tcPr>
            <w:tcW w:w="0" w:type="auto"/>
            <w:noWrap/>
            <w:hideMark/>
          </w:tcPr>
          <w:p w14:paraId="0EC0A7D1" w14:textId="0C8F290B" w:rsidR="00E47AB8" w:rsidRPr="008B2F8A" w:rsidRDefault="00E47AB8" w:rsidP="00422306">
            <w:pPr>
              <w:pStyle w:val="TableText0"/>
              <w:keepNext w:val="0"/>
              <w:spacing w:before="40" w:after="80" w:line="276" w:lineRule="auto"/>
              <w:jc w:val="right"/>
            </w:pPr>
            <w:r w:rsidRPr="008B2F8A">
              <w:t xml:space="preserve">–$195,720 </w:t>
            </w:r>
          </w:p>
        </w:tc>
        <w:tc>
          <w:tcPr>
            <w:tcW w:w="0" w:type="auto"/>
            <w:noWrap/>
            <w:hideMark/>
          </w:tcPr>
          <w:p w14:paraId="0FF2BE1E" w14:textId="6B263E05" w:rsidR="00E47AB8" w:rsidRPr="008B2F8A" w:rsidRDefault="00E47AB8" w:rsidP="00422306">
            <w:pPr>
              <w:pStyle w:val="TableText0"/>
              <w:keepNext w:val="0"/>
              <w:spacing w:before="40" w:after="80" w:line="276" w:lineRule="auto"/>
              <w:jc w:val="right"/>
            </w:pPr>
            <w:r w:rsidRPr="008B2F8A">
              <w:t xml:space="preserve">–$218,071 </w:t>
            </w:r>
          </w:p>
        </w:tc>
        <w:tc>
          <w:tcPr>
            <w:tcW w:w="0" w:type="auto"/>
            <w:noWrap/>
            <w:hideMark/>
          </w:tcPr>
          <w:p w14:paraId="6E74396C" w14:textId="35263A68" w:rsidR="00E47AB8" w:rsidRPr="008B2F8A" w:rsidRDefault="00E47AB8" w:rsidP="00422306">
            <w:pPr>
              <w:pStyle w:val="TableText0"/>
              <w:keepNext w:val="0"/>
              <w:spacing w:before="40" w:after="80" w:line="276" w:lineRule="auto"/>
              <w:jc w:val="right"/>
            </w:pPr>
            <w:r w:rsidRPr="008B2F8A">
              <w:t xml:space="preserve">–$240,422 </w:t>
            </w:r>
          </w:p>
        </w:tc>
        <w:tc>
          <w:tcPr>
            <w:tcW w:w="0" w:type="auto"/>
            <w:noWrap/>
            <w:hideMark/>
          </w:tcPr>
          <w:p w14:paraId="7BCBCABC" w14:textId="169B7389" w:rsidR="00E47AB8" w:rsidRPr="008B2F8A" w:rsidRDefault="00E47AB8" w:rsidP="00422306">
            <w:pPr>
              <w:pStyle w:val="TableText0"/>
              <w:keepNext w:val="0"/>
              <w:spacing w:before="40" w:after="80" w:line="276" w:lineRule="auto"/>
              <w:jc w:val="right"/>
            </w:pPr>
            <w:r w:rsidRPr="008B2F8A">
              <w:t xml:space="preserve">–$262,773 </w:t>
            </w:r>
          </w:p>
        </w:tc>
      </w:tr>
      <w:tr w:rsidR="00E47AB8" w:rsidRPr="008B2F8A" w14:paraId="30D558F9" w14:textId="77777777" w:rsidTr="00422306">
        <w:tc>
          <w:tcPr>
            <w:tcW w:w="0" w:type="auto"/>
            <w:noWrap/>
            <w:vAlign w:val="bottom"/>
          </w:tcPr>
          <w:p w14:paraId="6FC9B863"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28B39C1C" w14:textId="64AC1ABF" w:rsidR="00E47AB8" w:rsidRPr="008B2F8A" w:rsidRDefault="00E47AB8" w:rsidP="00422306">
            <w:pPr>
              <w:pStyle w:val="TableText0"/>
              <w:keepNext w:val="0"/>
              <w:spacing w:before="40" w:after="80" w:line="276" w:lineRule="auto"/>
              <w:jc w:val="right"/>
            </w:pPr>
            <w:r w:rsidRPr="008B2F8A">
              <w:t xml:space="preserve">–$248,942 </w:t>
            </w:r>
          </w:p>
        </w:tc>
        <w:tc>
          <w:tcPr>
            <w:tcW w:w="0" w:type="auto"/>
            <w:noWrap/>
          </w:tcPr>
          <w:p w14:paraId="0D78B89D" w14:textId="398AF245" w:rsidR="00E47AB8" w:rsidRPr="008B2F8A" w:rsidRDefault="00E47AB8" w:rsidP="00422306">
            <w:pPr>
              <w:pStyle w:val="TableText0"/>
              <w:keepNext w:val="0"/>
              <w:spacing w:before="40" w:after="80" w:line="276" w:lineRule="auto"/>
              <w:jc w:val="right"/>
            </w:pPr>
            <w:r w:rsidRPr="008B2F8A">
              <w:t xml:space="preserve">–$379,944 </w:t>
            </w:r>
          </w:p>
        </w:tc>
        <w:tc>
          <w:tcPr>
            <w:tcW w:w="0" w:type="auto"/>
            <w:noWrap/>
          </w:tcPr>
          <w:p w14:paraId="6B4F1BBA" w14:textId="227D1596" w:rsidR="00E47AB8" w:rsidRPr="008B2F8A" w:rsidRDefault="00E47AB8" w:rsidP="00422306">
            <w:pPr>
              <w:pStyle w:val="TableText0"/>
              <w:keepNext w:val="0"/>
              <w:spacing w:before="40" w:after="80" w:line="276" w:lineRule="auto"/>
              <w:jc w:val="right"/>
            </w:pPr>
            <w:r w:rsidRPr="008B2F8A">
              <w:t xml:space="preserve">–$515,348 </w:t>
            </w:r>
          </w:p>
        </w:tc>
        <w:tc>
          <w:tcPr>
            <w:tcW w:w="0" w:type="auto"/>
            <w:noWrap/>
          </w:tcPr>
          <w:p w14:paraId="54E78D5B" w14:textId="33B1F123" w:rsidR="00E47AB8" w:rsidRPr="008B2F8A" w:rsidRDefault="00E47AB8" w:rsidP="00422306">
            <w:pPr>
              <w:pStyle w:val="TableText0"/>
              <w:keepNext w:val="0"/>
              <w:spacing w:before="40" w:after="80" w:line="276" w:lineRule="auto"/>
              <w:jc w:val="right"/>
            </w:pPr>
            <w:r w:rsidRPr="008B2F8A">
              <w:t xml:space="preserve">–$655,101 </w:t>
            </w:r>
          </w:p>
        </w:tc>
        <w:tc>
          <w:tcPr>
            <w:tcW w:w="0" w:type="auto"/>
            <w:noWrap/>
          </w:tcPr>
          <w:p w14:paraId="5226AD5B" w14:textId="4C7C96CB" w:rsidR="00E47AB8" w:rsidRPr="008B2F8A" w:rsidRDefault="00E47AB8" w:rsidP="00422306">
            <w:pPr>
              <w:pStyle w:val="TableText0"/>
              <w:keepNext w:val="0"/>
              <w:spacing w:before="40" w:after="80" w:line="276" w:lineRule="auto"/>
              <w:jc w:val="right"/>
            </w:pPr>
            <w:r w:rsidRPr="008B2F8A">
              <w:t xml:space="preserve">–$727,251 </w:t>
            </w:r>
          </w:p>
        </w:tc>
      </w:tr>
      <w:tr w:rsidR="00E47AB8" w:rsidRPr="008B2F8A" w14:paraId="02C13554" w14:textId="77777777" w:rsidTr="00422306">
        <w:tc>
          <w:tcPr>
            <w:tcW w:w="0" w:type="auto"/>
            <w:noWrap/>
            <w:vAlign w:val="bottom"/>
          </w:tcPr>
          <w:p w14:paraId="03C304EE" w14:textId="62B1C3BC"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6BA0C1FA" w14:textId="58AEE2E7" w:rsidR="00E47AB8" w:rsidRPr="008B2F8A" w:rsidRDefault="00E47AB8" w:rsidP="00422306">
            <w:pPr>
              <w:pStyle w:val="TableText0"/>
              <w:keepNext w:val="0"/>
              <w:spacing w:before="40" w:after="80" w:line="276" w:lineRule="auto"/>
              <w:jc w:val="right"/>
            </w:pPr>
            <w:r w:rsidRPr="008B2F8A">
              <w:t xml:space="preserve">–$29,674 </w:t>
            </w:r>
          </w:p>
        </w:tc>
        <w:tc>
          <w:tcPr>
            <w:tcW w:w="0" w:type="auto"/>
            <w:noWrap/>
          </w:tcPr>
          <w:p w14:paraId="113E7169" w14:textId="4843AF6E" w:rsidR="00E47AB8" w:rsidRPr="008B2F8A" w:rsidRDefault="00E47AB8" w:rsidP="00422306">
            <w:pPr>
              <w:pStyle w:val="TableText0"/>
              <w:keepNext w:val="0"/>
              <w:spacing w:before="40" w:after="80" w:line="276" w:lineRule="auto"/>
              <w:jc w:val="right"/>
            </w:pPr>
            <w:r w:rsidRPr="008B2F8A">
              <w:t xml:space="preserve">–$45,268 </w:t>
            </w:r>
          </w:p>
        </w:tc>
        <w:tc>
          <w:tcPr>
            <w:tcW w:w="0" w:type="auto"/>
            <w:noWrap/>
          </w:tcPr>
          <w:p w14:paraId="239177AD" w14:textId="67ADDDEF" w:rsidR="00E47AB8" w:rsidRPr="008B2F8A" w:rsidRDefault="00E47AB8" w:rsidP="00422306">
            <w:pPr>
              <w:pStyle w:val="TableText0"/>
              <w:keepNext w:val="0"/>
              <w:spacing w:before="40" w:after="80" w:line="276" w:lineRule="auto"/>
              <w:jc w:val="right"/>
            </w:pPr>
            <w:r w:rsidRPr="008B2F8A">
              <w:t xml:space="preserve">–$61,383 </w:t>
            </w:r>
          </w:p>
        </w:tc>
        <w:tc>
          <w:tcPr>
            <w:tcW w:w="0" w:type="auto"/>
            <w:noWrap/>
          </w:tcPr>
          <w:p w14:paraId="1EA8F9F9" w14:textId="142804E6" w:rsidR="00E47AB8" w:rsidRPr="008B2F8A" w:rsidRDefault="00E47AB8" w:rsidP="00422306">
            <w:pPr>
              <w:pStyle w:val="TableText0"/>
              <w:keepNext w:val="0"/>
              <w:spacing w:before="40" w:after="80" w:line="276" w:lineRule="auto"/>
              <w:jc w:val="right"/>
            </w:pPr>
            <w:r w:rsidRPr="008B2F8A">
              <w:t xml:space="preserve">–$78,034 </w:t>
            </w:r>
          </w:p>
        </w:tc>
        <w:tc>
          <w:tcPr>
            <w:tcW w:w="0" w:type="auto"/>
            <w:noWrap/>
          </w:tcPr>
          <w:p w14:paraId="538A7BEE" w14:textId="5E50B4AF" w:rsidR="00E47AB8" w:rsidRPr="008B2F8A" w:rsidRDefault="00E47AB8" w:rsidP="00422306">
            <w:pPr>
              <w:pStyle w:val="TableText0"/>
              <w:keepNext w:val="0"/>
              <w:spacing w:before="40" w:after="80" w:line="276" w:lineRule="auto"/>
              <w:jc w:val="right"/>
            </w:pPr>
            <w:r w:rsidRPr="008B2F8A">
              <w:t xml:space="preserve">–$86,661 </w:t>
            </w:r>
          </w:p>
        </w:tc>
      </w:tr>
      <w:tr w:rsidR="00E47AB8" w:rsidRPr="008B2F8A" w14:paraId="0BA7A8EE" w14:textId="77777777" w:rsidTr="00422306">
        <w:tc>
          <w:tcPr>
            <w:tcW w:w="0" w:type="auto"/>
            <w:noWrap/>
            <w:vAlign w:val="bottom"/>
          </w:tcPr>
          <w:p w14:paraId="49277F27"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0B45D862" w14:textId="59308234" w:rsidR="00E47AB8" w:rsidRPr="008B2F8A" w:rsidRDefault="00E47AB8" w:rsidP="00422306">
            <w:pPr>
              <w:pStyle w:val="TableText0"/>
              <w:keepNext w:val="0"/>
              <w:spacing w:before="40" w:after="80" w:line="276" w:lineRule="auto"/>
              <w:jc w:val="right"/>
            </w:pPr>
            <w:r w:rsidRPr="008B2F8A">
              <w:t xml:space="preserve">–$2,896 </w:t>
            </w:r>
          </w:p>
        </w:tc>
        <w:tc>
          <w:tcPr>
            <w:tcW w:w="0" w:type="auto"/>
            <w:noWrap/>
          </w:tcPr>
          <w:p w14:paraId="118AF096" w14:textId="34FFDC8F" w:rsidR="00E47AB8" w:rsidRPr="008B2F8A" w:rsidRDefault="00E47AB8" w:rsidP="00422306">
            <w:pPr>
              <w:pStyle w:val="TableText0"/>
              <w:keepNext w:val="0"/>
              <w:spacing w:before="40" w:after="80" w:line="276" w:lineRule="auto"/>
              <w:jc w:val="right"/>
            </w:pPr>
            <w:r w:rsidRPr="008B2F8A">
              <w:t xml:space="preserve">–$5,891 </w:t>
            </w:r>
          </w:p>
        </w:tc>
        <w:tc>
          <w:tcPr>
            <w:tcW w:w="0" w:type="auto"/>
            <w:noWrap/>
          </w:tcPr>
          <w:p w14:paraId="1A3C5AD3" w14:textId="56BD215B" w:rsidR="00E47AB8" w:rsidRPr="008B2F8A" w:rsidRDefault="00E47AB8" w:rsidP="00422306">
            <w:pPr>
              <w:pStyle w:val="TableText0"/>
              <w:keepNext w:val="0"/>
              <w:spacing w:before="40" w:after="80" w:line="276" w:lineRule="auto"/>
              <w:jc w:val="right"/>
            </w:pPr>
            <w:r w:rsidRPr="008B2F8A">
              <w:t xml:space="preserve">–$8,987 </w:t>
            </w:r>
          </w:p>
        </w:tc>
        <w:tc>
          <w:tcPr>
            <w:tcW w:w="0" w:type="auto"/>
            <w:noWrap/>
          </w:tcPr>
          <w:p w14:paraId="18750A33" w14:textId="30B57DDF" w:rsidR="00E47AB8" w:rsidRPr="008B2F8A" w:rsidRDefault="00E47AB8" w:rsidP="00422306">
            <w:pPr>
              <w:pStyle w:val="TableText0"/>
              <w:keepNext w:val="0"/>
              <w:spacing w:before="40" w:after="80" w:line="276" w:lineRule="auto"/>
              <w:jc w:val="right"/>
            </w:pPr>
            <w:r w:rsidRPr="008B2F8A">
              <w:t xml:space="preserve">–$12,186 </w:t>
            </w:r>
          </w:p>
        </w:tc>
        <w:tc>
          <w:tcPr>
            <w:tcW w:w="0" w:type="auto"/>
            <w:noWrap/>
          </w:tcPr>
          <w:p w14:paraId="5D150D2F" w14:textId="3DAA975F" w:rsidR="00E47AB8" w:rsidRPr="008B2F8A" w:rsidRDefault="00E47AB8" w:rsidP="00422306">
            <w:pPr>
              <w:pStyle w:val="TableText0"/>
              <w:keepNext w:val="0"/>
              <w:spacing w:before="40" w:after="80" w:line="276" w:lineRule="auto"/>
              <w:jc w:val="right"/>
            </w:pPr>
            <w:r w:rsidRPr="008B2F8A">
              <w:t xml:space="preserve">–$14,119 </w:t>
            </w:r>
          </w:p>
        </w:tc>
      </w:tr>
      <w:tr w:rsidR="00E47AB8" w:rsidRPr="008B2F8A" w14:paraId="14B7F381" w14:textId="77777777" w:rsidTr="00422306">
        <w:tc>
          <w:tcPr>
            <w:tcW w:w="0" w:type="auto"/>
            <w:noWrap/>
            <w:vAlign w:val="bottom"/>
          </w:tcPr>
          <w:p w14:paraId="3A0878AB"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720A1986" w14:textId="547DFCAA" w:rsidR="00E47AB8" w:rsidRPr="008B2F8A" w:rsidRDefault="00E47AB8" w:rsidP="00422306">
            <w:pPr>
              <w:pStyle w:val="TableText0"/>
              <w:keepNext w:val="0"/>
              <w:spacing w:before="40" w:after="80" w:line="276" w:lineRule="auto"/>
              <w:jc w:val="right"/>
            </w:pPr>
            <w:r w:rsidRPr="008B2F8A">
              <w:t xml:space="preserve">–$454,882 </w:t>
            </w:r>
          </w:p>
        </w:tc>
        <w:tc>
          <w:tcPr>
            <w:tcW w:w="0" w:type="auto"/>
            <w:noWrap/>
          </w:tcPr>
          <w:p w14:paraId="08822EFB" w14:textId="0052E7D8" w:rsidR="00E47AB8" w:rsidRPr="008B2F8A" w:rsidRDefault="00E47AB8" w:rsidP="00422306">
            <w:pPr>
              <w:pStyle w:val="TableText0"/>
              <w:keepNext w:val="0"/>
              <w:spacing w:before="40" w:after="80" w:line="276" w:lineRule="auto"/>
              <w:jc w:val="right"/>
            </w:pPr>
            <w:r w:rsidRPr="008B2F8A">
              <w:t xml:space="preserve">–$626,824 </w:t>
            </w:r>
          </w:p>
        </w:tc>
        <w:tc>
          <w:tcPr>
            <w:tcW w:w="0" w:type="auto"/>
            <w:noWrap/>
          </w:tcPr>
          <w:p w14:paraId="05510C0F" w14:textId="0794F408" w:rsidR="00E47AB8" w:rsidRPr="008B2F8A" w:rsidRDefault="00E47AB8" w:rsidP="00422306">
            <w:pPr>
              <w:pStyle w:val="TableText0"/>
              <w:keepNext w:val="0"/>
              <w:spacing w:before="40" w:after="80" w:line="276" w:lineRule="auto"/>
              <w:jc w:val="right"/>
            </w:pPr>
            <w:r w:rsidRPr="008B2F8A">
              <w:t xml:space="preserve">–$803,789 </w:t>
            </w:r>
          </w:p>
        </w:tc>
        <w:tc>
          <w:tcPr>
            <w:tcW w:w="0" w:type="auto"/>
            <w:noWrap/>
          </w:tcPr>
          <w:p w14:paraId="114849C2" w14:textId="786290F9" w:rsidR="00E47AB8" w:rsidRPr="008B2F8A" w:rsidRDefault="00E47AB8" w:rsidP="00422306">
            <w:pPr>
              <w:pStyle w:val="TableText0"/>
              <w:keepNext w:val="0"/>
              <w:spacing w:before="40" w:after="80" w:line="276" w:lineRule="auto"/>
              <w:jc w:val="right"/>
            </w:pPr>
            <w:r w:rsidRPr="008B2F8A">
              <w:t xml:space="preserve">–$985,742 </w:t>
            </w:r>
          </w:p>
        </w:tc>
        <w:tc>
          <w:tcPr>
            <w:tcW w:w="0" w:type="auto"/>
            <w:noWrap/>
          </w:tcPr>
          <w:p w14:paraId="1D4254B2" w14:textId="7860A644" w:rsidR="00E47AB8" w:rsidRPr="008B2F8A" w:rsidRDefault="00E47AB8" w:rsidP="00422306">
            <w:pPr>
              <w:pStyle w:val="TableText0"/>
              <w:keepNext w:val="0"/>
              <w:spacing w:before="40" w:after="80" w:line="276" w:lineRule="auto"/>
              <w:jc w:val="right"/>
            </w:pPr>
            <w:r w:rsidRPr="008B2F8A">
              <w:t xml:space="preserve">–$1,090,804 </w:t>
            </w:r>
          </w:p>
        </w:tc>
      </w:tr>
    </w:tbl>
    <w:p w14:paraId="16E40CBA" w14:textId="0420DAB4" w:rsidR="00E47AB8" w:rsidRPr="008B2F8A"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45C90A05" w14:textId="77777777" w:rsidR="00E47AB8" w:rsidRPr="008B2F8A" w:rsidRDefault="00E47AB8" w:rsidP="00E47AB8">
      <w:pPr>
        <w:pStyle w:val="Heading2"/>
      </w:pPr>
      <w:bookmarkStart w:id="1370" w:name="_Toc355274828"/>
      <w:bookmarkStart w:id="1371" w:name="_Toc383424531"/>
      <w:r w:rsidRPr="008B2F8A">
        <w:t>Estimated financial implications for the MBS</w:t>
      </w:r>
      <w:bookmarkEnd w:id="1370"/>
      <w:bookmarkEnd w:id="1371"/>
    </w:p>
    <w:p w14:paraId="4C924279" w14:textId="77777777" w:rsidR="00E47AB8" w:rsidRPr="008B2F8A" w:rsidRDefault="00E47AB8" w:rsidP="00E47AB8">
      <w:pPr>
        <w:pStyle w:val="Heading3"/>
        <w:numPr>
          <w:ilvl w:val="2"/>
          <w:numId w:val="42"/>
        </w:numPr>
      </w:pPr>
      <w:bookmarkStart w:id="1372" w:name="_Ref377648407"/>
      <w:bookmarkStart w:id="1373" w:name="_Toc383424532"/>
      <w:r w:rsidRPr="008B2F8A">
        <w:t>Cost of follow-up biopsy for additional positive findings with MRI</w:t>
      </w:r>
      <w:bookmarkEnd w:id="1372"/>
      <w:bookmarkEnd w:id="1373"/>
    </w:p>
    <w:p w14:paraId="220D01F0" w14:textId="77777777" w:rsidR="00E47AB8" w:rsidRPr="008B2F8A" w:rsidRDefault="00E47AB8" w:rsidP="00422306">
      <w:pPr>
        <w:pStyle w:val="Heading4"/>
      </w:pPr>
      <w:r w:rsidRPr="008B2F8A">
        <w:t>Number of patients who receive a follow-up biopsy</w:t>
      </w:r>
    </w:p>
    <w:p w14:paraId="68100FD4" w14:textId="77777777" w:rsidR="00E47AB8" w:rsidRPr="008B2F8A" w:rsidRDefault="00E47AB8" w:rsidP="00422306">
      <w:r w:rsidRPr="008B2F8A">
        <w:t>Patients who have a positive finding with mammography or MRI will undergo a biopsy to confirm the presence of a malignancy. The number of additional patients in each population who would receive a follow-up biopsy following a positive finding with MRI was estimated using the following calculations:</w:t>
      </w:r>
    </w:p>
    <w:p w14:paraId="4B3C2855" w14:textId="0279D440" w:rsidR="00E47AB8" w:rsidRPr="008B2F8A" w:rsidRDefault="00E47AB8" w:rsidP="004E7861">
      <w:pPr>
        <w:pStyle w:val="ListParagraph"/>
        <w:numPr>
          <w:ilvl w:val="0"/>
          <w:numId w:val="128"/>
        </w:numPr>
      </w:pPr>
      <w:r w:rsidRPr="008B2F8A">
        <w:t>The number</w:t>
      </w:r>
      <w:r>
        <w:t>s</w:t>
      </w:r>
      <w:r w:rsidRPr="008B2F8A">
        <w:t xml:space="preserve"> of true-positive and false-positive findings when MRI was and was not added to mammography </w:t>
      </w:r>
      <w:r>
        <w:t>were</w:t>
      </w:r>
      <w:r w:rsidRPr="008B2F8A">
        <w:t xml:space="preserve"> calculated using the sensitivity and specificity for each.</w:t>
      </w:r>
    </w:p>
    <w:p w14:paraId="5DE4296E" w14:textId="16D0413E" w:rsidR="00E47AB8" w:rsidRPr="008B2F8A" w:rsidRDefault="00E47AB8" w:rsidP="004E7861">
      <w:pPr>
        <w:pStyle w:val="ListParagraph"/>
        <w:numPr>
          <w:ilvl w:val="0"/>
          <w:numId w:val="128"/>
        </w:numPr>
      </w:pPr>
      <w:r w:rsidRPr="008B2F8A">
        <w:t xml:space="preserve">The number of additional positive findings with the addition of MRI was calculated by subtracting the number of positive findings with mammography from the number of positive findings with mammography </w:t>
      </w:r>
      <w:r>
        <w:t>+</w:t>
      </w:r>
      <w:r w:rsidRPr="008B2F8A">
        <w:t xml:space="preserve"> MRI.</w:t>
      </w:r>
    </w:p>
    <w:p w14:paraId="15165806" w14:textId="53F2A526" w:rsidR="00E47AB8" w:rsidRPr="008B2F8A" w:rsidRDefault="00E47AB8" w:rsidP="00422306">
      <w:r w:rsidRPr="008B2F8A">
        <w:t>Full details of these calculations are presented in Appendix 5</w:t>
      </w:r>
      <w:r>
        <w:t>.</w:t>
      </w:r>
      <w:r w:rsidRPr="008B2F8A">
        <w:t xml:space="preserve"> The results are shown in </w:t>
      </w:r>
      <w:r w:rsidRPr="008B2F8A">
        <w:fldChar w:fldCharType="begin"/>
      </w:r>
      <w:r w:rsidRPr="008B2F8A">
        <w:instrText xml:space="preserve"> REF _Ref376858408 \h </w:instrText>
      </w:r>
      <w:r w:rsidRPr="008B2F8A">
        <w:fldChar w:fldCharType="separate"/>
      </w:r>
      <w:r w:rsidR="00B81273" w:rsidRPr="008B2F8A">
        <w:t xml:space="preserve">Table </w:t>
      </w:r>
      <w:r w:rsidR="00B81273">
        <w:rPr>
          <w:noProof/>
        </w:rPr>
        <w:t>E</w:t>
      </w:r>
      <w:r w:rsidR="00B81273" w:rsidRPr="008B2F8A">
        <w:t>.</w:t>
      </w:r>
      <w:r w:rsidR="00B81273">
        <w:rPr>
          <w:noProof/>
        </w:rPr>
        <w:t>22</w:t>
      </w:r>
      <w:r w:rsidRPr="008B2F8A">
        <w:fldChar w:fldCharType="end"/>
      </w:r>
      <w:r w:rsidRPr="008B2F8A">
        <w:t xml:space="preserve">. The population of women with a prior history of breast cancer had the highest number of women undergoing biopsy, increasing </w:t>
      </w:r>
      <w:r>
        <w:t>from</w:t>
      </w:r>
      <w:r w:rsidRPr="008B2F8A">
        <w:t xml:space="preserve"> 986 in 2015 to 2,880 in 2019. All of the remaining populations had &lt;200 women receiving biopsy in the first year of listing.</w:t>
      </w:r>
    </w:p>
    <w:p w14:paraId="153BA9B6" w14:textId="77777777" w:rsidR="00E47AB8" w:rsidRPr="008B2F8A" w:rsidRDefault="00E47AB8" w:rsidP="00422306">
      <w:pPr>
        <w:pStyle w:val="Caption"/>
      </w:pPr>
      <w:bookmarkStart w:id="1374" w:name="_Ref376858408"/>
      <w:bookmarkStart w:id="1375" w:name="_Toc383424653"/>
      <w:r w:rsidRPr="008B2F8A">
        <w:t xml:space="preserve">Table </w:t>
      </w:r>
      <w:fldSimple w:instr=" STYLEREF 1 \s ">
        <w:r w:rsidR="00B81273">
          <w:rPr>
            <w:noProof/>
          </w:rPr>
          <w:t>E</w:t>
        </w:r>
      </w:fldSimple>
      <w:r w:rsidRPr="008B2F8A">
        <w:t>.</w:t>
      </w:r>
      <w:fldSimple w:instr=" SEQ Table \* ARABIC \s 1 ">
        <w:r w:rsidR="00B81273">
          <w:rPr>
            <w:noProof/>
          </w:rPr>
          <w:t>22</w:t>
        </w:r>
      </w:fldSimple>
      <w:bookmarkEnd w:id="1374"/>
      <w:r w:rsidRPr="008B2F8A">
        <w:tab/>
        <w:t>Number of additional positive findings with MRI.</w:t>
      </w:r>
      <w:bookmarkEnd w:id="1375"/>
    </w:p>
    <w:tbl>
      <w:tblPr>
        <w:tblStyle w:val="TableGrid"/>
        <w:tblW w:w="9070" w:type="dxa"/>
        <w:tblCellMar>
          <w:left w:w="28" w:type="dxa"/>
          <w:right w:w="28" w:type="dxa"/>
        </w:tblCellMar>
        <w:tblLook w:val="04A0" w:firstRow="1" w:lastRow="0" w:firstColumn="1" w:lastColumn="0" w:noHBand="0" w:noVBand="1"/>
        <w:tblCaption w:val="Number of additional positive findings with MRI."/>
      </w:tblPr>
      <w:tblGrid>
        <w:gridCol w:w="4635"/>
        <w:gridCol w:w="887"/>
        <w:gridCol w:w="887"/>
        <w:gridCol w:w="887"/>
        <w:gridCol w:w="887"/>
        <w:gridCol w:w="887"/>
      </w:tblGrid>
      <w:tr w:rsidR="00E47AB8" w:rsidRPr="008B2F8A" w14:paraId="546DCC81" w14:textId="77777777" w:rsidTr="00422306">
        <w:trPr>
          <w:tblHeader/>
        </w:trPr>
        <w:tc>
          <w:tcPr>
            <w:tcW w:w="0" w:type="auto"/>
            <w:noWrap/>
            <w:hideMark/>
          </w:tcPr>
          <w:p w14:paraId="2CEA6231"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36C5B8AF"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5A4AE4F8"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063EDE4E"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34E31281"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0649B33D"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26564676" w14:textId="77777777" w:rsidTr="00422306">
        <w:tc>
          <w:tcPr>
            <w:tcW w:w="0" w:type="auto"/>
            <w:noWrap/>
            <w:vAlign w:val="bottom"/>
            <w:hideMark/>
          </w:tcPr>
          <w:p w14:paraId="134B4430"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49839850" w14:textId="77777777" w:rsidR="00E47AB8" w:rsidRPr="008B2F8A" w:rsidRDefault="00E47AB8" w:rsidP="00422306">
            <w:pPr>
              <w:pStyle w:val="TableText0"/>
              <w:keepNext w:val="0"/>
              <w:spacing w:before="40" w:after="80" w:line="276" w:lineRule="auto"/>
              <w:jc w:val="right"/>
            </w:pPr>
            <w:r w:rsidRPr="008B2F8A">
              <w:t xml:space="preserve"> 192 </w:t>
            </w:r>
          </w:p>
        </w:tc>
        <w:tc>
          <w:tcPr>
            <w:tcW w:w="0" w:type="auto"/>
            <w:noWrap/>
            <w:hideMark/>
          </w:tcPr>
          <w:p w14:paraId="58771BB7" w14:textId="77777777" w:rsidR="00E47AB8" w:rsidRPr="008B2F8A" w:rsidRDefault="00E47AB8" w:rsidP="00422306">
            <w:pPr>
              <w:pStyle w:val="TableText0"/>
              <w:keepNext w:val="0"/>
              <w:spacing w:before="40" w:after="80" w:line="276" w:lineRule="auto"/>
              <w:jc w:val="right"/>
            </w:pPr>
            <w:r w:rsidRPr="008B2F8A">
              <w:t xml:space="preserve"> 216 </w:t>
            </w:r>
          </w:p>
        </w:tc>
        <w:tc>
          <w:tcPr>
            <w:tcW w:w="0" w:type="auto"/>
            <w:noWrap/>
            <w:hideMark/>
          </w:tcPr>
          <w:p w14:paraId="6C6F0F79" w14:textId="77777777" w:rsidR="00E47AB8" w:rsidRPr="008B2F8A" w:rsidRDefault="00E47AB8" w:rsidP="00422306">
            <w:pPr>
              <w:pStyle w:val="TableText0"/>
              <w:keepNext w:val="0"/>
              <w:spacing w:before="40" w:after="80" w:line="276" w:lineRule="auto"/>
              <w:jc w:val="right"/>
            </w:pPr>
            <w:r w:rsidRPr="008B2F8A">
              <w:t xml:space="preserve"> 241 </w:t>
            </w:r>
          </w:p>
        </w:tc>
        <w:tc>
          <w:tcPr>
            <w:tcW w:w="0" w:type="auto"/>
            <w:noWrap/>
            <w:hideMark/>
          </w:tcPr>
          <w:p w14:paraId="7BB1868C" w14:textId="77777777" w:rsidR="00E47AB8" w:rsidRPr="008B2F8A" w:rsidRDefault="00E47AB8" w:rsidP="00422306">
            <w:pPr>
              <w:pStyle w:val="TableText0"/>
              <w:keepNext w:val="0"/>
              <w:spacing w:before="40" w:after="80" w:line="276" w:lineRule="auto"/>
              <w:jc w:val="right"/>
            </w:pPr>
            <w:r w:rsidRPr="008B2F8A">
              <w:t xml:space="preserve"> 266 </w:t>
            </w:r>
          </w:p>
        </w:tc>
        <w:tc>
          <w:tcPr>
            <w:tcW w:w="0" w:type="auto"/>
            <w:noWrap/>
            <w:hideMark/>
          </w:tcPr>
          <w:p w14:paraId="648390C8" w14:textId="77777777" w:rsidR="00E47AB8" w:rsidRPr="008B2F8A" w:rsidRDefault="00E47AB8" w:rsidP="00422306">
            <w:pPr>
              <w:pStyle w:val="TableText0"/>
              <w:keepNext w:val="0"/>
              <w:spacing w:before="40" w:after="80" w:line="276" w:lineRule="auto"/>
              <w:jc w:val="right"/>
            </w:pPr>
            <w:r w:rsidRPr="008B2F8A">
              <w:t xml:space="preserve"> 290 </w:t>
            </w:r>
          </w:p>
        </w:tc>
      </w:tr>
      <w:tr w:rsidR="00E47AB8" w:rsidRPr="008B2F8A" w14:paraId="25FE4A38" w14:textId="77777777" w:rsidTr="00422306">
        <w:tc>
          <w:tcPr>
            <w:tcW w:w="0" w:type="auto"/>
            <w:noWrap/>
            <w:vAlign w:val="bottom"/>
          </w:tcPr>
          <w:p w14:paraId="56D9F5BB"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02B4F11C" w14:textId="77777777" w:rsidR="00E47AB8" w:rsidRPr="008B2F8A" w:rsidRDefault="00E47AB8" w:rsidP="00422306">
            <w:pPr>
              <w:pStyle w:val="TableText0"/>
              <w:keepNext w:val="0"/>
              <w:spacing w:before="40" w:after="80" w:line="276" w:lineRule="auto"/>
              <w:jc w:val="right"/>
            </w:pPr>
            <w:r w:rsidRPr="008B2F8A">
              <w:t xml:space="preserve"> 986 </w:t>
            </w:r>
          </w:p>
        </w:tc>
        <w:tc>
          <w:tcPr>
            <w:tcW w:w="0" w:type="auto"/>
            <w:noWrap/>
          </w:tcPr>
          <w:p w14:paraId="72928168" w14:textId="77777777" w:rsidR="00E47AB8" w:rsidRPr="008B2F8A" w:rsidRDefault="00E47AB8" w:rsidP="00422306">
            <w:pPr>
              <w:pStyle w:val="TableText0"/>
              <w:keepNext w:val="0"/>
              <w:spacing w:before="40" w:after="80" w:line="276" w:lineRule="auto"/>
              <w:jc w:val="right"/>
            </w:pPr>
            <w:r w:rsidRPr="008B2F8A">
              <w:t xml:space="preserve"> 1,505 </w:t>
            </w:r>
          </w:p>
        </w:tc>
        <w:tc>
          <w:tcPr>
            <w:tcW w:w="0" w:type="auto"/>
            <w:noWrap/>
          </w:tcPr>
          <w:p w14:paraId="797B6280" w14:textId="77777777" w:rsidR="00E47AB8" w:rsidRPr="008B2F8A" w:rsidRDefault="00E47AB8" w:rsidP="00422306">
            <w:pPr>
              <w:pStyle w:val="TableText0"/>
              <w:keepNext w:val="0"/>
              <w:spacing w:before="40" w:after="80" w:line="276" w:lineRule="auto"/>
              <w:jc w:val="right"/>
            </w:pPr>
            <w:r w:rsidRPr="008B2F8A">
              <w:t xml:space="preserve"> 2,041 </w:t>
            </w:r>
          </w:p>
        </w:tc>
        <w:tc>
          <w:tcPr>
            <w:tcW w:w="0" w:type="auto"/>
            <w:noWrap/>
          </w:tcPr>
          <w:p w14:paraId="0D7EB2AD" w14:textId="77777777" w:rsidR="00E47AB8" w:rsidRPr="008B2F8A" w:rsidRDefault="00E47AB8" w:rsidP="00422306">
            <w:pPr>
              <w:pStyle w:val="TableText0"/>
              <w:keepNext w:val="0"/>
              <w:spacing w:before="40" w:after="80" w:line="276" w:lineRule="auto"/>
              <w:jc w:val="right"/>
            </w:pPr>
            <w:r w:rsidRPr="008B2F8A">
              <w:t xml:space="preserve"> 2,595 </w:t>
            </w:r>
          </w:p>
        </w:tc>
        <w:tc>
          <w:tcPr>
            <w:tcW w:w="0" w:type="auto"/>
            <w:noWrap/>
          </w:tcPr>
          <w:p w14:paraId="50995929" w14:textId="77777777" w:rsidR="00E47AB8" w:rsidRPr="008B2F8A" w:rsidRDefault="00E47AB8" w:rsidP="00422306">
            <w:pPr>
              <w:pStyle w:val="TableText0"/>
              <w:keepNext w:val="0"/>
              <w:spacing w:before="40" w:after="80" w:line="276" w:lineRule="auto"/>
              <w:jc w:val="right"/>
            </w:pPr>
            <w:r w:rsidRPr="008B2F8A">
              <w:t xml:space="preserve"> 2,880 </w:t>
            </w:r>
          </w:p>
        </w:tc>
      </w:tr>
      <w:tr w:rsidR="00E47AB8" w:rsidRPr="008B2F8A" w14:paraId="30DD4698" w14:textId="77777777" w:rsidTr="00422306">
        <w:tc>
          <w:tcPr>
            <w:tcW w:w="0" w:type="auto"/>
            <w:noWrap/>
            <w:vAlign w:val="bottom"/>
          </w:tcPr>
          <w:p w14:paraId="27721565" w14:textId="1EB67634"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5EAB8F5E" w14:textId="77777777" w:rsidR="00E47AB8" w:rsidRPr="008B2F8A" w:rsidRDefault="00E47AB8" w:rsidP="00422306">
            <w:pPr>
              <w:pStyle w:val="TableText0"/>
              <w:keepNext w:val="0"/>
              <w:spacing w:before="40" w:after="80" w:line="276" w:lineRule="auto"/>
              <w:jc w:val="right"/>
            </w:pPr>
            <w:r w:rsidRPr="008B2F8A">
              <w:t xml:space="preserve"> 102 </w:t>
            </w:r>
          </w:p>
        </w:tc>
        <w:tc>
          <w:tcPr>
            <w:tcW w:w="0" w:type="auto"/>
            <w:noWrap/>
          </w:tcPr>
          <w:p w14:paraId="76A7F485" w14:textId="77777777" w:rsidR="00E47AB8" w:rsidRPr="008B2F8A" w:rsidRDefault="00E47AB8" w:rsidP="00422306">
            <w:pPr>
              <w:pStyle w:val="TableText0"/>
              <w:keepNext w:val="0"/>
              <w:spacing w:before="40" w:after="80" w:line="276" w:lineRule="auto"/>
              <w:jc w:val="right"/>
            </w:pPr>
            <w:r w:rsidRPr="008B2F8A">
              <w:t xml:space="preserve"> 156 </w:t>
            </w:r>
          </w:p>
        </w:tc>
        <w:tc>
          <w:tcPr>
            <w:tcW w:w="0" w:type="auto"/>
            <w:noWrap/>
          </w:tcPr>
          <w:p w14:paraId="245C7752" w14:textId="77777777" w:rsidR="00E47AB8" w:rsidRPr="008B2F8A" w:rsidRDefault="00E47AB8" w:rsidP="00422306">
            <w:pPr>
              <w:pStyle w:val="TableText0"/>
              <w:keepNext w:val="0"/>
              <w:spacing w:before="40" w:after="80" w:line="276" w:lineRule="auto"/>
              <w:jc w:val="right"/>
            </w:pPr>
            <w:r w:rsidRPr="008B2F8A">
              <w:t xml:space="preserve"> 211 </w:t>
            </w:r>
          </w:p>
        </w:tc>
        <w:tc>
          <w:tcPr>
            <w:tcW w:w="0" w:type="auto"/>
            <w:noWrap/>
          </w:tcPr>
          <w:p w14:paraId="0A5A58F0" w14:textId="77777777" w:rsidR="00E47AB8" w:rsidRPr="008B2F8A" w:rsidRDefault="00E47AB8" w:rsidP="00422306">
            <w:pPr>
              <w:pStyle w:val="TableText0"/>
              <w:keepNext w:val="0"/>
              <w:spacing w:before="40" w:after="80" w:line="276" w:lineRule="auto"/>
              <w:jc w:val="right"/>
            </w:pPr>
            <w:r w:rsidRPr="008B2F8A">
              <w:t xml:space="preserve"> 269 </w:t>
            </w:r>
          </w:p>
        </w:tc>
        <w:tc>
          <w:tcPr>
            <w:tcW w:w="0" w:type="auto"/>
            <w:noWrap/>
          </w:tcPr>
          <w:p w14:paraId="4712A1FD" w14:textId="77777777" w:rsidR="00E47AB8" w:rsidRPr="008B2F8A" w:rsidRDefault="00E47AB8" w:rsidP="00422306">
            <w:pPr>
              <w:pStyle w:val="TableText0"/>
              <w:keepNext w:val="0"/>
              <w:spacing w:before="40" w:after="80" w:line="276" w:lineRule="auto"/>
              <w:jc w:val="right"/>
            </w:pPr>
            <w:r w:rsidRPr="008B2F8A">
              <w:t xml:space="preserve"> 298 </w:t>
            </w:r>
          </w:p>
        </w:tc>
      </w:tr>
      <w:tr w:rsidR="00E47AB8" w:rsidRPr="008B2F8A" w14:paraId="21D86D29" w14:textId="77777777" w:rsidTr="00422306">
        <w:tc>
          <w:tcPr>
            <w:tcW w:w="0" w:type="auto"/>
            <w:noWrap/>
            <w:vAlign w:val="bottom"/>
          </w:tcPr>
          <w:p w14:paraId="33EA0D56"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350E6719" w14:textId="77777777" w:rsidR="00E47AB8" w:rsidRPr="008B2F8A" w:rsidRDefault="00E47AB8" w:rsidP="00422306">
            <w:pPr>
              <w:pStyle w:val="TableText0"/>
              <w:keepNext w:val="0"/>
              <w:spacing w:before="40" w:after="80" w:line="276" w:lineRule="auto"/>
              <w:jc w:val="right"/>
            </w:pPr>
            <w:r w:rsidRPr="008B2F8A">
              <w:t>4</w:t>
            </w:r>
          </w:p>
        </w:tc>
        <w:tc>
          <w:tcPr>
            <w:tcW w:w="0" w:type="auto"/>
            <w:noWrap/>
          </w:tcPr>
          <w:p w14:paraId="0495EF2B" w14:textId="77777777" w:rsidR="00E47AB8" w:rsidRPr="008B2F8A" w:rsidRDefault="00E47AB8" w:rsidP="00422306">
            <w:pPr>
              <w:pStyle w:val="TableText0"/>
              <w:keepNext w:val="0"/>
              <w:spacing w:before="40" w:after="80" w:line="276" w:lineRule="auto"/>
              <w:jc w:val="right"/>
            </w:pPr>
            <w:r w:rsidRPr="008B2F8A">
              <w:t>9</w:t>
            </w:r>
          </w:p>
        </w:tc>
        <w:tc>
          <w:tcPr>
            <w:tcW w:w="0" w:type="auto"/>
            <w:noWrap/>
          </w:tcPr>
          <w:p w14:paraId="07050A3C" w14:textId="77777777" w:rsidR="00E47AB8" w:rsidRPr="008B2F8A" w:rsidRDefault="00E47AB8" w:rsidP="00422306">
            <w:pPr>
              <w:pStyle w:val="TableText0"/>
              <w:keepNext w:val="0"/>
              <w:spacing w:before="40" w:after="80" w:line="276" w:lineRule="auto"/>
              <w:jc w:val="right"/>
            </w:pPr>
            <w:r w:rsidRPr="008B2F8A">
              <w:t>13</w:t>
            </w:r>
          </w:p>
        </w:tc>
        <w:tc>
          <w:tcPr>
            <w:tcW w:w="0" w:type="auto"/>
            <w:noWrap/>
          </w:tcPr>
          <w:p w14:paraId="67664974" w14:textId="77777777" w:rsidR="00E47AB8" w:rsidRPr="008B2F8A" w:rsidRDefault="00E47AB8" w:rsidP="00422306">
            <w:pPr>
              <w:pStyle w:val="TableText0"/>
              <w:keepNext w:val="0"/>
              <w:spacing w:before="40" w:after="80" w:line="276" w:lineRule="auto"/>
              <w:jc w:val="right"/>
            </w:pPr>
            <w:r w:rsidRPr="008B2F8A">
              <w:t>18</w:t>
            </w:r>
          </w:p>
        </w:tc>
        <w:tc>
          <w:tcPr>
            <w:tcW w:w="0" w:type="auto"/>
            <w:noWrap/>
          </w:tcPr>
          <w:p w14:paraId="5A1CE70B" w14:textId="77777777" w:rsidR="00E47AB8" w:rsidRPr="008B2F8A" w:rsidRDefault="00E47AB8" w:rsidP="00422306">
            <w:pPr>
              <w:pStyle w:val="TableText0"/>
              <w:keepNext w:val="0"/>
              <w:spacing w:before="40" w:after="80" w:line="276" w:lineRule="auto"/>
              <w:jc w:val="right"/>
            </w:pPr>
            <w:r w:rsidRPr="008B2F8A">
              <w:t>20</w:t>
            </w:r>
          </w:p>
        </w:tc>
      </w:tr>
    </w:tbl>
    <w:p w14:paraId="6DD13F81" w14:textId="09310A5F" w:rsidR="00E47AB8"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3967A2FF" w14:textId="77777777" w:rsidR="00F56FD1" w:rsidRPr="008B2F8A" w:rsidRDefault="00F56FD1" w:rsidP="00F56FD1">
      <w:pPr>
        <w:pStyle w:val="TableNotesFirst"/>
      </w:pPr>
    </w:p>
    <w:p w14:paraId="0F7E3812" w14:textId="77777777" w:rsidR="00E47AB8" w:rsidRPr="008B2F8A" w:rsidRDefault="00E47AB8" w:rsidP="00422306">
      <w:pPr>
        <w:pStyle w:val="Heading4"/>
      </w:pPr>
      <w:r w:rsidRPr="008B2F8A">
        <w:t>Costs included in the biopsy procedure</w:t>
      </w:r>
    </w:p>
    <w:p w14:paraId="7839B5EB" w14:textId="77777777" w:rsidR="00E47AB8" w:rsidRPr="008B2F8A" w:rsidRDefault="00E47AB8" w:rsidP="00422306">
      <w:r w:rsidRPr="008B2F8A">
        <w:t xml:space="preserve">The costs included for follow-up biopsies are shown in </w:t>
      </w:r>
      <w:r w:rsidRPr="008B2F8A">
        <w:rPr>
          <w:highlight w:val="yellow"/>
        </w:rPr>
        <w:fldChar w:fldCharType="begin"/>
      </w:r>
      <w:r w:rsidRPr="008B2F8A">
        <w:instrText xml:space="preserve"> REF _Ref376858490 \h </w:instrText>
      </w:r>
      <w:r w:rsidRPr="008B2F8A">
        <w:rPr>
          <w:highlight w:val="yellow"/>
        </w:rPr>
      </w:r>
      <w:r w:rsidRPr="008B2F8A">
        <w:rPr>
          <w:highlight w:val="yellow"/>
        </w:rPr>
        <w:fldChar w:fldCharType="separate"/>
      </w:r>
      <w:r w:rsidR="00B81273" w:rsidRPr="008B2F8A">
        <w:t xml:space="preserve">Table </w:t>
      </w:r>
      <w:r w:rsidR="00B81273">
        <w:rPr>
          <w:noProof/>
        </w:rPr>
        <w:t>E</w:t>
      </w:r>
      <w:r w:rsidR="00B81273" w:rsidRPr="008B2F8A">
        <w:t>.</w:t>
      </w:r>
      <w:r w:rsidR="00B81273">
        <w:rPr>
          <w:noProof/>
        </w:rPr>
        <w:t>23</w:t>
      </w:r>
      <w:r w:rsidRPr="008B2F8A">
        <w:rPr>
          <w:highlight w:val="yellow"/>
        </w:rPr>
        <w:fldChar w:fldCharType="end"/>
      </w:r>
      <w:r w:rsidRPr="008B2F8A">
        <w:t>. The total MBS cost per patient for a follow-up biopsy was $200.80.</w:t>
      </w:r>
    </w:p>
    <w:p w14:paraId="5904FF17" w14:textId="77777777" w:rsidR="00E47AB8" w:rsidRPr="008B2F8A" w:rsidRDefault="00E47AB8" w:rsidP="00422306">
      <w:pPr>
        <w:pStyle w:val="Caption"/>
      </w:pPr>
      <w:bookmarkStart w:id="1376" w:name="_Ref376858490"/>
      <w:bookmarkStart w:id="1377" w:name="_Toc383424654"/>
      <w:r w:rsidRPr="008B2F8A">
        <w:lastRenderedPageBreak/>
        <w:t xml:space="preserve">Table </w:t>
      </w:r>
      <w:fldSimple w:instr=" STYLEREF 1 \s ">
        <w:r w:rsidR="00B81273">
          <w:rPr>
            <w:noProof/>
          </w:rPr>
          <w:t>E</w:t>
        </w:r>
      </w:fldSimple>
      <w:r w:rsidRPr="008B2F8A">
        <w:t>.</w:t>
      </w:r>
      <w:fldSimple w:instr=" SEQ Table \* ARABIC \s 1 ">
        <w:r w:rsidR="00B81273">
          <w:rPr>
            <w:noProof/>
          </w:rPr>
          <w:t>23</w:t>
        </w:r>
      </w:fldSimple>
      <w:bookmarkEnd w:id="1376"/>
      <w:r w:rsidRPr="008B2F8A">
        <w:tab/>
        <w:t>Breakdown of the included costs for biopsy procedure.</w:t>
      </w:r>
      <w:bookmarkEnd w:id="1377"/>
    </w:p>
    <w:tbl>
      <w:tblPr>
        <w:tblW w:w="9070" w:type="dxa"/>
        <w:tblCellMar>
          <w:left w:w="28" w:type="dxa"/>
          <w:right w:w="28" w:type="dxa"/>
        </w:tblCellMar>
        <w:tblLook w:val="04A0" w:firstRow="1" w:lastRow="0" w:firstColumn="1" w:lastColumn="0" w:noHBand="0" w:noVBand="1"/>
        <w:tblCaption w:val="Breakdown of the included costs for biopsy procedure."/>
      </w:tblPr>
      <w:tblGrid>
        <w:gridCol w:w="4317"/>
        <w:gridCol w:w="2376"/>
        <w:gridCol w:w="2377"/>
      </w:tblGrid>
      <w:tr w:rsidR="00E47AB8" w:rsidRPr="008B2F8A" w14:paraId="38883538" w14:textId="77777777" w:rsidTr="004E7861">
        <w:trPr>
          <w:tblHeader/>
        </w:trPr>
        <w:tc>
          <w:tcPr>
            <w:tcW w:w="4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BB05F9" w14:textId="77777777" w:rsidR="00E47AB8" w:rsidRPr="008B2F8A" w:rsidRDefault="00E47AB8" w:rsidP="00422306">
            <w:pPr>
              <w:pStyle w:val="Tableheaderrow"/>
              <w:spacing w:before="40" w:after="80" w:line="276" w:lineRule="auto"/>
            </w:pPr>
            <w:r w:rsidRPr="008B2F8A">
              <w:t>Description</w:t>
            </w:r>
          </w:p>
        </w:tc>
        <w:tc>
          <w:tcPr>
            <w:tcW w:w="2376" w:type="dxa"/>
            <w:tcBorders>
              <w:top w:val="single" w:sz="4" w:space="0" w:color="auto"/>
              <w:left w:val="nil"/>
              <w:bottom w:val="single" w:sz="4" w:space="0" w:color="auto"/>
              <w:right w:val="single" w:sz="4" w:space="0" w:color="auto"/>
            </w:tcBorders>
            <w:shd w:val="clear" w:color="000000" w:fill="FFFFFF"/>
            <w:vAlign w:val="bottom"/>
            <w:hideMark/>
          </w:tcPr>
          <w:p w14:paraId="34E0FB86" w14:textId="77777777" w:rsidR="00E47AB8" w:rsidRPr="008B2F8A" w:rsidRDefault="00E47AB8" w:rsidP="00422306">
            <w:pPr>
              <w:pStyle w:val="Tableheaderrow"/>
              <w:spacing w:before="40" w:after="80" w:line="276" w:lineRule="auto"/>
            </w:pPr>
            <w:r w:rsidRPr="008B2F8A">
              <w:t>MBS item</w:t>
            </w:r>
          </w:p>
        </w:tc>
        <w:tc>
          <w:tcPr>
            <w:tcW w:w="2377" w:type="dxa"/>
            <w:tcBorders>
              <w:top w:val="single" w:sz="4" w:space="0" w:color="auto"/>
              <w:left w:val="nil"/>
              <w:bottom w:val="single" w:sz="4" w:space="0" w:color="auto"/>
              <w:right w:val="single" w:sz="4" w:space="0" w:color="auto"/>
            </w:tcBorders>
            <w:shd w:val="clear" w:color="000000" w:fill="FFFFFF"/>
            <w:vAlign w:val="bottom"/>
            <w:hideMark/>
          </w:tcPr>
          <w:p w14:paraId="361E03E5" w14:textId="77777777" w:rsidR="00E47AB8" w:rsidRPr="008B2F8A" w:rsidRDefault="00E47AB8" w:rsidP="00422306">
            <w:pPr>
              <w:pStyle w:val="Tableheaderrow"/>
              <w:spacing w:before="40" w:after="80" w:line="276" w:lineRule="auto"/>
            </w:pPr>
            <w:r w:rsidRPr="008B2F8A">
              <w:t>Benefit per service (85%)</w:t>
            </w:r>
          </w:p>
        </w:tc>
      </w:tr>
      <w:tr w:rsidR="00E47AB8" w:rsidRPr="008B2F8A" w14:paraId="31B39322" w14:textId="77777777" w:rsidTr="004E7861">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5C6E74B1" w14:textId="448E1AAC" w:rsidR="00E47AB8" w:rsidRPr="008B2F8A" w:rsidRDefault="00E47AB8" w:rsidP="00422306">
            <w:pPr>
              <w:pStyle w:val="TableText0"/>
              <w:keepNext w:val="0"/>
              <w:spacing w:before="40" w:after="80" w:line="276" w:lineRule="auto"/>
            </w:pPr>
            <w:r w:rsidRPr="008B2F8A">
              <w:t>Fine</w:t>
            </w:r>
            <w:r>
              <w:t>-</w:t>
            </w:r>
            <w:r w:rsidRPr="008B2F8A">
              <w:t>needle aspiration biopsy or core</w:t>
            </w:r>
            <w:r>
              <w:t>-</w:t>
            </w:r>
            <w:r w:rsidRPr="008B2F8A">
              <w:t>needle biopsy</w:t>
            </w:r>
          </w:p>
        </w:tc>
        <w:tc>
          <w:tcPr>
            <w:tcW w:w="2376" w:type="dxa"/>
            <w:tcBorders>
              <w:top w:val="nil"/>
              <w:left w:val="nil"/>
              <w:bottom w:val="single" w:sz="4" w:space="0" w:color="auto"/>
              <w:right w:val="single" w:sz="4" w:space="0" w:color="auto"/>
            </w:tcBorders>
            <w:shd w:val="clear" w:color="000000" w:fill="FFFFFF"/>
            <w:vAlign w:val="bottom"/>
            <w:hideMark/>
          </w:tcPr>
          <w:p w14:paraId="147F91DB" w14:textId="77777777" w:rsidR="00E47AB8" w:rsidRPr="008B2F8A" w:rsidRDefault="00E47AB8" w:rsidP="00422306">
            <w:pPr>
              <w:pStyle w:val="TableText0"/>
              <w:keepNext w:val="0"/>
              <w:spacing w:before="40" w:after="80" w:line="276" w:lineRule="auto"/>
            </w:pPr>
            <w:r w:rsidRPr="008B2F8A">
              <w:t>31533, 31548</w:t>
            </w:r>
          </w:p>
        </w:tc>
        <w:tc>
          <w:tcPr>
            <w:tcW w:w="2377" w:type="dxa"/>
            <w:tcBorders>
              <w:top w:val="nil"/>
              <w:left w:val="nil"/>
              <w:bottom w:val="single" w:sz="4" w:space="0" w:color="auto"/>
              <w:right w:val="single" w:sz="4" w:space="0" w:color="auto"/>
            </w:tcBorders>
            <w:shd w:val="clear" w:color="000000" w:fill="FFFFFF"/>
            <w:vAlign w:val="bottom"/>
            <w:hideMark/>
          </w:tcPr>
          <w:p w14:paraId="7D0B3314" w14:textId="55ABB713" w:rsidR="00E47AB8" w:rsidRPr="008B2F8A" w:rsidRDefault="00E47AB8" w:rsidP="00422306">
            <w:pPr>
              <w:pStyle w:val="TableText0"/>
              <w:keepNext w:val="0"/>
              <w:spacing w:before="40" w:after="80" w:line="276" w:lineRule="auto"/>
            </w:pPr>
            <w:r w:rsidRPr="008B2F8A">
              <w:t xml:space="preserve">$117.25 </w:t>
            </w:r>
          </w:p>
        </w:tc>
      </w:tr>
      <w:tr w:rsidR="00E47AB8" w:rsidRPr="008B2F8A" w14:paraId="1A2D8C08" w14:textId="77777777" w:rsidTr="004E7861">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51204569" w14:textId="77777777" w:rsidR="00E47AB8" w:rsidRPr="008B2F8A" w:rsidRDefault="00E47AB8" w:rsidP="00422306">
            <w:pPr>
              <w:pStyle w:val="TableText0"/>
              <w:keepNext w:val="0"/>
              <w:spacing w:before="40" w:after="80" w:line="276" w:lineRule="auto"/>
            </w:pPr>
            <w:r w:rsidRPr="008B2F8A">
              <w:t>Ultrasound—one breast</w:t>
            </w:r>
          </w:p>
        </w:tc>
        <w:tc>
          <w:tcPr>
            <w:tcW w:w="2376" w:type="dxa"/>
            <w:tcBorders>
              <w:top w:val="nil"/>
              <w:left w:val="nil"/>
              <w:bottom w:val="single" w:sz="4" w:space="0" w:color="auto"/>
              <w:right w:val="single" w:sz="4" w:space="0" w:color="auto"/>
            </w:tcBorders>
            <w:shd w:val="clear" w:color="000000" w:fill="FFFFFF"/>
            <w:vAlign w:val="bottom"/>
            <w:hideMark/>
          </w:tcPr>
          <w:p w14:paraId="5E13A09D" w14:textId="77777777" w:rsidR="00E47AB8" w:rsidRPr="008B2F8A" w:rsidRDefault="00E47AB8" w:rsidP="00422306">
            <w:pPr>
              <w:pStyle w:val="TableText0"/>
              <w:keepNext w:val="0"/>
              <w:spacing w:before="40" w:after="80" w:line="276" w:lineRule="auto"/>
            </w:pPr>
            <w:r w:rsidRPr="008B2F8A">
              <w:t>55070</w:t>
            </w:r>
          </w:p>
        </w:tc>
        <w:tc>
          <w:tcPr>
            <w:tcW w:w="2377" w:type="dxa"/>
            <w:tcBorders>
              <w:top w:val="nil"/>
              <w:left w:val="nil"/>
              <w:bottom w:val="single" w:sz="4" w:space="0" w:color="auto"/>
              <w:right w:val="single" w:sz="4" w:space="0" w:color="auto"/>
            </w:tcBorders>
            <w:shd w:val="clear" w:color="000000" w:fill="FFFFFF"/>
            <w:vAlign w:val="bottom"/>
            <w:hideMark/>
          </w:tcPr>
          <w:p w14:paraId="32058E36" w14:textId="59222D94" w:rsidR="00E47AB8" w:rsidRPr="008B2F8A" w:rsidRDefault="00E47AB8" w:rsidP="00422306">
            <w:pPr>
              <w:pStyle w:val="TableText0"/>
              <w:keepNext w:val="0"/>
              <w:spacing w:before="40" w:after="80" w:line="276" w:lineRule="auto"/>
            </w:pPr>
            <w:r w:rsidRPr="008B2F8A">
              <w:t xml:space="preserve">$83.55 </w:t>
            </w:r>
          </w:p>
        </w:tc>
      </w:tr>
      <w:tr w:rsidR="00E47AB8" w:rsidRPr="008B2F8A" w14:paraId="067349BB" w14:textId="77777777" w:rsidTr="004E7861">
        <w:tc>
          <w:tcPr>
            <w:tcW w:w="4317" w:type="dxa"/>
            <w:tcBorders>
              <w:top w:val="nil"/>
              <w:left w:val="single" w:sz="4" w:space="0" w:color="auto"/>
              <w:bottom w:val="single" w:sz="4" w:space="0" w:color="auto"/>
              <w:right w:val="single" w:sz="4" w:space="0" w:color="auto"/>
            </w:tcBorders>
            <w:shd w:val="clear" w:color="000000" w:fill="FFFFFF"/>
            <w:vAlign w:val="bottom"/>
            <w:hideMark/>
          </w:tcPr>
          <w:p w14:paraId="6061BD49" w14:textId="77777777" w:rsidR="00E47AB8" w:rsidRPr="008B2F8A" w:rsidRDefault="00E47AB8" w:rsidP="00422306">
            <w:pPr>
              <w:pStyle w:val="TableText0"/>
              <w:keepNext w:val="0"/>
              <w:spacing w:before="40" w:after="80" w:line="276" w:lineRule="auto"/>
            </w:pPr>
            <w:r w:rsidRPr="008B2F8A">
              <w:t>Total cost per patient</w:t>
            </w:r>
          </w:p>
        </w:tc>
        <w:tc>
          <w:tcPr>
            <w:tcW w:w="2376" w:type="dxa"/>
            <w:tcBorders>
              <w:top w:val="nil"/>
              <w:left w:val="nil"/>
              <w:bottom w:val="single" w:sz="4" w:space="0" w:color="auto"/>
              <w:right w:val="single" w:sz="4" w:space="0" w:color="auto"/>
            </w:tcBorders>
            <w:shd w:val="clear" w:color="000000" w:fill="FFFFFF"/>
            <w:vAlign w:val="bottom"/>
            <w:hideMark/>
          </w:tcPr>
          <w:p w14:paraId="20A78412" w14:textId="0F3B785C" w:rsidR="00E47AB8" w:rsidRPr="008B2F8A" w:rsidRDefault="00E47AB8" w:rsidP="00422306">
            <w:pPr>
              <w:pStyle w:val="TableText0"/>
              <w:keepNext w:val="0"/>
              <w:spacing w:before="40" w:after="80" w:line="276" w:lineRule="auto"/>
            </w:pPr>
            <w:r w:rsidRPr="00AA62E6">
              <w:rPr>
                <w:color w:val="FFFFFF" w:themeColor="background1"/>
                <w:szCs w:val="20"/>
              </w:rPr>
              <w:t>-</w:t>
            </w:r>
          </w:p>
        </w:tc>
        <w:tc>
          <w:tcPr>
            <w:tcW w:w="2377" w:type="dxa"/>
            <w:tcBorders>
              <w:top w:val="nil"/>
              <w:left w:val="nil"/>
              <w:bottom w:val="single" w:sz="4" w:space="0" w:color="auto"/>
              <w:right w:val="single" w:sz="4" w:space="0" w:color="auto"/>
            </w:tcBorders>
            <w:shd w:val="clear" w:color="000000" w:fill="FFFFFF"/>
            <w:vAlign w:val="bottom"/>
            <w:hideMark/>
          </w:tcPr>
          <w:p w14:paraId="55826541" w14:textId="499BF4EA" w:rsidR="00E47AB8" w:rsidRPr="008B2F8A" w:rsidRDefault="00E47AB8" w:rsidP="00422306">
            <w:pPr>
              <w:pStyle w:val="TableText0"/>
              <w:keepNext w:val="0"/>
              <w:spacing w:before="40" w:after="80" w:line="276" w:lineRule="auto"/>
            </w:pPr>
            <w:r w:rsidRPr="008B2F8A">
              <w:t xml:space="preserve">$200.80 </w:t>
            </w:r>
          </w:p>
        </w:tc>
      </w:tr>
    </w:tbl>
    <w:p w14:paraId="280F1C18" w14:textId="5925F1F8" w:rsidR="00E47AB8" w:rsidRDefault="00E47AB8" w:rsidP="00F56FD1">
      <w:pPr>
        <w:pStyle w:val="TableNotesFirst"/>
      </w:pPr>
      <w:r w:rsidRPr="008B2F8A">
        <w:t>MBS = Medicare Benefits Schedule.</w:t>
      </w:r>
      <w:r w:rsidR="00F56FD1">
        <w:t xml:space="preserve"> </w:t>
      </w:r>
      <w:r w:rsidRPr="008B2F8A">
        <w:t>Note: Rounding has been applied.</w:t>
      </w:r>
    </w:p>
    <w:p w14:paraId="1FC08EFD" w14:textId="77777777" w:rsidR="00F56FD1" w:rsidRPr="008B2F8A" w:rsidRDefault="00F56FD1" w:rsidP="00F56FD1">
      <w:pPr>
        <w:pStyle w:val="TableNotesFirst"/>
      </w:pPr>
    </w:p>
    <w:p w14:paraId="66B59950" w14:textId="2C4E425C" w:rsidR="00E47AB8" w:rsidRPr="008B2F8A" w:rsidRDefault="00E47AB8" w:rsidP="00422306">
      <w:r w:rsidRPr="008B2F8A">
        <w:t>For the biopsy procedure, fine-needle aspiration biopsy (MBS item 31533) and core needle biopsy (item 31548) have been included. Both items have the same MBS schedule fee. Owing to very low use, stereotactic biopsy (items 31539 and 31545) and open biopsy (item 31506) have been excluded from the analyses. If the relative usage of these biopsy types should increase, it would be expected that the cost for follow-up would also increase, as these are higher-cost procedures. MRI-guided biopsy is not currently listed on the MBS. If MRI-guided biopsy gains a listing</w:t>
      </w:r>
      <w:r>
        <w:t>,</w:t>
      </w:r>
      <w:r w:rsidRPr="008B2F8A">
        <w:t xml:space="preserve"> this would also be expected to increase the costs of follow-up.</w:t>
      </w:r>
    </w:p>
    <w:p w14:paraId="5FC76EAC" w14:textId="4871AF2D" w:rsidR="00E47AB8" w:rsidRPr="008B2F8A" w:rsidRDefault="00E47AB8" w:rsidP="00422306">
      <w:r w:rsidRPr="008B2F8A">
        <w:t xml:space="preserve">On </w:t>
      </w:r>
      <w:r>
        <w:t>advice from the</w:t>
      </w:r>
      <w:r w:rsidRPr="008B2F8A">
        <w:t xml:space="preserve"> Health Expert Standing Panel, the cost for imaging of a single breast with ultrasound (item 55070) has been included in the overall biopsy costs. Use of the corresponding ‘NK’ and non-referred items was very low</w:t>
      </w:r>
      <w:r>
        <w:t>,</w:t>
      </w:r>
      <w:r w:rsidRPr="008B2F8A">
        <w:t xml:space="preserve"> and these were excluded from the analysis.</w:t>
      </w:r>
    </w:p>
    <w:p w14:paraId="00EDA9CF" w14:textId="77777777" w:rsidR="00E47AB8" w:rsidRPr="008B2F8A" w:rsidRDefault="00E47AB8" w:rsidP="00422306">
      <w:pPr>
        <w:pStyle w:val="Heading4"/>
      </w:pPr>
      <w:r w:rsidRPr="008B2F8A">
        <w:t>Total cost of additional follow-up biopsies with MRI</w:t>
      </w:r>
    </w:p>
    <w:p w14:paraId="38981E33" w14:textId="77777777" w:rsidR="00E47AB8" w:rsidRPr="008B2F8A" w:rsidRDefault="00E47AB8" w:rsidP="00422306">
      <w:r w:rsidRPr="008B2F8A">
        <w:t xml:space="preserve">The cost for additional biopsies with breast MRI was calculated by multiplying the number of additional patients who have a biopsy by the cost per patient. The results are shown in </w:t>
      </w:r>
      <w:r w:rsidRPr="008B2F8A">
        <w:fldChar w:fldCharType="begin"/>
      </w:r>
      <w:r w:rsidRPr="008B2F8A">
        <w:instrText xml:space="preserve"> REF _Ref376953478 \h </w:instrText>
      </w:r>
      <w:r w:rsidRPr="008B2F8A">
        <w:fldChar w:fldCharType="separate"/>
      </w:r>
      <w:r w:rsidR="00B81273" w:rsidRPr="008B2F8A">
        <w:t xml:space="preserve">Table </w:t>
      </w:r>
      <w:r w:rsidR="00B81273">
        <w:rPr>
          <w:noProof/>
        </w:rPr>
        <w:t>E</w:t>
      </w:r>
      <w:r w:rsidR="00B81273" w:rsidRPr="008B2F8A">
        <w:t>.</w:t>
      </w:r>
      <w:r w:rsidR="00B81273">
        <w:rPr>
          <w:noProof/>
        </w:rPr>
        <w:t>24</w:t>
      </w:r>
      <w:r w:rsidRPr="008B2F8A">
        <w:fldChar w:fldCharType="end"/>
      </w:r>
      <w:r w:rsidRPr="008B2F8A">
        <w:t>. The estimated total cost for additional biopsies across all populations was $257,794 in 2015, increasing to $700,681 in 2019. The majority of this cost comes from the population of women with a prior history of invasive breast cancer, which reflects the higher patient numbers in this population.</w:t>
      </w:r>
    </w:p>
    <w:p w14:paraId="3ECB669E" w14:textId="4C5A30E1" w:rsidR="00E47AB8" w:rsidRPr="008B2F8A" w:rsidRDefault="00E47AB8" w:rsidP="00422306">
      <w:pPr>
        <w:pStyle w:val="Caption"/>
      </w:pPr>
      <w:bookmarkStart w:id="1378" w:name="_Ref376953478"/>
      <w:bookmarkStart w:id="1379" w:name="_Toc383424655"/>
      <w:r w:rsidRPr="008B2F8A">
        <w:t xml:space="preserve">Table </w:t>
      </w:r>
      <w:fldSimple w:instr=" STYLEREF 1 \s ">
        <w:r w:rsidR="00B81273">
          <w:rPr>
            <w:noProof/>
          </w:rPr>
          <w:t>E</w:t>
        </w:r>
      </w:fldSimple>
      <w:r w:rsidRPr="008B2F8A">
        <w:t>.</w:t>
      </w:r>
      <w:fldSimple w:instr=" SEQ Table \* ARABIC \s 1 ">
        <w:r w:rsidR="00B81273">
          <w:rPr>
            <w:noProof/>
          </w:rPr>
          <w:t>24</w:t>
        </w:r>
      </w:fldSimple>
      <w:bookmarkEnd w:id="1378"/>
      <w:r w:rsidRPr="008B2F8A">
        <w:tab/>
        <w:t>Total cost of additional biopsies with breast MRI.</w:t>
      </w:r>
      <w:bookmarkEnd w:id="1379"/>
    </w:p>
    <w:tbl>
      <w:tblPr>
        <w:tblStyle w:val="TableGrid"/>
        <w:tblW w:w="9070" w:type="dxa"/>
        <w:tblCellMar>
          <w:left w:w="28" w:type="dxa"/>
          <w:right w:w="28" w:type="dxa"/>
        </w:tblCellMar>
        <w:tblLook w:val="04A0" w:firstRow="1" w:lastRow="0" w:firstColumn="1" w:lastColumn="0" w:noHBand="0" w:noVBand="1"/>
        <w:tblCaption w:val="Total cost of additional biopsies with breast MRI."/>
      </w:tblPr>
      <w:tblGrid>
        <w:gridCol w:w="4299"/>
        <w:gridCol w:w="955"/>
        <w:gridCol w:w="954"/>
        <w:gridCol w:w="954"/>
        <w:gridCol w:w="954"/>
        <w:gridCol w:w="954"/>
      </w:tblGrid>
      <w:tr w:rsidR="00E47AB8" w:rsidRPr="008B2F8A" w14:paraId="6021D6A5" w14:textId="77777777" w:rsidTr="00422306">
        <w:trPr>
          <w:tblHeader/>
        </w:trPr>
        <w:tc>
          <w:tcPr>
            <w:tcW w:w="0" w:type="auto"/>
            <w:noWrap/>
            <w:hideMark/>
          </w:tcPr>
          <w:p w14:paraId="1C2C8368"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72B9F59C"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631050CA"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03F83D9D"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6560568C"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3BE520A3"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419C858B" w14:textId="77777777" w:rsidTr="00422306">
        <w:tc>
          <w:tcPr>
            <w:tcW w:w="0" w:type="auto"/>
            <w:noWrap/>
            <w:vAlign w:val="bottom"/>
            <w:hideMark/>
          </w:tcPr>
          <w:p w14:paraId="0D345215"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2B3DB6D0" w14:textId="77777777" w:rsidR="00E47AB8" w:rsidRPr="008B2F8A" w:rsidRDefault="00E47AB8" w:rsidP="00422306">
            <w:pPr>
              <w:pStyle w:val="TableText0"/>
              <w:keepNext w:val="0"/>
              <w:spacing w:before="40" w:after="80" w:line="276" w:lineRule="auto"/>
              <w:jc w:val="right"/>
            </w:pPr>
            <w:r w:rsidRPr="008B2F8A">
              <w:t xml:space="preserve"> $38,455 </w:t>
            </w:r>
          </w:p>
        </w:tc>
        <w:tc>
          <w:tcPr>
            <w:tcW w:w="0" w:type="auto"/>
            <w:noWrap/>
            <w:hideMark/>
          </w:tcPr>
          <w:p w14:paraId="799B1277" w14:textId="77777777" w:rsidR="00E47AB8" w:rsidRPr="008B2F8A" w:rsidRDefault="00E47AB8" w:rsidP="00422306">
            <w:pPr>
              <w:pStyle w:val="TableText0"/>
              <w:keepNext w:val="0"/>
              <w:spacing w:before="40" w:after="80" w:line="276" w:lineRule="auto"/>
              <w:jc w:val="right"/>
            </w:pPr>
            <w:r w:rsidRPr="008B2F8A">
              <w:t xml:space="preserve"> $43,413 </w:t>
            </w:r>
          </w:p>
        </w:tc>
        <w:tc>
          <w:tcPr>
            <w:tcW w:w="0" w:type="auto"/>
            <w:noWrap/>
            <w:hideMark/>
          </w:tcPr>
          <w:p w14:paraId="4D205551" w14:textId="77777777" w:rsidR="00E47AB8" w:rsidRPr="008B2F8A" w:rsidRDefault="00E47AB8" w:rsidP="00422306">
            <w:pPr>
              <w:pStyle w:val="TableText0"/>
              <w:keepNext w:val="0"/>
              <w:spacing w:before="40" w:after="80" w:line="276" w:lineRule="auto"/>
              <w:jc w:val="right"/>
            </w:pPr>
            <w:r w:rsidRPr="008B2F8A">
              <w:t xml:space="preserve"> $48,370 </w:t>
            </w:r>
          </w:p>
        </w:tc>
        <w:tc>
          <w:tcPr>
            <w:tcW w:w="0" w:type="auto"/>
            <w:noWrap/>
            <w:hideMark/>
          </w:tcPr>
          <w:p w14:paraId="6C75E874" w14:textId="77777777" w:rsidR="00E47AB8" w:rsidRPr="008B2F8A" w:rsidRDefault="00E47AB8" w:rsidP="00422306">
            <w:pPr>
              <w:pStyle w:val="TableText0"/>
              <w:keepNext w:val="0"/>
              <w:spacing w:before="40" w:after="80" w:line="276" w:lineRule="auto"/>
              <w:jc w:val="right"/>
            </w:pPr>
            <w:r w:rsidRPr="008B2F8A">
              <w:t xml:space="preserve"> $53,328 </w:t>
            </w:r>
          </w:p>
        </w:tc>
        <w:tc>
          <w:tcPr>
            <w:tcW w:w="0" w:type="auto"/>
            <w:noWrap/>
            <w:hideMark/>
          </w:tcPr>
          <w:p w14:paraId="026396CA" w14:textId="77777777" w:rsidR="00E47AB8" w:rsidRPr="008B2F8A" w:rsidRDefault="00E47AB8" w:rsidP="00422306">
            <w:pPr>
              <w:pStyle w:val="TableText0"/>
              <w:keepNext w:val="0"/>
              <w:spacing w:before="40" w:after="80" w:line="276" w:lineRule="auto"/>
              <w:jc w:val="right"/>
            </w:pPr>
            <w:r w:rsidRPr="008B2F8A">
              <w:t xml:space="preserve"> $58,285 </w:t>
            </w:r>
          </w:p>
        </w:tc>
      </w:tr>
      <w:tr w:rsidR="00E47AB8" w:rsidRPr="008B2F8A" w14:paraId="791672A8" w14:textId="77777777" w:rsidTr="00422306">
        <w:tc>
          <w:tcPr>
            <w:tcW w:w="0" w:type="auto"/>
            <w:noWrap/>
            <w:vAlign w:val="bottom"/>
          </w:tcPr>
          <w:p w14:paraId="2CBC0E40"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457B752E" w14:textId="77777777" w:rsidR="00E47AB8" w:rsidRPr="008B2F8A" w:rsidRDefault="00E47AB8" w:rsidP="00422306">
            <w:pPr>
              <w:pStyle w:val="TableText0"/>
              <w:keepNext w:val="0"/>
              <w:spacing w:before="40" w:after="80" w:line="276" w:lineRule="auto"/>
              <w:jc w:val="right"/>
            </w:pPr>
            <w:r w:rsidRPr="008B2F8A">
              <w:t xml:space="preserve"> $197,989 </w:t>
            </w:r>
          </w:p>
        </w:tc>
        <w:tc>
          <w:tcPr>
            <w:tcW w:w="0" w:type="auto"/>
            <w:noWrap/>
          </w:tcPr>
          <w:p w14:paraId="2C4B4DF0" w14:textId="77777777" w:rsidR="00E47AB8" w:rsidRPr="008B2F8A" w:rsidRDefault="00E47AB8" w:rsidP="00422306">
            <w:pPr>
              <w:pStyle w:val="TableText0"/>
              <w:keepNext w:val="0"/>
              <w:spacing w:before="40" w:after="80" w:line="276" w:lineRule="auto"/>
              <w:jc w:val="right"/>
            </w:pPr>
            <w:r w:rsidRPr="008B2F8A">
              <w:t xml:space="preserve"> $302,177 </w:t>
            </w:r>
          </w:p>
        </w:tc>
        <w:tc>
          <w:tcPr>
            <w:tcW w:w="0" w:type="auto"/>
            <w:noWrap/>
          </w:tcPr>
          <w:p w14:paraId="5FF9BD10" w14:textId="77777777" w:rsidR="00E47AB8" w:rsidRPr="008B2F8A" w:rsidRDefault="00E47AB8" w:rsidP="00422306">
            <w:pPr>
              <w:pStyle w:val="TableText0"/>
              <w:keepNext w:val="0"/>
              <w:spacing w:before="40" w:after="80" w:line="276" w:lineRule="auto"/>
              <w:jc w:val="right"/>
            </w:pPr>
            <w:r w:rsidRPr="008B2F8A">
              <w:t xml:space="preserve"> $409,865 </w:t>
            </w:r>
          </w:p>
        </w:tc>
        <w:tc>
          <w:tcPr>
            <w:tcW w:w="0" w:type="auto"/>
            <w:noWrap/>
          </w:tcPr>
          <w:p w14:paraId="0AD6F697" w14:textId="77777777" w:rsidR="00E47AB8" w:rsidRPr="008B2F8A" w:rsidRDefault="00E47AB8" w:rsidP="00422306">
            <w:pPr>
              <w:pStyle w:val="TableText0"/>
              <w:keepNext w:val="0"/>
              <w:spacing w:before="40" w:after="80" w:line="276" w:lineRule="auto"/>
              <w:jc w:val="right"/>
            </w:pPr>
            <w:r w:rsidRPr="008B2F8A">
              <w:t xml:space="preserve"> $521,014 </w:t>
            </w:r>
          </w:p>
        </w:tc>
        <w:tc>
          <w:tcPr>
            <w:tcW w:w="0" w:type="auto"/>
            <w:noWrap/>
          </w:tcPr>
          <w:p w14:paraId="73BEC848" w14:textId="77777777" w:rsidR="00E47AB8" w:rsidRPr="008B2F8A" w:rsidRDefault="00E47AB8" w:rsidP="00422306">
            <w:pPr>
              <w:pStyle w:val="TableText0"/>
              <w:keepNext w:val="0"/>
              <w:spacing w:before="40" w:after="80" w:line="276" w:lineRule="auto"/>
              <w:jc w:val="right"/>
            </w:pPr>
            <w:r w:rsidRPr="008B2F8A">
              <w:t xml:space="preserve"> $578,396 </w:t>
            </w:r>
          </w:p>
        </w:tc>
      </w:tr>
      <w:tr w:rsidR="00E47AB8" w:rsidRPr="008B2F8A" w14:paraId="166C8114" w14:textId="77777777" w:rsidTr="00422306">
        <w:tc>
          <w:tcPr>
            <w:tcW w:w="0" w:type="auto"/>
            <w:noWrap/>
            <w:vAlign w:val="bottom"/>
          </w:tcPr>
          <w:p w14:paraId="6D3984A6" w14:textId="3B121848"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52A2CA9E" w14:textId="77777777" w:rsidR="00E47AB8" w:rsidRPr="008B2F8A" w:rsidRDefault="00E47AB8" w:rsidP="00422306">
            <w:pPr>
              <w:pStyle w:val="TableText0"/>
              <w:keepNext w:val="0"/>
              <w:spacing w:before="40" w:after="80" w:line="276" w:lineRule="auto"/>
              <w:jc w:val="right"/>
            </w:pPr>
            <w:r w:rsidRPr="008B2F8A">
              <w:t xml:space="preserve"> $20,507 </w:t>
            </w:r>
          </w:p>
        </w:tc>
        <w:tc>
          <w:tcPr>
            <w:tcW w:w="0" w:type="auto"/>
            <w:noWrap/>
          </w:tcPr>
          <w:p w14:paraId="4A43E20B" w14:textId="77777777" w:rsidR="00E47AB8" w:rsidRPr="008B2F8A" w:rsidRDefault="00E47AB8" w:rsidP="00422306">
            <w:pPr>
              <w:pStyle w:val="TableText0"/>
              <w:keepNext w:val="0"/>
              <w:spacing w:before="40" w:after="80" w:line="276" w:lineRule="auto"/>
              <w:jc w:val="right"/>
            </w:pPr>
            <w:r w:rsidRPr="008B2F8A">
              <w:t xml:space="preserve"> $31,283 </w:t>
            </w:r>
          </w:p>
        </w:tc>
        <w:tc>
          <w:tcPr>
            <w:tcW w:w="0" w:type="auto"/>
            <w:noWrap/>
          </w:tcPr>
          <w:p w14:paraId="2943A740" w14:textId="77777777" w:rsidR="00E47AB8" w:rsidRPr="008B2F8A" w:rsidRDefault="00E47AB8" w:rsidP="00422306">
            <w:pPr>
              <w:pStyle w:val="TableText0"/>
              <w:keepNext w:val="0"/>
              <w:spacing w:before="40" w:after="80" w:line="276" w:lineRule="auto"/>
              <w:jc w:val="right"/>
            </w:pPr>
            <w:r w:rsidRPr="008B2F8A">
              <w:t xml:space="preserve"> $42,420 </w:t>
            </w:r>
          </w:p>
        </w:tc>
        <w:tc>
          <w:tcPr>
            <w:tcW w:w="0" w:type="auto"/>
            <w:noWrap/>
          </w:tcPr>
          <w:p w14:paraId="23740144" w14:textId="77777777" w:rsidR="00E47AB8" w:rsidRPr="008B2F8A" w:rsidRDefault="00E47AB8" w:rsidP="00422306">
            <w:pPr>
              <w:pStyle w:val="TableText0"/>
              <w:keepNext w:val="0"/>
              <w:spacing w:before="40" w:after="80" w:line="276" w:lineRule="auto"/>
              <w:jc w:val="right"/>
            </w:pPr>
            <w:r w:rsidRPr="008B2F8A">
              <w:t xml:space="preserve"> $53,926 </w:t>
            </w:r>
          </w:p>
        </w:tc>
        <w:tc>
          <w:tcPr>
            <w:tcW w:w="0" w:type="auto"/>
            <w:noWrap/>
          </w:tcPr>
          <w:p w14:paraId="34615E54" w14:textId="77777777" w:rsidR="00E47AB8" w:rsidRPr="008B2F8A" w:rsidRDefault="00E47AB8" w:rsidP="00422306">
            <w:pPr>
              <w:pStyle w:val="TableText0"/>
              <w:keepNext w:val="0"/>
              <w:spacing w:before="40" w:after="80" w:line="276" w:lineRule="auto"/>
              <w:jc w:val="right"/>
            </w:pPr>
            <w:r w:rsidRPr="008B2F8A">
              <w:t xml:space="preserve"> $59,888 </w:t>
            </w:r>
          </w:p>
        </w:tc>
      </w:tr>
      <w:tr w:rsidR="00E47AB8" w:rsidRPr="008B2F8A" w14:paraId="2E5AC1B6" w14:textId="77777777" w:rsidTr="00422306">
        <w:tc>
          <w:tcPr>
            <w:tcW w:w="0" w:type="auto"/>
            <w:noWrap/>
            <w:vAlign w:val="bottom"/>
          </w:tcPr>
          <w:p w14:paraId="5BA09775"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3ADF5060" w14:textId="77777777" w:rsidR="00E47AB8" w:rsidRPr="008B2F8A" w:rsidRDefault="00E47AB8" w:rsidP="00422306">
            <w:pPr>
              <w:pStyle w:val="TableText0"/>
              <w:keepNext w:val="0"/>
              <w:spacing w:before="40" w:after="80" w:line="276" w:lineRule="auto"/>
              <w:jc w:val="right"/>
            </w:pPr>
            <w:r w:rsidRPr="008B2F8A">
              <w:t xml:space="preserve"> $844 </w:t>
            </w:r>
          </w:p>
        </w:tc>
        <w:tc>
          <w:tcPr>
            <w:tcW w:w="0" w:type="auto"/>
            <w:noWrap/>
          </w:tcPr>
          <w:p w14:paraId="241B49CB" w14:textId="77777777" w:rsidR="00E47AB8" w:rsidRPr="008B2F8A" w:rsidRDefault="00E47AB8" w:rsidP="00422306">
            <w:pPr>
              <w:pStyle w:val="TableText0"/>
              <w:keepNext w:val="0"/>
              <w:spacing w:before="40" w:after="80" w:line="276" w:lineRule="auto"/>
              <w:jc w:val="right"/>
            </w:pPr>
            <w:r w:rsidRPr="008B2F8A">
              <w:t xml:space="preserve"> $1,716 </w:t>
            </w:r>
          </w:p>
        </w:tc>
        <w:tc>
          <w:tcPr>
            <w:tcW w:w="0" w:type="auto"/>
            <w:noWrap/>
          </w:tcPr>
          <w:p w14:paraId="45EABF32" w14:textId="77777777" w:rsidR="00E47AB8" w:rsidRPr="008B2F8A" w:rsidRDefault="00E47AB8" w:rsidP="00422306">
            <w:pPr>
              <w:pStyle w:val="TableText0"/>
              <w:keepNext w:val="0"/>
              <w:spacing w:before="40" w:after="80" w:line="276" w:lineRule="auto"/>
              <w:jc w:val="right"/>
            </w:pPr>
            <w:r w:rsidRPr="008B2F8A">
              <w:t xml:space="preserve"> $2,617 </w:t>
            </w:r>
          </w:p>
        </w:tc>
        <w:tc>
          <w:tcPr>
            <w:tcW w:w="0" w:type="auto"/>
            <w:noWrap/>
          </w:tcPr>
          <w:p w14:paraId="59B5C1D2" w14:textId="77777777" w:rsidR="00E47AB8" w:rsidRPr="008B2F8A" w:rsidRDefault="00E47AB8" w:rsidP="00422306">
            <w:pPr>
              <w:pStyle w:val="TableText0"/>
              <w:keepNext w:val="0"/>
              <w:spacing w:before="40" w:after="80" w:line="276" w:lineRule="auto"/>
              <w:jc w:val="right"/>
            </w:pPr>
            <w:r w:rsidRPr="008B2F8A">
              <w:t xml:space="preserve"> $3,549 </w:t>
            </w:r>
          </w:p>
        </w:tc>
        <w:tc>
          <w:tcPr>
            <w:tcW w:w="0" w:type="auto"/>
            <w:noWrap/>
          </w:tcPr>
          <w:p w14:paraId="2CD97B45" w14:textId="77777777" w:rsidR="00E47AB8" w:rsidRPr="008B2F8A" w:rsidRDefault="00E47AB8" w:rsidP="00422306">
            <w:pPr>
              <w:pStyle w:val="TableText0"/>
              <w:keepNext w:val="0"/>
              <w:spacing w:before="40" w:after="80" w:line="276" w:lineRule="auto"/>
              <w:jc w:val="right"/>
            </w:pPr>
            <w:r w:rsidRPr="008B2F8A">
              <w:t xml:space="preserve"> $4,112 </w:t>
            </w:r>
          </w:p>
        </w:tc>
      </w:tr>
      <w:tr w:rsidR="00E47AB8" w:rsidRPr="008B2F8A" w14:paraId="0E9E6E19" w14:textId="77777777" w:rsidTr="00422306">
        <w:tc>
          <w:tcPr>
            <w:tcW w:w="0" w:type="auto"/>
            <w:noWrap/>
            <w:vAlign w:val="bottom"/>
          </w:tcPr>
          <w:p w14:paraId="6AC62D12"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4FBBF018" w14:textId="77777777" w:rsidR="00E47AB8" w:rsidRPr="008B2F8A" w:rsidRDefault="00E47AB8" w:rsidP="00422306">
            <w:pPr>
              <w:pStyle w:val="TableText0"/>
              <w:keepNext w:val="0"/>
              <w:spacing w:before="40" w:after="80" w:line="276" w:lineRule="auto"/>
              <w:jc w:val="right"/>
            </w:pPr>
            <w:r w:rsidRPr="008B2F8A">
              <w:t xml:space="preserve"> $257,794 </w:t>
            </w:r>
          </w:p>
        </w:tc>
        <w:tc>
          <w:tcPr>
            <w:tcW w:w="0" w:type="auto"/>
            <w:noWrap/>
          </w:tcPr>
          <w:p w14:paraId="77F69990" w14:textId="77777777" w:rsidR="00E47AB8" w:rsidRPr="008B2F8A" w:rsidRDefault="00E47AB8" w:rsidP="00422306">
            <w:pPr>
              <w:pStyle w:val="TableText0"/>
              <w:keepNext w:val="0"/>
              <w:spacing w:before="40" w:after="80" w:line="276" w:lineRule="auto"/>
              <w:jc w:val="right"/>
            </w:pPr>
            <w:r w:rsidRPr="008B2F8A">
              <w:t xml:space="preserve"> $378,588 </w:t>
            </w:r>
          </w:p>
        </w:tc>
        <w:tc>
          <w:tcPr>
            <w:tcW w:w="0" w:type="auto"/>
            <w:noWrap/>
          </w:tcPr>
          <w:p w14:paraId="4A6E2924" w14:textId="77777777" w:rsidR="00E47AB8" w:rsidRPr="008B2F8A" w:rsidRDefault="00E47AB8" w:rsidP="00422306">
            <w:pPr>
              <w:pStyle w:val="TableText0"/>
              <w:keepNext w:val="0"/>
              <w:spacing w:before="40" w:after="80" w:line="276" w:lineRule="auto"/>
              <w:jc w:val="right"/>
            </w:pPr>
            <w:r w:rsidRPr="008B2F8A">
              <w:t xml:space="preserve"> $503,272 </w:t>
            </w:r>
          </w:p>
        </w:tc>
        <w:tc>
          <w:tcPr>
            <w:tcW w:w="0" w:type="auto"/>
            <w:noWrap/>
          </w:tcPr>
          <w:p w14:paraId="7F2D1F6B" w14:textId="77777777" w:rsidR="00E47AB8" w:rsidRPr="008B2F8A" w:rsidRDefault="00E47AB8" w:rsidP="00422306">
            <w:pPr>
              <w:pStyle w:val="TableText0"/>
              <w:keepNext w:val="0"/>
              <w:spacing w:before="40" w:after="80" w:line="276" w:lineRule="auto"/>
              <w:jc w:val="right"/>
            </w:pPr>
            <w:r w:rsidRPr="008B2F8A">
              <w:t xml:space="preserve"> $631,817 </w:t>
            </w:r>
          </w:p>
        </w:tc>
        <w:tc>
          <w:tcPr>
            <w:tcW w:w="0" w:type="auto"/>
            <w:noWrap/>
          </w:tcPr>
          <w:p w14:paraId="011B47CF" w14:textId="77777777" w:rsidR="00E47AB8" w:rsidRPr="008B2F8A" w:rsidRDefault="00E47AB8" w:rsidP="00422306">
            <w:pPr>
              <w:pStyle w:val="TableText0"/>
              <w:keepNext w:val="0"/>
              <w:spacing w:before="40" w:after="80" w:line="276" w:lineRule="auto"/>
              <w:jc w:val="right"/>
            </w:pPr>
            <w:r w:rsidRPr="008B2F8A">
              <w:t xml:space="preserve"> $700,681 </w:t>
            </w:r>
          </w:p>
        </w:tc>
      </w:tr>
    </w:tbl>
    <w:p w14:paraId="675C93B2" w14:textId="514530EC" w:rsidR="00E47AB8" w:rsidRPr="008B2F8A"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659AF7D7" w14:textId="77777777" w:rsidR="00E47AB8" w:rsidRPr="008B2F8A" w:rsidRDefault="00E47AB8" w:rsidP="00E47AB8">
      <w:pPr>
        <w:pStyle w:val="Heading3"/>
        <w:numPr>
          <w:ilvl w:val="2"/>
          <w:numId w:val="42"/>
        </w:numPr>
      </w:pPr>
      <w:bookmarkStart w:id="1380" w:name="_Ref377648413"/>
      <w:bookmarkStart w:id="1381" w:name="_Toc383424533"/>
      <w:r w:rsidRPr="008B2F8A">
        <w:t>Cost of treatment for additional breast cancers identified by MRI</w:t>
      </w:r>
      <w:bookmarkEnd w:id="1380"/>
      <w:bookmarkEnd w:id="1381"/>
    </w:p>
    <w:p w14:paraId="0522EDB1" w14:textId="1DD14BAD" w:rsidR="00E47AB8" w:rsidRPr="008B2F8A" w:rsidRDefault="00E47AB8" w:rsidP="00422306">
      <w:r w:rsidRPr="008B2F8A">
        <w:t>For the financial impact analyses it has been assumed that all patients who are true-positives have their diagnosis of breast cancer confirmed at biopsy and then proceed to treatment. The financial impact analyses o</w:t>
      </w:r>
      <w:r>
        <w:t>f</w:t>
      </w:r>
      <w:r w:rsidRPr="008B2F8A">
        <w:t xml:space="preserve"> the additional true-positives identified with breast MRI have been included.</w:t>
      </w:r>
    </w:p>
    <w:p w14:paraId="28055913" w14:textId="77777777" w:rsidR="00E47AB8" w:rsidRPr="008B2F8A" w:rsidRDefault="00E47AB8" w:rsidP="00422306">
      <w:pPr>
        <w:pStyle w:val="Heading4"/>
      </w:pPr>
      <w:r w:rsidRPr="008B2F8A">
        <w:t>Number of additional women who receive treatment for breast cancer</w:t>
      </w:r>
    </w:p>
    <w:p w14:paraId="7036E319" w14:textId="5C5C097E" w:rsidR="00E47AB8" w:rsidRPr="008B2F8A" w:rsidRDefault="00E47AB8" w:rsidP="00422306">
      <w:r w:rsidRPr="008B2F8A">
        <w:t xml:space="preserve">The numbers of additional women in each of the populations who receive treatment for breast cancer each year in the first 5 years of listing is shown in </w:t>
      </w:r>
      <w:r w:rsidRPr="008B2F8A">
        <w:fldChar w:fldCharType="begin"/>
      </w:r>
      <w:r w:rsidRPr="008B2F8A">
        <w:instrText xml:space="preserve"> REF _Ref376859100 \h </w:instrText>
      </w:r>
      <w:r w:rsidRPr="008B2F8A">
        <w:fldChar w:fldCharType="separate"/>
      </w:r>
      <w:r w:rsidR="00B81273" w:rsidRPr="008B2F8A">
        <w:t xml:space="preserve">Table </w:t>
      </w:r>
      <w:r w:rsidR="00B81273">
        <w:rPr>
          <w:noProof/>
        </w:rPr>
        <w:t>E</w:t>
      </w:r>
      <w:r w:rsidR="00B81273" w:rsidRPr="008B2F8A">
        <w:t>.</w:t>
      </w:r>
      <w:r w:rsidR="00B81273">
        <w:rPr>
          <w:noProof/>
        </w:rPr>
        <w:t>25</w:t>
      </w:r>
      <w:r w:rsidRPr="008B2F8A">
        <w:fldChar w:fldCharType="end"/>
      </w:r>
      <w:r w:rsidRPr="008B2F8A">
        <w:t xml:space="preserve">. Details of how patient numbers were estimated </w:t>
      </w:r>
      <w:r>
        <w:t>are explained in</w:t>
      </w:r>
      <w:r w:rsidRPr="008B2F8A">
        <w:t xml:space="preserve"> Section </w:t>
      </w:r>
      <w:r w:rsidRPr="008B2F8A">
        <w:fldChar w:fldCharType="begin"/>
      </w:r>
      <w:r w:rsidRPr="008B2F8A">
        <w:instrText xml:space="preserve"> REF _Ref376855502 \r \h </w:instrText>
      </w:r>
      <w:r w:rsidRPr="008B2F8A">
        <w:fldChar w:fldCharType="separate"/>
      </w:r>
      <w:r w:rsidR="00B81273">
        <w:t>E.2.1</w:t>
      </w:r>
      <w:r w:rsidRPr="008B2F8A">
        <w:fldChar w:fldCharType="end"/>
      </w:r>
      <w:r>
        <w:t>.</w:t>
      </w:r>
      <w:r w:rsidRPr="008B2F8A">
        <w:t xml:space="preserve"> Overall, the numbers of additional women treated for </w:t>
      </w:r>
      <w:r w:rsidRPr="008B2F8A">
        <w:lastRenderedPageBreak/>
        <w:t>breast cancer are low. The population with the highest numbers is women with a prior history of invasive breast cancer. This population would have an additional 34 women undergo treatment in Year 1, rising to 100 women in Year 5. The population of women with a prior history of chest irradiation will not have any additional women treated, when the numbers are rounded to individual patients. This is due to the low numbers of women and the comparatively lower risk of breast cancer in this population.</w:t>
      </w:r>
    </w:p>
    <w:p w14:paraId="04B334F1" w14:textId="77777777" w:rsidR="00E47AB8" w:rsidRPr="008B2F8A" w:rsidRDefault="00E47AB8" w:rsidP="00422306">
      <w:pPr>
        <w:pStyle w:val="Caption"/>
      </w:pPr>
      <w:bookmarkStart w:id="1382" w:name="_Ref376859100"/>
      <w:bookmarkStart w:id="1383" w:name="_Toc383424656"/>
      <w:r w:rsidRPr="008B2F8A">
        <w:t xml:space="preserve">Table </w:t>
      </w:r>
      <w:fldSimple w:instr=" STYLEREF 1 \s ">
        <w:r w:rsidR="00B81273">
          <w:rPr>
            <w:noProof/>
          </w:rPr>
          <w:t>E</w:t>
        </w:r>
      </w:fldSimple>
      <w:r w:rsidRPr="008B2F8A">
        <w:t>.</w:t>
      </w:r>
      <w:fldSimple w:instr=" SEQ Table \* ARABIC \s 1 ">
        <w:r w:rsidR="00B81273">
          <w:rPr>
            <w:noProof/>
          </w:rPr>
          <w:t>25</w:t>
        </w:r>
      </w:fldSimple>
      <w:bookmarkEnd w:id="1382"/>
      <w:r w:rsidRPr="008B2F8A">
        <w:tab/>
        <w:t>Number of additional women in the four populations who receive treatment for breast cancer.</w:t>
      </w:r>
      <w:bookmarkEnd w:id="1383"/>
    </w:p>
    <w:tbl>
      <w:tblPr>
        <w:tblStyle w:val="TableGrid"/>
        <w:tblW w:w="9070" w:type="dxa"/>
        <w:tblCellMar>
          <w:left w:w="28" w:type="dxa"/>
          <w:right w:w="28" w:type="dxa"/>
        </w:tblCellMar>
        <w:tblLook w:val="04A0" w:firstRow="1" w:lastRow="0" w:firstColumn="1" w:lastColumn="0" w:noHBand="0" w:noVBand="1"/>
        <w:tblCaption w:val="Number of additional women in the four populations who receive treatment for breast cancer."/>
      </w:tblPr>
      <w:tblGrid>
        <w:gridCol w:w="4635"/>
        <w:gridCol w:w="887"/>
        <w:gridCol w:w="887"/>
        <w:gridCol w:w="887"/>
        <w:gridCol w:w="887"/>
        <w:gridCol w:w="887"/>
      </w:tblGrid>
      <w:tr w:rsidR="00E47AB8" w:rsidRPr="008B2F8A" w14:paraId="524FBC5E" w14:textId="77777777" w:rsidTr="004E7861">
        <w:trPr>
          <w:tblHeader/>
        </w:trPr>
        <w:tc>
          <w:tcPr>
            <w:tcW w:w="0" w:type="auto"/>
            <w:noWrap/>
            <w:hideMark/>
          </w:tcPr>
          <w:p w14:paraId="6A02A298"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02247F08"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4D2A1944"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63182ADB"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31310CA5"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41BEDDCC"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1EE0E1BB" w14:textId="77777777" w:rsidTr="004E7861">
        <w:tc>
          <w:tcPr>
            <w:tcW w:w="0" w:type="auto"/>
            <w:noWrap/>
            <w:vAlign w:val="bottom"/>
            <w:hideMark/>
          </w:tcPr>
          <w:p w14:paraId="57FA3325"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3488F9D8" w14:textId="77777777" w:rsidR="00E47AB8" w:rsidRPr="008B2F8A" w:rsidRDefault="00E47AB8" w:rsidP="00422306">
            <w:pPr>
              <w:pStyle w:val="TableText0"/>
              <w:keepNext w:val="0"/>
              <w:spacing w:before="40" w:after="80" w:line="276" w:lineRule="auto"/>
              <w:jc w:val="right"/>
            </w:pPr>
            <w:r w:rsidRPr="008B2F8A">
              <w:t xml:space="preserve"> 26 </w:t>
            </w:r>
          </w:p>
        </w:tc>
        <w:tc>
          <w:tcPr>
            <w:tcW w:w="0" w:type="auto"/>
            <w:noWrap/>
            <w:hideMark/>
          </w:tcPr>
          <w:p w14:paraId="05E5A06D" w14:textId="77777777" w:rsidR="00E47AB8" w:rsidRPr="008B2F8A" w:rsidRDefault="00E47AB8" w:rsidP="00422306">
            <w:pPr>
              <w:pStyle w:val="TableText0"/>
              <w:keepNext w:val="0"/>
              <w:spacing w:before="40" w:after="80" w:line="276" w:lineRule="auto"/>
              <w:jc w:val="right"/>
            </w:pPr>
            <w:r w:rsidRPr="008B2F8A">
              <w:t xml:space="preserve"> 29 </w:t>
            </w:r>
          </w:p>
        </w:tc>
        <w:tc>
          <w:tcPr>
            <w:tcW w:w="0" w:type="auto"/>
            <w:noWrap/>
            <w:hideMark/>
          </w:tcPr>
          <w:p w14:paraId="5548179D" w14:textId="77777777" w:rsidR="00E47AB8" w:rsidRPr="008B2F8A" w:rsidRDefault="00E47AB8" w:rsidP="00422306">
            <w:pPr>
              <w:pStyle w:val="TableText0"/>
              <w:keepNext w:val="0"/>
              <w:spacing w:before="40" w:after="80" w:line="276" w:lineRule="auto"/>
              <w:jc w:val="right"/>
            </w:pPr>
            <w:r w:rsidRPr="008B2F8A">
              <w:t xml:space="preserve"> 33 </w:t>
            </w:r>
          </w:p>
        </w:tc>
        <w:tc>
          <w:tcPr>
            <w:tcW w:w="0" w:type="auto"/>
            <w:noWrap/>
            <w:hideMark/>
          </w:tcPr>
          <w:p w14:paraId="49BECDB5" w14:textId="77777777" w:rsidR="00E47AB8" w:rsidRPr="008B2F8A" w:rsidRDefault="00E47AB8" w:rsidP="00422306">
            <w:pPr>
              <w:pStyle w:val="TableText0"/>
              <w:keepNext w:val="0"/>
              <w:spacing w:before="40" w:after="80" w:line="276" w:lineRule="auto"/>
              <w:jc w:val="right"/>
            </w:pPr>
            <w:r w:rsidRPr="008B2F8A">
              <w:t xml:space="preserve"> 36 </w:t>
            </w:r>
          </w:p>
        </w:tc>
        <w:tc>
          <w:tcPr>
            <w:tcW w:w="0" w:type="auto"/>
            <w:noWrap/>
            <w:hideMark/>
          </w:tcPr>
          <w:p w14:paraId="37E67345" w14:textId="77777777" w:rsidR="00E47AB8" w:rsidRPr="008B2F8A" w:rsidRDefault="00E47AB8" w:rsidP="00422306">
            <w:pPr>
              <w:pStyle w:val="TableText0"/>
              <w:keepNext w:val="0"/>
              <w:spacing w:before="40" w:after="80" w:line="276" w:lineRule="auto"/>
              <w:jc w:val="right"/>
            </w:pPr>
            <w:r w:rsidRPr="008B2F8A">
              <w:t xml:space="preserve"> 39 </w:t>
            </w:r>
          </w:p>
        </w:tc>
      </w:tr>
      <w:tr w:rsidR="00E47AB8" w:rsidRPr="008B2F8A" w14:paraId="20C52A33" w14:textId="77777777" w:rsidTr="004E7861">
        <w:tc>
          <w:tcPr>
            <w:tcW w:w="0" w:type="auto"/>
            <w:noWrap/>
            <w:vAlign w:val="bottom"/>
          </w:tcPr>
          <w:p w14:paraId="3440773C"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282B0A65" w14:textId="77777777" w:rsidR="00E47AB8" w:rsidRPr="008B2F8A" w:rsidRDefault="00E47AB8" w:rsidP="00422306">
            <w:pPr>
              <w:pStyle w:val="TableText0"/>
              <w:keepNext w:val="0"/>
              <w:spacing w:before="40" w:after="80" w:line="276" w:lineRule="auto"/>
              <w:jc w:val="right"/>
            </w:pPr>
            <w:r w:rsidRPr="008B2F8A">
              <w:t xml:space="preserve"> 34 </w:t>
            </w:r>
          </w:p>
        </w:tc>
        <w:tc>
          <w:tcPr>
            <w:tcW w:w="0" w:type="auto"/>
            <w:noWrap/>
          </w:tcPr>
          <w:p w14:paraId="163A971E" w14:textId="77777777" w:rsidR="00E47AB8" w:rsidRPr="008B2F8A" w:rsidRDefault="00E47AB8" w:rsidP="00422306">
            <w:pPr>
              <w:pStyle w:val="TableText0"/>
              <w:keepNext w:val="0"/>
              <w:spacing w:before="40" w:after="80" w:line="276" w:lineRule="auto"/>
              <w:jc w:val="right"/>
            </w:pPr>
            <w:r w:rsidRPr="008B2F8A">
              <w:t xml:space="preserve"> 52 </w:t>
            </w:r>
          </w:p>
        </w:tc>
        <w:tc>
          <w:tcPr>
            <w:tcW w:w="0" w:type="auto"/>
            <w:noWrap/>
          </w:tcPr>
          <w:p w14:paraId="60C405E1" w14:textId="77777777" w:rsidR="00E47AB8" w:rsidRPr="008B2F8A" w:rsidRDefault="00E47AB8" w:rsidP="00422306">
            <w:pPr>
              <w:pStyle w:val="TableText0"/>
              <w:keepNext w:val="0"/>
              <w:spacing w:before="40" w:after="80" w:line="276" w:lineRule="auto"/>
              <w:jc w:val="right"/>
            </w:pPr>
            <w:r w:rsidRPr="008B2F8A">
              <w:t xml:space="preserve"> 71 </w:t>
            </w:r>
          </w:p>
        </w:tc>
        <w:tc>
          <w:tcPr>
            <w:tcW w:w="0" w:type="auto"/>
            <w:noWrap/>
          </w:tcPr>
          <w:p w14:paraId="5B227A7A" w14:textId="77777777" w:rsidR="00E47AB8" w:rsidRPr="008B2F8A" w:rsidRDefault="00E47AB8" w:rsidP="00422306">
            <w:pPr>
              <w:pStyle w:val="TableText0"/>
              <w:keepNext w:val="0"/>
              <w:spacing w:before="40" w:after="80" w:line="276" w:lineRule="auto"/>
              <w:jc w:val="right"/>
            </w:pPr>
            <w:r w:rsidRPr="008B2F8A">
              <w:t xml:space="preserve"> 90 </w:t>
            </w:r>
          </w:p>
        </w:tc>
        <w:tc>
          <w:tcPr>
            <w:tcW w:w="0" w:type="auto"/>
            <w:noWrap/>
          </w:tcPr>
          <w:p w14:paraId="54C1902E" w14:textId="77777777" w:rsidR="00E47AB8" w:rsidRPr="008B2F8A" w:rsidRDefault="00E47AB8" w:rsidP="00422306">
            <w:pPr>
              <w:pStyle w:val="TableText0"/>
              <w:keepNext w:val="0"/>
              <w:spacing w:before="40" w:after="80" w:line="276" w:lineRule="auto"/>
              <w:jc w:val="right"/>
            </w:pPr>
            <w:r w:rsidRPr="008B2F8A">
              <w:t xml:space="preserve"> 100 </w:t>
            </w:r>
          </w:p>
        </w:tc>
      </w:tr>
      <w:tr w:rsidR="00E47AB8" w:rsidRPr="008B2F8A" w14:paraId="66B022BF" w14:textId="77777777" w:rsidTr="004E7861">
        <w:tc>
          <w:tcPr>
            <w:tcW w:w="0" w:type="auto"/>
            <w:noWrap/>
            <w:vAlign w:val="bottom"/>
          </w:tcPr>
          <w:p w14:paraId="46F0B92C" w14:textId="51E5018C"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1BFCB43D" w14:textId="77777777" w:rsidR="00E47AB8" w:rsidRPr="008B2F8A" w:rsidRDefault="00E47AB8" w:rsidP="00422306">
            <w:pPr>
              <w:pStyle w:val="TableText0"/>
              <w:keepNext w:val="0"/>
              <w:spacing w:before="40" w:after="80" w:line="276" w:lineRule="auto"/>
              <w:jc w:val="right"/>
            </w:pPr>
            <w:r w:rsidRPr="008B2F8A">
              <w:t xml:space="preserve"> 3 </w:t>
            </w:r>
          </w:p>
        </w:tc>
        <w:tc>
          <w:tcPr>
            <w:tcW w:w="0" w:type="auto"/>
            <w:noWrap/>
          </w:tcPr>
          <w:p w14:paraId="489B472D" w14:textId="77777777" w:rsidR="00E47AB8" w:rsidRPr="008B2F8A" w:rsidRDefault="00E47AB8" w:rsidP="00422306">
            <w:pPr>
              <w:pStyle w:val="TableText0"/>
              <w:keepNext w:val="0"/>
              <w:spacing w:before="40" w:after="80" w:line="276" w:lineRule="auto"/>
              <w:jc w:val="right"/>
            </w:pPr>
            <w:r w:rsidRPr="008B2F8A">
              <w:t xml:space="preserve"> 4 </w:t>
            </w:r>
          </w:p>
        </w:tc>
        <w:tc>
          <w:tcPr>
            <w:tcW w:w="0" w:type="auto"/>
            <w:noWrap/>
          </w:tcPr>
          <w:p w14:paraId="080659F9" w14:textId="77777777" w:rsidR="00E47AB8" w:rsidRPr="008B2F8A" w:rsidRDefault="00E47AB8" w:rsidP="00422306">
            <w:pPr>
              <w:pStyle w:val="TableText0"/>
              <w:keepNext w:val="0"/>
              <w:spacing w:before="40" w:after="80" w:line="276" w:lineRule="auto"/>
              <w:jc w:val="right"/>
            </w:pPr>
            <w:r w:rsidRPr="008B2F8A">
              <w:t xml:space="preserve"> 6 </w:t>
            </w:r>
          </w:p>
        </w:tc>
        <w:tc>
          <w:tcPr>
            <w:tcW w:w="0" w:type="auto"/>
            <w:noWrap/>
          </w:tcPr>
          <w:p w14:paraId="76B66A03" w14:textId="77777777" w:rsidR="00E47AB8" w:rsidRPr="008B2F8A" w:rsidRDefault="00E47AB8" w:rsidP="00422306">
            <w:pPr>
              <w:pStyle w:val="TableText0"/>
              <w:keepNext w:val="0"/>
              <w:spacing w:before="40" w:after="80" w:line="276" w:lineRule="auto"/>
              <w:jc w:val="right"/>
            </w:pPr>
            <w:r w:rsidRPr="008B2F8A">
              <w:t xml:space="preserve"> 8 </w:t>
            </w:r>
          </w:p>
        </w:tc>
        <w:tc>
          <w:tcPr>
            <w:tcW w:w="0" w:type="auto"/>
            <w:noWrap/>
          </w:tcPr>
          <w:p w14:paraId="4F0DFD02" w14:textId="77777777" w:rsidR="00E47AB8" w:rsidRPr="008B2F8A" w:rsidRDefault="00E47AB8" w:rsidP="00422306">
            <w:pPr>
              <w:pStyle w:val="TableText0"/>
              <w:keepNext w:val="0"/>
              <w:spacing w:before="40" w:after="80" w:line="276" w:lineRule="auto"/>
              <w:jc w:val="right"/>
            </w:pPr>
            <w:r w:rsidRPr="008B2F8A">
              <w:t xml:space="preserve"> 8 </w:t>
            </w:r>
          </w:p>
        </w:tc>
      </w:tr>
      <w:tr w:rsidR="00E47AB8" w:rsidRPr="008B2F8A" w14:paraId="2C5C1F9E" w14:textId="77777777" w:rsidTr="004E7861">
        <w:tc>
          <w:tcPr>
            <w:tcW w:w="0" w:type="auto"/>
            <w:noWrap/>
            <w:vAlign w:val="bottom"/>
          </w:tcPr>
          <w:p w14:paraId="0E31DE3E"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2A27B6BC" w14:textId="77777777" w:rsidR="00E47AB8" w:rsidRPr="008B2F8A" w:rsidRDefault="00E47AB8" w:rsidP="00422306">
            <w:pPr>
              <w:pStyle w:val="TableText0"/>
              <w:keepNext w:val="0"/>
              <w:spacing w:before="40" w:after="80" w:line="276" w:lineRule="auto"/>
              <w:jc w:val="right"/>
            </w:pPr>
            <w:r w:rsidRPr="008B2F8A">
              <w:t xml:space="preserve"> 0 </w:t>
            </w:r>
          </w:p>
        </w:tc>
        <w:tc>
          <w:tcPr>
            <w:tcW w:w="0" w:type="auto"/>
            <w:noWrap/>
          </w:tcPr>
          <w:p w14:paraId="509A0557" w14:textId="77777777" w:rsidR="00E47AB8" w:rsidRPr="008B2F8A" w:rsidRDefault="00E47AB8" w:rsidP="00422306">
            <w:pPr>
              <w:pStyle w:val="TableText0"/>
              <w:keepNext w:val="0"/>
              <w:spacing w:before="40" w:after="80" w:line="276" w:lineRule="auto"/>
              <w:jc w:val="right"/>
            </w:pPr>
            <w:r w:rsidRPr="008B2F8A">
              <w:t xml:space="preserve"> 0 </w:t>
            </w:r>
          </w:p>
        </w:tc>
        <w:tc>
          <w:tcPr>
            <w:tcW w:w="0" w:type="auto"/>
            <w:noWrap/>
          </w:tcPr>
          <w:p w14:paraId="3FCBB98A" w14:textId="77777777" w:rsidR="00E47AB8" w:rsidRPr="008B2F8A" w:rsidRDefault="00E47AB8" w:rsidP="00422306">
            <w:pPr>
              <w:pStyle w:val="TableText0"/>
              <w:keepNext w:val="0"/>
              <w:spacing w:before="40" w:after="80" w:line="276" w:lineRule="auto"/>
              <w:jc w:val="right"/>
            </w:pPr>
            <w:r w:rsidRPr="008B2F8A">
              <w:t xml:space="preserve"> 0 </w:t>
            </w:r>
          </w:p>
        </w:tc>
        <w:tc>
          <w:tcPr>
            <w:tcW w:w="0" w:type="auto"/>
            <w:noWrap/>
          </w:tcPr>
          <w:p w14:paraId="0599C24C" w14:textId="77777777" w:rsidR="00E47AB8" w:rsidRPr="008B2F8A" w:rsidRDefault="00E47AB8" w:rsidP="00422306">
            <w:pPr>
              <w:pStyle w:val="TableText0"/>
              <w:keepNext w:val="0"/>
              <w:spacing w:before="40" w:after="80" w:line="276" w:lineRule="auto"/>
              <w:jc w:val="right"/>
            </w:pPr>
            <w:r w:rsidRPr="008B2F8A">
              <w:t xml:space="preserve"> 0 </w:t>
            </w:r>
          </w:p>
        </w:tc>
        <w:tc>
          <w:tcPr>
            <w:tcW w:w="0" w:type="auto"/>
            <w:noWrap/>
          </w:tcPr>
          <w:p w14:paraId="76BF84F2" w14:textId="77777777" w:rsidR="00E47AB8" w:rsidRPr="008B2F8A" w:rsidRDefault="00E47AB8" w:rsidP="00422306">
            <w:pPr>
              <w:pStyle w:val="TableText0"/>
              <w:keepNext w:val="0"/>
              <w:spacing w:before="40" w:after="80" w:line="276" w:lineRule="auto"/>
              <w:jc w:val="right"/>
            </w:pPr>
            <w:r w:rsidRPr="008B2F8A">
              <w:t xml:space="preserve"> 0 </w:t>
            </w:r>
          </w:p>
        </w:tc>
      </w:tr>
    </w:tbl>
    <w:p w14:paraId="581B802E" w14:textId="133E75EE" w:rsidR="00E47AB8"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5E3ED75E" w14:textId="77777777" w:rsidR="00F56FD1" w:rsidRPr="008B2F8A" w:rsidRDefault="00F56FD1" w:rsidP="00F56FD1">
      <w:pPr>
        <w:pStyle w:val="TableNotesFirst"/>
      </w:pPr>
    </w:p>
    <w:p w14:paraId="321151E2" w14:textId="77777777" w:rsidR="00E47AB8" w:rsidRPr="008B2F8A" w:rsidRDefault="00E47AB8" w:rsidP="00422306">
      <w:pPr>
        <w:pStyle w:val="Heading4"/>
      </w:pPr>
      <w:r w:rsidRPr="008B2F8A">
        <w:t>MBS costs for breast cancer treatment</w:t>
      </w:r>
    </w:p>
    <w:p w14:paraId="5D7F1787" w14:textId="4FF72AF6" w:rsidR="00E47AB8" w:rsidRPr="008B2F8A" w:rsidRDefault="00E47AB8" w:rsidP="00422306">
      <w:r w:rsidRPr="008B2F8A">
        <w:t xml:space="preserve">The MBS costs included in the analysis of breast cancer treatment costs are the same as those used in the economic model (Section </w:t>
      </w:r>
      <w:r w:rsidRPr="008B2F8A">
        <w:fldChar w:fldCharType="begin"/>
      </w:r>
      <w:r w:rsidRPr="008B2F8A">
        <w:instrText xml:space="preserve"> REF _Ref358034079 \r \h  \* MERGEFORMAT </w:instrText>
      </w:r>
      <w:r w:rsidRPr="008B2F8A">
        <w:fldChar w:fldCharType="separate"/>
      </w:r>
      <w:r w:rsidR="00B81273">
        <w:rPr>
          <w:noProof/>
        </w:rPr>
        <w:t>D.4.4</w:t>
      </w:r>
      <w:r w:rsidRPr="008B2F8A">
        <w:fldChar w:fldCharType="end"/>
      </w:r>
      <w:r w:rsidRPr="008B2F8A">
        <w:t xml:space="preserve">). The only exception is the cost for follow-up MRI, which has been incorporated earlier in the calculation of imaging costs (Section </w:t>
      </w:r>
      <w:r w:rsidRPr="008B2F8A">
        <w:fldChar w:fldCharType="begin"/>
      </w:r>
      <w:r w:rsidRPr="008B2F8A">
        <w:instrText xml:space="preserve"> REF _Ref377465732 \r \h </w:instrText>
      </w:r>
      <w:r w:rsidRPr="008B2F8A">
        <w:fldChar w:fldCharType="separate"/>
      </w:r>
      <w:r w:rsidR="00B81273">
        <w:t>E.2.2</w:t>
      </w:r>
      <w:r w:rsidRPr="008B2F8A">
        <w:fldChar w:fldCharType="end"/>
      </w:r>
      <w:r w:rsidRPr="008B2F8A">
        <w:t>). The MBS cost</w:t>
      </w:r>
      <w:r>
        <w:t>s</w:t>
      </w:r>
      <w:r w:rsidRPr="008B2F8A">
        <w:t xml:space="preserve"> per patient </w:t>
      </w:r>
      <w:r>
        <w:t>are summarised</w:t>
      </w:r>
      <w:r w:rsidRPr="008B2F8A">
        <w:t xml:space="preserve"> in </w:t>
      </w:r>
      <w:r w:rsidRPr="008B2F8A">
        <w:fldChar w:fldCharType="begin"/>
      </w:r>
      <w:r w:rsidRPr="008B2F8A">
        <w:instrText xml:space="preserve"> REF _Ref376859417 \h </w:instrText>
      </w:r>
      <w:r w:rsidRPr="008B2F8A">
        <w:fldChar w:fldCharType="separate"/>
      </w:r>
      <w:r w:rsidR="00B81273" w:rsidRPr="008B2F8A">
        <w:t xml:space="preserve">Table </w:t>
      </w:r>
      <w:r w:rsidR="00B81273">
        <w:rPr>
          <w:noProof/>
        </w:rPr>
        <w:t>E</w:t>
      </w:r>
      <w:r w:rsidR="00B81273" w:rsidRPr="008B2F8A">
        <w:t>.</w:t>
      </w:r>
      <w:r w:rsidR="00B81273">
        <w:rPr>
          <w:noProof/>
        </w:rPr>
        <w:t>26</w:t>
      </w:r>
      <w:r w:rsidRPr="008B2F8A">
        <w:fldChar w:fldCharType="end"/>
      </w:r>
      <w:r>
        <w:t>.</w:t>
      </w:r>
    </w:p>
    <w:p w14:paraId="6FB67A5F" w14:textId="77777777" w:rsidR="00E47AB8" w:rsidRPr="008B2F8A" w:rsidRDefault="00E47AB8" w:rsidP="00422306">
      <w:pPr>
        <w:pStyle w:val="Caption"/>
      </w:pPr>
      <w:bookmarkStart w:id="1384" w:name="_Ref376859417"/>
      <w:bookmarkStart w:id="1385" w:name="_Toc383424657"/>
      <w:r w:rsidRPr="008B2F8A">
        <w:t xml:space="preserve">Table </w:t>
      </w:r>
      <w:fldSimple w:instr=" STYLEREF 1 \s ">
        <w:r w:rsidR="00B81273">
          <w:rPr>
            <w:noProof/>
          </w:rPr>
          <w:t>E</w:t>
        </w:r>
      </w:fldSimple>
      <w:r w:rsidRPr="008B2F8A">
        <w:t>.</w:t>
      </w:r>
      <w:fldSimple w:instr=" SEQ Table \* ARABIC \s 1 ">
        <w:r w:rsidR="00B81273">
          <w:rPr>
            <w:noProof/>
          </w:rPr>
          <w:t>26</w:t>
        </w:r>
      </w:fldSimple>
      <w:bookmarkEnd w:id="1384"/>
      <w:r w:rsidRPr="008B2F8A">
        <w:tab/>
        <w:t>Breakdown of the included MBS costs for breast cancer treatment.</w:t>
      </w:r>
      <w:bookmarkEnd w:id="1385"/>
    </w:p>
    <w:tbl>
      <w:tblPr>
        <w:tblStyle w:val="TableGrid"/>
        <w:tblW w:w="9070" w:type="dxa"/>
        <w:tblCellMar>
          <w:left w:w="28" w:type="dxa"/>
          <w:right w:w="28" w:type="dxa"/>
        </w:tblCellMar>
        <w:tblLook w:val="04A0" w:firstRow="1" w:lastRow="0" w:firstColumn="1" w:lastColumn="0" w:noHBand="0" w:noVBand="1"/>
        <w:tblCaption w:val="Breakdown of the included MBS costs for breast cancer treatment."/>
      </w:tblPr>
      <w:tblGrid>
        <w:gridCol w:w="3632"/>
        <w:gridCol w:w="1549"/>
        <w:gridCol w:w="1366"/>
        <w:gridCol w:w="1238"/>
        <w:gridCol w:w="1341"/>
      </w:tblGrid>
      <w:tr w:rsidR="00E47AB8" w:rsidRPr="008B2F8A" w14:paraId="411D2D76" w14:textId="77777777" w:rsidTr="004E7861">
        <w:trPr>
          <w:tblHeader/>
        </w:trPr>
        <w:tc>
          <w:tcPr>
            <w:tcW w:w="3762" w:type="dxa"/>
            <w:noWrap/>
            <w:vAlign w:val="bottom"/>
            <w:hideMark/>
          </w:tcPr>
          <w:p w14:paraId="468170AB" w14:textId="77777777" w:rsidR="00E47AB8" w:rsidRPr="008B2F8A" w:rsidRDefault="00E47AB8" w:rsidP="00422306">
            <w:pPr>
              <w:pStyle w:val="Tableheaderrow"/>
              <w:spacing w:before="40" w:after="80" w:line="276" w:lineRule="auto"/>
            </w:pPr>
            <w:r w:rsidRPr="008B2F8A">
              <w:t>Description</w:t>
            </w:r>
          </w:p>
        </w:tc>
        <w:tc>
          <w:tcPr>
            <w:tcW w:w="1281" w:type="dxa"/>
            <w:noWrap/>
            <w:vAlign w:val="bottom"/>
            <w:hideMark/>
          </w:tcPr>
          <w:p w14:paraId="6ECC2829" w14:textId="77777777" w:rsidR="00E47AB8" w:rsidRPr="008B2F8A" w:rsidRDefault="00E47AB8" w:rsidP="00422306">
            <w:pPr>
              <w:pStyle w:val="Tableheaderrow"/>
              <w:spacing w:before="40" w:after="80" w:line="276" w:lineRule="auto"/>
              <w:jc w:val="center"/>
            </w:pPr>
            <w:r w:rsidRPr="008B2F8A">
              <w:t>MBS item</w:t>
            </w:r>
          </w:p>
        </w:tc>
        <w:tc>
          <w:tcPr>
            <w:tcW w:w="1414" w:type="dxa"/>
            <w:noWrap/>
            <w:vAlign w:val="bottom"/>
            <w:hideMark/>
          </w:tcPr>
          <w:p w14:paraId="292D9725" w14:textId="77777777" w:rsidR="00E47AB8" w:rsidRPr="008B2F8A" w:rsidRDefault="00E47AB8" w:rsidP="00422306">
            <w:pPr>
              <w:pStyle w:val="Tableheaderrow"/>
              <w:spacing w:before="40" w:after="80" w:line="276" w:lineRule="auto"/>
              <w:jc w:val="center"/>
            </w:pPr>
            <w:r w:rsidRPr="008B2F8A">
              <w:t>Benefit per service (85% )</w:t>
            </w:r>
          </w:p>
        </w:tc>
        <w:tc>
          <w:tcPr>
            <w:tcW w:w="1281" w:type="dxa"/>
            <w:noWrap/>
            <w:vAlign w:val="bottom"/>
            <w:hideMark/>
          </w:tcPr>
          <w:p w14:paraId="550C2FCC" w14:textId="77777777" w:rsidR="00E47AB8" w:rsidRPr="008B2F8A" w:rsidRDefault="00E47AB8" w:rsidP="00422306">
            <w:pPr>
              <w:pStyle w:val="Tableheaderrow"/>
              <w:spacing w:before="40" w:after="80" w:line="276" w:lineRule="auto"/>
              <w:jc w:val="center"/>
            </w:pPr>
            <w:r w:rsidRPr="008B2F8A">
              <w:t>Number of services</w:t>
            </w:r>
          </w:p>
        </w:tc>
        <w:tc>
          <w:tcPr>
            <w:tcW w:w="1388" w:type="dxa"/>
            <w:noWrap/>
            <w:vAlign w:val="bottom"/>
            <w:hideMark/>
          </w:tcPr>
          <w:p w14:paraId="4F927847" w14:textId="77777777" w:rsidR="00E47AB8" w:rsidRPr="008B2F8A" w:rsidRDefault="00E47AB8" w:rsidP="00422306">
            <w:pPr>
              <w:pStyle w:val="Tableheaderrow"/>
              <w:spacing w:before="40" w:after="80" w:line="276" w:lineRule="auto"/>
              <w:jc w:val="center"/>
            </w:pPr>
            <w:r w:rsidRPr="008B2F8A">
              <w:t>Cost</w:t>
            </w:r>
          </w:p>
        </w:tc>
      </w:tr>
      <w:tr w:rsidR="00E47AB8" w:rsidRPr="008B2F8A" w14:paraId="622E762E" w14:textId="77777777" w:rsidTr="004E7861">
        <w:tc>
          <w:tcPr>
            <w:tcW w:w="3762" w:type="dxa"/>
            <w:noWrap/>
            <w:hideMark/>
          </w:tcPr>
          <w:p w14:paraId="1765D067" w14:textId="77777777" w:rsidR="00E47AB8" w:rsidRPr="008B2F8A" w:rsidRDefault="00E47AB8" w:rsidP="00422306">
            <w:pPr>
              <w:pStyle w:val="TableText0"/>
              <w:keepNext w:val="0"/>
              <w:spacing w:before="40" w:after="80" w:line="276" w:lineRule="auto"/>
            </w:pPr>
            <w:r w:rsidRPr="008B2F8A">
              <w:t>Initial specialist attendance</w:t>
            </w:r>
          </w:p>
        </w:tc>
        <w:tc>
          <w:tcPr>
            <w:tcW w:w="1281" w:type="dxa"/>
            <w:noWrap/>
            <w:vAlign w:val="center"/>
            <w:hideMark/>
          </w:tcPr>
          <w:p w14:paraId="37F8AC4D" w14:textId="77777777" w:rsidR="00E47AB8" w:rsidRPr="008B2F8A" w:rsidRDefault="00E47AB8" w:rsidP="00422306">
            <w:pPr>
              <w:pStyle w:val="TableText0"/>
              <w:keepNext w:val="0"/>
              <w:spacing w:before="40" w:after="80" w:line="276" w:lineRule="auto"/>
              <w:jc w:val="center"/>
            </w:pPr>
            <w:r w:rsidRPr="008B2F8A">
              <w:t>104</w:t>
            </w:r>
          </w:p>
        </w:tc>
        <w:tc>
          <w:tcPr>
            <w:tcW w:w="1414" w:type="dxa"/>
            <w:noWrap/>
            <w:vAlign w:val="center"/>
            <w:hideMark/>
          </w:tcPr>
          <w:p w14:paraId="59F6D83E" w14:textId="77777777" w:rsidR="00E47AB8" w:rsidRPr="008B2F8A" w:rsidRDefault="00E47AB8" w:rsidP="004E7861">
            <w:pPr>
              <w:pStyle w:val="TableText0"/>
              <w:spacing w:before="40" w:after="80"/>
              <w:ind w:right="295"/>
              <w:jc w:val="right"/>
            </w:pPr>
            <w:r w:rsidRPr="008B2F8A">
              <w:t xml:space="preserve"> $ 72.75 </w:t>
            </w:r>
          </w:p>
        </w:tc>
        <w:tc>
          <w:tcPr>
            <w:tcW w:w="1281" w:type="dxa"/>
            <w:noWrap/>
            <w:vAlign w:val="center"/>
            <w:hideMark/>
          </w:tcPr>
          <w:p w14:paraId="6DD2AD4B" w14:textId="77777777" w:rsidR="00E47AB8" w:rsidRPr="008B2F8A" w:rsidRDefault="00E47AB8" w:rsidP="00422306">
            <w:pPr>
              <w:pStyle w:val="TableText0"/>
              <w:keepNext w:val="0"/>
              <w:spacing w:before="40" w:after="80" w:line="276" w:lineRule="auto"/>
              <w:jc w:val="center"/>
            </w:pPr>
            <w:r w:rsidRPr="008B2F8A">
              <w:t>1</w:t>
            </w:r>
          </w:p>
        </w:tc>
        <w:tc>
          <w:tcPr>
            <w:tcW w:w="1388" w:type="dxa"/>
            <w:noWrap/>
            <w:vAlign w:val="center"/>
            <w:hideMark/>
          </w:tcPr>
          <w:p w14:paraId="464F103B" w14:textId="77777777" w:rsidR="00E47AB8" w:rsidRPr="008B2F8A" w:rsidRDefault="00E47AB8" w:rsidP="004E7861">
            <w:pPr>
              <w:pStyle w:val="TableText0"/>
              <w:spacing w:before="40" w:after="80"/>
              <w:ind w:right="266"/>
              <w:jc w:val="right"/>
            </w:pPr>
            <w:r w:rsidRPr="008B2F8A">
              <w:t xml:space="preserve"> $ 72.75 </w:t>
            </w:r>
          </w:p>
        </w:tc>
      </w:tr>
      <w:tr w:rsidR="00E47AB8" w:rsidRPr="008B2F8A" w14:paraId="54C58837" w14:textId="77777777" w:rsidTr="004E7861">
        <w:tc>
          <w:tcPr>
            <w:tcW w:w="3762" w:type="dxa"/>
            <w:noWrap/>
            <w:hideMark/>
          </w:tcPr>
          <w:p w14:paraId="2B78BF3E" w14:textId="77777777" w:rsidR="00E47AB8" w:rsidRPr="008B2F8A" w:rsidRDefault="00E47AB8" w:rsidP="00422306">
            <w:pPr>
              <w:pStyle w:val="TableText0"/>
              <w:keepNext w:val="0"/>
              <w:spacing w:before="40" w:after="80" w:line="276" w:lineRule="auto"/>
            </w:pPr>
            <w:r w:rsidRPr="008B2F8A">
              <w:t>Follow-up specialist attendance</w:t>
            </w:r>
          </w:p>
        </w:tc>
        <w:tc>
          <w:tcPr>
            <w:tcW w:w="1281" w:type="dxa"/>
            <w:noWrap/>
            <w:vAlign w:val="center"/>
            <w:hideMark/>
          </w:tcPr>
          <w:p w14:paraId="524D8304" w14:textId="77777777" w:rsidR="00E47AB8" w:rsidRPr="008B2F8A" w:rsidRDefault="00E47AB8" w:rsidP="00422306">
            <w:pPr>
              <w:pStyle w:val="TableText0"/>
              <w:keepNext w:val="0"/>
              <w:spacing w:before="40" w:after="80" w:line="276" w:lineRule="auto"/>
              <w:jc w:val="center"/>
            </w:pPr>
            <w:r w:rsidRPr="008B2F8A">
              <w:t>105</w:t>
            </w:r>
          </w:p>
        </w:tc>
        <w:tc>
          <w:tcPr>
            <w:tcW w:w="1414" w:type="dxa"/>
            <w:noWrap/>
            <w:vAlign w:val="center"/>
            <w:hideMark/>
          </w:tcPr>
          <w:p w14:paraId="02A813F6" w14:textId="77777777" w:rsidR="00E47AB8" w:rsidRPr="008B2F8A" w:rsidRDefault="00E47AB8" w:rsidP="004E7861">
            <w:pPr>
              <w:pStyle w:val="TableText0"/>
              <w:spacing w:before="40" w:after="80"/>
              <w:ind w:right="295"/>
              <w:jc w:val="right"/>
            </w:pPr>
            <w:r w:rsidRPr="008B2F8A">
              <w:t xml:space="preserve"> $ 36.55 </w:t>
            </w:r>
          </w:p>
        </w:tc>
        <w:tc>
          <w:tcPr>
            <w:tcW w:w="1281" w:type="dxa"/>
            <w:noWrap/>
            <w:vAlign w:val="center"/>
            <w:hideMark/>
          </w:tcPr>
          <w:p w14:paraId="0512803D" w14:textId="77777777" w:rsidR="00E47AB8" w:rsidRPr="008B2F8A" w:rsidRDefault="00E47AB8" w:rsidP="00422306">
            <w:pPr>
              <w:pStyle w:val="TableText0"/>
              <w:keepNext w:val="0"/>
              <w:spacing w:before="40" w:after="80" w:line="276" w:lineRule="auto"/>
              <w:jc w:val="center"/>
            </w:pPr>
            <w:r w:rsidRPr="008B2F8A">
              <w:t>1</w:t>
            </w:r>
          </w:p>
        </w:tc>
        <w:tc>
          <w:tcPr>
            <w:tcW w:w="1388" w:type="dxa"/>
            <w:noWrap/>
            <w:vAlign w:val="center"/>
            <w:hideMark/>
          </w:tcPr>
          <w:p w14:paraId="31CE5CA9" w14:textId="77777777" w:rsidR="00E47AB8" w:rsidRPr="008B2F8A" w:rsidRDefault="00E47AB8" w:rsidP="004E7861">
            <w:pPr>
              <w:pStyle w:val="TableText0"/>
              <w:spacing w:before="40" w:after="80"/>
              <w:ind w:right="266"/>
              <w:jc w:val="right"/>
            </w:pPr>
            <w:r w:rsidRPr="008B2F8A">
              <w:t xml:space="preserve"> $ 36.55 </w:t>
            </w:r>
          </w:p>
        </w:tc>
      </w:tr>
      <w:tr w:rsidR="00E47AB8" w:rsidRPr="008B2F8A" w14:paraId="0D058A99" w14:textId="77777777" w:rsidTr="004E7861">
        <w:tc>
          <w:tcPr>
            <w:tcW w:w="3762" w:type="dxa"/>
            <w:noWrap/>
            <w:hideMark/>
          </w:tcPr>
          <w:p w14:paraId="390785DA" w14:textId="77777777" w:rsidR="00E47AB8" w:rsidRPr="008B2F8A" w:rsidRDefault="00E47AB8" w:rsidP="00422306">
            <w:pPr>
              <w:pStyle w:val="TableText0"/>
              <w:keepNext w:val="0"/>
              <w:spacing w:before="40" w:after="80" w:line="276" w:lineRule="auto"/>
            </w:pPr>
            <w:r w:rsidRPr="008B2F8A">
              <w:t>Drug administration</w:t>
            </w:r>
          </w:p>
        </w:tc>
        <w:tc>
          <w:tcPr>
            <w:tcW w:w="1281" w:type="dxa"/>
            <w:noWrap/>
            <w:vAlign w:val="center"/>
            <w:hideMark/>
          </w:tcPr>
          <w:p w14:paraId="70A6D283" w14:textId="77777777" w:rsidR="00E47AB8" w:rsidRPr="008B2F8A" w:rsidRDefault="00E47AB8" w:rsidP="00422306">
            <w:pPr>
              <w:pStyle w:val="TableText0"/>
              <w:keepNext w:val="0"/>
              <w:spacing w:before="40" w:after="80" w:line="276" w:lineRule="auto"/>
              <w:jc w:val="center"/>
            </w:pPr>
            <w:r w:rsidRPr="008B2F8A">
              <w:t>13918</w:t>
            </w:r>
          </w:p>
        </w:tc>
        <w:tc>
          <w:tcPr>
            <w:tcW w:w="1414" w:type="dxa"/>
            <w:noWrap/>
            <w:vAlign w:val="center"/>
            <w:hideMark/>
          </w:tcPr>
          <w:p w14:paraId="4AE6CF05" w14:textId="77777777" w:rsidR="00E47AB8" w:rsidRPr="008B2F8A" w:rsidRDefault="00E47AB8" w:rsidP="004E7861">
            <w:pPr>
              <w:pStyle w:val="TableText0"/>
              <w:spacing w:before="40" w:after="80"/>
              <w:ind w:right="295"/>
              <w:jc w:val="right"/>
            </w:pPr>
            <w:r w:rsidRPr="008B2F8A">
              <w:t xml:space="preserve"> $ 83.30 </w:t>
            </w:r>
          </w:p>
        </w:tc>
        <w:tc>
          <w:tcPr>
            <w:tcW w:w="1281" w:type="dxa"/>
            <w:noWrap/>
            <w:vAlign w:val="center"/>
            <w:hideMark/>
          </w:tcPr>
          <w:p w14:paraId="13A0CE28" w14:textId="77777777" w:rsidR="00E47AB8" w:rsidRPr="008B2F8A" w:rsidRDefault="00E47AB8" w:rsidP="00422306">
            <w:pPr>
              <w:pStyle w:val="TableText0"/>
              <w:keepNext w:val="0"/>
              <w:spacing w:before="40" w:after="80" w:line="276" w:lineRule="auto"/>
              <w:jc w:val="center"/>
            </w:pPr>
            <w:r w:rsidRPr="008B2F8A">
              <w:t>6</w:t>
            </w:r>
          </w:p>
        </w:tc>
        <w:tc>
          <w:tcPr>
            <w:tcW w:w="1388" w:type="dxa"/>
            <w:noWrap/>
            <w:vAlign w:val="center"/>
            <w:hideMark/>
          </w:tcPr>
          <w:p w14:paraId="1B11981F" w14:textId="77777777" w:rsidR="00E47AB8" w:rsidRPr="008B2F8A" w:rsidRDefault="00E47AB8" w:rsidP="004E7861">
            <w:pPr>
              <w:pStyle w:val="TableText0"/>
              <w:spacing w:before="40" w:after="80"/>
              <w:ind w:right="266"/>
              <w:jc w:val="right"/>
            </w:pPr>
            <w:r w:rsidRPr="008B2F8A">
              <w:t xml:space="preserve"> $ 499.80 </w:t>
            </w:r>
          </w:p>
        </w:tc>
      </w:tr>
      <w:tr w:rsidR="00E47AB8" w:rsidRPr="008B2F8A" w14:paraId="58832E09" w14:textId="77777777" w:rsidTr="004E7861">
        <w:tc>
          <w:tcPr>
            <w:tcW w:w="3762" w:type="dxa"/>
            <w:noWrap/>
            <w:hideMark/>
          </w:tcPr>
          <w:p w14:paraId="28A2BEF0" w14:textId="301033A5" w:rsidR="00E47AB8" w:rsidRPr="008B2F8A" w:rsidRDefault="00E47AB8" w:rsidP="00422306">
            <w:pPr>
              <w:pStyle w:val="TableText0"/>
              <w:keepNext w:val="0"/>
              <w:spacing w:before="40" w:after="80" w:line="276" w:lineRule="auto"/>
            </w:pPr>
            <w:bookmarkStart w:id="1386" w:name="OLE_LINK363"/>
            <w:bookmarkStart w:id="1387" w:name="OLE_LINK364"/>
            <w:r w:rsidRPr="008B2F8A">
              <w:t>G</w:t>
            </w:r>
            <w:r w:rsidR="00F56FD1">
              <w:t>-</w:t>
            </w:r>
            <w:r w:rsidRPr="008B2F8A">
              <w:t>CSF</w:t>
            </w:r>
            <w:bookmarkEnd w:id="1386"/>
            <w:bookmarkEnd w:id="1387"/>
            <w:r w:rsidRPr="008B2F8A">
              <w:t xml:space="preserve"> administration (nurse cost)</w:t>
            </w:r>
          </w:p>
        </w:tc>
        <w:tc>
          <w:tcPr>
            <w:tcW w:w="1281" w:type="dxa"/>
            <w:noWrap/>
            <w:vAlign w:val="center"/>
            <w:hideMark/>
          </w:tcPr>
          <w:p w14:paraId="0683CF3D" w14:textId="77777777" w:rsidR="00E47AB8" w:rsidRPr="008B2F8A" w:rsidRDefault="00E47AB8" w:rsidP="00422306">
            <w:pPr>
              <w:pStyle w:val="TableText0"/>
              <w:keepNext w:val="0"/>
              <w:spacing w:before="40" w:after="80" w:line="276" w:lineRule="auto"/>
              <w:jc w:val="center"/>
            </w:pPr>
            <w:r w:rsidRPr="008B2F8A">
              <w:t>13915</w:t>
            </w:r>
          </w:p>
        </w:tc>
        <w:tc>
          <w:tcPr>
            <w:tcW w:w="1414" w:type="dxa"/>
            <w:noWrap/>
            <w:vAlign w:val="center"/>
            <w:hideMark/>
          </w:tcPr>
          <w:p w14:paraId="09B206AB" w14:textId="77777777" w:rsidR="00E47AB8" w:rsidRPr="008B2F8A" w:rsidRDefault="00E47AB8" w:rsidP="004E7861">
            <w:pPr>
              <w:pStyle w:val="TableText0"/>
              <w:spacing w:before="40" w:after="80"/>
              <w:ind w:right="295"/>
              <w:jc w:val="right"/>
            </w:pPr>
            <w:r w:rsidRPr="008B2F8A">
              <w:t xml:space="preserve"> $ 55.30 </w:t>
            </w:r>
          </w:p>
        </w:tc>
        <w:tc>
          <w:tcPr>
            <w:tcW w:w="1281" w:type="dxa"/>
            <w:noWrap/>
            <w:vAlign w:val="center"/>
            <w:hideMark/>
          </w:tcPr>
          <w:p w14:paraId="0DB687BF" w14:textId="77777777" w:rsidR="00E47AB8" w:rsidRPr="008B2F8A" w:rsidRDefault="00E47AB8" w:rsidP="00422306">
            <w:pPr>
              <w:pStyle w:val="TableText0"/>
              <w:keepNext w:val="0"/>
              <w:spacing w:before="40" w:after="80" w:line="276" w:lineRule="auto"/>
              <w:jc w:val="center"/>
            </w:pPr>
            <w:r w:rsidRPr="008B2F8A">
              <w:t>5</w:t>
            </w:r>
          </w:p>
        </w:tc>
        <w:tc>
          <w:tcPr>
            <w:tcW w:w="1388" w:type="dxa"/>
            <w:noWrap/>
            <w:vAlign w:val="center"/>
            <w:hideMark/>
          </w:tcPr>
          <w:p w14:paraId="2E8251A7" w14:textId="77777777" w:rsidR="00E47AB8" w:rsidRPr="008B2F8A" w:rsidRDefault="00E47AB8" w:rsidP="004E7861">
            <w:pPr>
              <w:pStyle w:val="TableText0"/>
              <w:spacing w:before="40" w:after="80"/>
              <w:ind w:right="266"/>
              <w:jc w:val="right"/>
            </w:pPr>
            <w:r w:rsidRPr="008B2F8A">
              <w:t xml:space="preserve"> $ 276.50 </w:t>
            </w:r>
          </w:p>
        </w:tc>
      </w:tr>
      <w:tr w:rsidR="00E47AB8" w:rsidRPr="008B2F8A" w14:paraId="6E1DF937" w14:textId="77777777" w:rsidTr="004E7861">
        <w:tc>
          <w:tcPr>
            <w:tcW w:w="3762" w:type="dxa"/>
            <w:noWrap/>
            <w:hideMark/>
          </w:tcPr>
          <w:p w14:paraId="3B89FC37" w14:textId="77777777" w:rsidR="00E47AB8" w:rsidRPr="008B2F8A" w:rsidRDefault="00E47AB8" w:rsidP="00422306">
            <w:pPr>
              <w:pStyle w:val="TableText0"/>
              <w:keepNext w:val="0"/>
              <w:spacing w:before="40" w:after="80" w:line="276" w:lineRule="auto"/>
            </w:pPr>
            <w:r w:rsidRPr="008B2F8A">
              <w:t>Total cost per patient</w:t>
            </w:r>
          </w:p>
        </w:tc>
        <w:tc>
          <w:tcPr>
            <w:tcW w:w="1281" w:type="dxa"/>
            <w:noWrap/>
            <w:vAlign w:val="center"/>
            <w:hideMark/>
          </w:tcPr>
          <w:p w14:paraId="379DA7DE" w14:textId="77777777" w:rsidR="00E47AB8" w:rsidRPr="004E7861" w:rsidRDefault="00E47AB8" w:rsidP="004E7861">
            <w:pPr>
              <w:pStyle w:val="TableText0"/>
              <w:keepNext w:val="0"/>
              <w:spacing w:before="40" w:after="80" w:line="276" w:lineRule="auto"/>
              <w:ind w:left="1492"/>
              <w:rPr>
                <w:color w:val="FFFFFF" w:themeColor="background1"/>
              </w:rPr>
            </w:pPr>
            <w:r w:rsidRPr="004E7861">
              <w:rPr>
                <w:color w:val="FFFFFF" w:themeColor="background1"/>
              </w:rPr>
              <w:t>-</w:t>
            </w:r>
          </w:p>
        </w:tc>
        <w:tc>
          <w:tcPr>
            <w:tcW w:w="1414" w:type="dxa"/>
            <w:noWrap/>
            <w:vAlign w:val="center"/>
            <w:hideMark/>
          </w:tcPr>
          <w:p w14:paraId="363DB9FA" w14:textId="77777777" w:rsidR="00E47AB8" w:rsidRPr="004E7861" w:rsidRDefault="00E47AB8" w:rsidP="004E7861">
            <w:pPr>
              <w:pStyle w:val="TableText0"/>
              <w:spacing w:before="40" w:after="80"/>
              <w:ind w:right="295"/>
              <w:jc w:val="center"/>
              <w:rPr>
                <w:color w:val="FFFFFF" w:themeColor="background1"/>
              </w:rPr>
            </w:pPr>
            <w:r w:rsidRPr="004E7861">
              <w:rPr>
                <w:color w:val="FFFFFF" w:themeColor="background1"/>
              </w:rPr>
              <w:t>-</w:t>
            </w:r>
          </w:p>
        </w:tc>
        <w:tc>
          <w:tcPr>
            <w:tcW w:w="1281" w:type="dxa"/>
            <w:noWrap/>
            <w:vAlign w:val="center"/>
          </w:tcPr>
          <w:p w14:paraId="79148CD9" w14:textId="773AAE18" w:rsidR="00E47AB8" w:rsidRPr="00F56FD1" w:rsidRDefault="00E47AB8" w:rsidP="004E7861">
            <w:pPr>
              <w:pStyle w:val="TableText0"/>
              <w:keepNext w:val="0"/>
              <w:spacing w:before="40" w:after="80" w:line="276" w:lineRule="auto"/>
              <w:ind w:left="1492"/>
              <w:rPr>
                <w:color w:val="FFFFFF" w:themeColor="background1"/>
              </w:rPr>
            </w:pPr>
          </w:p>
        </w:tc>
        <w:tc>
          <w:tcPr>
            <w:tcW w:w="1388" w:type="dxa"/>
            <w:noWrap/>
            <w:vAlign w:val="center"/>
            <w:hideMark/>
          </w:tcPr>
          <w:p w14:paraId="246C69A7" w14:textId="77777777" w:rsidR="00E47AB8" w:rsidRPr="008B2F8A" w:rsidRDefault="00E47AB8" w:rsidP="004E7861">
            <w:pPr>
              <w:pStyle w:val="TableText0"/>
              <w:spacing w:before="40" w:after="80"/>
              <w:ind w:right="266"/>
              <w:jc w:val="right"/>
            </w:pPr>
            <w:r w:rsidRPr="008B2F8A">
              <w:t xml:space="preserve"> $ 885.60 </w:t>
            </w:r>
          </w:p>
        </w:tc>
      </w:tr>
    </w:tbl>
    <w:p w14:paraId="765A0406" w14:textId="6C8EDB50" w:rsidR="00E47AB8" w:rsidRDefault="00E47AB8" w:rsidP="00F56FD1">
      <w:pPr>
        <w:pStyle w:val="TableNotesFirst"/>
      </w:pPr>
      <w:r w:rsidRPr="008B2F8A">
        <w:t>MBS = Medicare Benefits Schedule; G</w:t>
      </w:r>
      <w:r w:rsidR="00F56FD1">
        <w:t>-</w:t>
      </w:r>
      <w:r w:rsidRPr="008B2F8A">
        <w:t xml:space="preserve">CSF = </w:t>
      </w:r>
      <w:r w:rsidR="00F56FD1">
        <w:t xml:space="preserve">Granulocyte-colony Stimulating Factor. </w:t>
      </w:r>
      <w:r w:rsidRPr="008B2F8A">
        <w:t>Note: Rounding has been applied.</w:t>
      </w:r>
    </w:p>
    <w:p w14:paraId="3F806E4B" w14:textId="77777777" w:rsidR="00F56FD1" w:rsidRPr="008B2F8A" w:rsidRDefault="00F56FD1" w:rsidP="00F56FD1">
      <w:pPr>
        <w:pStyle w:val="TableNotesFirst"/>
      </w:pPr>
    </w:p>
    <w:p w14:paraId="765945A0" w14:textId="77777777" w:rsidR="00E47AB8" w:rsidRPr="008B2F8A" w:rsidRDefault="00E47AB8" w:rsidP="00422306">
      <w:pPr>
        <w:pStyle w:val="Heading4"/>
      </w:pPr>
      <w:r w:rsidRPr="008B2F8A">
        <w:t>Total cost to the MBS for treatment of additional breast cancers identified by MRI</w:t>
      </w:r>
    </w:p>
    <w:p w14:paraId="59D0F73F" w14:textId="67D8DDD9" w:rsidR="00E47AB8" w:rsidRPr="008B2F8A" w:rsidRDefault="00E47AB8" w:rsidP="00422306">
      <w:r w:rsidRPr="008B2F8A">
        <w:t xml:space="preserve">The cost to the MBS for the treatment of additional breast cancers identified with breast MRI was calculated by multiplying the number of additional patients who have a breast cancer treatment by the cost per patient. The results are shown in </w:t>
      </w:r>
      <w:r w:rsidRPr="008B2F8A">
        <w:fldChar w:fldCharType="begin"/>
      </w:r>
      <w:r w:rsidRPr="008B2F8A">
        <w:instrText xml:space="preserve"> REF _Ref376859591 \h </w:instrText>
      </w:r>
      <w:r w:rsidRPr="008B2F8A">
        <w:fldChar w:fldCharType="separate"/>
      </w:r>
      <w:r w:rsidR="00B81273" w:rsidRPr="008B2F8A">
        <w:t xml:space="preserve">Table </w:t>
      </w:r>
      <w:r w:rsidR="00B81273">
        <w:rPr>
          <w:noProof/>
        </w:rPr>
        <w:t>E</w:t>
      </w:r>
      <w:r w:rsidR="00B81273" w:rsidRPr="008B2F8A">
        <w:t>.</w:t>
      </w:r>
      <w:r w:rsidR="00B81273">
        <w:rPr>
          <w:noProof/>
        </w:rPr>
        <w:t>27</w:t>
      </w:r>
      <w:r w:rsidRPr="008B2F8A">
        <w:fldChar w:fldCharType="end"/>
      </w:r>
      <w:r w:rsidRPr="008B2F8A">
        <w:t>. Overall, the cost is low. The cost across all populations is estimated to be $55,915 in 2015, increasing to $131,002 in 2019. The proposed listing may increase the costs of the Extended Medicare Safety Net for MBS items used in the treatment. However, as the number of additional patients undergoing treatment is low, the effects would be expected to be modest.</w:t>
      </w:r>
    </w:p>
    <w:p w14:paraId="40AA09EC" w14:textId="05C3CA5E" w:rsidR="00E47AB8" w:rsidRPr="008B2F8A" w:rsidRDefault="00E47AB8" w:rsidP="00422306">
      <w:pPr>
        <w:pStyle w:val="Caption"/>
      </w:pPr>
      <w:bookmarkStart w:id="1388" w:name="_Ref376859591"/>
      <w:bookmarkStart w:id="1389" w:name="_Toc383424658"/>
      <w:r w:rsidRPr="008B2F8A">
        <w:lastRenderedPageBreak/>
        <w:t xml:space="preserve">Table </w:t>
      </w:r>
      <w:fldSimple w:instr=" STYLEREF 1 \s ">
        <w:r w:rsidR="00B81273">
          <w:rPr>
            <w:noProof/>
          </w:rPr>
          <w:t>E</w:t>
        </w:r>
      </w:fldSimple>
      <w:r w:rsidRPr="008B2F8A">
        <w:t>.</w:t>
      </w:r>
      <w:fldSimple w:instr=" SEQ Table \* ARABIC \s 1 ">
        <w:r w:rsidR="00B81273">
          <w:rPr>
            <w:noProof/>
          </w:rPr>
          <w:t>27</w:t>
        </w:r>
      </w:fldSimple>
      <w:bookmarkEnd w:id="1388"/>
      <w:r w:rsidRPr="008B2F8A">
        <w:tab/>
        <w:t>Total cost to the MBS of treatment of additional breast cancers identified by MRI.</w:t>
      </w:r>
      <w:bookmarkEnd w:id="1389"/>
    </w:p>
    <w:tbl>
      <w:tblPr>
        <w:tblStyle w:val="TableGrid"/>
        <w:tblW w:w="9070" w:type="dxa"/>
        <w:tblCellMar>
          <w:left w:w="28" w:type="dxa"/>
          <w:right w:w="28" w:type="dxa"/>
        </w:tblCellMar>
        <w:tblLook w:val="04A0" w:firstRow="1" w:lastRow="0" w:firstColumn="1" w:lastColumn="0" w:noHBand="0" w:noVBand="1"/>
        <w:tblCaption w:val="Total cost to the MBS of treatment of additional breast cancers identified by MRI."/>
      </w:tblPr>
      <w:tblGrid>
        <w:gridCol w:w="4460"/>
        <w:gridCol w:w="876"/>
        <w:gridCol w:w="876"/>
        <w:gridCol w:w="876"/>
        <w:gridCol w:w="991"/>
        <w:gridCol w:w="991"/>
      </w:tblGrid>
      <w:tr w:rsidR="00E47AB8" w:rsidRPr="008B2F8A" w14:paraId="3214DF5C" w14:textId="77777777" w:rsidTr="00422306">
        <w:trPr>
          <w:tblHeader/>
        </w:trPr>
        <w:tc>
          <w:tcPr>
            <w:tcW w:w="0" w:type="auto"/>
            <w:noWrap/>
            <w:hideMark/>
          </w:tcPr>
          <w:p w14:paraId="564B7B00" w14:textId="77777777" w:rsidR="00E47AB8" w:rsidRPr="008B2F8A" w:rsidRDefault="00E47AB8" w:rsidP="004B524B">
            <w:pPr>
              <w:pStyle w:val="Tableheaderrow"/>
              <w:keepNext/>
              <w:spacing w:before="40" w:after="80" w:line="276" w:lineRule="auto"/>
            </w:pPr>
            <w:r w:rsidRPr="008B2F8A">
              <w:t>Population</w:t>
            </w:r>
          </w:p>
        </w:tc>
        <w:tc>
          <w:tcPr>
            <w:tcW w:w="0" w:type="auto"/>
            <w:noWrap/>
            <w:hideMark/>
          </w:tcPr>
          <w:p w14:paraId="28BA87CB" w14:textId="77777777" w:rsidR="00E47AB8" w:rsidRPr="008B2F8A" w:rsidRDefault="00E47AB8" w:rsidP="004B524B">
            <w:pPr>
              <w:pStyle w:val="Tableheaderrow"/>
              <w:keepNext/>
              <w:spacing w:before="40" w:after="80" w:line="276" w:lineRule="auto"/>
              <w:jc w:val="center"/>
            </w:pPr>
            <w:r w:rsidRPr="008B2F8A">
              <w:t>FY 2015</w:t>
            </w:r>
          </w:p>
        </w:tc>
        <w:tc>
          <w:tcPr>
            <w:tcW w:w="0" w:type="auto"/>
            <w:noWrap/>
            <w:hideMark/>
          </w:tcPr>
          <w:p w14:paraId="16F83397" w14:textId="77777777" w:rsidR="00E47AB8" w:rsidRPr="008B2F8A" w:rsidRDefault="00E47AB8" w:rsidP="004B524B">
            <w:pPr>
              <w:pStyle w:val="Tableheaderrow"/>
              <w:keepNext/>
              <w:spacing w:before="40" w:after="80" w:line="276" w:lineRule="auto"/>
              <w:jc w:val="center"/>
            </w:pPr>
            <w:r w:rsidRPr="008B2F8A">
              <w:t>FY 2016</w:t>
            </w:r>
          </w:p>
        </w:tc>
        <w:tc>
          <w:tcPr>
            <w:tcW w:w="0" w:type="auto"/>
            <w:noWrap/>
            <w:hideMark/>
          </w:tcPr>
          <w:p w14:paraId="4ADFEE36" w14:textId="77777777" w:rsidR="00E47AB8" w:rsidRPr="008B2F8A" w:rsidRDefault="00E47AB8" w:rsidP="004B524B">
            <w:pPr>
              <w:pStyle w:val="Tableheaderrow"/>
              <w:keepNext/>
              <w:spacing w:before="40" w:after="80" w:line="276" w:lineRule="auto"/>
              <w:jc w:val="center"/>
            </w:pPr>
            <w:r w:rsidRPr="008B2F8A">
              <w:t>FY 2017</w:t>
            </w:r>
          </w:p>
        </w:tc>
        <w:tc>
          <w:tcPr>
            <w:tcW w:w="0" w:type="auto"/>
            <w:noWrap/>
            <w:hideMark/>
          </w:tcPr>
          <w:p w14:paraId="0BC27CF7" w14:textId="77777777" w:rsidR="00E47AB8" w:rsidRPr="008B2F8A" w:rsidRDefault="00E47AB8" w:rsidP="004B524B">
            <w:pPr>
              <w:pStyle w:val="Tableheaderrow"/>
              <w:keepNext/>
              <w:spacing w:before="40" w:after="80" w:line="276" w:lineRule="auto"/>
              <w:jc w:val="center"/>
            </w:pPr>
            <w:r w:rsidRPr="008B2F8A">
              <w:t>FY 2018</w:t>
            </w:r>
          </w:p>
        </w:tc>
        <w:tc>
          <w:tcPr>
            <w:tcW w:w="0" w:type="auto"/>
            <w:noWrap/>
            <w:hideMark/>
          </w:tcPr>
          <w:p w14:paraId="3F40C00F" w14:textId="77777777" w:rsidR="00E47AB8" w:rsidRPr="008B2F8A" w:rsidRDefault="00E47AB8" w:rsidP="004B524B">
            <w:pPr>
              <w:pStyle w:val="Tableheaderrow"/>
              <w:keepNext/>
              <w:spacing w:before="40" w:after="80" w:line="276" w:lineRule="auto"/>
              <w:jc w:val="center"/>
            </w:pPr>
            <w:r w:rsidRPr="008B2F8A">
              <w:t>FY 2019</w:t>
            </w:r>
          </w:p>
        </w:tc>
      </w:tr>
      <w:tr w:rsidR="00E47AB8" w:rsidRPr="008B2F8A" w14:paraId="0BBED699" w14:textId="77777777" w:rsidTr="00422306">
        <w:tc>
          <w:tcPr>
            <w:tcW w:w="0" w:type="auto"/>
            <w:noWrap/>
            <w:vAlign w:val="bottom"/>
            <w:hideMark/>
          </w:tcPr>
          <w:p w14:paraId="65C99314"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011C4B20" w14:textId="77777777" w:rsidR="00E47AB8" w:rsidRPr="008B2F8A" w:rsidRDefault="00E47AB8" w:rsidP="00422306">
            <w:pPr>
              <w:pStyle w:val="TableText0"/>
              <w:keepNext w:val="0"/>
              <w:spacing w:before="40" w:after="80" w:line="276" w:lineRule="auto"/>
              <w:jc w:val="right"/>
            </w:pPr>
            <w:r w:rsidRPr="008B2F8A">
              <w:t xml:space="preserve"> $23,007 </w:t>
            </w:r>
          </w:p>
        </w:tc>
        <w:tc>
          <w:tcPr>
            <w:tcW w:w="0" w:type="auto"/>
            <w:noWrap/>
            <w:hideMark/>
          </w:tcPr>
          <w:p w14:paraId="357AAA78" w14:textId="77777777" w:rsidR="00E47AB8" w:rsidRPr="008B2F8A" w:rsidRDefault="00E47AB8" w:rsidP="00422306">
            <w:pPr>
              <w:pStyle w:val="TableText0"/>
              <w:keepNext w:val="0"/>
              <w:spacing w:before="40" w:after="80" w:line="276" w:lineRule="auto"/>
              <w:jc w:val="right"/>
            </w:pPr>
            <w:r w:rsidRPr="008B2F8A">
              <w:t xml:space="preserve"> $25,973 </w:t>
            </w:r>
          </w:p>
        </w:tc>
        <w:tc>
          <w:tcPr>
            <w:tcW w:w="0" w:type="auto"/>
            <w:noWrap/>
            <w:hideMark/>
          </w:tcPr>
          <w:p w14:paraId="3DEA9F01" w14:textId="77777777" w:rsidR="00E47AB8" w:rsidRPr="008B2F8A" w:rsidRDefault="00E47AB8" w:rsidP="00422306">
            <w:pPr>
              <w:pStyle w:val="TableText0"/>
              <w:keepNext w:val="0"/>
              <w:spacing w:before="40" w:after="80" w:line="276" w:lineRule="auto"/>
              <w:jc w:val="right"/>
            </w:pPr>
            <w:r w:rsidRPr="008B2F8A">
              <w:t xml:space="preserve"> $28,939 </w:t>
            </w:r>
          </w:p>
        </w:tc>
        <w:tc>
          <w:tcPr>
            <w:tcW w:w="0" w:type="auto"/>
            <w:noWrap/>
            <w:hideMark/>
          </w:tcPr>
          <w:p w14:paraId="6CE2AD65" w14:textId="77777777" w:rsidR="00E47AB8" w:rsidRPr="008B2F8A" w:rsidRDefault="00E47AB8" w:rsidP="00422306">
            <w:pPr>
              <w:pStyle w:val="TableText0"/>
              <w:keepNext w:val="0"/>
              <w:spacing w:before="40" w:after="80" w:line="276" w:lineRule="auto"/>
              <w:jc w:val="right"/>
            </w:pPr>
            <w:r w:rsidRPr="008B2F8A">
              <w:t xml:space="preserve"> $31,905 </w:t>
            </w:r>
          </w:p>
        </w:tc>
        <w:tc>
          <w:tcPr>
            <w:tcW w:w="0" w:type="auto"/>
            <w:noWrap/>
            <w:hideMark/>
          </w:tcPr>
          <w:p w14:paraId="4F22F932" w14:textId="77777777" w:rsidR="00E47AB8" w:rsidRPr="008B2F8A" w:rsidRDefault="00E47AB8" w:rsidP="00422306">
            <w:pPr>
              <w:pStyle w:val="TableText0"/>
              <w:keepNext w:val="0"/>
              <w:spacing w:before="40" w:after="80" w:line="276" w:lineRule="auto"/>
              <w:jc w:val="right"/>
            </w:pPr>
            <w:r w:rsidRPr="008B2F8A">
              <w:t xml:space="preserve"> $34,872 </w:t>
            </w:r>
          </w:p>
        </w:tc>
      </w:tr>
      <w:tr w:rsidR="00E47AB8" w:rsidRPr="008B2F8A" w14:paraId="6330C3A5" w14:textId="77777777" w:rsidTr="00422306">
        <w:tc>
          <w:tcPr>
            <w:tcW w:w="0" w:type="auto"/>
            <w:noWrap/>
            <w:vAlign w:val="bottom"/>
          </w:tcPr>
          <w:p w14:paraId="333B607C"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07F131AB" w14:textId="77777777" w:rsidR="00E47AB8" w:rsidRPr="008B2F8A" w:rsidRDefault="00E47AB8" w:rsidP="00422306">
            <w:pPr>
              <w:pStyle w:val="TableText0"/>
              <w:keepNext w:val="0"/>
              <w:spacing w:before="40" w:after="80" w:line="276" w:lineRule="auto"/>
              <w:jc w:val="right"/>
            </w:pPr>
            <w:r w:rsidRPr="008B2F8A">
              <w:t xml:space="preserve"> $30,372 </w:t>
            </w:r>
          </w:p>
        </w:tc>
        <w:tc>
          <w:tcPr>
            <w:tcW w:w="0" w:type="auto"/>
            <w:noWrap/>
          </w:tcPr>
          <w:p w14:paraId="4B0B1E93" w14:textId="77777777" w:rsidR="00E47AB8" w:rsidRPr="008B2F8A" w:rsidRDefault="00E47AB8" w:rsidP="00422306">
            <w:pPr>
              <w:pStyle w:val="TableText0"/>
              <w:keepNext w:val="0"/>
              <w:spacing w:before="40" w:after="80" w:line="276" w:lineRule="auto"/>
              <w:jc w:val="right"/>
            </w:pPr>
            <w:r w:rsidRPr="008B2F8A">
              <w:t xml:space="preserve"> $46,355 </w:t>
            </w:r>
          </w:p>
        </w:tc>
        <w:tc>
          <w:tcPr>
            <w:tcW w:w="0" w:type="auto"/>
            <w:noWrap/>
          </w:tcPr>
          <w:p w14:paraId="04A0C2C0" w14:textId="77777777" w:rsidR="00E47AB8" w:rsidRPr="008B2F8A" w:rsidRDefault="00E47AB8" w:rsidP="00422306">
            <w:pPr>
              <w:pStyle w:val="TableText0"/>
              <w:keepNext w:val="0"/>
              <w:spacing w:before="40" w:after="80" w:line="276" w:lineRule="auto"/>
              <w:jc w:val="right"/>
            </w:pPr>
            <w:r w:rsidRPr="008B2F8A">
              <w:t xml:space="preserve"> $62,875 </w:t>
            </w:r>
          </w:p>
        </w:tc>
        <w:tc>
          <w:tcPr>
            <w:tcW w:w="0" w:type="auto"/>
            <w:noWrap/>
          </w:tcPr>
          <w:p w14:paraId="265BEEF5" w14:textId="77777777" w:rsidR="00E47AB8" w:rsidRPr="008B2F8A" w:rsidRDefault="00E47AB8" w:rsidP="00422306">
            <w:pPr>
              <w:pStyle w:val="TableText0"/>
              <w:keepNext w:val="0"/>
              <w:spacing w:before="40" w:after="80" w:line="276" w:lineRule="auto"/>
              <w:jc w:val="right"/>
            </w:pPr>
            <w:r w:rsidRPr="008B2F8A">
              <w:t xml:space="preserve"> $79,925 </w:t>
            </w:r>
          </w:p>
        </w:tc>
        <w:tc>
          <w:tcPr>
            <w:tcW w:w="0" w:type="auto"/>
            <w:noWrap/>
          </w:tcPr>
          <w:p w14:paraId="2FEAF11D" w14:textId="77777777" w:rsidR="00E47AB8" w:rsidRPr="008B2F8A" w:rsidRDefault="00E47AB8" w:rsidP="00422306">
            <w:pPr>
              <w:pStyle w:val="TableText0"/>
              <w:keepNext w:val="0"/>
              <w:spacing w:before="40" w:after="80" w:line="276" w:lineRule="auto"/>
              <w:jc w:val="right"/>
            </w:pPr>
            <w:r w:rsidRPr="008B2F8A">
              <w:t xml:space="preserve"> $88,728 </w:t>
            </w:r>
          </w:p>
        </w:tc>
      </w:tr>
      <w:tr w:rsidR="00E47AB8" w:rsidRPr="008B2F8A" w14:paraId="4E7C00E6" w14:textId="77777777" w:rsidTr="00422306">
        <w:tc>
          <w:tcPr>
            <w:tcW w:w="0" w:type="auto"/>
            <w:noWrap/>
            <w:vAlign w:val="bottom"/>
          </w:tcPr>
          <w:p w14:paraId="60CE702C" w14:textId="43372747"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6AB24304" w14:textId="77777777" w:rsidR="00E47AB8" w:rsidRPr="008B2F8A" w:rsidRDefault="00E47AB8" w:rsidP="00422306">
            <w:pPr>
              <w:pStyle w:val="TableText0"/>
              <w:keepNext w:val="0"/>
              <w:spacing w:before="40" w:after="80" w:line="276" w:lineRule="auto"/>
              <w:jc w:val="right"/>
            </w:pPr>
            <w:r w:rsidRPr="008B2F8A">
              <w:t xml:space="preserve"> $2,534 </w:t>
            </w:r>
          </w:p>
        </w:tc>
        <w:tc>
          <w:tcPr>
            <w:tcW w:w="0" w:type="auto"/>
            <w:noWrap/>
          </w:tcPr>
          <w:p w14:paraId="53C1D408" w14:textId="77777777" w:rsidR="00E47AB8" w:rsidRPr="008B2F8A" w:rsidRDefault="00E47AB8" w:rsidP="00422306">
            <w:pPr>
              <w:pStyle w:val="TableText0"/>
              <w:keepNext w:val="0"/>
              <w:spacing w:before="40" w:after="80" w:line="276" w:lineRule="auto"/>
              <w:jc w:val="right"/>
            </w:pPr>
            <w:r w:rsidRPr="008B2F8A">
              <w:t xml:space="preserve"> $3,866 </w:t>
            </w:r>
          </w:p>
        </w:tc>
        <w:tc>
          <w:tcPr>
            <w:tcW w:w="0" w:type="auto"/>
            <w:noWrap/>
          </w:tcPr>
          <w:p w14:paraId="4DF0201B" w14:textId="77777777" w:rsidR="00E47AB8" w:rsidRPr="008B2F8A" w:rsidRDefault="00E47AB8" w:rsidP="00422306">
            <w:pPr>
              <w:pStyle w:val="TableText0"/>
              <w:keepNext w:val="0"/>
              <w:spacing w:before="40" w:after="80" w:line="276" w:lineRule="auto"/>
              <w:jc w:val="right"/>
            </w:pPr>
            <w:r w:rsidRPr="008B2F8A">
              <w:t xml:space="preserve"> $5,242 </w:t>
            </w:r>
          </w:p>
        </w:tc>
        <w:tc>
          <w:tcPr>
            <w:tcW w:w="0" w:type="auto"/>
            <w:noWrap/>
          </w:tcPr>
          <w:p w14:paraId="100C868D" w14:textId="77777777" w:rsidR="00E47AB8" w:rsidRPr="008B2F8A" w:rsidRDefault="00E47AB8" w:rsidP="00422306">
            <w:pPr>
              <w:pStyle w:val="TableText0"/>
              <w:keepNext w:val="0"/>
              <w:spacing w:before="40" w:after="80" w:line="276" w:lineRule="auto"/>
              <w:jc w:val="right"/>
            </w:pPr>
            <w:r w:rsidRPr="008B2F8A">
              <w:t xml:space="preserve"> $6,664 </w:t>
            </w:r>
          </w:p>
        </w:tc>
        <w:tc>
          <w:tcPr>
            <w:tcW w:w="0" w:type="auto"/>
            <w:noWrap/>
          </w:tcPr>
          <w:p w14:paraId="4B92816D" w14:textId="77777777" w:rsidR="00E47AB8" w:rsidRPr="008B2F8A" w:rsidRDefault="00E47AB8" w:rsidP="00422306">
            <w:pPr>
              <w:pStyle w:val="TableText0"/>
              <w:keepNext w:val="0"/>
              <w:spacing w:before="40" w:after="80" w:line="276" w:lineRule="auto"/>
              <w:jc w:val="right"/>
            </w:pPr>
            <w:r w:rsidRPr="008B2F8A">
              <w:t xml:space="preserve"> $7,401 </w:t>
            </w:r>
          </w:p>
        </w:tc>
      </w:tr>
      <w:tr w:rsidR="00E47AB8" w:rsidRPr="008B2F8A" w14:paraId="1285BC83" w14:textId="77777777" w:rsidTr="00422306">
        <w:tc>
          <w:tcPr>
            <w:tcW w:w="0" w:type="auto"/>
            <w:noWrap/>
            <w:vAlign w:val="bottom"/>
          </w:tcPr>
          <w:p w14:paraId="063B4A48"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2B9D4DA7" w14:textId="77777777" w:rsidR="00E47AB8" w:rsidRPr="008B2F8A" w:rsidRDefault="00E47AB8" w:rsidP="00422306">
            <w:pPr>
              <w:pStyle w:val="TableText0"/>
              <w:keepNext w:val="0"/>
              <w:spacing w:before="40" w:after="80" w:line="276" w:lineRule="auto"/>
              <w:jc w:val="right"/>
            </w:pPr>
            <w:r w:rsidRPr="008B2F8A">
              <w:t xml:space="preserve"> $1 </w:t>
            </w:r>
          </w:p>
        </w:tc>
        <w:tc>
          <w:tcPr>
            <w:tcW w:w="0" w:type="auto"/>
            <w:noWrap/>
          </w:tcPr>
          <w:p w14:paraId="4CB8BA90" w14:textId="77777777" w:rsidR="00E47AB8" w:rsidRPr="008B2F8A" w:rsidRDefault="00E47AB8" w:rsidP="00422306">
            <w:pPr>
              <w:pStyle w:val="TableText0"/>
              <w:keepNext w:val="0"/>
              <w:spacing w:before="40" w:after="80" w:line="276" w:lineRule="auto"/>
              <w:jc w:val="right"/>
            </w:pPr>
            <w:r w:rsidRPr="008B2F8A">
              <w:t xml:space="preserve"> $1 </w:t>
            </w:r>
          </w:p>
        </w:tc>
        <w:tc>
          <w:tcPr>
            <w:tcW w:w="0" w:type="auto"/>
            <w:noWrap/>
          </w:tcPr>
          <w:p w14:paraId="65D9F74F" w14:textId="77777777" w:rsidR="00E47AB8" w:rsidRPr="008B2F8A" w:rsidRDefault="00E47AB8" w:rsidP="00422306">
            <w:pPr>
              <w:pStyle w:val="TableText0"/>
              <w:keepNext w:val="0"/>
              <w:spacing w:before="40" w:after="80" w:line="276" w:lineRule="auto"/>
              <w:jc w:val="right"/>
            </w:pPr>
            <w:r w:rsidRPr="008B2F8A">
              <w:t xml:space="preserve"> $1 </w:t>
            </w:r>
          </w:p>
        </w:tc>
        <w:tc>
          <w:tcPr>
            <w:tcW w:w="0" w:type="auto"/>
            <w:noWrap/>
          </w:tcPr>
          <w:p w14:paraId="75F17919" w14:textId="77777777" w:rsidR="00E47AB8" w:rsidRPr="008B2F8A" w:rsidRDefault="00E47AB8" w:rsidP="00422306">
            <w:pPr>
              <w:pStyle w:val="TableText0"/>
              <w:keepNext w:val="0"/>
              <w:spacing w:before="40" w:after="80" w:line="276" w:lineRule="auto"/>
              <w:jc w:val="right"/>
            </w:pPr>
            <w:r w:rsidRPr="008B2F8A">
              <w:t xml:space="preserve"> $1 </w:t>
            </w:r>
          </w:p>
        </w:tc>
        <w:tc>
          <w:tcPr>
            <w:tcW w:w="0" w:type="auto"/>
            <w:noWrap/>
          </w:tcPr>
          <w:p w14:paraId="4BBFA765" w14:textId="77777777" w:rsidR="00E47AB8" w:rsidRPr="008B2F8A" w:rsidRDefault="00E47AB8" w:rsidP="00422306">
            <w:pPr>
              <w:pStyle w:val="TableText0"/>
              <w:keepNext w:val="0"/>
              <w:spacing w:before="40" w:after="80" w:line="276" w:lineRule="auto"/>
              <w:jc w:val="right"/>
            </w:pPr>
            <w:r w:rsidRPr="008B2F8A">
              <w:t xml:space="preserve"> $1 </w:t>
            </w:r>
          </w:p>
        </w:tc>
      </w:tr>
      <w:tr w:rsidR="00E47AB8" w:rsidRPr="008B2F8A" w14:paraId="42BF0608" w14:textId="77777777" w:rsidTr="00422306">
        <w:tc>
          <w:tcPr>
            <w:tcW w:w="0" w:type="auto"/>
            <w:noWrap/>
            <w:vAlign w:val="bottom"/>
          </w:tcPr>
          <w:p w14:paraId="2F9DB9DE"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50F0500A" w14:textId="77777777" w:rsidR="00E47AB8" w:rsidRPr="008B2F8A" w:rsidRDefault="00E47AB8" w:rsidP="00422306">
            <w:pPr>
              <w:pStyle w:val="TableText0"/>
              <w:keepNext w:val="0"/>
              <w:spacing w:before="40" w:after="80" w:line="276" w:lineRule="auto"/>
              <w:jc w:val="right"/>
            </w:pPr>
            <w:r w:rsidRPr="008B2F8A">
              <w:t xml:space="preserve"> $55,915 </w:t>
            </w:r>
          </w:p>
        </w:tc>
        <w:tc>
          <w:tcPr>
            <w:tcW w:w="0" w:type="auto"/>
            <w:noWrap/>
          </w:tcPr>
          <w:p w14:paraId="2E3B7A08" w14:textId="77777777" w:rsidR="00E47AB8" w:rsidRPr="008B2F8A" w:rsidRDefault="00E47AB8" w:rsidP="00422306">
            <w:pPr>
              <w:pStyle w:val="TableText0"/>
              <w:keepNext w:val="0"/>
              <w:spacing w:before="40" w:after="80" w:line="276" w:lineRule="auto"/>
              <w:jc w:val="right"/>
            </w:pPr>
            <w:r w:rsidRPr="008B2F8A">
              <w:t xml:space="preserve"> $76,195 </w:t>
            </w:r>
          </w:p>
        </w:tc>
        <w:tc>
          <w:tcPr>
            <w:tcW w:w="0" w:type="auto"/>
            <w:noWrap/>
          </w:tcPr>
          <w:p w14:paraId="3AC55C0C" w14:textId="77777777" w:rsidR="00E47AB8" w:rsidRPr="008B2F8A" w:rsidRDefault="00E47AB8" w:rsidP="00422306">
            <w:pPr>
              <w:pStyle w:val="TableText0"/>
              <w:keepNext w:val="0"/>
              <w:spacing w:before="40" w:after="80" w:line="276" w:lineRule="auto"/>
              <w:jc w:val="right"/>
            </w:pPr>
            <w:r w:rsidRPr="008B2F8A">
              <w:t xml:space="preserve"> $97,058 </w:t>
            </w:r>
          </w:p>
        </w:tc>
        <w:tc>
          <w:tcPr>
            <w:tcW w:w="0" w:type="auto"/>
            <w:noWrap/>
          </w:tcPr>
          <w:p w14:paraId="40691BB7" w14:textId="77777777" w:rsidR="00E47AB8" w:rsidRPr="008B2F8A" w:rsidRDefault="00E47AB8" w:rsidP="00422306">
            <w:pPr>
              <w:pStyle w:val="TableText0"/>
              <w:keepNext w:val="0"/>
              <w:spacing w:before="40" w:after="80" w:line="276" w:lineRule="auto"/>
              <w:jc w:val="right"/>
            </w:pPr>
            <w:r w:rsidRPr="008B2F8A">
              <w:t xml:space="preserve"> $118,496 </w:t>
            </w:r>
          </w:p>
        </w:tc>
        <w:tc>
          <w:tcPr>
            <w:tcW w:w="0" w:type="auto"/>
            <w:noWrap/>
          </w:tcPr>
          <w:p w14:paraId="1B590FC7" w14:textId="77777777" w:rsidR="00E47AB8" w:rsidRPr="008B2F8A" w:rsidRDefault="00E47AB8" w:rsidP="00422306">
            <w:pPr>
              <w:pStyle w:val="TableText0"/>
              <w:keepNext w:val="0"/>
              <w:spacing w:before="40" w:after="80" w:line="276" w:lineRule="auto"/>
              <w:jc w:val="right"/>
            </w:pPr>
            <w:r w:rsidRPr="008B2F8A">
              <w:t xml:space="preserve"> $131,002 </w:t>
            </w:r>
          </w:p>
        </w:tc>
      </w:tr>
    </w:tbl>
    <w:p w14:paraId="6E198732" w14:textId="460A4DDF" w:rsidR="00E47AB8" w:rsidRPr="008B2F8A"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64647356" w14:textId="77777777" w:rsidR="00E47AB8" w:rsidRPr="008B2F8A" w:rsidRDefault="00E47AB8" w:rsidP="00E47AB8">
      <w:pPr>
        <w:pStyle w:val="Heading3"/>
        <w:numPr>
          <w:ilvl w:val="2"/>
          <w:numId w:val="42"/>
        </w:numPr>
      </w:pPr>
      <w:bookmarkStart w:id="1390" w:name="_Toc383424534"/>
      <w:r w:rsidRPr="008B2F8A">
        <w:t>Total cost to MBS associated with the requested listing</w:t>
      </w:r>
      <w:bookmarkEnd w:id="1390"/>
    </w:p>
    <w:p w14:paraId="7CA992EA" w14:textId="7B0DAFA1" w:rsidR="00E47AB8" w:rsidRPr="008B2F8A" w:rsidRDefault="00E47AB8" w:rsidP="00422306">
      <w:r w:rsidRPr="008B2F8A">
        <w:t xml:space="preserve">The total cost to the MBS for the requested listing includes the costs for breast MRI, specialist attendance for breast MRI, follow-up biopsy and breast cancer treatment. Cost savings to the MBS come from the replacement of ultrasound with breast MRI. The total cost of the proposed listing for each of the populations, incorporating cost savings, is presented in </w:t>
      </w:r>
      <w:r w:rsidRPr="008B2F8A">
        <w:fldChar w:fldCharType="begin"/>
      </w:r>
      <w:r w:rsidRPr="008B2F8A">
        <w:instrText xml:space="preserve"> REF _Ref376860048 \h  \* MERGEFORMAT </w:instrText>
      </w:r>
      <w:r w:rsidRPr="008B2F8A">
        <w:fldChar w:fldCharType="separate"/>
      </w:r>
      <w:r w:rsidR="00B81273" w:rsidRPr="008B2F8A">
        <w:t xml:space="preserve">Table </w:t>
      </w:r>
      <w:r w:rsidR="00B81273">
        <w:rPr>
          <w:noProof/>
        </w:rPr>
        <w:t>E</w:t>
      </w:r>
      <w:r w:rsidR="00B81273" w:rsidRPr="008B2F8A">
        <w:rPr>
          <w:noProof/>
        </w:rPr>
        <w:t>.</w:t>
      </w:r>
      <w:r w:rsidR="00B81273">
        <w:rPr>
          <w:noProof/>
        </w:rPr>
        <w:t>28</w:t>
      </w:r>
      <w:r w:rsidRPr="008B2F8A">
        <w:fldChar w:fldCharType="end"/>
      </w:r>
      <w:r w:rsidRPr="008B2F8A">
        <w:t>. The estimated total cost for all populations is $8.4 million</w:t>
      </w:r>
      <w:r w:rsidRPr="007E1214">
        <w:t xml:space="preserve"> </w:t>
      </w:r>
      <w:r w:rsidRPr="008B2F8A">
        <w:t>in the first year of listing, increas</w:t>
      </w:r>
      <w:r>
        <w:t>ing</w:t>
      </w:r>
      <w:r w:rsidRPr="008B2F8A">
        <w:t xml:space="preserve"> to $20.3 million</w:t>
      </w:r>
      <w:r w:rsidRPr="004E7861">
        <w:t xml:space="preserve"> </w:t>
      </w:r>
      <w:r w:rsidRPr="008B2F8A">
        <w:t>in Year 5. The majority of this cost in each population comes from the cost of providing breast imaging with MRI. The contribution of follow-up and treatment costs is relatively minor.</w:t>
      </w:r>
    </w:p>
    <w:p w14:paraId="107611B3" w14:textId="5717A1DB" w:rsidR="00E47AB8" w:rsidRPr="008B2F8A" w:rsidRDefault="00E47AB8" w:rsidP="00422306">
      <w:pPr>
        <w:pStyle w:val="Caption"/>
      </w:pPr>
      <w:bookmarkStart w:id="1391" w:name="_Ref376860048"/>
      <w:bookmarkStart w:id="1392" w:name="_Toc383424659"/>
      <w:r w:rsidRPr="008B2F8A">
        <w:t xml:space="preserve">Table </w:t>
      </w:r>
      <w:fldSimple w:instr=" STYLEREF 1 \s ">
        <w:r w:rsidR="00B81273">
          <w:rPr>
            <w:noProof/>
          </w:rPr>
          <w:t>E</w:t>
        </w:r>
      </w:fldSimple>
      <w:r w:rsidRPr="008B2F8A">
        <w:t>.</w:t>
      </w:r>
      <w:fldSimple w:instr=" SEQ Table \* ARABIC \s 1 ">
        <w:r w:rsidR="00B81273">
          <w:rPr>
            <w:noProof/>
          </w:rPr>
          <w:t>28</w:t>
        </w:r>
      </w:fldSimple>
      <w:bookmarkEnd w:id="1391"/>
      <w:r w:rsidRPr="008B2F8A">
        <w:tab/>
        <w:t>Total cost to the MBS of the requested listing.</w:t>
      </w:r>
      <w:bookmarkEnd w:id="1392"/>
    </w:p>
    <w:tbl>
      <w:tblPr>
        <w:tblStyle w:val="TableGrid"/>
        <w:tblW w:w="9070" w:type="dxa"/>
        <w:tblCellMar>
          <w:left w:w="28" w:type="dxa"/>
          <w:right w:w="28" w:type="dxa"/>
        </w:tblCellMar>
        <w:tblLook w:val="04A0" w:firstRow="1" w:lastRow="0" w:firstColumn="1" w:lastColumn="0" w:noHBand="0" w:noVBand="1"/>
        <w:tblCaption w:val="Total cost to the MBS of the requested listing."/>
      </w:tblPr>
      <w:tblGrid>
        <w:gridCol w:w="3539"/>
        <w:gridCol w:w="1123"/>
        <w:gridCol w:w="1124"/>
        <w:gridCol w:w="1122"/>
        <w:gridCol w:w="1124"/>
        <w:gridCol w:w="1038"/>
      </w:tblGrid>
      <w:tr w:rsidR="00E47AB8" w:rsidRPr="008B2F8A" w14:paraId="2A3F499A" w14:textId="77777777" w:rsidTr="00422306">
        <w:trPr>
          <w:tblHeader/>
        </w:trPr>
        <w:tc>
          <w:tcPr>
            <w:tcW w:w="1598" w:type="pct"/>
            <w:noWrap/>
            <w:hideMark/>
          </w:tcPr>
          <w:p w14:paraId="1C91A8B7" w14:textId="77777777" w:rsidR="00E47AB8" w:rsidRPr="008B2F8A" w:rsidRDefault="00E47AB8" w:rsidP="00D2611C">
            <w:pPr>
              <w:pStyle w:val="Tableheaderrow"/>
              <w:keepNext/>
              <w:spacing w:before="40" w:after="80" w:line="276" w:lineRule="auto"/>
            </w:pPr>
            <w:r w:rsidRPr="008B2F8A">
              <w:t>Population</w:t>
            </w:r>
          </w:p>
        </w:tc>
        <w:tc>
          <w:tcPr>
            <w:tcW w:w="690" w:type="pct"/>
            <w:noWrap/>
            <w:hideMark/>
          </w:tcPr>
          <w:p w14:paraId="1B024029" w14:textId="77777777" w:rsidR="00E47AB8" w:rsidRPr="008B2F8A" w:rsidRDefault="00E47AB8" w:rsidP="00D2611C">
            <w:pPr>
              <w:pStyle w:val="Tableheaderrow"/>
              <w:keepNext/>
              <w:spacing w:before="40" w:after="80" w:line="276" w:lineRule="auto"/>
              <w:jc w:val="center"/>
            </w:pPr>
            <w:r w:rsidRPr="008B2F8A">
              <w:t>FY 2015</w:t>
            </w:r>
          </w:p>
        </w:tc>
        <w:tc>
          <w:tcPr>
            <w:tcW w:w="690" w:type="pct"/>
            <w:noWrap/>
            <w:hideMark/>
          </w:tcPr>
          <w:p w14:paraId="406429E7" w14:textId="77777777" w:rsidR="00E47AB8" w:rsidRPr="008B2F8A" w:rsidRDefault="00E47AB8" w:rsidP="00D2611C">
            <w:pPr>
              <w:pStyle w:val="Tableheaderrow"/>
              <w:keepNext/>
              <w:spacing w:before="40" w:after="80" w:line="276" w:lineRule="auto"/>
              <w:jc w:val="center"/>
            </w:pPr>
            <w:r w:rsidRPr="008B2F8A">
              <w:t>FY 2016</w:t>
            </w:r>
          </w:p>
        </w:tc>
        <w:tc>
          <w:tcPr>
            <w:tcW w:w="689" w:type="pct"/>
            <w:noWrap/>
            <w:hideMark/>
          </w:tcPr>
          <w:p w14:paraId="5DA867EB" w14:textId="77777777" w:rsidR="00E47AB8" w:rsidRPr="008B2F8A" w:rsidRDefault="00E47AB8" w:rsidP="00D2611C">
            <w:pPr>
              <w:pStyle w:val="Tableheaderrow"/>
              <w:keepNext/>
              <w:spacing w:before="40" w:after="80" w:line="276" w:lineRule="auto"/>
              <w:jc w:val="center"/>
            </w:pPr>
            <w:r w:rsidRPr="008B2F8A">
              <w:t>FY 2017</w:t>
            </w:r>
          </w:p>
        </w:tc>
        <w:tc>
          <w:tcPr>
            <w:tcW w:w="690" w:type="pct"/>
            <w:noWrap/>
            <w:hideMark/>
          </w:tcPr>
          <w:p w14:paraId="20A79CE2" w14:textId="77777777" w:rsidR="00E47AB8" w:rsidRPr="008B2F8A" w:rsidRDefault="00E47AB8" w:rsidP="00D2611C">
            <w:pPr>
              <w:pStyle w:val="Tableheaderrow"/>
              <w:keepNext/>
              <w:spacing w:before="40" w:after="80" w:line="276" w:lineRule="auto"/>
              <w:jc w:val="center"/>
            </w:pPr>
            <w:r w:rsidRPr="008B2F8A">
              <w:t>FY 2018</w:t>
            </w:r>
          </w:p>
        </w:tc>
        <w:tc>
          <w:tcPr>
            <w:tcW w:w="644" w:type="pct"/>
            <w:noWrap/>
            <w:hideMark/>
          </w:tcPr>
          <w:p w14:paraId="593A3CE7" w14:textId="77777777" w:rsidR="00E47AB8" w:rsidRPr="008B2F8A" w:rsidRDefault="00E47AB8" w:rsidP="00D2611C">
            <w:pPr>
              <w:pStyle w:val="Tableheaderrow"/>
              <w:keepNext/>
              <w:spacing w:before="40" w:after="80" w:line="276" w:lineRule="auto"/>
              <w:jc w:val="center"/>
            </w:pPr>
            <w:r w:rsidRPr="008B2F8A">
              <w:t>FY 2019</w:t>
            </w:r>
          </w:p>
        </w:tc>
      </w:tr>
      <w:tr w:rsidR="00E47AB8" w:rsidRPr="008B2F8A" w14:paraId="28D04A53" w14:textId="77777777" w:rsidTr="00422306">
        <w:tc>
          <w:tcPr>
            <w:tcW w:w="1598" w:type="pct"/>
            <w:noWrap/>
            <w:vAlign w:val="bottom"/>
            <w:hideMark/>
          </w:tcPr>
          <w:p w14:paraId="58F7710F" w14:textId="77777777" w:rsidR="00E47AB8" w:rsidRPr="008B2F8A" w:rsidRDefault="00E47AB8" w:rsidP="00D2611C">
            <w:pPr>
              <w:pStyle w:val="TableText0"/>
              <w:spacing w:before="40" w:after="80" w:line="276" w:lineRule="auto"/>
            </w:pPr>
            <w:r w:rsidRPr="008B2F8A">
              <w:t>Gene mutation or family history</w:t>
            </w:r>
          </w:p>
        </w:tc>
        <w:tc>
          <w:tcPr>
            <w:tcW w:w="690" w:type="pct"/>
            <w:noWrap/>
            <w:hideMark/>
          </w:tcPr>
          <w:p w14:paraId="27B93DAB" w14:textId="77777777" w:rsidR="00E47AB8" w:rsidRPr="008B2F8A" w:rsidRDefault="00E47AB8" w:rsidP="00D2611C">
            <w:pPr>
              <w:pStyle w:val="TableText0"/>
              <w:spacing w:before="40" w:after="80" w:line="276" w:lineRule="auto"/>
              <w:jc w:val="right"/>
            </w:pPr>
            <w:r w:rsidRPr="008B2F8A">
              <w:t xml:space="preserve"> $3,151,694 </w:t>
            </w:r>
          </w:p>
        </w:tc>
        <w:tc>
          <w:tcPr>
            <w:tcW w:w="690" w:type="pct"/>
            <w:noWrap/>
            <w:hideMark/>
          </w:tcPr>
          <w:p w14:paraId="087F8E35" w14:textId="77777777" w:rsidR="00E47AB8" w:rsidRPr="008B2F8A" w:rsidRDefault="00E47AB8" w:rsidP="00D2611C">
            <w:pPr>
              <w:pStyle w:val="TableText0"/>
              <w:spacing w:before="40" w:after="80" w:line="276" w:lineRule="auto"/>
              <w:jc w:val="right"/>
            </w:pPr>
            <w:r w:rsidRPr="008B2F8A">
              <w:t xml:space="preserve"> $3,558,010 </w:t>
            </w:r>
          </w:p>
        </w:tc>
        <w:tc>
          <w:tcPr>
            <w:tcW w:w="689" w:type="pct"/>
            <w:noWrap/>
            <w:hideMark/>
          </w:tcPr>
          <w:p w14:paraId="207F4CDD" w14:textId="77777777" w:rsidR="00E47AB8" w:rsidRPr="008B2F8A" w:rsidRDefault="00E47AB8" w:rsidP="00D2611C">
            <w:pPr>
              <w:pStyle w:val="TableText0"/>
              <w:spacing w:before="40" w:after="80" w:line="276" w:lineRule="auto"/>
              <w:jc w:val="right"/>
            </w:pPr>
            <w:r w:rsidRPr="008B2F8A">
              <w:t xml:space="preserve"> $3,964,326 </w:t>
            </w:r>
          </w:p>
        </w:tc>
        <w:tc>
          <w:tcPr>
            <w:tcW w:w="690" w:type="pct"/>
            <w:noWrap/>
            <w:hideMark/>
          </w:tcPr>
          <w:p w14:paraId="4EB48A4F" w14:textId="77777777" w:rsidR="00E47AB8" w:rsidRPr="008B2F8A" w:rsidRDefault="00E47AB8" w:rsidP="00D2611C">
            <w:pPr>
              <w:pStyle w:val="TableText0"/>
              <w:spacing w:before="40" w:after="80" w:line="276" w:lineRule="auto"/>
              <w:jc w:val="right"/>
            </w:pPr>
            <w:r w:rsidRPr="008B2F8A">
              <w:t xml:space="preserve"> $4,370,642 </w:t>
            </w:r>
          </w:p>
        </w:tc>
        <w:tc>
          <w:tcPr>
            <w:tcW w:w="644" w:type="pct"/>
            <w:noWrap/>
            <w:hideMark/>
          </w:tcPr>
          <w:p w14:paraId="7F2AD23C" w14:textId="77777777" w:rsidR="00E47AB8" w:rsidRPr="008B2F8A" w:rsidRDefault="00E47AB8" w:rsidP="00D2611C">
            <w:pPr>
              <w:pStyle w:val="TableText0"/>
              <w:spacing w:before="40" w:after="80" w:line="276" w:lineRule="auto"/>
              <w:jc w:val="right"/>
            </w:pPr>
            <w:r w:rsidRPr="008B2F8A">
              <w:t xml:space="preserve"> $4,776,958 </w:t>
            </w:r>
          </w:p>
        </w:tc>
      </w:tr>
      <w:tr w:rsidR="00E47AB8" w:rsidRPr="008B2F8A" w14:paraId="064D8656" w14:textId="77777777" w:rsidTr="00422306">
        <w:tc>
          <w:tcPr>
            <w:tcW w:w="1598" w:type="pct"/>
            <w:noWrap/>
            <w:vAlign w:val="bottom"/>
          </w:tcPr>
          <w:p w14:paraId="59C015D0" w14:textId="77777777" w:rsidR="00E47AB8" w:rsidRPr="008B2F8A" w:rsidRDefault="00E47AB8" w:rsidP="00422306">
            <w:pPr>
              <w:pStyle w:val="TableText0"/>
              <w:keepNext w:val="0"/>
              <w:spacing w:before="40" w:after="80" w:line="276" w:lineRule="auto"/>
            </w:pPr>
            <w:r w:rsidRPr="008B2F8A">
              <w:t>Prior history of invasive breast cancer</w:t>
            </w:r>
          </w:p>
        </w:tc>
        <w:tc>
          <w:tcPr>
            <w:tcW w:w="690" w:type="pct"/>
            <w:noWrap/>
          </w:tcPr>
          <w:p w14:paraId="3911A73A" w14:textId="77777777" w:rsidR="00E47AB8" w:rsidRPr="008B2F8A" w:rsidRDefault="00E47AB8" w:rsidP="00422306">
            <w:pPr>
              <w:pStyle w:val="TableText0"/>
              <w:keepNext w:val="0"/>
              <w:spacing w:before="40" w:after="80" w:line="276" w:lineRule="auto"/>
              <w:jc w:val="right"/>
            </w:pPr>
            <w:r w:rsidRPr="008B2F8A">
              <w:t xml:space="preserve"> $4,665,645 </w:t>
            </w:r>
          </w:p>
        </w:tc>
        <w:tc>
          <w:tcPr>
            <w:tcW w:w="690" w:type="pct"/>
            <w:noWrap/>
          </w:tcPr>
          <w:p w14:paraId="75492DAA" w14:textId="77777777" w:rsidR="00E47AB8" w:rsidRPr="008B2F8A" w:rsidRDefault="00E47AB8" w:rsidP="00422306">
            <w:pPr>
              <w:pStyle w:val="TableText0"/>
              <w:keepNext w:val="0"/>
              <w:spacing w:before="40" w:after="80" w:line="276" w:lineRule="auto"/>
              <w:jc w:val="right"/>
            </w:pPr>
            <w:r w:rsidRPr="008B2F8A">
              <w:t xml:space="preserve"> $7,120,865 </w:t>
            </w:r>
          </w:p>
        </w:tc>
        <w:tc>
          <w:tcPr>
            <w:tcW w:w="689" w:type="pct"/>
            <w:noWrap/>
          </w:tcPr>
          <w:p w14:paraId="1369CB8C" w14:textId="77777777" w:rsidR="00E47AB8" w:rsidRPr="008B2F8A" w:rsidRDefault="00E47AB8" w:rsidP="00422306">
            <w:pPr>
              <w:pStyle w:val="TableText0"/>
              <w:keepNext w:val="0"/>
              <w:spacing w:before="40" w:after="80" w:line="276" w:lineRule="auto"/>
              <w:jc w:val="right"/>
            </w:pPr>
            <w:r w:rsidRPr="008B2F8A">
              <w:t xml:space="preserve"> $9,658,572 </w:t>
            </w:r>
          </w:p>
        </w:tc>
        <w:tc>
          <w:tcPr>
            <w:tcW w:w="690" w:type="pct"/>
            <w:noWrap/>
          </w:tcPr>
          <w:p w14:paraId="5CB265D7" w14:textId="77777777" w:rsidR="00E47AB8" w:rsidRPr="008B2F8A" w:rsidRDefault="00E47AB8" w:rsidP="00422306">
            <w:pPr>
              <w:pStyle w:val="TableText0"/>
              <w:keepNext w:val="0"/>
              <w:spacing w:before="40" w:after="80" w:line="276" w:lineRule="auto"/>
              <w:jc w:val="right"/>
            </w:pPr>
            <w:r w:rsidRPr="008B2F8A">
              <w:t xml:space="preserve"> $12,277,816 </w:t>
            </w:r>
          </w:p>
        </w:tc>
        <w:tc>
          <w:tcPr>
            <w:tcW w:w="644" w:type="pct"/>
            <w:noWrap/>
          </w:tcPr>
          <w:p w14:paraId="42F9DAD9" w14:textId="77777777" w:rsidR="00E47AB8" w:rsidRPr="008B2F8A" w:rsidRDefault="00E47AB8" w:rsidP="00422306">
            <w:pPr>
              <w:pStyle w:val="TableText0"/>
              <w:keepNext w:val="0"/>
              <w:spacing w:before="40" w:after="80" w:line="276" w:lineRule="auto"/>
              <w:jc w:val="right"/>
            </w:pPr>
            <w:r w:rsidRPr="008B2F8A">
              <w:t xml:space="preserve"> $13,630,036 </w:t>
            </w:r>
          </w:p>
        </w:tc>
      </w:tr>
      <w:tr w:rsidR="00E47AB8" w:rsidRPr="008B2F8A" w14:paraId="397EE821" w14:textId="77777777" w:rsidTr="00422306">
        <w:tc>
          <w:tcPr>
            <w:tcW w:w="1598" w:type="pct"/>
            <w:noWrap/>
            <w:vAlign w:val="bottom"/>
          </w:tcPr>
          <w:p w14:paraId="67273A00" w14:textId="40A93DD4"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690" w:type="pct"/>
            <w:noWrap/>
          </w:tcPr>
          <w:p w14:paraId="66E90B02" w14:textId="77777777" w:rsidR="00E47AB8" w:rsidRPr="008B2F8A" w:rsidRDefault="00E47AB8" w:rsidP="00422306">
            <w:pPr>
              <w:pStyle w:val="TableText0"/>
              <w:keepNext w:val="0"/>
              <w:spacing w:before="40" w:after="80" w:line="276" w:lineRule="auto"/>
              <w:jc w:val="right"/>
            </w:pPr>
            <w:r w:rsidRPr="008B2F8A">
              <w:t xml:space="preserve"> $551,969 </w:t>
            </w:r>
          </w:p>
        </w:tc>
        <w:tc>
          <w:tcPr>
            <w:tcW w:w="690" w:type="pct"/>
            <w:noWrap/>
          </w:tcPr>
          <w:p w14:paraId="155832FB" w14:textId="77777777" w:rsidR="00E47AB8" w:rsidRPr="008B2F8A" w:rsidRDefault="00E47AB8" w:rsidP="00422306">
            <w:pPr>
              <w:pStyle w:val="TableText0"/>
              <w:keepNext w:val="0"/>
              <w:spacing w:before="40" w:after="80" w:line="276" w:lineRule="auto"/>
              <w:jc w:val="right"/>
            </w:pPr>
            <w:r w:rsidRPr="008B2F8A">
              <w:t xml:space="preserve"> $842,029 </w:t>
            </w:r>
          </w:p>
        </w:tc>
        <w:tc>
          <w:tcPr>
            <w:tcW w:w="689" w:type="pct"/>
            <w:noWrap/>
          </w:tcPr>
          <w:p w14:paraId="73A88632" w14:textId="77777777" w:rsidR="00E47AB8" w:rsidRPr="008B2F8A" w:rsidRDefault="00E47AB8" w:rsidP="00422306">
            <w:pPr>
              <w:pStyle w:val="TableText0"/>
              <w:keepNext w:val="0"/>
              <w:spacing w:before="40" w:after="80" w:line="276" w:lineRule="auto"/>
              <w:jc w:val="right"/>
            </w:pPr>
            <w:r w:rsidRPr="008B2F8A">
              <w:t xml:space="preserve"> $1,141,791 </w:t>
            </w:r>
          </w:p>
        </w:tc>
        <w:tc>
          <w:tcPr>
            <w:tcW w:w="690" w:type="pct"/>
            <w:noWrap/>
          </w:tcPr>
          <w:p w14:paraId="23312327" w14:textId="77777777" w:rsidR="00E47AB8" w:rsidRPr="008B2F8A" w:rsidRDefault="00E47AB8" w:rsidP="00422306">
            <w:pPr>
              <w:pStyle w:val="TableText0"/>
              <w:keepNext w:val="0"/>
              <w:spacing w:before="40" w:after="80" w:line="276" w:lineRule="auto"/>
              <w:jc w:val="right"/>
            </w:pPr>
            <w:r w:rsidRPr="008B2F8A">
              <w:t xml:space="preserve"> $1,451,502 </w:t>
            </w:r>
          </w:p>
        </w:tc>
        <w:tc>
          <w:tcPr>
            <w:tcW w:w="644" w:type="pct"/>
            <w:noWrap/>
          </w:tcPr>
          <w:p w14:paraId="2F1E53BB" w14:textId="77777777" w:rsidR="00E47AB8" w:rsidRPr="008B2F8A" w:rsidRDefault="00E47AB8" w:rsidP="00422306">
            <w:pPr>
              <w:pStyle w:val="TableText0"/>
              <w:keepNext w:val="0"/>
              <w:spacing w:before="40" w:after="80" w:line="276" w:lineRule="auto"/>
              <w:jc w:val="right"/>
            </w:pPr>
            <w:r w:rsidRPr="008B2F8A">
              <w:t xml:space="preserve"> $1,611,986 </w:t>
            </w:r>
          </w:p>
        </w:tc>
      </w:tr>
      <w:tr w:rsidR="00E47AB8" w:rsidRPr="008B2F8A" w14:paraId="74B3E04C" w14:textId="77777777" w:rsidTr="00422306">
        <w:tc>
          <w:tcPr>
            <w:tcW w:w="1598" w:type="pct"/>
            <w:noWrap/>
            <w:vAlign w:val="bottom"/>
          </w:tcPr>
          <w:p w14:paraId="549C007F"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690" w:type="pct"/>
            <w:noWrap/>
          </w:tcPr>
          <w:p w14:paraId="7FCBDF0D" w14:textId="77777777" w:rsidR="00E47AB8" w:rsidRPr="008B2F8A" w:rsidRDefault="00E47AB8" w:rsidP="00422306">
            <w:pPr>
              <w:pStyle w:val="TableText0"/>
              <w:keepNext w:val="0"/>
              <w:spacing w:before="40" w:after="80" w:line="276" w:lineRule="auto"/>
              <w:jc w:val="right"/>
            </w:pPr>
            <w:r w:rsidRPr="008B2F8A">
              <w:t xml:space="preserve"> $52,469 </w:t>
            </w:r>
          </w:p>
        </w:tc>
        <w:tc>
          <w:tcPr>
            <w:tcW w:w="690" w:type="pct"/>
            <w:noWrap/>
          </w:tcPr>
          <w:p w14:paraId="4B38EA89" w14:textId="77777777" w:rsidR="00E47AB8" w:rsidRPr="008B2F8A" w:rsidRDefault="00E47AB8" w:rsidP="00422306">
            <w:pPr>
              <w:pStyle w:val="TableText0"/>
              <w:keepNext w:val="0"/>
              <w:spacing w:before="40" w:after="80" w:line="276" w:lineRule="auto"/>
              <w:jc w:val="right"/>
            </w:pPr>
            <w:r w:rsidRPr="008B2F8A">
              <w:t xml:space="preserve"> $106,721 </w:t>
            </w:r>
          </w:p>
        </w:tc>
        <w:tc>
          <w:tcPr>
            <w:tcW w:w="689" w:type="pct"/>
            <w:noWrap/>
          </w:tcPr>
          <w:p w14:paraId="618A6A80" w14:textId="77777777" w:rsidR="00E47AB8" w:rsidRPr="008B2F8A" w:rsidRDefault="00E47AB8" w:rsidP="00422306">
            <w:pPr>
              <w:pStyle w:val="TableText0"/>
              <w:keepNext w:val="0"/>
              <w:spacing w:before="40" w:after="80" w:line="276" w:lineRule="auto"/>
              <w:jc w:val="right"/>
            </w:pPr>
            <w:r w:rsidRPr="008B2F8A">
              <w:t xml:space="preserve"> $162,802 </w:t>
            </w:r>
          </w:p>
        </w:tc>
        <w:tc>
          <w:tcPr>
            <w:tcW w:w="690" w:type="pct"/>
            <w:noWrap/>
          </w:tcPr>
          <w:p w14:paraId="16249D73" w14:textId="77777777" w:rsidR="00E47AB8" w:rsidRPr="008B2F8A" w:rsidRDefault="00E47AB8" w:rsidP="00422306">
            <w:pPr>
              <w:pStyle w:val="TableText0"/>
              <w:keepNext w:val="0"/>
              <w:spacing w:before="40" w:after="80" w:line="276" w:lineRule="auto"/>
              <w:jc w:val="right"/>
            </w:pPr>
            <w:r w:rsidRPr="008B2F8A">
              <w:t xml:space="preserve"> $220,759 </w:t>
            </w:r>
          </w:p>
        </w:tc>
        <w:tc>
          <w:tcPr>
            <w:tcW w:w="644" w:type="pct"/>
            <w:noWrap/>
          </w:tcPr>
          <w:p w14:paraId="15B8FC4D" w14:textId="77777777" w:rsidR="00E47AB8" w:rsidRPr="008B2F8A" w:rsidRDefault="00E47AB8" w:rsidP="00422306">
            <w:pPr>
              <w:pStyle w:val="TableText0"/>
              <w:keepNext w:val="0"/>
              <w:spacing w:before="40" w:after="80" w:line="276" w:lineRule="auto"/>
              <w:jc w:val="right"/>
            </w:pPr>
            <w:r w:rsidRPr="008B2F8A">
              <w:t xml:space="preserve"> $255,783 </w:t>
            </w:r>
          </w:p>
        </w:tc>
      </w:tr>
      <w:tr w:rsidR="00E47AB8" w:rsidRPr="008B2F8A" w14:paraId="30B3E32F" w14:textId="77777777" w:rsidTr="00422306">
        <w:tc>
          <w:tcPr>
            <w:tcW w:w="1598" w:type="pct"/>
            <w:noWrap/>
            <w:vAlign w:val="bottom"/>
          </w:tcPr>
          <w:p w14:paraId="33B0CB02" w14:textId="77777777" w:rsidR="00E47AB8" w:rsidRPr="008B2F8A" w:rsidRDefault="00E47AB8" w:rsidP="00422306">
            <w:pPr>
              <w:pStyle w:val="TableText0"/>
              <w:keepNext w:val="0"/>
              <w:spacing w:before="40" w:after="80" w:line="276" w:lineRule="auto"/>
            </w:pPr>
            <w:r w:rsidRPr="008B2F8A">
              <w:t>All populations</w:t>
            </w:r>
          </w:p>
        </w:tc>
        <w:tc>
          <w:tcPr>
            <w:tcW w:w="690" w:type="pct"/>
            <w:noWrap/>
          </w:tcPr>
          <w:p w14:paraId="2068C7E5" w14:textId="77777777" w:rsidR="00E47AB8" w:rsidRPr="008B2F8A" w:rsidRDefault="00E47AB8" w:rsidP="00422306">
            <w:pPr>
              <w:pStyle w:val="TableText0"/>
              <w:keepNext w:val="0"/>
              <w:spacing w:before="40" w:after="80" w:line="276" w:lineRule="auto"/>
              <w:jc w:val="right"/>
            </w:pPr>
            <w:r w:rsidRPr="008B2F8A">
              <w:t xml:space="preserve"> $8,421,778 </w:t>
            </w:r>
          </w:p>
        </w:tc>
        <w:tc>
          <w:tcPr>
            <w:tcW w:w="690" w:type="pct"/>
            <w:noWrap/>
          </w:tcPr>
          <w:p w14:paraId="6EC9708F" w14:textId="77777777" w:rsidR="00E47AB8" w:rsidRPr="008B2F8A" w:rsidRDefault="00E47AB8" w:rsidP="00422306">
            <w:pPr>
              <w:pStyle w:val="TableText0"/>
              <w:keepNext w:val="0"/>
              <w:spacing w:before="40" w:after="80" w:line="276" w:lineRule="auto"/>
              <w:jc w:val="right"/>
            </w:pPr>
            <w:r w:rsidRPr="008B2F8A">
              <w:t xml:space="preserve"> $11,627,624 </w:t>
            </w:r>
          </w:p>
        </w:tc>
        <w:tc>
          <w:tcPr>
            <w:tcW w:w="689" w:type="pct"/>
            <w:noWrap/>
          </w:tcPr>
          <w:p w14:paraId="40F00C05" w14:textId="77777777" w:rsidR="00E47AB8" w:rsidRPr="008B2F8A" w:rsidRDefault="00E47AB8" w:rsidP="00422306">
            <w:pPr>
              <w:pStyle w:val="TableText0"/>
              <w:keepNext w:val="0"/>
              <w:spacing w:before="40" w:after="80" w:line="276" w:lineRule="auto"/>
              <w:jc w:val="right"/>
            </w:pPr>
            <w:r w:rsidRPr="008B2F8A">
              <w:t xml:space="preserve"> $14,927,491 </w:t>
            </w:r>
          </w:p>
        </w:tc>
        <w:tc>
          <w:tcPr>
            <w:tcW w:w="690" w:type="pct"/>
            <w:noWrap/>
          </w:tcPr>
          <w:p w14:paraId="5409EF36" w14:textId="77777777" w:rsidR="00E47AB8" w:rsidRPr="008B2F8A" w:rsidRDefault="00E47AB8" w:rsidP="00422306">
            <w:pPr>
              <w:pStyle w:val="TableText0"/>
              <w:keepNext w:val="0"/>
              <w:spacing w:before="40" w:after="80" w:line="276" w:lineRule="auto"/>
              <w:jc w:val="right"/>
            </w:pPr>
            <w:r w:rsidRPr="008B2F8A">
              <w:t xml:space="preserve"> $18,320,718 </w:t>
            </w:r>
          </w:p>
        </w:tc>
        <w:tc>
          <w:tcPr>
            <w:tcW w:w="644" w:type="pct"/>
            <w:noWrap/>
          </w:tcPr>
          <w:p w14:paraId="1C2ACAD4" w14:textId="77777777" w:rsidR="00E47AB8" w:rsidRPr="008B2F8A" w:rsidRDefault="00E47AB8" w:rsidP="00422306">
            <w:pPr>
              <w:pStyle w:val="TableText0"/>
              <w:keepNext w:val="0"/>
              <w:spacing w:before="40" w:after="80" w:line="276" w:lineRule="auto"/>
              <w:jc w:val="right"/>
            </w:pPr>
            <w:r w:rsidRPr="008B2F8A">
              <w:t xml:space="preserve"> $20,274,762 </w:t>
            </w:r>
          </w:p>
        </w:tc>
      </w:tr>
    </w:tbl>
    <w:p w14:paraId="4D441B1F" w14:textId="6331FAD1" w:rsidR="00E47AB8" w:rsidRPr="008B2F8A"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48D14795" w14:textId="77777777" w:rsidR="00E47AB8" w:rsidRPr="008B2F8A" w:rsidRDefault="00E47AB8" w:rsidP="00E47AB8">
      <w:pPr>
        <w:pStyle w:val="Heading2"/>
      </w:pPr>
      <w:bookmarkStart w:id="1393" w:name="_Toc355274829"/>
      <w:bookmarkStart w:id="1394" w:name="_Toc383424535"/>
      <w:r w:rsidRPr="008B2F8A">
        <w:t>Estimated financial implications for government health budgets</w:t>
      </w:r>
      <w:bookmarkEnd w:id="1393"/>
      <w:bookmarkEnd w:id="1394"/>
    </w:p>
    <w:p w14:paraId="1FB406C2" w14:textId="77777777" w:rsidR="00E47AB8" w:rsidRPr="008B2F8A" w:rsidRDefault="00E47AB8" w:rsidP="00E47AB8">
      <w:pPr>
        <w:pStyle w:val="Heading3"/>
        <w:numPr>
          <w:ilvl w:val="2"/>
          <w:numId w:val="42"/>
        </w:numPr>
      </w:pPr>
      <w:bookmarkStart w:id="1395" w:name="_Ref377648465"/>
      <w:bookmarkStart w:id="1396" w:name="_Toc383424536"/>
      <w:r w:rsidRPr="008B2F8A">
        <w:t>Costs to the PBS associated with the requested listing</w:t>
      </w:r>
      <w:bookmarkEnd w:id="1395"/>
      <w:bookmarkEnd w:id="1396"/>
    </w:p>
    <w:p w14:paraId="5873FBF8" w14:textId="77777777" w:rsidR="00E47AB8" w:rsidRPr="008B2F8A" w:rsidRDefault="00E47AB8" w:rsidP="00422306">
      <w:pPr>
        <w:spacing w:after="240"/>
      </w:pPr>
      <w:r w:rsidRPr="008B2F8A">
        <w:t>The requested listing for breast MRI will result in costs to the Pharmaceutical Benefits Scheme</w:t>
      </w:r>
      <w:r w:rsidRPr="004E7861">
        <w:t xml:space="preserve"> (</w:t>
      </w:r>
      <w:r w:rsidRPr="008B2F8A">
        <w:t>PBS) for the treatment of additional patients diagnosed with breast cancer.</w:t>
      </w:r>
    </w:p>
    <w:p w14:paraId="74963B79" w14:textId="77777777" w:rsidR="00E47AB8" w:rsidRPr="008B2F8A" w:rsidRDefault="00E47AB8" w:rsidP="00422306">
      <w:pPr>
        <w:pStyle w:val="Heading4"/>
      </w:pPr>
      <w:r w:rsidRPr="008B2F8A">
        <w:t>PBS costs for breast cancer treatment</w:t>
      </w:r>
    </w:p>
    <w:p w14:paraId="42747DC1" w14:textId="33578662" w:rsidR="00E47AB8" w:rsidRPr="008B2F8A" w:rsidRDefault="00E47AB8" w:rsidP="00422306">
      <w:r w:rsidRPr="008B2F8A">
        <w:t xml:space="preserve">The PBS costs included in the analysis of breast cancer treatment costs are the same as those used in the economic model (Section </w:t>
      </w:r>
      <w:r w:rsidRPr="008B2F8A">
        <w:fldChar w:fldCharType="begin"/>
      </w:r>
      <w:r w:rsidRPr="008B2F8A">
        <w:instrText xml:space="preserve"> REF _Ref358034079 \r \h  \* MERGEFORMAT </w:instrText>
      </w:r>
      <w:r w:rsidRPr="008B2F8A">
        <w:fldChar w:fldCharType="separate"/>
      </w:r>
      <w:r w:rsidR="00B81273">
        <w:rPr>
          <w:noProof/>
        </w:rPr>
        <w:t>D.4.4</w:t>
      </w:r>
      <w:r w:rsidRPr="008B2F8A">
        <w:fldChar w:fldCharType="end"/>
      </w:r>
      <w:r w:rsidRPr="008B2F8A">
        <w:t>). The PBS cost</w:t>
      </w:r>
      <w:r>
        <w:t>s</w:t>
      </w:r>
      <w:r w:rsidRPr="008B2F8A">
        <w:t xml:space="preserve"> per patient </w:t>
      </w:r>
      <w:r>
        <w:t>are</w:t>
      </w:r>
      <w:r w:rsidRPr="008B2F8A">
        <w:t xml:space="preserve"> </w:t>
      </w:r>
      <w:r>
        <w:t>summarised</w:t>
      </w:r>
      <w:r w:rsidRPr="008B2F8A">
        <w:t xml:space="preserve"> in </w:t>
      </w:r>
      <w:r w:rsidRPr="008B2F8A">
        <w:fldChar w:fldCharType="begin"/>
      </w:r>
      <w:r w:rsidRPr="008B2F8A">
        <w:instrText xml:space="preserve"> REF _Ref376867622 \h  \* MERGEFORMAT </w:instrText>
      </w:r>
      <w:r w:rsidRPr="008B2F8A">
        <w:fldChar w:fldCharType="separate"/>
      </w:r>
      <w:r w:rsidR="00B81273" w:rsidRPr="008B2F8A">
        <w:t xml:space="preserve">Table </w:t>
      </w:r>
      <w:r w:rsidR="00B81273">
        <w:rPr>
          <w:noProof/>
        </w:rPr>
        <w:t>E</w:t>
      </w:r>
      <w:r w:rsidR="00B81273" w:rsidRPr="008B2F8A">
        <w:rPr>
          <w:noProof/>
        </w:rPr>
        <w:t>.</w:t>
      </w:r>
      <w:r w:rsidR="00B81273">
        <w:rPr>
          <w:noProof/>
        </w:rPr>
        <w:t>29</w:t>
      </w:r>
      <w:r w:rsidRPr="008B2F8A">
        <w:fldChar w:fldCharType="end"/>
      </w:r>
      <w:r w:rsidRPr="008B2F8A">
        <w:t>.</w:t>
      </w:r>
    </w:p>
    <w:p w14:paraId="0A092511" w14:textId="77777777" w:rsidR="00E47AB8" w:rsidRPr="008B2F8A" w:rsidRDefault="00E47AB8" w:rsidP="00422306">
      <w:pPr>
        <w:pStyle w:val="Caption"/>
      </w:pPr>
      <w:bookmarkStart w:id="1397" w:name="_Ref376867622"/>
      <w:bookmarkStart w:id="1398" w:name="_Toc383424660"/>
      <w:r w:rsidRPr="008B2F8A">
        <w:t xml:space="preserve">Table </w:t>
      </w:r>
      <w:fldSimple w:instr=" STYLEREF 1 \s ">
        <w:r w:rsidR="00B81273">
          <w:rPr>
            <w:noProof/>
          </w:rPr>
          <w:t>E</w:t>
        </w:r>
      </w:fldSimple>
      <w:r w:rsidRPr="008B2F8A">
        <w:t>.</w:t>
      </w:r>
      <w:fldSimple w:instr=" SEQ Table \* ARABIC \s 1 ">
        <w:r w:rsidR="00B81273">
          <w:rPr>
            <w:noProof/>
          </w:rPr>
          <w:t>29</w:t>
        </w:r>
      </w:fldSimple>
      <w:bookmarkEnd w:id="1397"/>
      <w:r w:rsidRPr="008B2F8A">
        <w:tab/>
        <w:t>Breakdown of the included PBS costs for breast cancer treatment.</w:t>
      </w:r>
      <w:bookmarkEnd w:id="1398"/>
    </w:p>
    <w:tbl>
      <w:tblPr>
        <w:tblStyle w:val="TableGrid"/>
        <w:tblW w:w="9070" w:type="dxa"/>
        <w:tblCellMar>
          <w:left w:w="28" w:type="dxa"/>
          <w:right w:w="28" w:type="dxa"/>
        </w:tblCellMar>
        <w:tblLook w:val="04A0" w:firstRow="1" w:lastRow="0" w:firstColumn="1" w:lastColumn="0" w:noHBand="0" w:noVBand="1"/>
        <w:tblCaption w:val="Breakdown of the included PBS costs for breast cancer treatment."/>
      </w:tblPr>
      <w:tblGrid>
        <w:gridCol w:w="3443"/>
        <w:gridCol w:w="1470"/>
        <w:gridCol w:w="1470"/>
        <w:gridCol w:w="1470"/>
        <w:gridCol w:w="1273"/>
      </w:tblGrid>
      <w:tr w:rsidR="00E47AB8" w:rsidRPr="008B2F8A" w14:paraId="7AEFC9AF" w14:textId="77777777" w:rsidTr="004E7861">
        <w:trPr>
          <w:tblHeader/>
        </w:trPr>
        <w:tc>
          <w:tcPr>
            <w:tcW w:w="3762" w:type="dxa"/>
            <w:noWrap/>
            <w:vAlign w:val="bottom"/>
            <w:hideMark/>
          </w:tcPr>
          <w:p w14:paraId="1BDFA963" w14:textId="77777777" w:rsidR="00E47AB8" w:rsidRPr="008B2F8A" w:rsidRDefault="00E47AB8" w:rsidP="00422306">
            <w:pPr>
              <w:pStyle w:val="Tableheaderrow"/>
              <w:spacing w:before="40" w:after="80" w:line="276" w:lineRule="auto"/>
            </w:pPr>
            <w:r w:rsidRPr="008B2F8A">
              <w:t>Description</w:t>
            </w:r>
          </w:p>
        </w:tc>
        <w:tc>
          <w:tcPr>
            <w:tcW w:w="1281" w:type="dxa"/>
            <w:noWrap/>
            <w:vAlign w:val="bottom"/>
            <w:hideMark/>
          </w:tcPr>
          <w:p w14:paraId="6E71F4E2" w14:textId="77777777" w:rsidR="00E47AB8" w:rsidRPr="008B2F8A" w:rsidRDefault="00E47AB8" w:rsidP="00422306">
            <w:pPr>
              <w:pStyle w:val="Tableheaderrow"/>
              <w:spacing w:before="40" w:after="80" w:line="276" w:lineRule="auto"/>
              <w:jc w:val="center"/>
            </w:pPr>
            <w:r w:rsidRPr="008B2F8A">
              <w:t>PBS item</w:t>
            </w:r>
          </w:p>
        </w:tc>
        <w:tc>
          <w:tcPr>
            <w:tcW w:w="1414" w:type="dxa"/>
            <w:noWrap/>
            <w:vAlign w:val="bottom"/>
            <w:hideMark/>
          </w:tcPr>
          <w:p w14:paraId="24CC6B9A" w14:textId="77777777" w:rsidR="00E47AB8" w:rsidRPr="008B2F8A" w:rsidRDefault="00E47AB8" w:rsidP="00422306">
            <w:pPr>
              <w:pStyle w:val="Tableheaderrow"/>
              <w:spacing w:before="40" w:after="80" w:line="276" w:lineRule="auto"/>
              <w:jc w:val="center"/>
            </w:pPr>
            <w:r w:rsidRPr="008B2F8A">
              <w:t>Unit cost</w:t>
            </w:r>
          </w:p>
        </w:tc>
        <w:tc>
          <w:tcPr>
            <w:tcW w:w="1281" w:type="dxa"/>
            <w:noWrap/>
            <w:vAlign w:val="bottom"/>
            <w:hideMark/>
          </w:tcPr>
          <w:p w14:paraId="5148C331" w14:textId="3FCB27C8" w:rsidR="00E47AB8" w:rsidRPr="008B2F8A" w:rsidRDefault="00E47AB8" w:rsidP="00422306">
            <w:pPr>
              <w:pStyle w:val="Tableheaderrow"/>
              <w:spacing w:before="40" w:after="80" w:line="276" w:lineRule="auto"/>
              <w:jc w:val="center"/>
            </w:pPr>
            <w:r>
              <w:t>No.</w:t>
            </w:r>
            <w:r w:rsidRPr="008B2F8A">
              <w:t xml:space="preserve"> of units</w:t>
            </w:r>
          </w:p>
        </w:tc>
        <w:tc>
          <w:tcPr>
            <w:tcW w:w="1388" w:type="dxa"/>
            <w:noWrap/>
            <w:vAlign w:val="bottom"/>
            <w:hideMark/>
          </w:tcPr>
          <w:p w14:paraId="6F751D3E" w14:textId="77777777" w:rsidR="00E47AB8" w:rsidRPr="008B2F8A" w:rsidRDefault="00E47AB8" w:rsidP="00422306">
            <w:pPr>
              <w:pStyle w:val="Tableheaderrow"/>
              <w:spacing w:before="40" w:after="80" w:line="276" w:lineRule="auto"/>
              <w:jc w:val="center"/>
            </w:pPr>
            <w:r w:rsidRPr="008B2F8A">
              <w:t>Cost per patient</w:t>
            </w:r>
          </w:p>
        </w:tc>
      </w:tr>
      <w:tr w:rsidR="00E47AB8" w:rsidRPr="008B2F8A" w14:paraId="23125AFD" w14:textId="77777777" w:rsidTr="004E7861">
        <w:tc>
          <w:tcPr>
            <w:tcW w:w="3762" w:type="dxa"/>
            <w:noWrap/>
            <w:vAlign w:val="bottom"/>
            <w:hideMark/>
          </w:tcPr>
          <w:p w14:paraId="5C1929A5" w14:textId="72049983" w:rsidR="00E47AB8" w:rsidRPr="008B2F8A" w:rsidRDefault="00E47AB8" w:rsidP="00422306">
            <w:pPr>
              <w:pStyle w:val="TableText0"/>
              <w:keepNext w:val="0"/>
              <w:spacing w:before="40" w:after="80" w:line="276" w:lineRule="auto"/>
            </w:pPr>
            <w:r w:rsidRPr="008B2F8A">
              <w:lastRenderedPageBreak/>
              <w:t>G</w:t>
            </w:r>
            <w:r w:rsidR="00F56FD1">
              <w:t>-</w:t>
            </w:r>
            <w:r w:rsidRPr="008B2F8A">
              <w:t>CSF</w:t>
            </w:r>
          </w:p>
        </w:tc>
        <w:tc>
          <w:tcPr>
            <w:tcW w:w="1281" w:type="dxa"/>
            <w:noWrap/>
            <w:vAlign w:val="center"/>
            <w:hideMark/>
          </w:tcPr>
          <w:p w14:paraId="4C5F8E82" w14:textId="77777777" w:rsidR="00E47AB8" w:rsidRPr="008B2F8A" w:rsidRDefault="00E47AB8" w:rsidP="00422306">
            <w:pPr>
              <w:pStyle w:val="TableText0"/>
              <w:keepNext w:val="0"/>
              <w:spacing w:before="40" w:after="80" w:line="276" w:lineRule="auto"/>
              <w:jc w:val="center"/>
              <w:rPr>
                <w:noProof/>
              </w:rPr>
            </w:pPr>
            <w:r w:rsidRPr="008B2F8A">
              <w:rPr>
                <w:noProof/>
              </w:rPr>
              <w:t>6363X</w:t>
            </w:r>
          </w:p>
        </w:tc>
        <w:tc>
          <w:tcPr>
            <w:tcW w:w="1414" w:type="dxa"/>
            <w:noWrap/>
            <w:vAlign w:val="center"/>
            <w:hideMark/>
          </w:tcPr>
          <w:p w14:paraId="08EAFCD4" w14:textId="77777777" w:rsidR="00E47AB8" w:rsidRPr="008B2F8A" w:rsidRDefault="00E47AB8" w:rsidP="00422306">
            <w:pPr>
              <w:pStyle w:val="TableText0"/>
              <w:keepNext w:val="0"/>
              <w:spacing w:before="40" w:after="80" w:line="276" w:lineRule="auto"/>
              <w:jc w:val="right"/>
            </w:pPr>
            <w:r w:rsidRPr="008B2F8A">
              <w:t>$1,971.63</w:t>
            </w:r>
          </w:p>
        </w:tc>
        <w:tc>
          <w:tcPr>
            <w:tcW w:w="1281" w:type="dxa"/>
            <w:noWrap/>
            <w:vAlign w:val="center"/>
            <w:hideMark/>
          </w:tcPr>
          <w:p w14:paraId="39F1FE33" w14:textId="77777777" w:rsidR="00E47AB8" w:rsidRPr="008B2F8A" w:rsidRDefault="00E47AB8" w:rsidP="00422306">
            <w:pPr>
              <w:pStyle w:val="TableText0"/>
              <w:keepNext w:val="0"/>
              <w:spacing w:before="40" w:after="80" w:line="276" w:lineRule="auto"/>
              <w:jc w:val="center"/>
            </w:pPr>
            <w:r w:rsidRPr="008B2F8A">
              <w:t>5</w:t>
            </w:r>
          </w:p>
        </w:tc>
        <w:tc>
          <w:tcPr>
            <w:tcW w:w="1388" w:type="dxa"/>
            <w:noWrap/>
            <w:vAlign w:val="center"/>
            <w:hideMark/>
          </w:tcPr>
          <w:p w14:paraId="13B1B250" w14:textId="77777777" w:rsidR="00E47AB8" w:rsidRPr="008B2F8A" w:rsidRDefault="00E47AB8" w:rsidP="00422306">
            <w:pPr>
              <w:pStyle w:val="TableText0"/>
              <w:keepNext w:val="0"/>
              <w:spacing w:before="40" w:after="80" w:line="276" w:lineRule="auto"/>
              <w:jc w:val="right"/>
            </w:pPr>
            <w:r w:rsidRPr="008B2F8A">
              <w:t>$9,858.15</w:t>
            </w:r>
          </w:p>
        </w:tc>
      </w:tr>
      <w:tr w:rsidR="00E47AB8" w:rsidRPr="008B2F8A" w14:paraId="665C80A6" w14:textId="77777777" w:rsidTr="004E7861">
        <w:tc>
          <w:tcPr>
            <w:tcW w:w="3762" w:type="dxa"/>
            <w:noWrap/>
            <w:vAlign w:val="bottom"/>
          </w:tcPr>
          <w:p w14:paraId="12397108" w14:textId="77777777" w:rsidR="00E47AB8" w:rsidRPr="008B2F8A" w:rsidRDefault="00E47AB8" w:rsidP="00422306">
            <w:pPr>
              <w:pStyle w:val="TableText0"/>
              <w:keepNext w:val="0"/>
              <w:spacing w:before="40" w:after="80" w:line="276" w:lineRule="auto"/>
            </w:pPr>
            <w:r w:rsidRPr="008B2F8A">
              <w:t>Metoclopramide (IV)</w:t>
            </w:r>
          </w:p>
        </w:tc>
        <w:tc>
          <w:tcPr>
            <w:tcW w:w="1281" w:type="dxa"/>
            <w:noWrap/>
            <w:vAlign w:val="center"/>
          </w:tcPr>
          <w:p w14:paraId="40B20092" w14:textId="77777777" w:rsidR="00E47AB8" w:rsidRPr="008B2F8A" w:rsidRDefault="00E47AB8" w:rsidP="00422306">
            <w:pPr>
              <w:pStyle w:val="TableText0"/>
              <w:keepNext w:val="0"/>
              <w:spacing w:before="40" w:after="80" w:line="276" w:lineRule="auto"/>
              <w:jc w:val="center"/>
              <w:rPr>
                <w:noProof/>
              </w:rPr>
            </w:pPr>
            <w:r w:rsidRPr="008B2F8A">
              <w:rPr>
                <w:noProof/>
              </w:rPr>
              <w:t>1206L</w:t>
            </w:r>
          </w:p>
        </w:tc>
        <w:tc>
          <w:tcPr>
            <w:tcW w:w="1414" w:type="dxa"/>
            <w:noWrap/>
            <w:vAlign w:val="center"/>
          </w:tcPr>
          <w:p w14:paraId="07CCB184" w14:textId="77777777" w:rsidR="00E47AB8" w:rsidRPr="008B2F8A" w:rsidRDefault="00E47AB8" w:rsidP="00422306">
            <w:pPr>
              <w:pStyle w:val="TableText0"/>
              <w:keepNext w:val="0"/>
              <w:spacing w:before="40" w:after="80" w:line="276" w:lineRule="auto"/>
              <w:jc w:val="right"/>
            </w:pPr>
            <w:r w:rsidRPr="008B2F8A">
              <w:t>$1.32</w:t>
            </w:r>
          </w:p>
        </w:tc>
        <w:tc>
          <w:tcPr>
            <w:tcW w:w="1281" w:type="dxa"/>
            <w:noWrap/>
            <w:vAlign w:val="center"/>
          </w:tcPr>
          <w:p w14:paraId="52C2CB93" w14:textId="77777777" w:rsidR="00E47AB8" w:rsidRPr="008B2F8A" w:rsidRDefault="00E47AB8" w:rsidP="00422306">
            <w:pPr>
              <w:pStyle w:val="TableText0"/>
              <w:keepNext w:val="0"/>
              <w:spacing w:before="40" w:after="80" w:line="276" w:lineRule="auto"/>
              <w:jc w:val="center"/>
            </w:pPr>
            <w:r w:rsidRPr="008B2F8A">
              <w:t>6</w:t>
            </w:r>
          </w:p>
        </w:tc>
        <w:tc>
          <w:tcPr>
            <w:tcW w:w="1388" w:type="dxa"/>
            <w:noWrap/>
            <w:vAlign w:val="center"/>
          </w:tcPr>
          <w:p w14:paraId="1608B034" w14:textId="77777777" w:rsidR="00E47AB8" w:rsidRPr="008B2F8A" w:rsidRDefault="00E47AB8" w:rsidP="00422306">
            <w:pPr>
              <w:pStyle w:val="TableText0"/>
              <w:keepNext w:val="0"/>
              <w:spacing w:before="40" w:after="80" w:line="276" w:lineRule="auto"/>
              <w:jc w:val="right"/>
            </w:pPr>
            <w:r w:rsidRPr="008B2F8A">
              <w:t>$7.92</w:t>
            </w:r>
          </w:p>
        </w:tc>
      </w:tr>
      <w:tr w:rsidR="00E47AB8" w:rsidRPr="008B2F8A" w14:paraId="53235543" w14:textId="77777777" w:rsidTr="004E7861">
        <w:tc>
          <w:tcPr>
            <w:tcW w:w="3762" w:type="dxa"/>
            <w:noWrap/>
            <w:vAlign w:val="bottom"/>
          </w:tcPr>
          <w:p w14:paraId="05C03E45" w14:textId="77777777" w:rsidR="00E47AB8" w:rsidRPr="008B2F8A" w:rsidRDefault="00E47AB8" w:rsidP="00422306">
            <w:pPr>
              <w:pStyle w:val="TableText0"/>
              <w:keepNext w:val="0"/>
              <w:spacing w:before="40" w:after="80" w:line="276" w:lineRule="auto"/>
            </w:pPr>
            <w:r w:rsidRPr="008B2F8A">
              <w:t>Metoclopramide (oral)</w:t>
            </w:r>
          </w:p>
        </w:tc>
        <w:tc>
          <w:tcPr>
            <w:tcW w:w="1281" w:type="dxa"/>
            <w:noWrap/>
            <w:vAlign w:val="center"/>
          </w:tcPr>
          <w:p w14:paraId="3B218800" w14:textId="77777777" w:rsidR="00E47AB8" w:rsidRPr="008B2F8A" w:rsidRDefault="00E47AB8" w:rsidP="00422306">
            <w:pPr>
              <w:pStyle w:val="TableText0"/>
              <w:keepNext w:val="0"/>
              <w:spacing w:before="40" w:after="80" w:line="276" w:lineRule="auto"/>
              <w:jc w:val="center"/>
              <w:rPr>
                <w:noProof/>
              </w:rPr>
            </w:pPr>
            <w:r w:rsidRPr="008B2F8A">
              <w:rPr>
                <w:noProof/>
              </w:rPr>
              <w:t>1207M</w:t>
            </w:r>
          </w:p>
        </w:tc>
        <w:tc>
          <w:tcPr>
            <w:tcW w:w="1414" w:type="dxa"/>
            <w:noWrap/>
            <w:vAlign w:val="center"/>
          </w:tcPr>
          <w:p w14:paraId="106B44EA" w14:textId="77777777" w:rsidR="00E47AB8" w:rsidRPr="008B2F8A" w:rsidRDefault="00E47AB8" w:rsidP="00422306">
            <w:pPr>
              <w:pStyle w:val="TableText0"/>
              <w:keepNext w:val="0"/>
              <w:spacing w:before="40" w:after="80" w:line="276" w:lineRule="auto"/>
              <w:jc w:val="right"/>
            </w:pPr>
            <w:r w:rsidRPr="008B2F8A">
              <w:t>$0.34</w:t>
            </w:r>
          </w:p>
        </w:tc>
        <w:tc>
          <w:tcPr>
            <w:tcW w:w="1281" w:type="dxa"/>
            <w:noWrap/>
            <w:vAlign w:val="center"/>
          </w:tcPr>
          <w:p w14:paraId="7E3F8179" w14:textId="77777777" w:rsidR="00E47AB8" w:rsidRPr="008B2F8A" w:rsidRDefault="00E47AB8" w:rsidP="00422306">
            <w:pPr>
              <w:pStyle w:val="TableText0"/>
              <w:keepNext w:val="0"/>
              <w:spacing w:before="40" w:after="80" w:line="276" w:lineRule="auto"/>
              <w:jc w:val="center"/>
            </w:pPr>
            <w:r w:rsidRPr="008B2F8A">
              <w:t>168</w:t>
            </w:r>
          </w:p>
        </w:tc>
        <w:tc>
          <w:tcPr>
            <w:tcW w:w="1388" w:type="dxa"/>
            <w:noWrap/>
            <w:vAlign w:val="center"/>
          </w:tcPr>
          <w:p w14:paraId="6556EF33" w14:textId="77777777" w:rsidR="00E47AB8" w:rsidRPr="008B2F8A" w:rsidRDefault="00E47AB8" w:rsidP="00422306">
            <w:pPr>
              <w:pStyle w:val="TableText0"/>
              <w:keepNext w:val="0"/>
              <w:spacing w:before="40" w:after="80" w:line="276" w:lineRule="auto"/>
              <w:jc w:val="right"/>
            </w:pPr>
            <w:r w:rsidRPr="008B2F8A">
              <w:t>$56.52</w:t>
            </w:r>
          </w:p>
        </w:tc>
      </w:tr>
      <w:tr w:rsidR="00E47AB8" w:rsidRPr="008B2F8A" w14:paraId="2A6F6275" w14:textId="77777777" w:rsidTr="004E7861">
        <w:tc>
          <w:tcPr>
            <w:tcW w:w="3762" w:type="dxa"/>
            <w:noWrap/>
            <w:vAlign w:val="bottom"/>
          </w:tcPr>
          <w:p w14:paraId="0D8ACE19" w14:textId="77777777" w:rsidR="00E47AB8" w:rsidRPr="008B2F8A" w:rsidRDefault="00E47AB8" w:rsidP="00422306">
            <w:pPr>
              <w:pStyle w:val="TableText0"/>
              <w:keepNext w:val="0"/>
              <w:spacing w:before="40" w:after="80" w:line="276" w:lineRule="auto"/>
            </w:pPr>
            <w:r w:rsidRPr="008B2F8A">
              <w:t>Dexamethasone (IV)</w:t>
            </w:r>
          </w:p>
        </w:tc>
        <w:tc>
          <w:tcPr>
            <w:tcW w:w="1281" w:type="dxa"/>
            <w:noWrap/>
            <w:vAlign w:val="center"/>
          </w:tcPr>
          <w:p w14:paraId="211157FF" w14:textId="77777777" w:rsidR="00E47AB8" w:rsidRPr="008B2F8A" w:rsidRDefault="00E47AB8" w:rsidP="00422306">
            <w:pPr>
              <w:pStyle w:val="TableText0"/>
              <w:keepNext w:val="0"/>
              <w:spacing w:before="40" w:after="80" w:line="276" w:lineRule="auto"/>
              <w:jc w:val="center"/>
              <w:rPr>
                <w:noProof/>
              </w:rPr>
            </w:pPr>
            <w:r w:rsidRPr="008B2F8A">
              <w:rPr>
                <w:noProof/>
              </w:rPr>
              <w:t>2509C</w:t>
            </w:r>
          </w:p>
        </w:tc>
        <w:tc>
          <w:tcPr>
            <w:tcW w:w="1414" w:type="dxa"/>
            <w:noWrap/>
            <w:vAlign w:val="center"/>
          </w:tcPr>
          <w:p w14:paraId="31698CFB" w14:textId="77777777" w:rsidR="00E47AB8" w:rsidRPr="008B2F8A" w:rsidRDefault="00E47AB8" w:rsidP="00422306">
            <w:pPr>
              <w:pStyle w:val="TableText0"/>
              <w:keepNext w:val="0"/>
              <w:spacing w:before="40" w:after="80" w:line="276" w:lineRule="auto"/>
              <w:jc w:val="right"/>
            </w:pPr>
            <w:r w:rsidRPr="008B2F8A">
              <w:t>$3.00</w:t>
            </w:r>
          </w:p>
        </w:tc>
        <w:tc>
          <w:tcPr>
            <w:tcW w:w="1281" w:type="dxa"/>
            <w:noWrap/>
            <w:vAlign w:val="center"/>
          </w:tcPr>
          <w:p w14:paraId="39524DA1" w14:textId="77777777" w:rsidR="00E47AB8" w:rsidRPr="008B2F8A" w:rsidRDefault="00E47AB8" w:rsidP="00422306">
            <w:pPr>
              <w:pStyle w:val="TableText0"/>
              <w:keepNext w:val="0"/>
              <w:spacing w:before="40" w:after="80" w:line="276" w:lineRule="auto"/>
              <w:jc w:val="center"/>
            </w:pPr>
            <w:r w:rsidRPr="008B2F8A">
              <w:t>6</w:t>
            </w:r>
          </w:p>
        </w:tc>
        <w:tc>
          <w:tcPr>
            <w:tcW w:w="1388" w:type="dxa"/>
            <w:noWrap/>
            <w:vAlign w:val="center"/>
          </w:tcPr>
          <w:p w14:paraId="2578E82A" w14:textId="77777777" w:rsidR="00E47AB8" w:rsidRPr="008B2F8A" w:rsidRDefault="00E47AB8" w:rsidP="00422306">
            <w:pPr>
              <w:pStyle w:val="TableText0"/>
              <w:keepNext w:val="0"/>
              <w:spacing w:before="40" w:after="80" w:line="276" w:lineRule="auto"/>
              <w:jc w:val="right"/>
            </w:pPr>
            <w:r w:rsidRPr="008B2F8A">
              <w:t>$18.00</w:t>
            </w:r>
          </w:p>
        </w:tc>
      </w:tr>
      <w:tr w:rsidR="00E47AB8" w:rsidRPr="008B2F8A" w14:paraId="2DD649B3" w14:textId="77777777" w:rsidTr="004E7861">
        <w:tc>
          <w:tcPr>
            <w:tcW w:w="3762" w:type="dxa"/>
            <w:noWrap/>
            <w:vAlign w:val="bottom"/>
          </w:tcPr>
          <w:p w14:paraId="0E20FC1F" w14:textId="77777777" w:rsidR="00E47AB8" w:rsidRPr="008B2F8A" w:rsidRDefault="00E47AB8" w:rsidP="00422306">
            <w:pPr>
              <w:pStyle w:val="TableText0"/>
              <w:keepNext w:val="0"/>
              <w:spacing w:before="40" w:after="80" w:line="276" w:lineRule="auto"/>
            </w:pPr>
            <w:r w:rsidRPr="008B2F8A">
              <w:t>Dexamethasone (oral)</w:t>
            </w:r>
          </w:p>
        </w:tc>
        <w:tc>
          <w:tcPr>
            <w:tcW w:w="1281" w:type="dxa"/>
            <w:noWrap/>
            <w:vAlign w:val="center"/>
          </w:tcPr>
          <w:p w14:paraId="2274EE08" w14:textId="77777777" w:rsidR="00E47AB8" w:rsidRPr="008B2F8A" w:rsidRDefault="00E47AB8" w:rsidP="00422306">
            <w:pPr>
              <w:pStyle w:val="TableText0"/>
              <w:keepNext w:val="0"/>
              <w:spacing w:before="40" w:after="80" w:line="276" w:lineRule="auto"/>
              <w:jc w:val="center"/>
              <w:rPr>
                <w:noProof/>
              </w:rPr>
            </w:pPr>
            <w:r w:rsidRPr="008B2F8A">
              <w:rPr>
                <w:noProof/>
              </w:rPr>
              <w:t>1292B</w:t>
            </w:r>
          </w:p>
        </w:tc>
        <w:tc>
          <w:tcPr>
            <w:tcW w:w="1414" w:type="dxa"/>
            <w:noWrap/>
            <w:vAlign w:val="center"/>
          </w:tcPr>
          <w:p w14:paraId="7ADC684B" w14:textId="77777777" w:rsidR="00E47AB8" w:rsidRPr="008B2F8A" w:rsidRDefault="00E47AB8" w:rsidP="00422306">
            <w:pPr>
              <w:pStyle w:val="TableText0"/>
              <w:keepNext w:val="0"/>
              <w:spacing w:before="40" w:after="80" w:line="276" w:lineRule="auto"/>
              <w:jc w:val="right"/>
            </w:pPr>
            <w:r w:rsidRPr="008B2F8A">
              <w:t>$0.30</w:t>
            </w:r>
          </w:p>
        </w:tc>
        <w:tc>
          <w:tcPr>
            <w:tcW w:w="1281" w:type="dxa"/>
            <w:noWrap/>
            <w:vAlign w:val="center"/>
          </w:tcPr>
          <w:p w14:paraId="7499F8B5" w14:textId="77777777" w:rsidR="00E47AB8" w:rsidRPr="008B2F8A" w:rsidRDefault="00E47AB8" w:rsidP="00422306">
            <w:pPr>
              <w:pStyle w:val="TableText0"/>
              <w:keepNext w:val="0"/>
              <w:spacing w:before="40" w:after="80" w:line="276" w:lineRule="auto"/>
              <w:jc w:val="center"/>
            </w:pPr>
            <w:r w:rsidRPr="008B2F8A">
              <w:t>18</w:t>
            </w:r>
          </w:p>
        </w:tc>
        <w:tc>
          <w:tcPr>
            <w:tcW w:w="1388" w:type="dxa"/>
            <w:noWrap/>
            <w:vAlign w:val="center"/>
          </w:tcPr>
          <w:p w14:paraId="51E73482" w14:textId="77777777" w:rsidR="00E47AB8" w:rsidRPr="008B2F8A" w:rsidRDefault="00E47AB8" w:rsidP="00422306">
            <w:pPr>
              <w:pStyle w:val="TableText0"/>
              <w:keepNext w:val="0"/>
              <w:spacing w:before="40" w:after="80" w:line="276" w:lineRule="auto"/>
              <w:jc w:val="right"/>
            </w:pPr>
            <w:r w:rsidRPr="008B2F8A">
              <w:t>$5.43</w:t>
            </w:r>
          </w:p>
        </w:tc>
      </w:tr>
      <w:tr w:rsidR="00E47AB8" w:rsidRPr="008B2F8A" w14:paraId="21F00D33" w14:textId="77777777" w:rsidTr="004E7861">
        <w:tc>
          <w:tcPr>
            <w:tcW w:w="3762" w:type="dxa"/>
            <w:noWrap/>
            <w:vAlign w:val="bottom"/>
          </w:tcPr>
          <w:p w14:paraId="10D63624" w14:textId="77777777" w:rsidR="00E47AB8" w:rsidRPr="008B2F8A" w:rsidRDefault="00E47AB8" w:rsidP="00422306">
            <w:pPr>
              <w:pStyle w:val="TableText0"/>
              <w:keepNext w:val="0"/>
              <w:spacing w:before="40" w:after="80" w:line="276" w:lineRule="auto"/>
            </w:pPr>
            <w:r w:rsidRPr="008B2F8A">
              <w:t>Ondansetron (IV)</w:t>
            </w:r>
          </w:p>
        </w:tc>
        <w:tc>
          <w:tcPr>
            <w:tcW w:w="1281" w:type="dxa"/>
            <w:noWrap/>
            <w:vAlign w:val="center"/>
          </w:tcPr>
          <w:p w14:paraId="04E7BBF4" w14:textId="77777777" w:rsidR="00E47AB8" w:rsidRPr="008B2F8A" w:rsidRDefault="00E47AB8" w:rsidP="00422306">
            <w:pPr>
              <w:pStyle w:val="TableText0"/>
              <w:keepNext w:val="0"/>
              <w:spacing w:before="40" w:after="80" w:line="276" w:lineRule="auto"/>
              <w:jc w:val="center"/>
              <w:rPr>
                <w:noProof/>
              </w:rPr>
            </w:pPr>
            <w:r w:rsidRPr="008B2F8A">
              <w:rPr>
                <w:noProof/>
              </w:rPr>
              <w:t>1596B</w:t>
            </w:r>
          </w:p>
        </w:tc>
        <w:tc>
          <w:tcPr>
            <w:tcW w:w="1414" w:type="dxa"/>
            <w:noWrap/>
            <w:vAlign w:val="center"/>
          </w:tcPr>
          <w:p w14:paraId="49222DF2" w14:textId="77777777" w:rsidR="00E47AB8" w:rsidRPr="008B2F8A" w:rsidRDefault="00E47AB8" w:rsidP="00422306">
            <w:pPr>
              <w:pStyle w:val="TableText0"/>
              <w:keepNext w:val="0"/>
              <w:spacing w:before="40" w:after="80" w:line="276" w:lineRule="auto"/>
              <w:jc w:val="right"/>
            </w:pPr>
            <w:r w:rsidRPr="008B2F8A">
              <w:t>$9.02</w:t>
            </w:r>
          </w:p>
        </w:tc>
        <w:tc>
          <w:tcPr>
            <w:tcW w:w="1281" w:type="dxa"/>
            <w:noWrap/>
            <w:vAlign w:val="center"/>
          </w:tcPr>
          <w:p w14:paraId="3F49807E" w14:textId="77777777" w:rsidR="00E47AB8" w:rsidRPr="008B2F8A" w:rsidRDefault="00E47AB8" w:rsidP="00422306">
            <w:pPr>
              <w:pStyle w:val="TableText0"/>
              <w:keepNext w:val="0"/>
              <w:spacing w:before="40" w:after="80" w:line="276" w:lineRule="auto"/>
              <w:jc w:val="center"/>
            </w:pPr>
            <w:r w:rsidRPr="008B2F8A">
              <w:t>6</w:t>
            </w:r>
          </w:p>
        </w:tc>
        <w:tc>
          <w:tcPr>
            <w:tcW w:w="1388" w:type="dxa"/>
            <w:noWrap/>
            <w:vAlign w:val="center"/>
          </w:tcPr>
          <w:p w14:paraId="01D34AFA" w14:textId="77777777" w:rsidR="00E47AB8" w:rsidRPr="008B2F8A" w:rsidRDefault="00E47AB8" w:rsidP="00422306">
            <w:pPr>
              <w:pStyle w:val="TableText0"/>
              <w:keepNext w:val="0"/>
              <w:spacing w:before="40" w:after="80" w:line="276" w:lineRule="auto"/>
              <w:jc w:val="right"/>
            </w:pPr>
            <w:r w:rsidRPr="008B2F8A">
              <w:t>$54.12</w:t>
            </w:r>
          </w:p>
        </w:tc>
      </w:tr>
      <w:tr w:rsidR="00E47AB8" w:rsidRPr="008B2F8A" w14:paraId="319943CE" w14:textId="77777777" w:rsidTr="004E7861">
        <w:tc>
          <w:tcPr>
            <w:tcW w:w="3762" w:type="dxa"/>
            <w:noWrap/>
            <w:vAlign w:val="bottom"/>
            <w:hideMark/>
          </w:tcPr>
          <w:p w14:paraId="11370FBC" w14:textId="77777777" w:rsidR="00E47AB8" w:rsidRPr="008B2F8A" w:rsidRDefault="00E47AB8" w:rsidP="00422306">
            <w:pPr>
              <w:pStyle w:val="TableText0"/>
              <w:keepNext w:val="0"/>
              <w:spacing w:before="40" w:after="80" w:line="276" w:lineRule="auto"/>
            </w:pPr>
            <w:r w:rsidRPr="008B2F8A">
              <w:t>Ondansetron (oral)</w:t>
            </w:r>
          </w:p>
        </w:tc>
        <w:tc>
          <w:tcPr>
            <w:tcW w:w="1281" w:type="dxa"/>
            <w:noWrap/>
            <w:vAlign w:val="center"/>
            <w:hideMark/>
          </w:tcPr>
          <w:p w14:paraId="08635E3E" w14:textId="77777777" w:rsidR="00E47AB8" w:rsidRPr="008B2F8A" w:rsidRDefault="00E47AB8" w:rsidP="00422306">
            <w:pPr>
              <w:pStyle w:val="TableText0"/>
              <w:keepNext w:val="0"/>
              <w:spacing w:before="40" w:after="80" w:line="276" w:lineRule="auto"/>
              <w:jc w:val="center"/>
              <w:rPr>
                <w:noProof/>
              </w:rPr>
            </w:pPr>
            <w:r w:rsidRPr="008B2F8A">
              <w:rPr>
                <w:noProof/>
              </w:rPr>
              <w:t>1594X</w:t>
            </w:r>
          </w:p>
        </w:tc>
        <w:tc>
          <w:tcPr>
            <w:tcW w:w="1414" w:type="dxa"/>
            <w:noWrap/>
            <w:vAlign w:val="center"/>
            <w:hideMark/>
          </w:tcPr>
          <w:p w14:paraId="672313D0" w14:textId="77777777" w:rsidR="00E47AB8" w:rsidRPr="008B2F8A" w:rsidRDefault="00E47AB8" w:rsidP="00422306">
            <w:pPr>
              <w:pStyle w:val="TableText0"/>
              <w:keepNext w:val="0"/>
              <w:spacing w:before="40" w:after="80" w:line="276" w:lineRule="auto"/>
              <w:jc w:val="right"/>
            </w:pPr>
            <w:r w:rsidRPr="008B2F8A">
              <w:t>$5.46</w:t>
            </w:r>
          </w:p>
        </w:tc>
        <w:tc>
          <w:tcPr>
            <w:tcW w:w="1281" w:type="dxa"/>
            <w:noWrap/>
            <w:vAlign w:val="center"/>
            <w:hideMark/>
          </w:tcPr>
          <w:p w14:paraId="47BC019B" w14:textId="77777777" w:rsidR="00E47AB8" w:rsidRPr="008B2F8A" w:rsidRDefault="00E47AB8" w:rsidP="00422306">
            <w:pPr>
              <w:pStyle w:val="TableText0"/>
              <w:keepNext w:val="0"/>
              <w:spacing w:before="40" w:after="80" w:line="276" w:lineRule="auto"/>
              <w:jc w:val="center"/>
            </w:pPr>
            <w:r w:rsidRPr="008B2F8A">
              <w:t>18</w:t>
            </w:r>
          </w:p>
        </w:tc>
        <w:tc>
          <w:tcPr>
            <w:tcW w:w="1388" w:type="dxa"/>
            <w:noWrap/>
            <w:vAlign w:val="center"/>
            <w:hideMark/>
          </w:tcPr>
          <w:p w14:paraId="1296787E" w14:textId="77777777" w:rsidR="00E47AB8" w:rsidRPr="008B2F8A" w:rsidRDefault="00E47AB8" w:rsidP="00422306">
            <w:pPr>
              <w:pStyle w:val="TableText0"/>
              <w:keepNext w:val="0"/>
              <w:spacing w:before="40" w:after="80" w:line="276" w:lineRule="auto"/>
              <w:jc w:val="right"/>
            </w:pPr>
            <w:r w:rsidRPr="008B2F8A">
              <w:t>$98.28</w:t>
            </w:r>
          </w:p>
        </w:tc>
      </w:tr>
      <w:tr w:rsidR="00E47AB8" w:rsidRPr="008B2F8A" w14:paraId="323261FD" w14:textId="77777777" w:rsidTr="004E7861">
        <w:tc>
          <w:tcPr>
            <w:tcW w:w="3762" w:type="dxa"/>
            <w:noWrap/>
            <w:vAlign w:val="bottom"/>
            <w:hideMark/>
          </w:tcPr>
          <w:p w14:paraId="5FCAFAFE" w14:textId="77777777" w:rsidR="00E47AB8" w:rsidRPr="008B2F8A" w:rsidRDefault="00E47AB8" w:rsidP="00422306">
            <w:pPr>
              <w:pStyle w:val="TableText0"/>
              <w:keepNext w:val="0"/>
              <w:spacing w:before="40" w:after="80" w:line="276" w:lineRule="auto"/>
            </w:pPr>
            <w:r w:rsidRPr="008B2F8A">
              <w:t>Aprepitant (oral)</w:t>
            </w:r>
          </w:p>
        </w:tc>
        <w:tc>
          <w:tcPr>
            <w:tcW w:w="1281" w:type="dxa"/>
            <w:noWrap/>
            <w:vAlign w:val="center"/>
            <w:hideMark/>
          </w:tcPr>
          <w:p w14:paraId="090BD538" w14:textId="77777777" w:rsidR="00E47AB8" w:rsidRPr="008B2F8A" w:rsidRDefault="00E47AB8" w:rsidP="00422306">
            <w:pPr>
              <w:pStyle w:val="TableText0"/>
              <w:keepNext w:val="0"/>
              <w:spacing w:before="40" w:after="80" w:line="276" w:lineRule="auto"/>
              <w:jc w:val="center"/>
              <w:rPr>
                <w:noProof/>
              </w:rPr>
            </w:pPr>
            <w:r w:rsidRPr="008B2F8A">
              <w:rPr>
                <w:noProof/>
              </w:rPr>
              <w:t>8808N</w:t>
            </w:r>
          </w:p>
        </w:tc>
        <w:tc>
          <w:tcPr>
            <w:tcW w:w="1414" w:type="dxa"/>
            <w:noWrap/>
            <w:vAlign w:val="center"/>
            <w:hideMark/>
          </w:tcPr>
          <w:p w14:paraId="25FF6AE2" w14:textId="77777777" w:rsidR="00E47AB8" w:rsidRPr="008B2F8A" w:rsidRDefault="00E47AB8" w:rsidP="00422306">
            <w:pPr>
              <w:pStyle w:val="TableText0"/>
              <w:keepNext w:val="0"/>
              <w:spacing w:before="40" w:after="80" w:line="276" w:lineRule="auto"/>
              <w:jc w:val="right"/>
            </w:pPr>
            <w:r w:rsidRPr="008B2F8A">
              <w:t>$139.10</w:t>
            </w:r>
          </w:p>
        </w:tc>
        <w:tc>
          <w:tcPr>
            <w:tcW w:w="1281" w:type="dxa"/>
            <w:noWrap/>
            <w:vAlign w:val="center"/>
            <w:hideMark/>
          </w:tcPr>
          <w:p w14:paraId="52B43A04" w14:textId="77777777" w:rsidR="00E47AB8" w:rsidRPr="008B2F8A" w:rsidRDefault="00E47AB8" w:rsidP="00422306">
            <w:pPr>
              <w:pStyle w:val="TableText0"/>
              <w:keepNext w:val="0"/>
              <w:spacing w:before="40" w:after="80" w:line="276" w:lineRule="auto"/>
              <w:jc w:val="center"/>
            </w:pPr>
            <w:r w:rsidRPr="008B2F8A">
              <w:t>18</w:t>
            </w:r>
          </w:p>
        </w:tc>
        <w:tc>
          <w:tcPr>
            <w:tcW w:w="1388" w:type="dxa"/>
            <w:noWrap/>
            <w:vAlign w:val="center"/>
            <w:hideMark/>
          </w:tcPr>
          <w:p w14:paraId="67228417" w14:textId="77777777" w:rsidR="00E47AB8" w:rsidRPr="008B2F8A" w:rsidRDefault="00E47AB8" w:rsidP="00422306">
            <w:pPr>
              <w:pStyle w:val="TableText0"/>
              <w:keepNext w:val="0"/>
              <w:spacing w:before="40" w:after="80" w:line="276" w:lineRule="auto"/>
              <w:jc w:val="right"/>
            </w:pPr>
            <w:r w:rsidRPr="008B2F8A">
              <w:t>$2,503.80</w:t>
            </w:r>
          </w:p>
        </w:tc>
      </w:tr>
      <w:tr w:rsidR="00E47AB8" w:rsidRPr="008B2F8A" w14:paraId="5CB2DCAE" w14:textId="77777777" w:rsidTr="004E7861">
        <w:tc>
          <w:tcPr>
            <w:tcW w:w="3762" w:type="dxa"/>
            <w:noWrap/>
            <w:vAlign w:val="bottom"/>
            <w:hideMark/>
          </w:tcPr>
          <w:p w14:paraId="51E5F582" w14:textId="77777777" w:rsidR="00E47AB8" w:rsidRPr="008B2F8A" w:rsidRDefault="00E47AB8" w:rsidP="00422306">
            <w:pPr>
              <w:pStyle w:val="TableText0"/>
              <w:keepNext w:val="0"/>
              <w:spacing w:before="40" w:after="80" w:line="276" w:lineRule="auto"/>
            </w:pPr>
            <w:r w:rsidRPr="008B2F8A">
              <w:t>Tamoxifen (1 year; 20 mg daily)</w:t>
            </w:r>
          </w:p>
        </w:tc>
        <w:tc>
          <w:tcPr>
            <w:tcW w:w="1281" w:type="dxa"/>
            <w:noWrap/>
            <w:vAlign w:val="center"/>
            <w:hideMark/>
          </w:tcPr>
          <w:p w14:paraId="7E086AD1" w14:textId="77777777" w:rsidR="00E47AB8" w:rsidRPr="008B2F8A" w:rsidRDefault="00E47AB8" w:rsidP="00422306">
            <w:pPr>
              <w:pStyle w:val="TableText0"/>
              <w:keepNext w:val="0"/>
              <w:spacing w:before="40" w:after="80" w:line="276" w:lineRule="auto"/>
              <w:jc w:val="center"/>
              <w:rPr>
                <w:noProof/>
              </w:rPr>
            </w:pPr>
            <w:r w:rsidRPr="008B2F8A">
              <w:rPr>
                <w:noProof/>
              </w:rPr>
              <w:t>2110C</w:t>
            </w:r>
          </w:p>
        </w:tc>
        <w:tc>
          <w:tcPr>
            <w:tcW w:w="1414" w:type="dxa"/>
            <w:noWrap/>
            <w:vAlign w:val="center"/>
            <w:hideMark/>
          </w:tcPr>
          <w:p w14:paraId="23F6D807" w14:textId="77777777" w:rsidR="00E47AB8" w:rsidRPr="008B2F8A" w:rsidRDefault="00E47AB8" w:rsidP="00422306">
            <w:pPr>
              <w:pStyle w:val="TableText0"/>
              <w:keepNext w:val="0"/>
              <w:spacing w:before="40" w:after="80" w:line="276" w:lineRule="auto"/>
              <w:jc w:val="right"/>
            </w:pPr>
            <w:r w:rsidRPr="008B2F8A">
              <w:t xml:space="preserve">$0.71 </w:t>
            </w:r>
          </w:p>
        </w:tc>
        <w:tc>
          <w:tcPr>
            <w:tcW w:w="1281" w:type="dxa"/>
            <w:noWrap/>
            <w:vAlign w:val="center"/>
            <w:hideMark/>
          </w:tcPr>
          <w:p w14:paraId="4FCA4102" w14:textId="77777777" w:rsidR="00E47AB8" w:rsidRPr="008B2F8A" w:rsidRDefault="00E47AB8" w:rsidP="00422306">
            <w:pPr>
              <w:pStyle w:val="TableText0"/>
              <w:keepNext w:val="0"/>
              <w:spacing w:before="40" w:after="80" w:line="276" w:lineRule="auto"/>
              <w:jc w:val="center"/>
            </w:pPr>
            <w:r w:rsidRPr="008B2F8A">
              <w:t>365</w:t>
            </w:r>
          </w:p>
        </w:tc>
        <w:tc>
          <w:tcPr>
            <w:tcW w:w="1388" w:type="dxa"/>
            <w:noWrap/>
            <w:vAlign w:val="center"/>
            <w:hideMark/>
          </w:tcPr>
          <w:p w14:paraId="1D2CD9F9" w14:textId="77777777" w:rsidR="00E47AB8" w:rsidRPr="008B2F8A" w:rsidRDefault="00E47AB8" w:rsidP="00422306">
            <w:pPr>
              <w:pStyle w:val="TableText0"/>
              <w:keepNext w:val="0"/>
              <w:spacing w:before="40" w:after="80" w:line="276" w:lineRule="auto"/>
              <w:jc w:val="right"/>
            </w:pPr>
            <w:r w:rsidRPr="008B2F8A">
              <w:t>$257.93</w:t>
            </w:r>
          </w:p>
        </w:tc>
      </w:tr>
      <w:tr w:rsidR="00E47AB8" w:rsidRPr="008B2F8A" w14:paraId="3BC4EF4F" w14:textId="77777777" w:rsidTr="004E7861">
        <w:tc>
          <w:tcPr>
            <w:tcW w:w="3762" w:type="dxa"/>
            <w:noWrap/>
            <w:vAlign w:val="bottom"/>
            <w:hideMark/>
          </w:tcPr>
          <w:p w14:paraId="54C8D407" w14:textId="77777777" w:rsidR="00E47AB8" w:rsidRPr="008B2F8A" w:rsidRDefault="00E47AB8" w:rsidP="00422306">
            <w:pPr>
              <w:pStyle w:val="TableText0"/>
              <w:keepNext w:val="0"/>
              <w:spacing w:before="40" w:after="80" w:line="276" w:lineRule="auto"/>
            </w:pPr>
            <w:r w:rsidRPr="008B2F8A">
              <w:t>Total cost per patient</w:t>
            </w:r>
          </w:p>
        </w:tc>
        <w:tc>
          <w:tcPr>
            <w:tcW w:w="1281" w:type="dxa"/>
            <w:noWrap/>
            <w:vAlign w:val="center"/>
            <w:hideMark/>
          </w:tcPr>
          <w:p w14:paraId="377B020F" w14:textId="77777777" w:rsidR="00E47AB8" w:rsidRPr="004E7861" w:rsidRDefault="00E47AB8" w:rsidP="004E7861">
            <w:pPr>
              <w:pStyle w:val="TableText0"/>
              <w:keepNext w:val="0"/>
              <w:spacing w:before="40" w:after="80" w:line="276" w:lineRule="auto"/>
              <w:ind w:left="1492"/>
              <w:rPr>
                <w:noProof/>
                <w:color w:val="FFFFFF" w:themeColor="background1"/>
              </w:rPr>
            </w:pPr>
            <w:r w:rsidRPr="004E7861">
              <w:rPr>
                <w:noProof/>
                <w:color w:val="FFFFFF" w:themeColor="background1"/>
              </w:rPr>
              <w:t>-</w:t>
            </w:r>
          </w:p>
        </w:tc>
        <w:tc>
          <w:tcPr>
            <w:tcW w:w="1414" w:type="dxa"/>
            <w:noWrap/>
            <w:vAlign w:val="center"/>
            <w:hideMark/>
          </w:tcPr>
          <w:p w14:paraId="050ADA69" w14:textId="77777777" w:rsidR="00E47AB8" w:rsidRPr="004E7861" w:rsidRDefault="00E47AB8" w:rsidP="004E7861">
            <w:pPr>
              <w:pStyle w:val="TableText0"/>
              <w:keepNext w:val="0"/>
              <w:spacing w:before="40" w:after="80" w:line="276" w:lineRule="auto"/>
              <w:ind w:left="1492"/>
              <w:rPr>
                <w:color w:val="FFFFFF" w:themeColor="background1"/>
              </w:rPr>
            </w:pPr>
            <w:r w:rsidRPr="004E7861">
              <w:rPr>
                <w:color w:val="FFFFFF" w:themeColor="background1"/>
              </w:rPr>
              <w:t>-</w:t>
            </w:r>
          </w:p>
        </w:tc>
        <w:tc>
          <w:tcPr>
            <w:tcW w:w="1281" w:type="dxa"/>
            <w:noWrap/>
            <w:vAlign w:val="center"/>
            <w:hideMark/>
          </w:tcPr>
          <w:p w14:paraId="0C69A346" w14:textId="77777777" w:rsidR="00E47AB8" w:rsidRPr="004E7861" w:rsidRDefault="00E47AB8" w:rsidP="004E7861">
            <w:pPr>
              <w:pStyle w:val="TableText0"/>
              <w:keepNext w:val="0"/>
              <w:spacing w:before="40" w:after="80" w:line="276" w:lineRule="auto"/>
              <w:ind w:left="1492"/>
              <w:rPr>
                <w:color w:val="FFFFFF" w:themeColor="background1"/>
              </w:rPr>
            </w:pPr>
            <w:r w:rsidRPr="004E7861">
              <w:rPr>
                <w:color w:val="FFFFFF" w:themeColor="background1"/>
              </w:rPr>
              <w:t>-</w:t>
            </w:r>
          </w:p>
        </w:tc>
        <w:tc>
          <w:tcPr>
            <w:tcW w:w="1388" w:type="dxa"/>
            <w:noWrap/>
            <w:vAlign w:val="center"/>
            <w:hideMark/>
          </w:tcPr>
          <w:p w14:paraId="4BA95F97" w14:textId="77777777" w:rsidR="00E47AB8" w:rsidRPr="008B2F8A" w:rsidRDefault="00E47AB8" w:rsidP="00422306">
            <w:pPr>
              <w:pStyle w:val="TableText0"/>
              <w:keepNext w:val="0"/>
              <w:spacing w:before="40" w:after="80" w:line="276" w:lineRule="auto"/>
              <w:jc w:val="right"/>
            </w:pPr>
            <w:r w:rsidRPr="008B2F8A">
              <w:t>$12,860.15</w:t>
            </w:r>
          </w:p>
        </w:tc>
      </w:tr>
    </w:tbl>
    <w:p w14:paraId="3FCABCA0" w14:textId="358218BF" w:rsidR="00E47AB8" w:rsidRPr="008B2F8A" w:rsidRDefault="00E47AB8" w:rsidP="004E7861">
      <w:pPr>
        <w:pStyle w:val="TableNotesLast"/>
      </w:pPr>
      <w:r w:rsidRPr="008B2F8A">
        <w:t>G</w:t>
      </w:r>
      <w:r w:rsidR="00F56FD1">
        <w:t>-</w:t>
      </w:r>
      <w:r w:rsidRPr="008B2F8A">
        <w:t xml:space="preserve">CSF = </w:t>
      </w:r>
      <w:r w:rsidR="00F56FD1">
        <w:t>Granulocyte-colony Stimulating Factor</w:t>
      </w:r>
      <w:r w:rsidRPr="008B2F8A">
        <w:t>; IV = intravenous; mg = milligrams; PBS = Pharmaceutical Benefits Scheme.</w:t>
      </w:r>
      <w:r>
        <w:t xml:space="preserve"> </w:t>
      </w:r>
      <w:r w:rsidRPr="008B2F8A">
        <w:t>Note: Rounding has been applied.</w:t>
      </w:r>
    </w:p>
    <w:p w14:paraId="5FB31925" w14:textId="77777777" w:rsidR="00E47AB8" w:rsidRPr="008B2F8A" w:rsidRDefault="00E47AB8" w:rsidP="00422306">
      <w:pPr>
        <w:pStyle w:val="Heading4"/>
      </w:pPr>
      <w:r w:rsidRPr="008B2F8A">
        <w:t>Total cost to the PBS for treatment of additional breast cancers identified by MRI</w:t>
      </w:r>
    </w:p>
    <w:p w14:paraId="74D8842B" w14:textId="4FC1CBE4" w:rsidR="00E47AB8" w:rsidRPr="008B2F8A" w:rsidRDefault="00E47AB8" w:rsidP="00422306">
      <w:r w:rsidRPr="008B2F8A">
        <w:t>The cost to the PBS for the treatment of additional breast cancers identified with breast MRI was calculated by multiplying the number of additional patients who have a breast cancer treatment (</w:t>
      </w:r>
      <w:r w:rsidRPr="008B2F8A">
        <w:fldChar w:fldCharType="begin"/>
      </w:r>
      <w:r w:rsidRPr="008B2F8A">
        <w:instrText xml:space="preserve"> REF _Ref376859100 \h </w:instrText>
      </w:r>
      <w:r w:rsidRPr="008B2F8A">
        <w:fldChar w:fldCharType="separate"/>
      </w:r>
      <w:r w:rsidR="00B81273" w:rsidRPr="008B2F8A">
        <w:t xml:space="preserve">Table </w:t>
      </w:r>
      <w:r w:rsidR="00B81273">
        <w:rPr>
          <w:noProof/>
        </w:rPr>
        <w:t>E</w:t>
      </w:r>
      <w:r w:rsidR="00B81273" w:rsidRPr="008B2F8A">
        <w:t>.</w:t>
      </w:r>
      <w:r w:rsidR="00B81273">
        <w:rPr>
          <w:noProof/>
        </w:rPr>
        <w:t>25</w:t>
      </w:r>
      <w:r w:rsidRPr="008B2F8A">
        <w:fldChar w:fldCharType="end"/>
      </w:r>
      <w:r w:rsidRPr="008B2F8A">
        <w:t xml:space="preserve">) by the cost per patient. The results are shown in </w:t>
      </w:r>
      <w:r w:rsidRPr="008B2F8A">
        <w:fldChar w:fldCharType="begin"/>
      </w:r>
      <w:r w:rsidRPr="008B2F8A">
        <w:instrText xml:space="preserve"> REF _Ref376868250 \h </w:instrText>
      </w:r>
      <w:r w:rsidRPr="008B2F8A">
        <w:fldChar w:fldCharType="separate"/>
      </w:r>
      <w:r w:rsidR="00B81273" w:rsidRPr="008B2F8A">
        <w:t xml:space="preserve">Table </w:t>
      </w:r>
      <w:r w:rsidR="00B81273">
        <w:rPr>
          <w:noProof/>
        </w:rPr>
        <w:t>E</w:t>
      </w:r>
      <w:r w:rsidR="00B81273" w:rsidRPr="008B2F8A">
        <w:t>.</w:t>
      </w:r>
      <w:r w:rsidR="00B81273">
        <w:rPr>
          <w:noProof/>
        </w:rPr>
        <w:t>30</w:t>
      </w:r>
      <w:r w:rsidRPr="008B2F8A">
        <w:fldChar w:fldCharType="end"/>
      </w:r>
      <w:r w:rsidRPr="008B2F8A">
        <w:t>. The total cost to the PBS for the treatment of additional breast cancers identified by MRI was $0.8 million in 2015</w:t>
      </w:r>
      <w:r>
        <w:t>,</w:t>
      </w:r>
      <w:r w:rsidRPr="008B2F8A">
        <w:t xml:space="preserve"> increas</w:t>
      </w:r>
      <w:r>
        <w:t>ing</w:t>
      </w:r>
      <w:r w:rsidRPr="008B2F8A">
        <w:t xml:space="preserve"> to $1.9 million in 2019.</w:t>
      </w:r>
    </w:p>
    <w:p w14:paraId="31535CC2" w14:textId="58B7BC06" w:rsidR="00E47AB8" w:rsidRPr="008B2F8A" w:rsidRDefault="00E47AB8" w:rsidP="00422306">
      <w:pPr>
        <w:pStyle w:val="Caption"/>
      </w:pPr>
      <w:bookmarkStart w:id="1399" w:name="_Ref376868250"/>
      <w:bookmarkStart w:id="1400" w:name="_Toc383424661"/>
      <w:r w:rsidRPr="008B2F8A">
        <w:t xml:space="preserve">Table </w:t>
      </w:r>
      <w:fldSimple w:instr=" STYLEREF 1 \s ">
        <w:r w:rsidR="00B81273">
          <w:rPr>
            <w:noProof/>
          </w:rPr>
          <w:t>E</w:t>
        </w:r>
      </w:fldSimple>
      <w:r w:rsidRPr="008B2F8A">
        <w:t>.</w:t>
      </w:r>
      <w:fldSimple w:instr=" SEQ Table \* ARABIC \s 1 ">
        <w:r w:rsidR="00B81273">
          <w:rPr>
            <w:noProof/>
          </w:rPr>
          <w:t>30</w:t>
        </w:r>
      </w:fldSimple>
      <w:bookmarkEnd w:id="1399"/>
      <w:r w:rsidRPr="008B2F8A">
        <w:tab/>
        <w:t>Total cost to the PBS of treatment of additional breast cancers identified by MRI.</w:t>
      </w:r>
      <w:bookmarkEnd w:id="1400"/>
    </w:p>
    <w:tbl>
      <w:tblPr>
        <w:tblStyle w:val="TableGrid"/>
        <w:tblW w:w="9070" w:type="dxa"/>
        <w:tblCellMar>
          <w:left w:w="28" w:type="dxa"/>
          <w:right w:w="28" w:type="dxa"/>
        </w:tblCellMar>
        <w:tblLook w:val="04A0" w:firstRow="1" w:lastRow="0" w:firstColumn="1" w:lastColumn="0" w:noHBand="0" w:noVBand="1"/>
        <w:tblCaption w:val="Total cost to the PBS of treatment of additional breast cancers identified by MRI."/>
      </w:tblPr>
      <w:tblGrid>
        <w:gridCol w:w="4005"/>
        <w:gridCol w:w="889"/>
        <w:gridCol w:w="1044"/>
        <w:gridCol w:w="1044"/>
        <w:gridCol w:w="1044"/>
        <w:gridCol w:w="1044"/>
      </w:tblGrid>
      <w:tr w:rsidR="00E47AB8" w:rsidRPr="008B2F8A" w14:paraId="52746954" w14:textId="77777777" w:rsidTr="00422306">
        <w:trPr>
          <w:tblHeader/>
        </w:trPr>
        <w:tc>
          <w:tcPr>
            <w:tcW w:w="0" w:type="auto"/>
            <w:noWrap/>
            <w:hideMark/>
          </w:tcPr>
          <w:p w14:paraId="661A511F"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1AA6F984"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12BEFBF9"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43D529B7"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63AE3C67"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2E501CFA"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4FAA482F" w14:textId="77777777" w:rsidTr="00422306">
        <w:tc>
          <w:tcPr>
            <w:tcW w:w="0" w:type="auto"/>
            <w:noWrap/>
            <w:vAlign w:val="bottom"/>
            <w:hideMark/>
          </w:tcPr>
          <w:p w14:paraId="56F9926E"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3F737AC6" w14:textId="77777777" w:rsidR="00E47AB8" w:rsidRPr="008B2F8A" w:rsidRDefault="00E47AB8" w:rsidP="00422306">
            <w:pPr>
              <w:pStyle w:val="TableText0"/>
              <w:keepNext w:val="0"/>
              <w:spacing w:before="40" w:after="80" w:line="276" w:lineRule="auto"/>
              <w:jc w:val="right"/>
            </w:pPr>
            <w:r w:rsidRPr="008B2F8A">
              <w:t xml:space="preserve"> $334,097 </w:t>
            </w:r>
          </w:p>
        </w:tc>
        <w:tc>
          <w:tcPr>
            <w:tcW w:w="0" w:type="auto"/>
            <w:noWrap/>
            <w:hideMark/>
          </w:tcPr>
          <w:p w14:paraId="4C39DE96" w14:textId="77777777" w:rsidR="00E47AB8" w:rsidRPr="008B2F8A" w:rsidRDefault="00E47AB8" w:rsidP="00422306">
            <w:pPr>
              <w:pStyle w:val="TableText0"/>
              <w:keepNext w:val="0"/>
              <w:spacing w:before="40" w:after="80" w:line="276" w:lineRule="auto"/>
              <w:jc w:val="right"/>
            </w:pPr>
            <w:r w:rsidRPr="008B2F8A">
              <w:t xml:space="preserve"> $377,169 </w:t>
            </w:r>
          </w:p>
        </w:tc>
        <w:tc>
          <w:tcPr>
            <w:tcW w:w="0" w:type="auto"/>
            <w:noWrap/>
            <w:hideMark/>
          </w:tcPr>
          <w:p w14:paraId="631D0678" w14:textId="77777777" w:rsidR="00E47AB8" w:rsidRPr="008B2F8A" w:rsidRDefault="00E47AB8" w:rsidP="00422306">
            <w:pPr>
              <w:pStyle w:val="TableText0"/>
              <w:keepNext w:val="0"/>
              <w:spacing w:before="40" w:after="80" w:line="276" w:lineRule="auto"/>
              <w:jc w:val="right"/>
            </w:pPr>
            <w:r w:rsidRPr="008B2F8A">
              <w:t xml:space="preserve"> $420,240 </w:t>
            </w:r>
          </w:p>
        </w:tc>
        <w:tc>
          <w:tcPr>
            <w:tcW w:w="0" w:type="auto"/>
            <w:noWrap/>
            <w:hideMark/>
          </w:tcPr>
          <w:p w14:paraId="6B8E0B99" w14:textId="77777777" w:rsidR="00E47AB8" w:rsidRPr="008B2F8A" w:rsidRDefault="00E47AB8" w:rsidP="00422306">
            <w:pPr>
              <w:pStyle w:val="TableText0"/>
              <w:keepNext w:val="0"/>
              <w:spacing w:before="40" w:after="80" w:line="276" w:lineRule="auto"/>
              <w:jc w:val="right"/>
            </w:pPr>
            <w:r w:rsidRPr="008B2F8A">
              <w:t xml:space="preserve"> $463,312 </w:t>
            </w:r>
          </w:p>
        </w:tc>
        <w:tc>
          <w:tcPr>
            <w:tcW w:w="0" w:type="auto"/>
            <w:noWrap/>
            <w:hideMark/>
          </w:tcPr>
          <w:p w14:paraId="435FDCE6" w14:textId="77777777" w:rsidR="00E47AB8" w:rsidRPr="008B2F8A" w:rsidRDefault="00E47AB8" w:rsidP="00422306">
            <w:pPr>
              <w:pStyle w:val="TableText0"/>
              <w:keepNext w:val="0"/>
              <w:spacing w:before="40" w:after="80" w:line="276" w:lineRule="auto"/>
              <w:jc w:val="right"/>
            </w:pPr>
            <w:r w:rsidRPr="008B2F8A">
              <w:t xml:space="preserve"> $506,384 </w:t>
            </w:r>
          </w:p>
        </w:tc>
      </w:tr>
      <w:tr w:rsidR="00E47AB8" w:rsidRPr="008B2F8A" w14:paraId="042AA69F" w14:textId="77777777" w:rsidTr="00422306">
        <w:tc>
          <w:tcPr>
            <w:tcW w:w="0" w:type="auto"/>
            <w:noWrap/>
            <w:vAlign w:val="bottom"/>
          </w:tcPr>
          <w:p w14:paraId="52A00ABD"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60C8E26E" w14:textId="77777777" w:rsidR="00E47AB8" w:rsidRPr="008B2F8A" w:rsidRDefault="00E47AB8" w:rsidP="00422306">
            <w:pPr>
              <w:pStyle w:val="TableText0"/>
              <w:keepNext w:val="0"/>
              <w:spacing w:before="40" w:after="80" w:line="276" w:lineRule="auto"/>
              <w:jc w:val="right"/>
            </w:pPr>
            <w:r w:rsidRPr="008B2F8A">
              <w:t xml:space="preserve"> $441,044 </w:t>
            </w:r>
          </w:p>
        </w:tc>
        <w:tc>
          <w:tcPr>
            <w:tcW w:w="0" w:type="auto"/>
            <w:noWrap/>
          </w:tcPr>
          <w:p w14:paraId="15A373C6" w14:textId="77777777" w:rsidR="00E47AB8" w:rsidRPr="008B2F8A" w:rsidRDefault="00E47AB8" w:rsidP="00422306">
            <w:pPr>
              <w:pStyle w:val="TableText0"/>
              <w:keepNext w:val="0"/>
              <w:spacing w:before="40" w:after="80" w:line="276" w:lineRule="auto"/>
              <w:jc w:val="right"/>
            </w:pPr>
            <w:r w:rsidRPr="008B2F8A">
              <w:t xml:space="preserve"> $673,136 </w:t>
            </w:r>
          </w:p>
        </w:tc>
        <w:tc>
          <w:tcPr>
            <w:tcW w:w="0" w:type="auto"/>
            <w:noWrap/>
          </w:tcPr>
          <w:p w14:paraId="3A9D364A" w14:textId="77777777" w:rsidR="00E47AB8" w:rsidRPr="008B2F8A" w:rsidRDefault="00E47AB8" w:rsidP="00422306">
            <w:pPr>
              <w:pStyle w:val="TableText0"/>
              <w:keepNext w:val="0"/>
              <w:spacing w:before="40" w:after="80" w:line="276" w:lineRule="auto"/>
              <w:jc w:val="right"/>
            </w:pPr>
            <w:r w:rsidRPr="008B2F8A">
              <w:t xml:space="preserve"> $913,026 </w:t>
            </w:r>
          </w:p>
        </w:tc>
        <w:tc>
          <w:tcPr>
            <w:tcW w:w="0" w:type="auto"/>
            <w:noWrap/>
          </w:tcPr>
          <w:p w14:paraId="3C389A09" w14:textId="77777777" w:rsidR="00E47AB8" w:rsidRPr="008B2F8A" w:rsidRDefault="00E47AB8" w:rsidP="00422306">
            <w:pPr>
              <w:pStyle w:val="TableText0"/>
              <w:keepNext w:val="0"/>
              <w:spacing w:before="40" w:after="80" w:line="276" w:lineRule="auto"/>
              <w:jc w:val="right"/>
            </w:pPr>
            <w:r w:rsidRPr="008B2F8A">
              <w:t xml:space="preserve"> $1,160,623 </w:t>
            </w:r>
          </w:p>
        </w:tc>
        <w:tc>
          <w:tcPr>
            <w:tcW w:w="0" w:type="auto"/>
            <w:noWrap/>
          </w:tcPr>
          <w:p w14:paraId="627A2D59" w14:textId="77777777" w:rsidR="00E47AB8" w:rsidRPr="008B2F8A" w:rsidRDefault="00E47AB8" w:rsidP="00422306">
            <w:pPr>
              <w:pStyle w:val="TableText0"/>
              <w:keepNext w:val="0"/>
              <w:spacing w:before="40" w:after="80" w:line="276" w:lineRule="auto"/>
              <w:jc w:val="right"/>
            </w:pPr>
            <w:r w:rsidRPr="008B2F8A">
              <w:t xml:space="preserve"> $1,288,449 </w:t>
            </w:r>
          </w:p>
        </w:tc>
      </w:tr>
      <w:tr w:rsidR="00E47AB8" w:rsidRPr="008B2F8A" w14:paraId="242970CE" w14:textId="77777777" w:rsidTr="00422306">
        <w:tc>
          <w:tcPr>
            <w:tcW w:w="0" w:type="auto"/>
            <w:noWrap/>
            <w:vAlign w:val="bottom"/>
          </w:tcPr>
          <w:p w14:paraId="7346DBD4" w14:textId="1BB515FD"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006C4B75" w14:textId="77777777" w:rsidR="00E47AB8" w:rsidRPr="008B2F8A" w:rsidRDefault="00E47AB8" w:rsidP="00422306">
            <w:pPr>
              <w:pStyle w:val="TableText0"/>
              <w:keepNext w:val="0"/>
              <w:spacing w:before="40" w:after="80" w:line="276" w:lineRule="auto"/>
              <w:jc w:val="right"/>
            </w:pPr>
            <w:r w:rsidRPr="008B2F8A">
              <w:t xml:space="preserve"> $36,801 </w:t>
            </w:r>
          </w:p>
        </w:tc>
        <w:tc>
          <w:tcPr>
            <w:tcW w:w="0" w:type="auto"/>
            <w:noWrap/>
          </w:tcPr>
          <w:p w14:paraId="5597694C" w14:textId="77777777" w:rsidR="00E47AB8" w:rsidRPr="008B2F8A" w:rsidRDefault="00E47AB8" w:rsidP="00422306">
            <w:pPr>
              <w:pStyle w:val="TableText0"/>
              <w:keepNext w:val="0"/>
              <w:spacing w:before="40" w:after="80" w:line="276" w:lineRule="auto"/>
              <w:jc w:val="right"/>
            </w:pPr>
            <w:r w:rsidRPr="008B2F8A">
              <w:t xml:space="preserve"> $56,140 </w:t>
            </w:r>
          </w:p>
        </w:tc>
        <w:tc>
          <w:tcPr>
            <w:tcW w:w="0" w:type="auto"/>
            <w:noWrap/>
          </w:tcPr>
          <w:p w14:paraId="2CAF5F61" w14:textId="77777777" w:rsidR="00E47AB8" w:rsidRPr="008B2F8A" w:rsidRDefault="00E47AB8" w:rsidP="00422306">
            <w:pPr>
              <w:pStyle w:val="TableText0"/>
              <w:keepNext w:val="0"/>
              <w:spacing w:before="40" w:after="80" w:line="276" w:lineRule="auto"/>
              <w:jc w:val="right"/>
            </w:pPr>
            <w:r w:rsidRPr="008B2F8A">
              <w:t xml:space="preserve"> $76,126 </w:t>
            </w:r>
          </w:p>
        </w:tc>
        <w:tc>
          <w:tcPr>
            <w:tcW w:w="0" w:type="auto"/>
            <w:noWrap/>
          </w:tcPr>
          <w:p w14:paraId="5EEAD837" w14:textId="77777777" w:rsidR="00E47AB8" w:rsidRPr="008B2F8A" w:rsidRDefault="00E47AB8" w:rsidP="00422306">
            <w:pPr>
              <w:pStyle w:val="TableText0"/>
              <w:keepNext w:val="0"/>
              <w:spacing w:before="40" w:after="80" w:line="276" w:lineRule="auto"/>
              <w:jc w:val="right"/>
            </w:pPr>
            <w:r w:rsidRPr="008B2F8A">
              <w:t xml:space="preserve"> $96,775 </w:t>
            </w:r>
          </w:p>
        </w:tc>
        <w:tc>
          <w:tcPr>
            <w:tcW w:w="0" w:type="auto"/>
            <w:noWrap/>
          </w:tcPr>
          <w:p w14:paraId="727596DC" w14:textId="77777777" w:rsidR="00E47AB8" w:rsidRPr="008B2F8A" w:rsidRDefault="00E47AB8" w:rsidP="00422306">
            <w:pPr>
              <w:pStyle w:val="TableText0"/>
              <w:keepNext w:val="0"/>
              <w:spacing w:before="40" w:after="80" w:line="276" w:lineRule="auto"/>
              <w:jc w:val="right"/>
            </w:pPr>
            <w:r w:rsidRPr="008B2F8A">
              <w:t xml:space="preserve"> $107,475 </w:t>
            </w:r>
          </w:p>
        </w:tc>
      </w:tr>
      <w:tr w:rsidR="00E47AB8" w:rsidRPr="008B2F8A" w14:paraId="39E2C4ED" w14:textId="77777777" w:rsidTr="00422306">
        <w:tc>
          <w:tcPr>
            <w:tcW w:w="0" w:type="auto"/>
            <w:noWrap/>
            <w:vAlign w:val="bottom"/>
          </w:tcPr>
          <w:p w14:paraId="64D9647A"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02F08DC4" w14:textId="77777777" w:rsidR="00E47AB8" w:rsidRPr="008B2F8A" w:rsidRDefault="00E47AB8" w:rsidP="00422306">
            <w:pPr>
              <w:pStyle w:val="TableText0"/>
              <w:keepNext w:val="0"/>
              <w:spacing w:before="40" w:after="80" w:line="276" w:lineRule="auto"/>
              <w:jc w:val="right"/>
            </w:pPr>
            <w:r w:rsidRPr="008B2F8A">
              <w:t xml:space="preserve"> $19 </w:t>
            </w:r>
          </w:p>
        </w:tc>
        <w:tc>
          <w:tcPr>
            <w:tcW w:w="0" w:type="auto"/>
            <w:noWrap/>
          </w:tcPr>
          <w:p w14:paraId="617B4BD4" w14:textId="77777777" w:rsidR="00E47AB8" w:rsidRPr="008B2F8A" w:rsidRDefault="00E47AB8" w:rsidP="00422306">
            <w:pPr>
              <w:pStyle w:val="TableText0"/>
              <w:keepNext w:val="0"/>
              <w:spacing w:before="40" w:after="80" w:line="276" w:lineRule="auto"/>
              <w:jc w:val="right"/>
            </w:pPr>
            <w:r w:rsidRPr="008B2F8A">
              <w:t xml:space="preserve"> $19 </w:t>
            </w:r>
          </w:p>
        </w:tc>
        <w:tc>
          <w:tcPr>
            <w:tcW w:w="0" w:type="auto"/>
            <w:noWrap/>
          </w:tcPr>
          <w:p w14:paraId="5218E3A0" w14:textId="77777777" w:rsidR="00E47AB8" w:rsidRPr="008B2F8A" w:rsidRDefault="00E47AB8" w:rsidP="00422306">
            <w:pPr>
              <w:pStyle w:val="TableText0"/>
              <w:keepNext w:val="0"/>
              <w:spacing w:before="40" w:after="80" w:line="276" w:lineRule="auto"/>
              <w:jc w:val="right"/>
            </w:pPr>
            <w:r w:rsidRPr="008B2F8A">
              <w:t xml:space="preserve"> $19 </w:t>
            </w:r>
          </w:p>
        </w:tc>
        <w:tc>
          <w:tcPr>
            <w:tcW w:w="0" w:type="auto"/>
            <w:noWrap/>
          </w:tcPr>
          <w:p w14:paraId="1FE15947" w14:textId="77777777" w:rsidR="00E47AB8" w:rsidRPr="008B2F8A" w:rsidRDefault="00E47AB8" w:rsidP="00422306">
            <w:pPr>
              <w:pStyle w:val="TableText0"/>
              <w:keepNext w:val="0"/>
              <w:spacing w:before="40" w:after="80" w:line="276" w:lineRule="auto"/>
              <w:jc w:val="right"/>
            </w:pPr>
            <w:r w:rsidRPr="008B2F8A">
              <w:t xml:space="preserve"> $19 </w:t>
            </w:r>
          </w:p>
        </w:tc>
        <w:tc>
          <w:tcPr>
            <w:tcW w:w="0" w:type="auto"/>
            <w:noWrap/>
          </w:tcPr>
          <w:p w14:paraId="232ABEB4" w14:textId="77777777" w:rsidR="00E47AB8" w:rsidRPr="008B2F8A" w:rsidRDefault="00E47AB8" w:rsidP="00422306">
            <w:pPr>
              <w:pStyle w:val="TableText0"/>
              <w:keepNext w:val="0"/>
              <w:spacing w:before="40" w:after="80" w:line="276" w:lineRule="auto"/>
              <w:jc w:val="right"/>
            </w:pPr>
            <w:r w:rsidRPr="008B2F8A">
              <w:t xml:space="preserve"> $19 </w:t>
            </w:r>
          </w:p>
        </w:tc>
      </w:tr>
      <w:tr w:rsidR="00E47AB8" w:rsidRPr="008B2F8A" w14:paraId="38EF9E62" w14:textId="77777777" w:rsidTr="00422306">
        <w:tc>
          <w:tcPr>
            <w:tcW w:w="0" w:type="auto"/>
            <w:noWrap/>
            <w:vAlign w:val="bottom"/>
          </w:tcPr>
          <w:p w14:paraId="4BA98127"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40CC92D4" w14:textId="77777777" w:rsidR="00E47AB8" w:rsidRPr="008B2F8A" w:rsidRDefault="00E47AB8" w:rsidP="00422306">
            <w:pPr>
              <w:pStyle w:val="TableText0"/>
              <w:keepNext w:val="0"/>
              <w:spacing w:before="40" w:after="80" w:line="276" w:lineRule="auto"/>
              <w:jc w:val="right"/>
            </w:pPr>
            <w:r w:rsidRPr="008B2F8A">
              <w:t xml:space="preserve"> $811,960 </w:t>
            </w:r>
          </w:p>
        </w:tc>
        <w:tc>
          <w:tcPr>
            <w:tcW w:w="0" w:type="auto"/>
            <w:noWrap/>
          </w:tcPr>
          <w:p w14:paraId="0329AACF" w14:textId="77777777" w:rsidR="00E47AB8" w:rsidRPr="008B2F8A" w:rsidRDefault="00E47AB8" w:rsidP="00422306">
            <w:pPr>
              <w:pStyle w:val="TableText0"/>
              <w:keepNext w:val="0"/>
              <w:spacing w:before="40" w:after="80" w:line="276" w:lineRule="auto"/>
              <w:jc w:val="right"/>
            </w:pPr>
            <w:r w:rsidRPr="008B2F8A">
              <w:t xml:space="preserve"> $1,106,463 </w:t>
            </w:r>
          </w:p>
        </w:tc>
        <w:tc>
          <w:tcPr>
            <w:tcW w:w="0" w:type="auto"/>
            <w:noWrap/>
          </w:tcPr>
          <w:p w14:paraId="708A67DE" w14:textId="77777777" w:rsidR="00E47AB8" w:rsidRPr="008B2F8A" w:rsidRDefault="00E47AB8" w:rsidP="00422306">
            <w:pPr>
              <w:pStyle w:val="TableText0"/>
              <w:keepNext w:val="0"/>
              <w:spacing w:before="40" w:after="80" w:line="276" w:lineRule="auto"/>
              <w:jc w:val="right"/>
            </w:pPr>
            <w:r w:rsidRPr="008B2F8A">
              <w:t xml:space="preserve"> $1,409,411 </w:t>
            </w:r>
          </w:p>
        </w:tc>
        <w:tc>
          <w:tcPr>
            <w:tcW w:w="0" w:type="auto"/>
            <w:noWrap/>
          </w:tcPr>
          <w:p w14:paraId="08BF90FD" w14:textId="77777777" w:rsidR="00E47AB8" w:rsidRPr="008B2F8A" w:rsidRDefault="00E47AB8" w:rsidP="00422306">
            <w:pPr>
              <w:pStyle w:val="TableText0"/>
              <w:keepNext w:val="0"/>
              <w:spacing w:before="40" w:after="80" w:line="276" w:lineRule="auto"/>
              <w:jc w:val="right"/>
            </w:pPr>
            <w:r w:rsidRPr="008B2F8A">
              <w:t xml:space="preserve"> $1,720,729 </w:t>
            </w:r>
          </w:p>
        </w:tc>
        <w:tc>
          <w:tcPr>
            <w:tcW w:w="0" w:type="auto"/>
            <w:noWrap/>
          </w:tcPr>
          <w:p w14:paraId="3829DC27" w14:textId="77777777" w:rsidR="00E47AB8" w:rsidRPr="008B2F8A" w:rsidRDefault="00E47AB8" w:rsidP="00422306">
            <w:pPr>
              <w:pStyle w:val="TableText0"/>
              <w:keepNext w:val="0"/>
              <w:spacing w:before="40" w:after="80" w:line="276" w:lineRule="auto"/>
              <w:jc w:val="right"/>
            </w:pPr>
            <w:r w:rsidRPr="008B2F8A">
              <w:t xml:space="preserve"> $1,902,326 </w:t>
            </w:r>
          </w:p>
        </w:tc>
      </w:tr>
    </w:tbl>
    <w:p w14:paraId="067D27E7" w14:textId="03A905DC" w:rsidR="00E47AB8" w:rsidRPr="008B2F8A" w:rsidRDefault="00E47AB8" w:rsidP="004E7861">
      <w:pPr>
        <w:pStyle w:val="TableNotesLast"/>
      </w:pPr>
      <w:r w:rsidRPr="008B2F8A">
        <w:t>DCIS = ductal carcinoma in situ; FY = financial year; LCIS = lobular carcinoma in situ.</w:t>
      </w:r>
      <w:r>
        <w:t xml:space="preserve"> </w:t>
      </w:r>
      <w:r w:rsidRPr="008B2F8A">
        <w:t>Note: Rounding has been applied.</w:t>
      </w:r>
    </w:p>
    <w:p w14:paraId="0A7072A8" w14:textId="77777777" w:rsidR="00E47AB8" w:rsidRPr="008B2F8A" w:rsidRDefault="00E47AB8" w:rsidP="00E47AB8">
      <w:pPr>
        <w:pStyle w:val="Heading3"/>
        <w:numPr>
          <w:ilvl w:val="2"/>
          <w:numId w:val="42"/>
        </w:numPr>
      </w:pPr>
      <w:bookmarkStart w:id="1401" w:name="_Ref377648467"/>
      <w:bookmarkStart w:id="1402" w:name="_Toc383424537"/>
      <w:r w:rsidRPr="008B2F8A">
        <w:t>Costs to state and territory governments associated with the current listing</w:t>
      </w:r>
      <w:bookmarkEnd w:id="1401"/>
      <w:bookmarkEnd w:id="1402"/>
    </w:p>
    <w:p w14:paraId="16EB512E" w14:textId="0E0BEEAF" w:rsidR="00E47AB8" w:rsidRPr="008B2F8A" w:rsidRDefault="00E47AB8" w:rsidP="00422306">
      <w:pPr>
        <w:spacing w:after="240"/>
      </w:pPr>
      <w:r w:rsidRPr="008B2F8A">
        <w:t xml:space="preserve">The costs to state and territory governments resulting from the requested listing are costs for the treatment of additional cases of breast cancer identified by MRI. The costs included in the analysis are the same as those used in the economic model (Section </w:t>
      </w:r>
      <w:r w:rsidRPr="008B2F8A">
        <w:fldChar w:fldCharType="begin"/>
      </w:r>
      <w:r w:rsidRPr="008B2F8A">
        <w:instrText xml:space="preserve"> REF _Ref358034079 \r \h  \* MERGEFORMAT </w:instrText>
      </w:r>
      <w:r w:rsidRPr="008B2F8A">
        <w:fldChar w:fldCharType="separate"/>
      </w:r>
      <w:r w:rsidR="00B81273">
        <w:rPr>
          <w:noProof/>
        </w:rPr>
        <w:t>D.4.4</w:t>
      </w:r>
      <w:r w:rsidRPr="008B2F8A">
        <w:fldChar w:fldCharType="end"/>
      </w:r>
      <w:r w:rsidRPr="008B2F8A">
        <w:t xml:space="preserve">) and </w:t>
      </w:r>
      <w:r>
        <w:t>are</w:t>
      </w:r>
      <w:r w:rsidRPr="008B2F8A">
        <w:t xml:space="preserve"> the costs of breast surgery following diagnosis. The cost per patient is $7,958 (AR-DRG code J06A). Patients who have previously had treatment for breast cancer may have a range of different treatment options for newly diagnosed cancer</w:t>
      </w:r>
      <w:r>
        <w:t>;</w:t>
      </w:r>
      <w:r w:rsidRPr="008B2F8A">
        <w:t xml:space="preserve"> this analysis may overestimate or underestimate the cost of surgery in this group.</w:t>
      </w:r>
    </w:p>
    <w:p w14:paraId="5C960363" w14:textId="5A761BC6" w:rsidR="00E47AB8" w:rsidRPr="008B2F8A" w:rsidRDefault="00E47AB8" w:rsidP="00422306">
      <w:r w:rsidRPr="008B2F8A">
        <w:t xml:space="preserve">The cost to state and territory governments for the treatment of additional breast cancers identified with breast MRI was calculated by multiplying the number of additional patients who have a breast </w:t>
      </w:r>
      <w:r w:rsidRPr="008B2F8A">
        <w:lastRenderedPageBreak/>
        <w:t>cancer treatment (</w:t>
      </w:r>
      <w:r w:rsidRPr="008B2F8A">
        <w:fldChar w:fldCharType="begin"/>
      </w:r>
      <w:r w:rsidRPr="008B2F8A">
        <w:instrText xml:space="preserve"> REF _Ref376859100 \h </w:instrText>
      </w:r>
      <w:r w:rsidRPr="008B2F8A">
        <w:fldChar w:fldCharType="separate"/>
      </w:r>
      <w:r w:rsidR="00B81273" w:rsidRPr="008B2F8A">
        <w:t xml:space="preserve">Table </w:t>
      </w:r>
      <w:r w:rsidR="00B81273">
        <w:rPr>
          <w:noProof/>
        </w:rPr>
        <w:t>E</w:t>
      </w:r>
      <w:r w:rsidR="00B81273" w:rsidRPr="008B2F8A">
        <w:t>.</w:t>
      </w:r>
      <w:r w:rsidR="00B81273">
        <w:rPr>
          <w:noProof/>
        </w:rPr>
        <w:t>25</w:t>
      </w:r>
      <w:r w:rsidRPr="008B2F8A">
        <w:fldChar w:fldCharType="end"/>
      </w:r>
      <w:r w:rsidRPr="008B2F8A">
        <w:t xml:space="preserve">) by the cost per patient. The results are shown in </w:t>
      </w:r>
      <w:r w:rsidRPr="008B2F8A">
        <w:fldChar w:fldCharType="begin"/>
      </w:r>
      <w:r w:rsidRPr="008B2F8A">
        <w:instrText xml:space="preserve"> REF _Ref376869048 \h </w:instrText>
      </w:r>
      <w:r w:rsidRPr="008B2F8A">
        <w:fldChar w:fldCharType="separate"/>
      </w:r>
      <w:r w:rsidR="00B81273" w:rsidRPr="008B2F8A">
        <w:t xml:space="preserve">Table </w:t>
      </w:r>
      <w:r w:rsidR="00B81273">
        <w:rPr>
          <w:noProof/>
        </w:rPr>
        <w:t>E</w:t>
      </w:r>
      <w:r w:rsidR="00B81273" w:rsidRPr="008B2F8A">
        <w:t>.</w:t>
      </w:r>
      <w:r w:rsidR="00B81273">
        <w:rPr>
          <w:noProof/>
        </w:rPr>
        <w:t>31</w:t>
      </w:r>
      <w:r w:rsidRPr="008B2F8A">
        <w:fldChar w:fldCharType="end"/>
      </w:r>
      <w:r w:rsidRPr="008B2F8A">
        <w:t>. Overall, the total cost of treating additional breast cancers was $0.5 million in 2015</w:t>
      </w:r>
      <w:r>
        <w:t>,</w:t>
      </w:r>
      <w:r w:rsidRPr="008B2F8A">
        <w:t xml:space="preserve"> increas</w:t>
      </w:r>
      <w:r>
        <w:t>ing</w:t>
      </w:r>
      <w:r w:rsidRPr="008B2F8A">
        <w:t xml:space="preserve"> to $1.2 million in 2019.</w:t>
      </w:r>
    </w:p>
    <w:p w14:paraId="020CD738" w14:textId="00146B8D" w:rsidR="00E47AB8" w:rsidRPr="008B2F8A" w:rsidRDefault="00E47AB8" w:rsidP="00422306">
      <w:pPr>
        <w:pStyle w:val="Caption"/>
        <w:ind w:left="1440" w:hanging="1440"/>
      </w:pPr>
      <w:bookmarkStart w:id="1403" w:name="_Ref376869048"/>
      <w:bookmarkStart w:id="1404" w:name="_Toc383424662"/>
      <w:r w:rsidRPr="008B2F8A">
        <w:t xml:space="preserve">Table </w:t>
      </w:r>
      <w:fldSimple w:instr=" STYLEREF 1 \s ">
        <w:r w:rsidR="00B81273">
          <w:rPr>
            <w:noProof/>
          </w:rPr>
          <w:t>E</w:t>
        </w:r>
      </w:fldSimple>
      <w:r w:rsidRPr="008B2F8A">
        <w:t>.</w:t>
      </w:r>
      <w:fldSimple w:instr=" SEQ Table \* ARABIC \s 1 ">
        <w:r w:rsidR="00B81273">
          <w:rPr>
            <w:noProof/>
          </w:rPr>
          <w:t>31</w:t>
        </w:r>
      </w:fldSimple>
      <w:bookmarkEnd w:id="1403"/>
      <w:r w:rsidRPr="008B2F8A">
        <w:tab/>
        <w:t>Total cost</w:t>
      </w:r>
      <w:r>
        <w:t>s</w:t>
      </w:r>
      <w:r w:rsidRPr="008B2F8A">
        <w:t xml:space="preserve"> to state and territory governments for treatment of additional breast cancers identified by MRI.</w:t>
      </w:r>
      <w:bookmarkEnd w:id="1404"/>
    </w:p>
    <w:tbl>
      <w:tblPr>
        <w:tblStyle w:val="TableGrid"/>
        <w:tblW w:w="9070" w:type="dxa"/>
        <w:tblCellMar>
          <w:left w:w="28" w:type="dxa"/>
          <w:right w:w="28" w:type="dxa"/>
        </w:tblCellMar>
        <w:tblLook w:val="04A0" w:firstRow="1" w:lastRow="0" w:firstColumn="1" w:lastColumn="0" w:noHBand="0" w:noVBand="1"/>
        <w:tblCaption w:val="Total costs to state and territory governments for treatment of additional breast cancers identified by MRI."/>
      </w:tblPr>
      <w:tblGrid>
        <w:gridCol w:w="4145"/>
        <w:gridCol w:w="921"/>
        <w:gridCol w:w="921"/>
        <w:gridCol w:w="921"/>
        <w:gridCol w:w="1081"/>
        <w:gridCol w:w="1081"/>
      </w:tblGrid>
      <w:tr w:rsidR="00E47AB8" w:rsidRPr="008B2F8A" w14:paraId="04A142C0" w14:textId="77777777" w:rsidTr="00422306">
        <w:trPr>
          <w:tblHeader/>
        </w:trPr>
        <w:tc>
          <w:tcPr>
            <w:tcW w:w="0" w:type="auto"/>
            <w:noWrap/>
            <w:hideMark/>
          </w:tcPr>
          <w:p w14:paraId="41A92230" w14:textId="77777777" w:rsidR="00E47AB8" w:rsidRPr="008B2F8A" w:rsidRDefault="00E47AB8" w:rsidP="00422306">
            <w:pPr>
              <w:pStyle w:val="Tableheaderrow"/>
              <w:spacing w:before="40" w:after="80" w:line="276" w:lineRule="auto"/>
            </w:pPr>
            <w:r w:rsidRPr="008B2F8A">
              <w:t>Population</w:t>
            </w:r>
          </w:p>
        </w:tc>
        <w:tc>
          <w:tcPr>
            <w:tcW w:w="0" w:type="auto"/>
            <w:noWrap/>
            <w:hideMark/>
          </w:tcPr>
          <w:p w14:paraId="109150AD" w14:textId="77777777" w:rsidR="00E47AB8" w:rsidRPr="008B2F8A" w:rsidRDefault="00E47AB8" w:rsidP="00422306">
            <w:pPr>
              <w:pStyle w:val="Tableheaderrow"/>
              <w:spacing w:before="40" w:after="80" w:line="276" w:lineRule="auto"/>
              <w:jc w:val="center"/>
            </w:pPr>
            <w:r w:rsidRPr="008B2F8A">
              <w:t>FY 2015</w:t>
            </w:r>
          </w:p>
        </w:tc>
        <w:tc>
          <w:tcPr>
            <w:tcW w:w="0" w:type="auto"/>
            <w:noWrap/>
            <w:hideMark/>
          </w:tcPr>
          <w:p w14:paraId="31D0C109" w14:textId="77777777" w:rsidR="00E47AB8" w:rsidRPr="008B2F8A" w:rsidRDefault="00E47AB8" w:rsidP="00422306">
            <w:pPr>
              <w:pStyle w:val="Tableheaderrow"/>
              <w:spacing w:before="40" w:after="80" w:line="276" w:lineRule="auto"/>
              <w:jc w:val="center"/>
            </w:pPr>
            <w:r w:rsidRPr="008B2F8A">
              <w:t>FY 2016</w:t>
            </w:r>
          </w:p>
        </w:tc>
        <w:tc>
          <w:tcPr>
            <w:tcW w:w="0" w:type="auto"/>
            <w:noWrap/>
            <w:hideMark/>
          </w:tcPr>
          <w:p w14:paraId="308A34FC" w14:textId="77777777" w:rsidR="00E47AB8" w:rsidRPr="008B2F8A" w:rsidRDefault="00E47AB8" w:rsidP="00422306">
            <w:pPr>
              <w:pStyle w:val="Tableheaderrow"/>
              <w:spacing w:before="40" w:after="80" w:line="276" w:lineRule="auto"/>
              <w:jc w:val="center"/>
            </w:pPr>
            <w:r w:rsidRPr="008B2F8A">
              <w:t>FY 2017</w:t>
            </w:r>
          </w:p>
        </w:tc>
        <w:tc>
          <w:tcPr>
            <w:tcW w:w="0" w:type="auto"/>
            <w:noWrap/>
            <w:hideMark/>
          </w:tcPr>
          <w:p w14:paraId="411F82A9" w14:textId="77777777" w:rsidR="00E47AB8" w:rsidRPr="008B2F8A" w:rsidRDefault="00E47AB8" w:rsidP="00422306">
            <w:pPr>
              <w:pStyle w:val="Tableheaderrow"/>
              <w:spacing w:before="40" w:after="80" w:line="276" w:lineRule="auto"/>
              <w:jc w:val="center"/>
            </w:pPr>
            <w:r w:rsidRPr="008B2F8A">
              <w:t>FY 2018</w:t>
            </w:r>
          </w:p>
        </w:tc>
        <w:tc>
          <w:tcPr>
            <w:tcW w:w="0" w:type="auto"/>
            <w:noWrap/>
            <w:hideMark/>
          </w:tcPr>
          <w:p w14:paraId="70E4626F"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2B993E48" w14:textId="77777777" w:rsidTr="00422306">
        <w:tc>
          <w:tcPr>
            <w:tcW w:w="0" w:type="auto"/>
            <w:noWrap/>
            <w:vAlign w:val="bottom"/>
            <w:hideMark/>
          </w:tcPr>
          <w:p w14:paraId="398A6E22" w14:textId="77777777" w:rsidR="00E47AB8" w:rsidRPr="008B2F8A" w:rsidRDefault="00E47AB8" w:rsidP="00422306">
            <w:pPr>
              <w:pStyle w:val="TableText0"/>
              <w:keepNext w:val="0"/>
              <w:spacing w:before="40" w:after="80" w:line="276" w:lineRule="auto"/>
            </w:pPr>
            <w:r w:rsidRPr="008B2F8A">
              <w:t>Gene mutation or family history</w:t>
            </w:r>
          </w:p>
        </w:tc>
        <w:tc>
          <w:tcPr>
            <w:tcW w:w="0" w:type="auto"/>
            <w:noWrap/>
            <w:hideMark/>
          </w:tcPr>
          <w:p w14:paraId="0EAFD28A" w14:textId="77777777" w:rsidR="00E47AB8" w:rsidRPr="008B2F8A" w:rsidRDefault="00E47AB8" w:rsidP="00422306">
            <w:pPr>
              <w:pStyle w:val="TableText0"/>
              <w:keepNext w:val="0"/>
              <w:spacing w:before="40" w:after="80" w:line="276" w:lineRule="auto"/>
              <w:jc w:val="right"/>
            </w:pPr>
            <w:r w:rsidRPr="008B2F8A">
              <w:t xml:space="preserve"> $206,743 </w:t>
            </w:r>
          </w:p>
        </w:tc>
        <w:tc>
          <w:tcPr>
            <w:tcW w:w="0" w:type="auto"/>
            <w:noWrap/>
            <w:hideMark/>
          </w:tcPr>
          <w:p w14:paraId="0A2CB6DA" w14:textId="77777777" w:rsidR="00E47AB8" w:rsidRPr="008B2F8A" w:rsidRDefault="00E47AB8" w:rsidP="00422306">
            <w:pPr>
              <w:pStyle w:val="TableText0"/>
              <w:keepNext w:val="0"/>
              <w:spacing w:before="40" w:after="80" w:line="276" w:lineRule="auto"/>
              <w:jc w:val="right"/>
            </w:pPr>
            <w:r w:rsidRPr="008B2F8A">
              <w:t xml:space="preserve"> $233,396 </w:t>
            </w:r>
          </w:p>
        </w:tc>
        <w:tc>
          <w:tcPr>
            <w:tcW w:w="0" w:type="auto"/>
            <w:noWrap/>
            <w:hideMark/>
          </w:tcPr>
          <w:p w14:paraId="706F7DF1" w14:textId="77777777" w:rsidR="00E47AB8" w:rsidRPr="008B2F8A" w:rsidRDefault="00E47AB8" w:rsidP="00422306">
            <w:pPr>
              <w:pStyle w:val="TableText0"/>
              <w:keepNext w:val="0"/>
              <w:spacing w:before="40" w:after="80" w:line="276" w:lineRule="auto"/>
              <w:jc w:val="right"/>
            </w:pPr>
            <w:r w:rsidRPr="008B2F8A">
              <w:t xml:space="preserve"> $260,049 </w:t>
            </w:r>
          </w:p>
        </w:tc>
        <w:tc>
          <w:tcPr>
            <w:tcW w:w="0" w:type="auto"/>
            <w:noWrap/>
            <w:hideMark/>
          </w:tcPr>
          <w:p w14:paraId="003F81F6" w14:textId="77777777" w:rsidR="00E47AB8" w:rsidRPr="008B2F8A" w:rsidRDefault="00E47AB8" w:rsidP="00422306">
            <w:pPr>
              <w:pStyle w:val="TableText0"/>
              <w:keepNext w:val="0"/>
              <w:spacing w:before="40" w:after="80" w:line="276" w:lineRule="auto"/>
              <w:jc w:val="right"/>
            </w:pPr>
            <w:r w:rsidRPr="008B2F8A">
              <w:t xml:space="preserve"> $286,703 </w:t>
            </w:r>
          </w:p>
        </w:tc>
        <w:tc>
          <w:tcPr>
            <w:tcW w:w="0" w:type="auto"/>
            <w:noWrap/>
            <w:hideMark/>
          </w:tcPr>
          <w:p w14:paraId="1F697424" w14:textId="77777777" w:rsidR="00E47AB8" w:rsidRPr="008B2F8A" w:rsidRDefault="00E47AB8" w:rsidP="00422306">
            <w:pPr>
              <w:pStyle w:val="TableText0"/>
              <w:keepNext w:val="0"/>
              <w:spacing w:before="40" w:after="80" w:line="276" w:lineRule="auto"/>
              <w:jc w:val="right"/>
            </w:pPr>
            <w:r w:rsidRPr="008B2F8A">
              <w:t xml:space="preserve"> $313,356 </w:t>
            </w:r>
          </w:p>
        </w:tc>
      </w:tr>
      <w:tr w:rsidR="00E47AB8" w:rsidRPr="008B2F8A" w14:paraId="26B771E0" w14:textId="77777777" w:rsidTr="00422306">
        <w:tc>
          <w:tcPr>
            <w:tcW w:w="0" w:type="auto"/>
            <w:noWrap/>
            <w:vAlign w:val="bottom"/>
          </w:tcPr>
          <w:p w14:paraId="30F710AC" w14:textId="77777777" w:rsidR="00E47AB8" w:rsidRPr="008B2F8A" w:rsidRDefault="00E47AB8" w:rsidP="00422306">
            <w:pPr>
              <w:pStyle w:val="TableText0"/>
              <w:keepNext w:val="0"/>
              <w:spacing w:before="40" w:after="80" w:line="276" w:lineRule="auto"/>
            </w:pPr>
            <w:r w:rsidRPr="008B2F8A">
              <w:t>Prior history of invasive breast cancer</w:t>
            </w:r>
          </w:p>
        </w:tc>
        <w:tc>
          <w:tcPr>
            <w:tcW w:w="0" w:type="auto"/>
            <w:noWrap/>
          </w:tcPr>
          <w:p w14:paraId="11475906" w14:textId="77777777" w:rsidR="00E47AB8" w:rsidRPr="008B2F8A" w:rsidRDefault="00E47AB8" w:rsidP="00422306">
            <w:pPr>
              <w:pStyle w:val="TableText0"/>
              <w:keepNext w:val="0"/>
              <w:spacing w:before="40" w:after="80" w:line="276" w:lineRule="auto"/>
              <w:jc w:val="right"/>
            </w:pPr>
            <w:r w:rsidRPr="008B2F8A">
              <w:t xml:space="preserve"> $272,923 </w:t>
            </w:r>
          </w:p>
        </w:tc>
        <w:tc>
          <w:tcPr>
            <w:tcW w:w="0" w:type="auto"/>
            <w:noWrap/>
          </w:tcPr>
          <w:p w14:paraId="792EFA0B" w14:textId="77777777" w:rsidR="00E47AB8" w:rsidRPr="008B2F8A" w:rsidRDefault="00E47AB8" w:rsidP="00422306">
            <w:pPr>
              <w:pStyle w:val="TableText0"/>
              <w:keepNext w:val="0"/>
              <w:spacing w:before="40" w:after="80" w:line="276" w:lineRule="auto"/>
              <w:jc w:val="right"/>
            </w:pPr>
            <w:r w:rsidRPr="008B2F8A">
              <w:t xml:space="preserve"> $416,544 </w:t>
            </w:r>
          </w:p>
        </w:tc>
        <w:tc>
          <w:tcPr>
            <w:tcW w:w="0" w:type="auto"/>
            <w:noWrap/>
          </w:tcPr>
          <w:p w14:paraId="1A3B610C" w14:textId="77777777" w:rsidR="00E47AB8" w:rsidRPr="008B2F8A" w:rsidRDefault="00E47AB8" w:rsidP="00422306">
            <w:pPr>
              <w:pStyle w:val="TableText0"/>
              <w:keepNext w:val="0"/>
              <w:spacing w:before="40" w:after="80" w:line="276" w:lineRule="auto"/>
              <w:jc w:val="right"/>
            </w:pPr>
            <w:r w:rsidRPr="008B2F8A">
              <w:t xml:space="preserve"> $564,990 </w:t>
            </w:r>
          </w:p>
        </w:tc>
        <w:tc>
          <w:tcPr>
            <w:tcW w:w="0" w:type="auto"/>
            <w:noWrap/>
          </w:tcPr>
          <w:p w14:paraId="7306D64F" w14:textId="77777777" w:rsidR="00E47AB8" w:rsidRPr="008B2F8A" w:rsidRDefault="00E47AB8" w:rsidP="00422306">
            <w:pPr>
              <w:pStyle w:val="TableText0"/>
              <w:keepNext w:val="0"/>
              <w:spacing w:before="40" w:after="80" w:line="276" w:lineRule="auto"/>
              <w:jc w:val="right"/>
            </w:pPr>
            <w:r w:rsidRPr="008B2F8A">
              <w:t xml:space="preserve"> $718,206 </w:t>
            </w:r>
          </w:p>
        </w:tc>
        <w:tc>
          <w:tcPr>
            <w:tcW w:w="0" w:type="auto"/>
            <w:noWrap/>
          </w:tcPr>
          <w:p w14:paraId="68588371" w14:textId="77777777" w:rsidR="00E47AB8" w:rsidRPr="008B2F8A" w:rsidRDefault="00E47AB8" w:rsidP="00422306">
            <w:pPr>
              <w:pStyle w:val="TableText0"/>
              <w:keepNext w:val="0"/>
              <w:spacing w:before="40" w:after="80" w:line="276" w:lineRule="auto"/>
              <w:jc w:val="right"/>
            </w:pPr>
            <w:r w:rsidRPr="008B2F8A">
              <w:t xml:space="preserve"> $797,306 </w:t>
            </w:r>
          </w:p>
        </w:tc>
      </w:tr>
      <w:tr w:rsidR="00E47AB8" w:rsidRPr="008B2F8A" w14:paraId="724484A7" w14:textId="77777777" w:rsidTr="00422306">
        <w:tc>
          <w:tcPr>
            <w:tcW w:w="0" w:type="auto"/>
            <w:noWrap/>
            <w:vAlign w:val="bottom"/>
          </w:tcPr>
          <w:p w14:paraId="66986076" w14:textId="2A6EB3ED"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0" w:type="auto"/>
            <w:noWrap/>
          </w:tcPr>
          <w:p w14:paraId="7EB970A5" w14:textId="77777777" w:rsidR="00E47AB8" w:rsidRPr="008B2F8A" w:rsidRDefault="00E47AB8" w:rsidP="00422306">
            <w:pPr>
              <w:pStyle w:val="TableText0"/>
              <w:keepNext w:val="0"/>
              <w:spacing w:before="40" w:after="80" w:line="276" w:lineRule="auto"/>
              <w:jc w:val="right"/>
            </w:pPr>
            <w:r w:rsidRPr="008B2F8A">
              <w:t xml:space="preserve"> $22,773 </w:t>
            </w:r>
          </w:p>
        </w:tc>
        <w:tc>
          <w:tcPr>
            <w:tcW w:w="0" w:type="auto"/>
            <w:noWrap/>
          </w:tcPr>
          <w:p w14:paraId="2B236BB8" w14:textId="77777777" w:rsidR="00E47AB8" w:rsidRPr="008B2F8A" w:rsidRDefault="00E47AB8" w:rsidP="00422306">
            <w:pPr>
              <w:pStyle w:val="TableText0"/>
              <w:keepNext w:val="0"/>
              <w:spacing w:before="40" w:after="80" w:line="276" w:lineRule="auto"/>
              <w:jc w:val="right"/>
            </w:pPr>
            <w:r w:rsidRPr="008B2F8A">
              <w:t xml:space="preserve"> $34,740 </w:t>
            </w:r>
          </w:p>
        </w:tc>
        <w:tc>
          <w:tcPr>
            <w:tcW w:w="0" w:type="auto"/>
            <w:noWrap/>
          </w:tcPr>
          <w:p w14:paraId="08E83C67" w14:textId="77777777" w:rsidR="00E47AB8" w:rsidRPr="008B2F8A" w:rsidRDefault="00E47AB8" w:rsidP="00422306">
            <w:pPr>
              <w:pStyle w:val="TableText0"/>
              <w:keepNext w:val="0"/>
              <w:spacing w:before="40" w:after="80" w:line="276" w:lineRule="auto"/>
              <w:jc w:val="right"/>
            </w:pPr>
            <w:r w:rsidRPr="008B2F8A">
              <w:t xml:space="preserve"> $47,107 </w:t>
            </w:r>
          </w:p>
        </w:tc>
        <w:tc>
          <w:tcPr>
            <w:tcW w:w="0" w:type="auto"/>
            <w:noWrap/>
          </w:tcPr>
          <w:p w14:paraId="5061E4A1" w14:textId="77777777" w:rsidR="00E47AB8" w:rsidRPr="008B2F8A" w:rsidRDefault="00E47AB8" w:rsidP="00422306">
            <w:pPr>
              <w:pStyle w:val="TableText0"/>
              <w:keepNext w:val="0"/>
              <w:spacing w:before="40" w:after="80" w:line="276" w:lineRule="auto"/>
              <w:jc w:val="right"/>
            </w:pPr>
            <w:r w:rsidRPr="008B2F8A">
              <w:t xml:space="preserve"> $59,885 </w:t>
            </w:r>
          </w:p>
        </w:tc>
        <w:tc>
          <w:tcPr>
            <w:tcW w:w="0" w:type="auto"/>
            <w:noWrap/>
          </w:tcPr>
          <w:p w14:paraId="568CCA94" w14:textId="77777777" w:rsidR="00E47AB8" w:rsidRPr="008B2F8A" w:rsidRDefault="00E47AB8" w:rsidP="00422306">
            <w:pPr>
              <w:pStyle w:val="TableText0"/>
              <w:keepNext w:val="0"/>
              <w:spacing w:before="40" w:after="80" w:line="276" w:lineRule="auto"/>
              <w:jc w:val="right"/>
            </w:pPr>
            <w:r w:rsidRPr="008B2F8A">
              <w:t xml:space="preserve"> $66,506 </w:t>
            </w:r>
          </w:p>
        </w:tc>
      </w:tr>
      <w:tr w:rsidR="00E47AB8" w:rsidRPr="008B2F8A" w14:paraId="066B3229" w14:textId="77777777" w:rsidTr="00422306">
        <w:tc>
          <w:tcPr>
            <w:tcW w:w="0" w:type="auto"/>
            <w:noWrap/>
            <w:vAlign w:val="bottom"/>
          </w:tcPr>
          <w:p w14:paraId="49A1E24B"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0" w:type="auto"/>
            <w:noWrap/>
          </w:tcPr>
          <w:p w14:paraId="6273392D" w14:textId="77777777" w:rsidR="00E47AB8" w:rsidRPr="008B2F8A" w:rsidRDefault="00E47AB8" w:rsidP="00422306">
            <w:pPr>
              <w:pStyle w:val="TableText0"/>
              <w:keepNext w:val="0"/>
              <w:spacing w:before="40" w:after="80" w:line="276" w:lineRule="auto"/>
              <w:jc w:val="right"/>
            </w:pPr>
            <w:r w:rsidRPr="008B2F8A">
              <w:t xml:space="preserve"> $12 </w:t>
            </w:r>
          </w:p>
        </w:tc>
        <w:tc>
          <w:tcPr>
            <w:tcW w:w="0" w:type="auto"/>
            <w:noWrap/>
          </w:tcPr>
          <w:p w14:paraId="79655CB2" w14:textId="77777777" w:rsidR="00E47AB8" w:rsidRPr="008B2F8A" w:rsidRDefault="00E47AB8" w:rsidP="00422306">
            <w:pPr>
              <w:pStyle w:val="TableText0"/>
              <w:keepNext w:val="0"/>
              <w:spacing w:before="40" w:after="80" w:line="276" w:lineRule="auto"/>
              <w:jc w:val="right"/>
            </w:pPr>
            <w:r w:rsidRPr="008B2F8A">
              <w:t xml:space="preserve"> $12 </w:t>
            </w:r>
          </w:p>
        </w:tc>
        <w:tc>
          <w:tcPr>
            <w:tcW w:w="0" w:type="auto"/>
            <w:noWrap/>
          </w:tcPr>
          <w:p w14:paraId="40A20157" w14:textId="77777777" w:rsidR="00E47AB8" w:rsidRPr="008B2F8A" w:rsidRDefault="00E47AB8" w:rsidP="00422306">
            <w:pPr>
              <w:pStyle w:val="TableText0"/>
              <w:keepNext w:val="0"/>
              <w:spacing w:before="40" w:after="80" w:line="276" w:lineRule="auto"/>
              <w:jc w:val="right"/>
            </w:pPr>
            <w:r w:rsidRPr="008B2F8A">
              <w:t xml:space="preserve"> $12 </w:t>
            </w:r>
          </w:p>
        </w:tc>
        <w:tc>
          <w:tcPr>
            <w:tcW w:w="0" w:type="auto"/>
            <w:noWrap/>
          </w:tcPr>
          <w:p w14:paraId="221A3701" w14:textId="77777777" w:rsidR="00E47AB8" w:rsidRPr="008B2F8A" w:rsidRDefault="00E47AB8" w:rsidP="00422306">
            <w:pPr>
              <w:pStyle w:val="TableText0"/>
              <w:keepNext w:val="0"/>
              <w:spacing w:before="40" w:after="80" w:line="276" w:lineRule="auto"/>
              <w:jc w:val="right"/>
            </w:pPr>
            <w:r w:rsidRPr="008B2F8A">
              <w:t xml:space="preserve"> $12 </w:t>
            </w:r>
          </w:p>
        </w:tc>
        <w:tc>
          <w:tcPr>
            <w:tcW w:w="0" w:type="auto"/>
            <w:noWrap/>
          </w:tcPr>
          <w:p w14:paraId="62BCF761" w14:textId="77777777" w:rsidR="00E47AB8" w:rsidRPr="008B2F8A" w:rsidRDefault="00E47AB8" w:rsidP="00422306">
            <w:pPr>
              <w:pStyle w:val="TableText0"/>
              <w:keepNext w:val="0"/>
              <w:spacing w:before="40" w:after="80" w:line="276" w:lineRule="auto"/>
              <w:jc w:val="right"/>
            </w:pPr>
            <w:r w:rsidRPr="008B2F8A">
              <w:t xml:space="preserve"> $12 </w:t>
            </w:r>
          </w:p>
        </w:tc>
      </w:tr>
      <w:tr w:rsidR="00E47AB8" w:rsidRPr="008B2F8A" w14:paraId="416AD870" w14:textId="77777777" w:rsidTr="00422306">
        <w:tc>
          <w:tcPr>
            <w:tcW w:w="0" w:type="auto"/>
            <w:noWrap/>
            <w:vAlign w:val="bottom"/>
          </w:tcPr>
          <w:p w14:paraId="59701447" w14:textId="77777777" w:rsidR="00E47AB8" w:rsidRPr="008B2F8A" w:rsidRDefault="00E47AB8" w:rsidP="00422306">
            <w:pPr>
              <w:pStyle w:val="TableText0"/>
              <w:keepNext w:val="0"/>
              <w:spacing w:before="40" w:after="80" w:line="276" w:lineRule="auto"/>
            </w:pPr>
            <w:r w:rsidRPr="008B2F8A">
              <w:t>All populations</w:t>
            </w:r>
          </w:p>
        </w:tc>
        <w:tc>
          <w:tcPr>
            <w:tcW w:w="0" w:type="auto"/>
            <w:noWrap/>
          </w:tcPr>
          <w:p w14:paraId="3BC6C946" w14:textId="77777777" w:rsidR="00E47AB8" w:rsidRPr="008B2F8A" w:rsidRDefault="00E47AB8" w:rsidP="00422306">
            <w:pPr>
              <w:pStyle w:val="TableText0"/>
              <w:keepNext w:val="0"/>
              <w:spacing w:before="40" w:after="80" w:line="276" w:lineRule="auto"/>
              <w:jc w:val="right"/>
            </w:pPr>
            <w:r w:rsidRPr="008B2F8A">
              <w:t xml:space="preserve"> $502,450 </w:t>
            </w:r>
          </w:p>
        </w:tc>
        <w:tc>
          <w:tcPr>
            <w:tcW w:w="0" w:type="auto"/>
            <w:noWrap/>
          </w:tcPr>
          <w:p w14:paraId="54246855" w14:textId="77777777" w:rsidR="00E47AB8" w:rsidRPr="008B2F8A" w:rsidRDefault="00E47AB8" w:rsidP="00422306">
            <w:pPr>
              <w:pStyle w:val="TableText0"/>
              <w:keepNext w:val="0"/>
              <w:spacing w:before="40" w:after="80" w:line="276" w:lineRule="auto"/>
              <w:jc w:val="right"/>
            </w:pPr>
            <w:r w:rsidRPr="008B2F8A">
              <w:t xml:space="preserve"> $684,691 </w:t>
            </w:r>
          </w:p>
        </w:tc>
        <w:tc>
          <w:tcPr>
            <w:tcW w:w="0" w:type="auto"/>
            <w:noWrap/>
          </w:tcPr>
          <w:p w14:paraId="13C35FEB" w14:textId="77777777" w:rsidR="00E47AB8" w:rsidRPr="008B2F8A" w:rsidRDefault="00E47AB8" w:rsidP="00422306">
            <w:pPr>
              <w:pStyle w:val="TableText0"/>
              <w:keepNext w:val="0"/>
              <w:spacing w:before="40" w:after="80" w:line="276" w:lineRule="auto"/>
              <w:jc w:val="right"/>
            </w:pPr>
            <w:r w:rsidRPr="008B2F8A">
              <w:t xml:space="preserve"> $872,159 </w:t>
            </w:r>
          </w:p>
        </w:tc>
        <w:tc>
          <w:tcPr>
            <w:tcW w:w="0" w:type="auto"/>
            <w:noWrap/>
          </w:tcPr>
          <w:p w14:paraId="49438872" w14:textId="77777777" w:rsidR="00E47AB8" w:rsidRPr="008B2F8A" w:rsidRDefault="00E47AB8" w:rsidP="00422306">
            <w:pPr>
              <w:pStyle w:val="TableText0"/>
              <w:keepNext w:val="0"/>
              <w:spacing w:before="40" w:after="80" w:line="276" w:lineRule="auto"/>
              <w:jc w:val="right"/>
            </w:pPr>
            <w:r w:rsidRPr="008B2F8A">
              <w:t xml:space="preserve"> $1,064,806 </w:t>
            </w:r>
          </w:p>
        </w:tc>
        <w:tc>
          <w:tcPr>
            <w:tcW w:w="0" w:type="auto"/>
            <w:noWrap/>
          </w:tcPr>
          <w:p w14:paraId="3ED66198" w14:textId="77777777" w:rsidR="00E47AB8" w:rsidRPr="008B2F8A" w:rsidRDefault="00E47AB8" w:rsidP="00422306">
            <w:pPr>
              <w:pStyle w:val="TableText0"/>
              <w:keepNext w:val="0"/>
              <w:spacing w:before="40" w:after="80" w:line="276" w:lineRule="auto"/>
              <w:jc w:val="right"/>
            </w:pPr>
            <w:r w:rsidRPr="008B2F8A">
              <w:t xml:space="preserve"> $1,177,180 </w:t>
            </w:r>
          </w:p>
        </w:tc>
      </w:tr>
    </w:tbl>
    <w:p w14:paraId="423DF3DA" w14:textId="17AE931B" w:rsidR="00E47AB8" w:rsidRPr="008B2F8A"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5DC0CAAF" w14:textId="77777777" w:rsidR="00E47AB8" w:rsidRPr="008B2F8A" w:rsidRDefault="00E47AB8" w:rsidP="00E47AB8">
      <w:pPr>
        <w:pStyle w:val="Heading3"/>
        <w:numPr>
          <w:ilvl w:val="2"/>
          <w:numId w:val="42"/>
        </w:numPr>
      </w:pPr>
      <w:bookmarkStart w:id="1405" w:name="_Toc383424538"/>
      <w:r w:rsidRPr="008B2F8A">
        <w:t>Total cost to government health budgets</w:t>
      </w:r>
      <w:bookmarkEnd w:id="1405"/>
    </w:p>
    <w:p w14:paraId="482C8945" w14:textId="3333AF2B" w:rsidR="00E47AB8" w:rsidRPr="008B2F8A" w:rsidRDefault="00E47AB8" w:rsidP="00422306">
      <w:pPr>
        <w:spacing w:after="240"/>
      </w:pPr>
      <w:r w:rsidRPr="008B2F8A">
        <w:t xml:space="preserve">The total cost of the proposed listing to government health budgets is presented in </w:t>
      </w:r>
      <w:r w:rsidRPr="008B2F8A">
        <w:fldChar w:fldCharType="begin"/>
      </w:r>
      <w:r w:rsidRPr="008B2F8A">
        <w:instrText xml:space="preserve"> REF _Ref376869325 \h </w:instrText>
      </w:r>
      <w:r w:rsidRPr="008B2F8A">
        <w:fldChar w:fldCharType="separate"/>
      </w:r>
      <w:r w:rsidR="00B81273" w:rsidRPr="008B2F8A">
        <w:t xml:space="preserve">Table </w:t>
      </w:r>
      <w:r w:rsidR="00B81273">
        <w:rPr>
          <w:noProof/>
        </w:rPr>
        <w:t>E</w:t>
      </w:r>
      <w:r w:rsidR="00B81273" w:rsidRPr="008B2F8A">
        <w:t>.</w:t>
      </w:r>
      <w:r w:rsidR="00B81273">
        <w:rPr>
          <w:noProof/>
        </w:rPr>
        <w:t>32</w:t>
      </w:r>
      <w:r w:rsidRPr="008B2F8A">
        <w:fldChar w:fldCharType="end"/>
      </w:r>
      <w:r w:rsidRPr="008B2F8A">
        <w:t>. This includes the estimated costs to the MBS, PBS, and state and territory governments. The estimated total cost to government of the proposed listings is $9.7 million in 2015, rising to $23.</w:t>
      </w:r>
      <w:r>
        <w:t>4</w:t>
      </w:r>
      <w:r w:rsidRPr="008B2F8A">
        <w:t xml:space="preserve"> million in 2019. The majority of this cost comes from the cost of performing breast MRI, with treatment and follow-up costs making a minor contribution.</w:t>
      </w:r>
    </w:p>
    <w:p w14:paraId="6F9AF2E8" w14:textId="60D3D70A" w:rsidR="00E47AB8" w:rsidRPr="008B2F8A" w:rsidRDefault="00E47AB8" w:rsidP="00422306">
      <w:pPr>
        <w:pStyle w:val="Caption"/>
        <w:ind w:left="1440" w:hanging="1440"/>
      </w:pPr>
      <w:bookmarkStart w:id="1406" w:name="_Ref376869325"/>
      <w:bookmarkStart w:id="1407" w:name="_Toc383424663"/>
      <w:r w:rsidRPr="008B2F8A">
        <w:t xml:space="preserve">Table </w:t>
      </w:r>
      <w:fldSimple w:instr=" STYLEREF 1 \s ">
        <w:r w:rsidR="00B81273">
          <w:rPr>
            <w:noProof/>
          </w:rPr>
          <w:t>E</w:t>
        </w:r>
      </w:fldSimple>
      <w:r w:rsidRPr="008B2F8A">
        <w:t>.</w:t>
      </w:r>
      <w:fldSimple w:instr=" SEQ Table \* ARABIC \s 1 ">
        <w:r w:rsidR="00B81273">
          <w:rPr>
            <w:noProof/>
          </w:rPr>
          <w:t>32</w:t>
        </w:r>
      </w:fldSimple>
      <w:bookmarkEnd w:id="1406"/>
      <w:r w:rsidRPr="008B2F8A">
        <w:tab/>
        <w:t>Total cost</w:t>
      </w:r>
      <w:r>
        <w:t>s</w:t>
      </w:r>
      <w:r w:rsidRPr="008B2F8A">
        <w:t xml:space="preserve"> to government health budgets.</w:t>
      </w:r>
      <w:bookmarkEnd w:id="1407"/>
    </w:p>
    <w:tbl>
      <w:tblPr>
        <w:tblStyle w:val="TableGrid"/>
        <w:tblW w:w="9126" w:type="dxa"/>
        <w:tblLayout w:type="fixed"/>
        <w:tblCellMar>
          <w:left w:w="28" w:type="dxa"/>
          <w:right w:w="28" w:type="dxa"/>
        </w:tblCellMar>
        <w:tblLook w:val="04A0" w:firstRow="1" w:lastRow="0" w:firstColumn="1" w:lastColumn="0" w:noHBand="0" w:noVBand="1"/>
        <w:tblCaption w:val="Total costs to government health budgets."/>
      </w:tblPr>
      <w:tblGrid>
        <w:gridCol w:w="3436"/>
        <w:gridCol w:w="1136"/>
        <w:gridCol w:w="1136"/>
        <w:gridCol w:w="1136"/>
        <w:gridCol w:w="1136"/>
        <w:gridCol w:w="1146"/>
      </w:tblGrid>
      <w:tr w:rsidR="00E47AB8" w:rsidRPr="008B2F8A" w14:paraId="45E27253" w14:textId="77777777" w:rsidTr="004E7861">
        <w:trPr>
          <w:tblHeader/>
        </w:trPr>
        <w:tc>
          <w:tcPr>
            <w:tcW w:w="3436" w:type="dxa"/>
            <w:noWrap/>
            <w:hideMark/>
          </w:tcPr>
          <w:p w14:paraId="26659C21" w14:textId="77777777" w:rsidR="00E47AB8" w:rsidRPr="008B2F8A" w:rsidRDefault="00E47AB8" w:rsidP="00422306">
            <w:pPr>
              <w:pStyle w:val="Tableheaderrow"/>
              <w:spacing w:before="40" w:after="80" w:line="276" w:lineRule="auto"/>
            </w:pPr>
            <w:r w:rsidRPr="008B2F8A">
              <w:t>Population</w:t>
            </w:r>
          </w:p>
        </w:tc>
        <w:tc>
          <w:tcPr>
            <w:tcW w:w="1136" w:type="dxa"/>
            <w:noWrap/>
            <w:hideMark/>
          </w:tcPr>
          <w:p w14:paraId="23235C8E" w14:textId="77777777" w:rsidR="00E47AB8" w:rsidRPr="008B2F8A" w:rsidRDefault="00E47AB8" w:rsidP="00422306">
            <w:pPr>
              <w:pStyle w:val="Tableheaderrow"/>
              <w:spacing w:before="40" w:after="80" w:line="276" w:lineRule="auto"/>
              <w:jc w:val="center"/>
            </w:pPr>
            <w:r w:rsidRPr="008B2F8A">
              <w:t>FY 2015</w:t>
            </w:r>
          </w:p>
        </w:tc>
        <w:tc>
          <w:tcPr>
            <w:tcW w:w="1136" w:type="dxa"/>
            <w:noWrap/>
            <w:hideMark/>
          </w:tcPr>
          <w:p w14:paraId="1EA280C4" w14:textId="77777777" w:rsidR="00E47AB8" w:rsidRPr="008B2F8A" w:rsidRDefault="00E47AB8" w:rsidP="00422306">
            <w:pPr>
              <w:pStyle w:val="Tableheaderrow"/>
              <w:spacing w:before="40" w:after="80" w:line="276" w:lineRule="auto"/>
              <w:jc w:val="center"/>
            </w:pPr>
            <w:r w:rsidRPr="008B2F8A">
              <w:t>FY 2016</w:t>
            </w:r>
          </w:p>
        </w:tc>
        <w:tc>
          <w:tcPr>
            <w:tcW w:w="1136" w:type="dxa"/>
            <w:noWrap/>
            <w:hideMark/>
          </w:tcPr>
          <w:p w14:paraId="5B329620" w14:textId="77777777" w:rsidR="00E47AB8" w:rsidRPr="008B2F8A" w:rsidRDefault="00E47AB8" w:rsidP="00422306">
            <w:pPr>
              <w:pStyle w:val="Tableheaderrow"/>
              <w:spacing w:before="40" w:after="80" w:line="276" w:lineRule="auto"/>
              <w:jc w:val="center"/>
            </w:pPr>
            <w:r w:rsidRPr="008B2F8A">
              <w:t>FY 2017</w:t>
            </w:r>
          </w:p>
        </w:tc>
        <w:tc>
          <w:tcPr>
            <w:tcW w:w="1136" w:type="dxa"/>
            <w:noWrap/>
            <w:hideMark/>
          </w:tcPr>
          <w:p w14:paraId="3EB628EF" w14:textId="77777777" w:rsidR="00E47AB8" w:rsidRPr="008B2F8A" w:rsidRDefault="00E47AB8" w:rsidP="00422306">
            <w:pPr>
              <w:pStyle w:val="Tableheaderrow"/>
              <w:spacing w:before="40" w:after="80" w:line="276" w:lineRule="auto"/>
              <w:jc w:val="center"/>
            </w:pPr>
            <w:r w:rsidRPr="008B2F8A">
              <w:t>FY 2018</w:t>
            </w:r>
          </w:p>
        </w:tc>
        <w:tc>
          <w:tcPr>
            <w:tcW w:w="1146" w:type="dxa"/>
            <w:noWrap/>
            <w:hideMark/>
          </w:tcPr>
          <w:p w14:paraId="6D4D3476"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420958FB" w14:textId="77777777" w:rsidTr="004E7861">
        <w:tc>
          <w:tcPr>
            <w:tcW w:w="3436" w:type="dxa"/>
            <w:noWrap/>
            <w:vAlign w:val="bottom"/>
            <w:hideMark/>
          </w:tcPr>
          <w:p w14:paraId="1B48C3E1" w14:textId="77777777" w:rsidR="00E47AB8" w:rsidRPr="008B2F8A" w:rsidRDefault="00E47AB8" w:rsidP="00422306">
            <w:pPr>
              <w:pStyle w:val="TableText0"/>
              <w:keepNext w:val="0"/>
              <w:spacing w:before="40" w:after="80" w:line="276" w:lineRule="auto"/>
            </w:pPr>
            <w:r w:rsidRPr="008B2F8A">
              <w:t>Gene mutation or family history</w:t>
            </w:r>
          </w:p>
        </w:tc>
        <w:tc>
          <w:tcPr>
            <w:tcW w:w="1136" w:type="dxa"/>
            <w:noWrap/>
            <w:hideMark/>
          </w:tcPr>
          <w:p w14:paraId="518F4D87" w14:textId="77777777" w:rsidR="00E47AB8" w:rsidRPr="008B2F8A" w:rsidRDefault="00E47AB8" w:rsidP="00422306">
            <w:pPr>
              <w:pStyle w:val="TableText0"/>
              <w:keepNext w:val="0"/>
              <w:spacing w:before="40" w:after="80" w:line="276" w:lineRule="auto"/>
              <w:jc w:val="right"/>
            </w:pPr>
            <w:r w:rsidRPr="008B2F8A">
              <w:t xml:space="preserve"> $3,692,534 </w:t>
            </w:r>
          </w:p>
        </w:tc>
        <w:tc>
          <w:tcPr>
            <w:tcW w:w="1136" w:type="dxa"/>
            <w:noWrap/>
            <w:hideMark/>
          </w:tcPr>
          <w:p w14:paraId="019E1621" w14:textId="77777777" w:rsidR="00E47AB8" w:rsidRPr="008B2F8A" w:rsidRDefault="00E47AB8" w:rsidP="00422306">
            <w:pPr>
              <w:pStyle w:val="TableText0"/>
              <w:keepNext w:val="0"/>
              <w:spacing w:before="40" w:after="80" w:line="276" w:lineRule="auto"/>
              <w:jc w:val="right"/>
            </w:pPr>
            <w:r w:rsidRPr="008B2F8A">
              <w:t xml:space="preserve"> $4,168,575 </w:t>
            </w:r>
          </w:p>
        </w:tc>
        <w:tc>
          <w:tcPr>
            <w:tcW w:w="1136" w:type="dxa"/>
            <w:noWrap/>
            <w:hideMark/>
          </w:tcPr>
          <w:p w14:paraId="28C39A8D" w14:textId="77777777" w:rsidR="00E47AB8" w:rsidRPr="008B2F8A" w:rsidRDefault="00E47AB8" w:rsidP="00422306">
            <w:pPr>
              <w:pStyle w:val="TableText0"/>
              <w:keepNext w:val="0"/>
              <w:spacing w:before="40" w:after="80" w:line="276" w:lineRule="auto"/>
              <w:jc w:val="right"/>
            </w:pPr>
            <w:r w:rsidRPr="008B2F8A">
              <w:t xml:space="preserve"> $4,644,616 </w:t>
            </w:r>
          </w:p>
        </w:tc>
        <w:tc>
          <w:tcPr>
            <w:tcW w:w="1136" w:type="dxa"/>
            <w:noWrap/>
            <w:hideMark/>
          </w:tcPr>
          <w:p w14:paraId="730CCD4A" w14:textId="77777777" w:rsidR="00E47AB8" w:rsidRPr="008B2F8A" w:rsidRDefault="00E47AB8" w:rsidP="00422306">
            <w:pPr>
              <w:pStyle w:val="TableText0"/>
              <w:keepNext w:val="0"/>
              <w:spacing w:before="40" w:after="80" w:line="276" w:lineRule="auto"/>
              <w:jc w:val="right"/>
            </w:pPr>
            <w:r w:rsidRPr="008B2F8A">
              <w:t xml:space="preserve"> $5,120,657 </w:t>
            </w:r>
          </w:p>
        </w:tc>
        <w:tc>
          <w:tcPr>
            <w:tcW w:w="1146" w:type="dxa"/>
            <w:noWrap/>
            <w:hideMark/>
          </w:tcPr>
          <w:p w14:paraId="4D2C92D2" w14:textId="77777777" w:rsidR="00E47AB8" w:rsidRPr="008B2F8A" w:rsidRDefault="00E47AB8" w:rsidP="00422306">
            <w:pPr>
              <w:pStyle w:val="TableText0"/>
              <w:keepNext w:val="0"/>
              <w:spacing w:before="40" w:after="80" w:line="276" w:lineRule="auto"/>
              <w:jc w:val="right"/>
            </w:pPr>
            <w:r w:rsidRPr="008B2F8A">
              <w:t xml:space="preserve"> $5,596,698 </w:t>
            </w:r>
          </w:p>
        </w:tc>
      </w:tr>
      <w:tr w:rsidR="00E47AB8" w:rsidRPr="008B2F8A" w14:paraId="37B163B6" w14:textId="77777777" w:rsidTr="004E7861">
        <w:tc>
          <w:tcPr>
            <w:tcW w:w="3436" w:type="dxa"/>
            <w:noWrap/>
            <w:vAlign w:val="bottom"/>
          </w:tcPr>
          <w:p w14:paraId="7BA77517" w14:textId="77777777" w:rsidR="00E47AB8" w:rsidRPr="008B2F8A" w:rsidRDefault="00E47AB8" w:rsidP="00422306">
            <w:pPr>
              <w:pStyle w:val="TableText0"/>
              <w:keepNext w:val="0"/>
              <w:spacing w:before="40" w:after="80" w:line="276" w:lineRule="auto"/>
            </w:pPr>
            <w:r w:rsidRPr="008B2F8A">
              <w:t>Prior history of invasive breast cancer</w:t>
            </w:r>
          </w:p>
        </w:tc>
        <w:tc>
          <w:tcPr>
            <w:tcW w:w="1136" w:type="dxa"/>
            <w:noWrap/>
          </w:tcPr>
          <w:p w14:paraId="6243E060" w14:textId="77777777" w:rsidR="00E47AB8" w:rsidRPr="008B2F8A" w:rsidRDefault="00E47AB8" w:rsidP="00422306">
            <w:pPr>
              <w:pStyle w:val="TableText0"/>
              <w:keepNext w:val="0"/>
              <w:spacing w:before="40" w:after="80" w:line="276" w:lineRule="auto"/>
              <w:jc w:val="right"/>
            </w:pPr>
            <w:r w:rsidRPr="008B2F8A">
              <w:t xml:space="preserve"> $5,379,612 </w:t>
            </w:r>
          </w:p>
        </w:tc>
        <w:tc>
          <w:tcPr>
            <w:tcW w:w="1136" w:type="dxa"/>
            <w:noWrap/>
          </w:tcPr>
          <w:p w14:paraId="6103A7CD" w14:textId="77777777" w:rsidR="00E47AB8" w:rsidRPr="008B2F8A" w:rsidRDefault="00E47AB8" w:rsidP="00422306">
            <w:pPr>
              <w:pStyle w:val="TableText0"/>
              <w:keepNext w:val="0"/>
              <w:spacing w:before="40" w:after="80" w:line="276" w:lineRule="auto"/>
              <w:jc w:val="right"/>
            </w:pPr>
            <w:r w:rsidRPr="008B2F8A">
              <w:t xml:space="preserve"> $8,210,544 </w:t>
            </w:r>
          </w:p>
        </w:tc>
        <w:tc>
          <w:tcPr>
            <w:tcW w:w="1136" w:type="dxa"/>
            <w:noWrap/>
          </w:tcPr>
          <w:p w14:paraId="64495703" w14:textId="77777777" w:rsidR="00E47AB8" w:rsidRPr="008B2F8A" w:rsidRDefault="00E47AB8" w:rsidP="00422306">
            <w:pPr>
              <w:pStyle w:val="TableText0"/>
              <w:keepNext w:val="0"/>
              <w:spacing w:before="40" w:after="80" w:line="276" w:lineRule="auto"/>
              <w:jc w:val="right"/>
            </w:pPr>
            <w:r w:rsidRPr="008B2F8A">
              <w:t xml:space="preserve"> $11,136,588 </w:t>
            </w:r>
          </w:p>
        </w:tc>
        <w:tc>
          <w:tcPr>
            <w:tcW w:w="1136" w:type="dxa"/>
            <w:noWrap/>
          </w:tcPr>
          <w:p w14:paraId="6C9BEB60" w14:textId="77777777" w:rsidR="00E47AB8" w:rsidRPr="008B2F8A" w:rsidRDefault="00E47AB8" w:rsidP="00422306">
            <w:pPr>
              <w:pStyle w:val="TableText0"/>
              <w:keepNext w:val="0"/>
              <w:spacing w:before="40" w:after="80" w:line="276" w:lineRule="auto"/>
              <w:jc w:val="right"/>
            </w:pPr>
            <w:r w:rsidRPr="008B2F8A">
              <w:t xml:space="preserve"> $14,156,645 </w:t>
            </w:r>
          </w:p>
        </w:tc>
        <w:tc>
          <w:tcPr>
            <w:tcW w:w="1146" w:type="dxa"/>
            <w:noWrap/>
          </w:tcPr>
          <w:p w14:paraId="34A1A12F" w14:textId="77777777" w:rsidR="00E47AB8" w:rsidRPr="008B2F8A" w:rsidRDefault="00E47AB8" w:rsidP="00422306">
            <w:pPr>
              <w:pStyle w:val="TableText0"/>
              <w:keepNext w:val="0"/>
              <w:spacing w:before="40" w:after="80" w:line="276" w:lineRule="auto"/>
              <w:jc w:val="right"/>
            </w:pPr>
            <w:r w:rsidRPr="008B2F8A">
              <w:t xml:space="preserve"> $15,715,791 </w:t>
            </w:r>
          </w:p>
        </w:tc>
      </w:tr>
      <w:tr w:rsidR="00E47AB8" w:rsidRPr="008B2F8A" w14:paraId="0F730BCD" w14:textId="77777777" w:rsidTr="004E7861">
        <w:tc>
          <w:tcPr>
            <w:tcW w:w="3436" w:type="dxa"/>
            <w:noWrap/>
            <w:vAlign w:val="bottom"/>
          </w:tcPr>
          <w:p w14:paraId="2B4B1C94" w14:textId="39ED9358"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1136" w:type="dxa"/>
            <w:noWrap/>
          </w:tcPr>
          <w:p w14:paraId="7B941CF9" w14:textId="77777777" w:rsidR="00E47AB8" w:rsidRPr="008B2F8A" w:rsidRDefault="00E47AB8" w:rsidP="00422306">
            <w:pPr>
              <w:pStyle w:val="TableText0"/>
              <w:keepNext w:val="0"/>
              <w:spacing w:before="40" w:after="80" w:line="276" w:lineRule="auto"/>
              <w:jc w:val="right"/>
            </w:pPr>
            <w:r w:rsidRPr="008B2F8A">
              <w:t xml:space="preserve"> $611,543 </w:t>
            </w:r>
          </w:p>
        </w:tc>
        <w:tc>
          <w:tcPr>
            <w:tcW w:w="1136" w:type="dxa"/>
            <w:noWrap/>
          </w:tcPr>
          <w:p w14:paraId="7C287A09" w14:textId="77777777" w:rsidR="00E47AB8" w:rsidRPr="008B2F8A" w:rsidRDefault="00E47AB8" w:rsidP="00422306">
            <w:pPr>
              <w:pStyle w:val="TableText0"/>
              <w:keepNext w:val="0"/>
              <w:spacing w:before="40" w:after="80" w:line="276" w:lineRule="auto"/>
              <w:jc w:val="right"/>
            </w:pPr>
            <w:r w:rsidRPr="008B2F8A">
              <w:t xml:space="preserve"> $932,909 </w:t>
            </w:r>
          </w:p>
        </w:tc>
        <w:tc>
          <w:tcPr>
            <w:tcW w:w="1136" w:type="dxa"/>
            <w:noWrap/>
          </w:tcPr>
          <w:p w14:paraId="37DE9598" w14:textId="77777777" w:rsidR="00E47AB8" w:rsidRPr="008B2F8A" w:rsidRDefault="00E47AB8" w:rsidP="00422306">
            <w:pPr>
              <w:pStyle w:val="TableText0"/>
              <w:keepNext w:val="0"/>
              <w:spacing w:before="40" w:after="80" w:line="276" w:lineRule="auto"/>
              <w:jc w:val="right"/>
            </w:pPr>
            <w:r w:rsidRPr="008B2F8A">
              <w:t xml:space="preserve"> $1,265,024 </w:t>
            </w:r>
          </w:p>
        </w:tc>
        <w:tc>
          <w:tcPr>
            <w:tcW w:w="1136" w:type="dxa"/>
            <w:noWrap/>
          </w:tcPr>
          <w:p w14:paraId="711DB877" w14:textId="77777777" w:rsidR="00E47AB8" w:rsidRPr="008B2F8A" w:rsidRDefault="00E47AB8" w:rsidP="00422306">
            <w:pPr>
              <w:pStyle w:val="TableText0"/>
              <w:keepNext w:val="0"/>
              <w:spacing w:before="40" w:after="80" w:line="276" w:lineRule="auto"/>
              <w:jc w:val="right"/>
            </w:pPr>
            <w:r w:rsidRPr="008B2F8A">
              <w:t xml:space="preserve"> $1,608,162 </w:t>
            </w:r>
          </w:p>
        </w:tc>
        <w:tc>
          <w:tcPr>
            <w:tcW w:w="1146" w:type="dxa"/>
            <w:noWrap/>
          </w:tcPr>
          <w:p w14:paraId="1C3A9BAD" w14:textId="77777777" w:rsidR="00E47AB8" w:rsidRPr="008B2F8A" w:rsidRDefault="00E47AB8" w:rsidP="00422306">
            <w:pPr>
              <w:pStyle w:val="TableText0"/>
              <w:keepNext w:val="0"/>
              <w:spacing w:before="40" w:after="80" w:line="276" w:lineRule="auto"/>
              <w:jc w:val="right"/>
            </w:pPr>
            <w:r w:rsidRPr="008B2F8A">
              <w:t xml:space="preserve"> $1,785,967 </w:t>
            </w:r>
          </w:p>
        </w:tc>
      </w:tr>
      <w:tr w:rsidR="00E47AB8" w:rsidRPr="008B2F8A" w14:paraId="644384E2" w14:textId="77777777" w:rsidTr="004E7861">
        <w:tc>
          <w:tcPr>
            <w:tcW w:w="3436" w:type="dxa"/>
            <w:noWrap/>
            <w:vAlign w:val="bottom"/>
          </w:tcPr>
          <w:p w14:paraId="4B9863AE" w14:textId="6A3A6258" w:rsidR="00E47AB8" w:rsidRPr="008B2F8A" w:rsidRDefault="00E47AB8" w:rsidP="00422306">
            <w:pPr>
              <w:pStyle w:val="TableText0"/>
              <w:keepNext w:val="0"/>
              <w:spacing w:before="40" w:after="80" w:line="276" w:lineRule="auto"/>
            </w:pPr>
            <w:r w:rsidRPr="008B2F8A">
              <w:t>Prior history of therapeutic radiation to chest</w:t>
            </w:r>
          </w:p>
        </w:tc>
        <w:tc>
          <w:tcPr>
            <w:tcW w:w="1136" w:type="dxa"/>
            <w:noWrap/>
          </w:tcPr>
          <w:p w14:paraId="3034EA7F" w14:textId="77777777" w:rsidR="00E47AB8" w:rsidRPr="008B2F8A" w:rsidRDefault="00E47AB8" w:rsidP="00422306">
            <w:pPr>
              <w:pStyle w:val="TableText0"/>
              <w:keepNext w:val="0"/>
              <w:spacing w:before="40" w:after="80" w:line="276" w:lineRule="auto"/>
              <w:jc w:val="right"/>
            </w:pPr>
            <w:r w:rsidRPr="008B2F8A">
              <w:t xml:space="preserve"> $52,500 </w:t>
            </w:r>
          </w:p>
        </w:tc>
        <w:tc>
          <w:tcPr>
            <w:tcW w:w="1136" w:type="dxa"/>
            <w:noWrap/>
          </w:tcPr>
          <w:p w14:paraId="7914CD45" w14:textId="77777777" w:rsidR="00E47AB8" w:rsidRPr="008B2F8A" w:rsidRDefault="00E47AB8" w:rsidP="00422306">
            <w:pPr>
              <w:pStyle w:val="TableText0"/>
              <w:keepNext w:val="0"/>
              <w:spacing w:before="40" w:after="80" w:line="276" w:lineRule="auto"/>
              <w:jc w:val="right"/>
            </w:pPr>
            <w:r w:rsidRPr="008B2F8A">
              <w:t xml:space="preserve"> $106,751 </w:t>
            </w:r>
          </w:p>
        </w:tc>
        <w:tc>
          <w:tcPr>
            <w:tcW w:w="1136" w:type="dxa"/>
            <w:noWrap/>
          </w:tcPr>
          <w:p w14:paraId="2E13C6AE" w14:textId="77777777" w:rsidR="00E47AB8" w:rsidRPr="008B2F8A" w:rsidRDefault="00E47AB8" w:rsidP="00422306">
            <w:pPr>
              <w:pStyle w:val="TableText0"/>
              <w:keepNext w:val="0"/>
              <w:spacing w:before="40" w:after="80" w:line="276" w:lineRule="auto"/>
              <w:jc w:val="right"/>
            </w:pPr>
            <w:r w:rsidRPr="008B2F8A">
              <w:t xml:space="preserve"> $162,832 </w:t>
            </w:r>
          </w:p>
        </w:tc>
        <w:tc>
          <w:tcPr>
            <w:tcW w:w="1136" w:type="dxa"/>
            <w:noWrap/>
          </w:tcPr>
          <w:p w14:paraId="47B9C95E" w14:textId="77777777" w:rsidR="00E47AB8" w:rsidRPr="008B2F8A" w:rsidRDefault="00E47AB8" w:rsidP="00422306">
            <w:pPr>
              <w:pStyle w:val="TableText0"/>
              <w:keepNext w:val="0"/>
              <w:spacing w:before="40" w:after="80" w:line="276" w:lineRule="auto"/>
              <w:jc w:val="right"/>
            </w:pPr>
            <w:r w:rsidRPr="008B2F8A">
              <w:t xml:space="preserve"> $220,789 </w:t>
            </w:r>
          </w:p>
        </w:tc>
        <w:tc>
          <w:tcPr>
            <w:tcW w:w="1146" w:type="dxa"/>
            <w:noWrap/>
          </w:tcPr>
          <w:p w14:paraId="3D6EF1EA" w14:textId="77777777" w:rsidR="00E47AB8" w:rsidRPr="008B2F8A" w:rsidRDefault="00E47AB8" w:rsidP="00422306">
            <w:pPr>
              <w:pStyle w:val="TableText0"/>
              <w:keepNext w:val="0"/>
              <w:spacing w:before="40" w:after="80" w:line="276" w:lineRule="auto"/>
              <w:jc w:val="right"/>
            </w:pPr>
            <w:r w:rsidRPr="008B2F8A">
              <w:t xml:space="preserve"> $255,813 </w:t>
            </w:r>
          </w:p>
        </w:tc>
      </w:tr>
      <w:tr w:rsidR="00E47AB8" w:rsidRPr="008B2F8A" w14:paraId="1E35224F" w14:textId="77777777" w:rsidTr="004E7861">
        <w:tc>
          <w:tcPr>
            <w:tcW w:w="3436" w:type="dxa"/>
            <w:noWrap/>
            <w:vAlign w:val="bottom"/>
          </w:tcPr>
          <w:p w14:paraId="0D4DBB01" w14:textId="77777777" w:rsidR="00E47AB8" w:rsidRPr="008B2F8A" w:rsidRDefault="00E47AB8" w:rsidP="00422306">
            <w:pPr>
              <w:pStyle w:val="TableText0"/>
              <w:keepNext w:val="0"/>
              <w:spacing w:before="40" w:after="80" w:line="276" w:lineRule="auto"/>
            </w:pPr>
            <w:r w:rsidRPr="008B2F8A">
              <w:t>All populations</w:t>
            </w:r>
          </w:p>
        </w:tc>
        <w:tc>
          <w:tcPr>
            <w:tcW w:w="1136" w:type="dxa"/>
            <w:noWrap/>
          </w:tcPr>
          <w:p w14:paraId="7A0BD43A" w14:textId="77777777" w:rsidR="00E47AB8" w:rsidRPr="008B2F8A" w:rsidRDefault="00E47AB8" w:rsidP="00422306">
            <w:pPr>
              <w:pStyle w:val="TableText0"/>
              <w:keepNext w:val="0"/>
              <w:spacing w:before="40" w:after="80" w:line="276" w:lineRule="auto"/>
              <w:jc w:val="right"/>
            </w:pPr>
            <w:r w:rsidRPr="008B2F8A">
              <w:t xml:space="preserve"> $9,736,188 </w:t>
            </w:r>
          </w:p>
        </w:tc>
        <w:tc>
          <w:tcPr>
            <w:tcW w:w="1136" w:type="dxa"/>
            <w:noWrap/>
          </w:tcPr>
          <w:p w14:paraId="32D99E1F" w14:textId="77777777" w:rsidR="00E47AB8" w:rsidRPr="008B2F8A" w:rsidRDefault="00E47AB8" w:rsidP="00422306">
            <w:pPr>
              <w:pStyle w:val="TableText0"/>
              <w:keepNext w:val="0"/>
              <w:spacing w:before="40" w:after="80" w:line="276" w:lineRule="auto"/>
              <w:jc w:val="right"/>
            </w:pPr>
            <w:r w:rsidRPr="008B2F8A">
              <w:t xml:space="preserve"> $13,418,779 </w:t>
            </w:r>
          </w:p>
        </w:tc>
        <w:tc>
          <w:tcPr>
            <w:tcW w:w="1136" w:type="dxa"/>
            <w:noWrap/>
          </w:tcPr>
          <w:p w14:paraId="6193D836" w14:textId="77777777" w:rsidR="00E47AB8" w:rsidRPr="008B2F8A" w:rsidRDefault="00E47AB8" w:rsidP="00422306">
            <w:pPr>
              <w:pStyle w:val="TableText0"/>
              <w:keepNext w:val="0"/>
              <w:spacing w:before="40" w:after="80" w:line="276" w:lineRule="auto"/>
              <w:jc w:val="right"/>
            </w:pPr>
            <w:r w:rsidRPr="008B2F8A">
              <w:t xml:space="preserve"> $17,209,060 </w:t>
            </w:r>
          </w:p>
        </w:tc>
        <w:tc>
          <w:tcPr>
            <w:tcW w:w="1136" w:type="dxa"/>
            <w:noWrap/>
          </w:tcPr>
          <w:p w14:paraId="7FDA7E5C" w14:textId="77777777" w:rsidR="00E47AB8" w:rsidRPr="008B2F8A" w:rsidRDefault="00E47AB8" w:rsidP="00422306">
            <w:pPr>
              <w:pStyle w:val="TableText0"/>
              <w:keepNext w:val="0"/>
              <w:spacing w:before="40" w:after="80" w:line="276" w:lineRule="auto"/>
              <w:jc w:val="right"/>
            </w:pPr>
            <w:r w:rsidRPr="008B2F8A">
              <w:t xml:space="preserve"> $21,106,253 </w:t>
            </w:r>
          </w:p>
        </w:tc>
        <w:tc>
          <w:tcPr>
            <w:tcW w:w="1146" w:type="dxa"/>
            <w:noWrap/>
          </w:tcPr>
          <w:p w14:paraId="7C2E7B17" w14:textId="77777777" w:rsidR="00E47AB8" w:rsidRPr="008B2F8A" w:rsidRDefault="00E47AB8" w:rsidP="00422306">
            <w:pPr>
              <w:pStyle w:val="TableText0"/>
              <w:keepNext w:val="0"/>
              <w:spacing w:before="40" w:after="80" w:line="276" w:lineRule="auto"/>
              <w:jc w:val="right"/>
            </w:pPr>
            <w:r w:rsidRPr="008B2F8A">
              <w:t xml:space="preserve"> $23,354,268 </w:t>
            </w:r>
          </w:p>
        </w:tc>
      </w:tr>
    </w:tbl>
    <w:p w14:paraId="6AC67BED" w14:textId="755B1D80" w:rsidR="00E47AB8" w:rsidRPr="008B2F8A" w:rsidRDefault="00E47AB8" w:rsidP="004E7861">
      <w:pPr>
        <w:pStyle w:val="TableNotesLast"/>
      </w:pPr>
      <w:r w:rsidRPr="008B2F8A">
        <w:t>DCIS = ductal carcinoma in situ; FY = financial year; LCIS = lobular carcinoma in situ.</w:t>
      </w:r>
      <w:r w:rsidR="00D2611C">
        <w:t xml:space="preserve"> </w:t>
      </w:r>
      <w:r w:rsidRPr="008B2F8A">
        <w:t>Note: Rounding has been applied.</w:t>
      </w:r>
    </w:p>
    <w:p w14:paraId="5B8D274F" w14:textId="77777777" w:rsidR="00E47AB8" w:rsidRPr="008B2F8A" w:rsidRDefault="00E47AB8" w:rsidP="00E47AB8">
      <w:pPr>
        <w:pStyle w:val="Heading2"/>
      </w:pPr>
      <w:bookmarkStart w:id="1408" w:name="_Toc355274830"/>
      <w:bookmarkStart w:id="1409" w:name="_Ref377648511"/>
      <w:bookmarkStart w:id="1410" w:name="_Toc383424539"/>
      <w:r w:rsidRPr="008B2F8A">
        <w:t>Identification, estimation and reduction of uncertainty</w:t>
      </w:r>
      <w:bookmarkEnd w:id="1408"/>
      <w:bookmarkEnd w:id="1409"/>
      <w:bookmarkEnd w:id="1410"/>
    </w:p>
    <w:p w14:paraId="5129F769" w14:textId="77777777" w:rsidR="00E47AB8" w:rsidRPr="008B2F8A" w:rsidRDefault="00E47AB8" w:rsidP="00E47AB8">
      <w:pPr>
        <w:pStyle w:val="Heading3"/>
        <w:numPr>
          <w:ilvl w:val="2"/>
          <w:numId w:val="42"/>
        </w:numPr>
      </w:pPr>
      <w:bookmarkStart w:id="1411" w:name="_Ref377648523"/>
      <w:bookmarkStart w:id="1412" w:name="_Ref377463958"/>
      <w:bookmarkStart w:id="1413" w:name="_Toc383424540"/>
      <w:r w:rsidRPr="008B2F8A">
        <w:t>Higher patient numbers</w:t>
      </w:r>
      <w:bookmarkEnd w:id="1411"/>
      <w:bookmarkEnd w:id="1412"/>
      <w:bookmarkEnd w:id="1413"/>
    </w:p>
    <w:p w14:paraId="52055EB2" w14:textId="46EAD792" w:rsidR="00E47AB8" w:rsidRPr="008B2F8A" w:rsidRDefault="00E47AB8" w:rsidP="00422306">
      <w:pPr>
        <w:spacing w:after="240"/>
      </w:pPr>
      <w:r w:rsidRPr="008B2F8A">
        <w:t xml:space="preserve">The effect of higher patient numbers in all of the populations was explored. For women with gene mutation or family history of breast cancer (population for the current interim items), an alternative projection of screening uptake was based on monthly reports of services claimed for MBS items 63464 and 63467. On the basis of this projection, the number of women who have MRI will be 4,511 in 2015, increasing to 7,015 in 2019 </w:t>
      </w:r>
      <w:r>
        <w:t>(</w:t>
      </w:r>
      <w:r w:rsidRPr="008B2F8A">
        <w:fldChar w:fldCharType="begin"/>
      </w:r>
      <w:r w:rsidRPr="008B2F8A">
        <w:instrText xml:space="preserve"> REF _Ref377482318 \h </w:instrText>
      </w:r>
      <w:r w:rsidRPr="008B2F8A">
        <w:fldChar w:fldCharType="separate"/>
      </w:r>
      <w:r w:rsidR="00B81273" w:rsidRPr="008B2F8A">
        <w:t xml:space="preserve">Table </w:t>
      </w:r>
      <w:r w:rsidR="00B81273">
        <w:rPr>
          <w:noProof/>
        </w:rPr>
        <w:t>E</w:t>
      </w:r>
      <w:r w:rsidR="00B81273" w:rsidRPr="008B2F8A">
        <w:t>.</w:t>
      </w:r>
      <w:r w:rsidR="00B81273">
        <w:rPr>
          <w:noProof/>
        </w:rPr>
        <w:t>33</w:t>
      </w:r>
      <w:r w:rsidRPr="008B2F8A">
        <w:fldChar w:fldCharType="end"/>
      </w:r>
      <w:r>
        <w:t>)</w:t>
      </w:r>
      <w:r w:rsidRPr="008B2F8A">
        <w:t>.</w:t>
      </w:r>
    </w:p>
    <w:p w14:paraId="330EAD8E" w14:textId="3A5CC88B" w:rsidR="00E47AB8" w:rsidRPr="008B2F8A" w:rsidRDefault="00E47AB8" w:rsidP="00422306">
      <w:pPr>
        <w:pStyle w:val="Caption"/>
        <w:ind w:left="1440" w:hanging="1440"/>
      </w:pPr>
      <w:bookmarkStart w:id="1414" w:name="_Ref377482318"/>
      <w:bookmarkStart w:id="1415" w:name="_Toc383424664"/>
      <w:r w:rsidRPr="008B2F8A">
        <w:lastRenderedPageBreak/>
        <w:t xml:space="preserve">Table </w:t>
      </w:r>
      <w:fldSimple w:instr=" STYLEREF 1 \s ">
        <w:r w:rsidR="00B81273">
          <w:rPr>
            <w:noProof/>
          </w:rPr>
          <w:t>E</w:t>
        </w:r>
      </w:fldSimple>
      <w:r w:rsidRPr="008B2F8A">
        <w:t>.</w:t>
      </w:r>
      <w:fldSimple w:instr=" SEQ Table \* ARABIC \s 1 ">
        <w:r w:rsidR="00B81273">
          <w:rPr>
            <w:noProof/>
          </w:rPr>
          <w:t>33</w:t>
        </w:r>
      </w:fldSimple>
      <w:bookmarkEnd w:id="1414"/>
      <w:r w:rsidRPr="008B2F8A">
        <w:tab/>
        <w:t>Estimation of the number of women with gene mutations or family history who receive MRI using monthly use data.</w:t>
      </w:r>
      <w:bookmarkEnd w:id="1415"/>
    </w:p>
    <w:tbl>
      <w:tblPr>
        <w:tblStyle w:val="TableGrid"/>
        <w:tblW w:w="9128" w:type="dxa"/>
        <w:tblCellMar>
          <w:left w:w="28" w:type="dxa"/>
          <w:right w:w="28" w:type="dxa"/>
        </w:tblCellMar>
        <w:tblLook w:val="04A0" w:firstRow="1" w:lastRow="0" w:firstColumn="1" w:lastColumn="0" w:noHBand="0" w:noVBand="1"/>
        <w:tblCaption w:val="Estimation of the number of women with gene mutations or family history who receive MRI using monthly use data."/>
      </w:tblPr>
      <w:tblGrid>
        <w:gridCol w:w="3152"/>
        <w:gridCol w:w="1122"/>
        <w:gridCol w:w="1085"/>
        <w:gridCol w:w="1259"/>
        <w:gridCol w:w="1255"/>
        <w:gridCol w:w="1255"/>
      </w:tblGrid>
      <w:tr w:rsidR="00E47AB8" w:rsidRPr="008B2F8A" w14:paraId="542F7437" w14:textId="77777777" w:rsidTr="004E7861">
        <w:trPr>
          <w:tblHeader/>
        </w:trPr>
        <w:tc>
          <w:tcPr>
            <w:tcW w:w="3152" w:type="dxa"/>
            <w:noWrap/>
            <w:hideMark/>
          </w:tcPr>
          <w:p w14:paraId="5524E0B9" w14:textId="77777777" w:rsidR="00E47AB8" w:rsidRPr="008B2F8A" w:rsidRDefault="00E47AB8" w:rsidP="004B524B">
            <w:pPr>
              <w:pStyle w:val="Tableheaderrow"/>
              <w:keepNext/>
              <w:spacing w:before="40" w:after="80" w:line="276" w:lineRule="auto"/>
            </w:pPr>
            <w:r w:rsidRPr="008B2F8A">
              <w:t>Description</w:t>
            </w:r>
          </w:p>
        </w:tc>
        <w:tc>
          <w:tcPr>
            <w:tcW w:w="1122" w:type="dxa"/>
            <w:noWrap/>
            <w:hideMark/>
          </w:tcPr>
          <w:p w14:paraId="02CE05A2" w14:textId="77777777" w:rsidR="00E47AB8" w:rsidRPr="008B2F8A" w:rsidRDefault="00E47AB8" w:rsidP="004B524B">
            <w:pPr>
              <w:pStyle w:val="Tableheaderrow"/>
              <w:keepNext/>
              <w:spacing w:before="40" w:after="80" w:line="276" w:lineRule="auto"/>
              <w:jc w:val="center"/>
            </w:pPr>
            <w:r w:rsidRPr="008B2F8A">
              <w:t>FY 2015</w:t>
            </w:r>
          </w:p>
        </w:tc>
        <w:tc>
          <w:tcPr>
            <w:tcW w:w="1085" w:type="dxa"/>
            <w:noWrap/>
            <w:hideMark/>
          </w:tcPr>
          <w:p w14:paraId="34BAC4F6" w14:textId="77777777" w:rsidR="00E47AB8" w:rsidRPr="008B2F8A" w:rsidRDefault="00E47AB8" w:rsidP="004B524B">
            <w:pPr>
              <w:pStyle w:val="Tableheaderrow"/>
              <w:keepNext/>
              <w:spacing w:before="40" w:after="80" w:line="276" w:lineRule="auto"/>
              <w:jc w:val="center"/>
            </w:pPr>
            <w:r w:rsidRPr="008B2F8A">
              <w:t>FY 2016</w:t>
            </w:r>
          </w:p>
        </w:tc>
        <w:tc>
          <w:tcPr>
            <w:tcW w:w="1259" w:type="dxa"/>
            <w:noWrap/>
            <w:hideMark/>
          </w:tcPr>
          <w:p w14:paraId="7C22D22E" w14:textId="77777777" w:rsidR="00E47AB8" w:rsidRPr="008B2F8A" w:rsidRDefault="00E47AB8" w:rsidP="004B524B">
            <w:pPr>
              <w:pStyle w:val="Tableheaderrow"/>
              <w:keepNext/>
              <w:spacing w:before="40" w:after="80" w:line="276" w:lineRule="auto"/>
              <w:jc w:val="center"/>
            </w:pPr>
            <w:r w:rsidRPr="008B2F8A">
              <w:t>FY 2017</w:t>
            </w:r>
          </w:p>
        </w:tc>
        <w:tc>
          <w:tcPr>
            <w:tcW w:w="1255" w:type="dxa"/>
            <w:noWrap/>
            <w:hideMark/>
          </w:tcPr>
          <w:p w14:paraId="5EE6241F" w14:textId="77777777" w:rsidR="00E47AB8" w:rsidRPr="008B2F8A" w:rsidRDefault="00E47AB8" w:rsidP="004B524B">
            <w:pPr>
              <w:pStyle w:val="Tableheaderrow"/>
              <w:keepNext/>
              <w:spacing w:before="40" w:after="80" w:line="276" w:lineRule="auto"/>
              <w:jc w:val="center"/>
            </w:pPr>
            <w:r w:rsidRPr="008B2F8A">
              <w:t>FY 2018</w:t>
            </w:r>
          </w:p>
        </w:tc>
        <w:tc>
          <w:tcPr>
            <w:tcW w:w="1255" w:type="dxa"/>
            <w:noWrap/>
            <w:hideMark/>
          </w:tcPr>
          <w:p w14:paraId="3E04AB61" w14:textId="77777777" w:rsidR="00E47AB8" w:rsidRPr="008B2F8A" w:rsidRDefault="00E47AB8" w:rsidP="004B524B">
            <w:pPr>
              <w:pStyle w:val="Tableheaderrow"/>
              <w:keepNext/>
              <w:spacing w:before="40" w:after="80" w:line="276" w:lineRule="auto"/>
              <w:jc w:val="center"/>
            </w:pPr>
            <w:r w:rsidRPr="008B2F8A">
              <w:t>FY 2019</w:t>
            </w:r>
          </w:p>
        </w:tc>
      </w:tr>
      <w:tr w:rsidR="00E47AB8" w:rsidRPr="008B2F8A" w14:paraId="6AA60E45" w14:textId="77777777" w:rsidTr="004E7861">
        <w:tc>
          <w:tcPr>
            <w:tcW w:w="3152" w:type="dxa"/>
            <w:noWrap/>
            <w:hideMark/>
          </w:tcPr>
          <w:p w14:paraId="3B8A42DD" w14:textId="77777777" w:rsidR="00E47AB8" w:rsidRPr="008B2F8A" w:rsidRDefault="00E47AB8" w:rsidP="00422306">
            <w:pPr>
              <w:pStyle w:val="TableText0"/>
              <w:keepNext w:val="0"/>
              <w:spacing w:before="40" w:after="80" w:line="276" w:lineRule="auto"/>
            </w:pPr>
            <w:r w:rsidRPr="008B2F8A">
              <w:t>Number of women with gene mutations or family history who take up MRI screening</w:t>
            </w:r>
          </w:p>
        </w:tc>
        <w:tc>
          <w:tcPr>
            <w:tcW w:w="1122" w:type="dxa"/>
            <w:noWrap/>
            <w:hideMark/>
          </w:tcPr>
          <w:p w14:paraId="4233ECCE" w14:textId="77777777" w:rsidR="00E47AB8" w:rsidRPr="008B2F8A" w:rsidRDefault="00E47AB8" w:rsidP="00422306">
            <w:pPr>
              <w:pStyle w:val="TableText0"/>
              <w:keepNext w:val="0"/>
              <w:spacing w:before="40" w:after="80" w:line="276" w:lineRule="auto"/>
              <w:jc w:val="right"/>
            </w:pPr>
            <w:r w:rsidRPr="008B2F8A">
              <w:t>4,511</w:t>
            </w:r>
          </w:p>
        </w:tc>
        <w:tc>
          <w:tcPr>
            <w:tcW w:w="1085" w:type="dxa"/>
            <w:noWrap/>
            <w:hideMark/>
          </w:tcPr>
          <w:p w14:paraId="5D10707A" w14:textId="77777777" w:rsidR="00E47AB8" w:rsidRPr="008B2F8A" w:rsidRDefault="00E47AB8" w:rsidP="00422306">
            <w:pPr>
              <w:pStyle w:val="TableText0"/>
              <w:keepNext w:val="0"/>
              <w:spacing w:before="40" w:after="80" w:line="276" w:lineRule="auto"/>
              <w:jc w:val="right"/>
            </w:pPr>
            <w:r w:rsidRPr="008B2F8A">
              <w:t>5,137</w:t>
            </w:r>
          </w:p>
        </w:tc>
        <w:tc>
          <w:tcPr>
            <w:tcW w:w="1259" w:type="dxa"/>
            <w:noWrap/>
            <w:hideMark/>
          </w:tcPr>
          <w:p w14:paraId="5AB7E9C3" w14:textId="77777777" w:rsidR="00E47AB8" w:rsidRPr="008B2F8A" w:rsidRDefault="00E47AB8" w:rsidP="00422306">
            <w:pPr>
              <w:pStyle w:val="TableText0"/>
              <w:keepNext w:val="0"/>
              <w:spacing w:before="40" w:after="80" w:line="276" w:lineRule="auto"/>
              <w:jc w:val="right"/>
            </w:pPr>
            <w:r w:rsidRPr="008B2F8A">
              <w:t>5,764</w:t>
            </w:r>
          </w:p>
        </w:tc>
        <w:tc>
          <w:tcPr>
            <w:tcW w:w="1255" w:type="dxa"/>
            <w:noWrap/>
            <w:hideMark/>
          </w:tcPr>
          <w:p w14:paraId="5C8FB7D4" w14:textId="77777777" w:rsidR="00E47AB8" w:rsidRPr="008B2F8A" w:rsidRDefault="00E47AB8" w:rsidP="00422306">
            <w:pPr>
              <w:pStyle w:val="TableText0"/>
              <w:keepNext w:val="0"/>
              <w:spacing w:before="40" w:after="80" w:line="276" w:lineRule="auto"/>
              <w:jc w:val="right"/>
            </w:pPr>
            <w:r w:rsidRPr="008B2F8A">
              <w:t>6,390</w:t>
            </w:r>
          </w:p>
        </w:tc>
        <w:tc>
          <w:tcPr>
            <w:tcW w:w="1255" w:type="dxa"/>
            <w:noWrap/>
            <w:hideMark/>
          </w:tcPr>
          <w:p w14:paraId="108C1FA1" w14:textId="77777777" w:rsidR="00E47AB8" w:rsidRPr="008B2F8A" w:rsidRDefault="00E47AB8" w:rsidP="00422306">
            <w:pPr>
              <w:pStyle w:val="TableText0"/>
              <w:keepNext w:val="0"/>
              <w:spacing w:before="40" w:after="80" w:line="276" w:lineRule="auto"/>
              <w:jc w:val="right"/>
            </w:pPr>
            <w:r w:rsidRPr="008B2F8A">
              <w:t>7,015</w:t>
            </w:r>
          </w:p>
        </w:tc>
      </w:tr>
    </w:tbl>
    <w:p w14:paraId="2E91F47E" w14:textId="1486416F" w:rsidR="00E47AB8" w:rsidRPr="008B2F8A" w:rsidRDefault="00E47AB8" w:rsidP="004E7861">
      <w:pPr>
        <w:pStyle w:val="TableNotesLast"/>
      </w:pPr>
      <w:r w:rsidRPr="008B2F8A">
        <w:t>FY = financial year; MBS = Medicare Benefits Schedule; MRI = magnetic resonance imaging.</w:t>
      </w:r>
      <w:r w:rsidR="00D2611C">
        <w:t xml:space="preserve"> </w:t>
      </w:r>
      <w:r w:rsidRPr="008B2F8A">
        <w:t>Note: Rounding has been applied.</w:t>
      </w:r>
    </w:p>
    <w:p w14:paraId="305D4EFB" w14:textId="44F9A896" w:rsidR="00E47AB8" w:rsidRPr="008B2F8A" w:rsidRDefault="00E47AB8" w:rsidP="00422306">
      <w:pPr>
        <w:spacing w:after="240"/>
      </w:pPr>
      <w:r w:rsidRPr="008B2F8A">
        <w:t>For the three new populations, the effect of greater patient numbers was explored by increasing the screening uptake rates</w:t>
      </w:r>
      <w:r w:rsidR="00F56FD1">
        <w:t xml:space="preserve"> (</w:t>
      </w:r>
      <w:r w:rsidR="00F56FD1">
        <w:fldChar w:fldCharType="begin"/>
      </w:r>
      <w:r w:rsidR="00F56FD1">
        <w:instrText xml:space="preserve"> REF _Ref383165182 \h </w:instrText>
      </w:r>
      <w:r w:rsidR="00F56FD1">
        <w:fldChar w:fldCharType="separate"/>
      </w:r>
      <w:r w:rsidR="00B81273" w:rsidRPr="008B2F8A">
        <w:t xml:space="preserve">Table </w:t>
      </w:r>
      <w:r w:rsidR="00B81273">
        <w:rPr>
          <w:noProof/>
        </w:rPr>
        <w:t>E</w:t>
      </w:r>
      <w:r w:rsidR="00B81273" w:rsidRPr="008B2F8A">
        <w:t>.</w:t>
      </w:r>
      <w:r w:rsidR="00B81273">
        <w:rPr>
          <w:noProof/>
        </w:rPr>
        <w:t>34</w:t>
      </w:r>
      <w:r w:rsidR="00F56FD1">
        <w:fldChar w:fldCharType="end"/>
      </w:r>
      <w:r w:rsidR="00F56FD1">
        <w:t>)</w:t>
      </w:r>
      <w:r w:rsidRPr="008B2F8A">
        <w:t>. For women with a prior history of DCIS</w:t>
      </w:r>
      <w:r>
        <w:t>,</w:t>
      </w:r>
      <w:r w:rsidRPr="008B2F8A">
        <w:t xml:space="preserve"> LCIS</w:t>
      </w:r>
      <w:r>
        <w:t xml:space="preserve"> or </w:t>
      </w:r>
      <w:r w:rsidRPr="008B2F8A">
        <w:t xml:space="preserve">invasive breast cancer, the uptake rate was set to 70% in Year 5 of listing, which is the target uptake rate for BreastScreen Australia. For </w:t>
      </w:r>
      <w:r>
        <w:t>those</w:t>
      </w:r>
      <w:r w:rsidRPr="008B2F8A">
        <w:t xml:space="preserve"> populations it was assumed that the uptake rate will begin at 30% in Year 1 of listing, increasing to 70% in Year 5. For women with a history of chest irradiation, the uptake rate at Year 5 of listing was set at 58.3%, which represents the high end of estimates available from the literature (</w:t>
      </w:r>
      <w:r w:rsidRPr="008B2F8A">
        <w:rPr>
          <w:noProof/>
        </w:rPr>
        <w:t>Howell &amp; Sebek, 2009</w:t>
      </w:r>
      <w:r w:rsidRPr="008B2F8A">
        <w:t xml:space="preserve">; see also Section </w:t>
      </w:r>
      <w:r w:rsidRPr="008B2F8A">
        <w:fldChar w:fldCharType="begin"/>
      </w:r>
      <w:r w:rsidRPr="008B2F8A">
        <w:instrText xml:space="preserve"> REF _Ref376953935 \r \h </w:instrText>
      </w:r>
      <w:r w:rsidRPr="008B2F8A">
        <w:fldChar w:fldCharType="separate"/>
      </w:r>
      <w:r w:rsidR="00B81273">
        <w:t>E.1.2</w:t>
      </w:r>
      <w:r w:rsidRPr="008B2F8A">
        <w:fldChar w:fldCharType="end"/>
      </w:r>
      <w:r w:rsidRPr="008B2F8A">
        <w:t>). It was assumed that this uptake rate will begin at 20% in Year 1 of listing, increasing to 58.3% in Year 5</w:t>
      </w:r>
      <w:r>
        <w:t>.</w:t>
      </w:r>
    </w:p>
    <w:p w14:paraId="06ABB86C" w14:textId="1227EB8E" w:rsidR="00E47AB8" w:rsidRPr="008B2F8A" w:rsidRDefault="00E47AB8" w:rsidP="00422306">
      <w:pPr>
        <w:pStyle w:val="Caption"/>
        <w:rPr>
          <w:lang w:eastAsia="ja-JP"/>
        </w:rPr>
      </w:pPr>
      <w:bookmarkStart w:id="1416" w:name="_Ref383165182"/>
      <w:bookmarkStart w:id="1417" w:name="_Toc383424665"/>
      <w:r w:rsidRPr="008B2F8A">
        <w:t xml:space="preserve">Table </w:t>
      </w:r>
      <w:fldSimple w:instr=" STYLEREF 1 \s ">
        <w:r w:rsidR="00B81273">
          <w:rPr>
            <w:noProof/>
          </w:rPr>
          <w:t>E</w:t>
        </w:r>
      </w:fldSimple>
      <w:r w:rsidRPr="008B2F8A">
        <w:t>.</w:t>
      </w:r>
      <w:fldSimple w:instr=" SEQ Table \* ARABIC \s 1 ">
        <w:r w:rsidR="00B81273">
          <w:rPr>
            <w:noProof/>
          </w:rPr>
          <w:t>34</w:t>
        </w:r>
      </w:fldSimple>
      <w:bookmarkEnd w:id="1416"/>
      <w:r w:rsidRPr="008B2F8A">
        <w:tab/>
      </w:r>
      <w:r w:rsidRPr="008B2F8A">
        <w:rPr>
          <w:rFonts w:cs="Times New Roman"/>
          <w:color w:val="000000"/>
          <w:sz w:val="20"/>
          <w:szCs w:val="20"/>
          <w:lang w:eastAsia="en-AU"/>
        </w:rPr>
        <w:t>Alternative uptake rates for breast MRI across 5 years.</w:t>
      </w:r>
      <w:bookmarkEnd w:id="1417"/>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Alternative uptake rates for breast MRI across 5 years."/>
      </w:tblPr>
      <w:tblGrid>
        <w:gridCol w:w="2442"/>
        <w:gridCol w:w="2272"/>
        <w:gridCol w:w="858"/>
        <w:gridCol w:w="873"/>
        <w:gridCol w:w="873"/>
        <w:gridCol w:w="873"/>
        <w:gridCol w:w="873"/>
      </w:tblGrid>
      <w:tr w:rsidR="00E47AB8" w:rsidRPr="008B2F8A" w14:paraId="6A5EEADE" w14:textId="77777777" w:rsidTr="004E7861">
        <w:trPr>
          <w:tblHeader/>
        </w:trPr>
        <w:tc>
          <w:tcPr>
            <w:tcW w:w="2442" w:type="dxa"/>
            <w:shd w:val="clear" w:color="auto" w:fill="auto"/>
            <w:vAlign w:val="bottom"/>
            <w:hideMark/>
          </w:tcPr>
          <w:p w14:paraId="04CEB46C" w14:textId="77777777" w:rsidR="00E47AB8" w:rsidRPr="008B2F8A" w:rsidRDefault="00E47AB8" w:rsidP="00422306">
            <w:pPr>
              <w:pStyle w:val="Tableheaderrow"/>
              <w:spacing w:before="40" w:after="80" w:line="276" w:lineRule="auto"/>
            </w:pPr>
            <w:r w:rsidRPr="008B2F8A">
              <w:t>Population</w:t>
            </w:r>
          </w:p>
        </w:tc>
        <w:tc>
          <w:tcPr>
            <w:tcW w:w="2272" w:type="dxa"/>
            <w:shd w:val="clear" w:color="auto" w:fill="auto"/>
            <w:vAlign w:val="bottom"/>
            <w:hideMark/>
          </w:tcPr>
          <w:p w14:paraId="08EC34A8" w14:textId="77777777" w:rsidR="00E47AB8" w:rsidRPr="008B2F8A" w:rsidRDefault="00E47AB8" w:rsidP="00422306">
            <w:pPr>
              <w:pStyle w:val="Tableheaderrow"/>
              <w:spacing w:before="40" w:after="80" w:line="276" w:lineRule="auto"/>
            </w:pPr>
            <w:r w:rsidRPr="008B2F8A">
              <w:t>Data source</w:t>
            </w:r>
          </w:p>
        </w:tc>
        <w:tc>
          <w:tcPr>
            <w:tcW w:w="858" w:type="dxa"/>
            <w:shd w:val="clear" w:color="auto" w:fill="auto"/>
            <w:noWrap/>
            <w:vAlign w:val="bottom"/>
            <w:hideMark/>
          </w:tcPr>
          <w:p w14:paraId="68ACC4F4" w14:textId="77777777" w:rsidR="00E47AB8" w:rsidRPr="008B2F8A" w:rsidRDefault="00E47AB8" w:rsidP="00422306">
            <w:pPr>
              <w:pStyle w:val="Tableheaderrow"/>
              <w:spacing w:before="40" w:after="80" w:line="276" w:lineRule="auto"/>
              <w:jc w:val="center"/>
            </w:pPr>
            <w:r w:rsidRPr="008B2F8A">
              <w:t>FY 2015</w:t>
            </w:r>
          </w:p>
        </w:tc>
        <w:tc>
          <w:tcPr>
            <w:tcW w:w="873" w:type="dxa"/>
            <w:shd w:val="clear" w:color="auto" w:fill="auto"/>
            <w:noWrap/>
            <w:vAlign w:val="bottom"/>
            <w:hideMark/>
          </w:tcPr>
          <w:p w14:paraId="470CC01F" w14:textId="77777777" w:rsidR="00E47AB8" w:rsidRPr="008B2F8A" w:rsidRDefault="00E47AB8" w:rsidP="00422306">
            <w:pPr>
              <w:pStyle w:val="Tableheaderrow"/>
              <w:spacing w:before="40" w:after="80" w:line="276" w:lineRule="auto"/>
              <w:jc w:val="center"/>
            </w:pPr>
            <w:r w:rsidRPr="008B2F8A">
              <w:t>FY 2016</w:t>
            </w:r>
          </w:p>
        </w:tc>
        <w:tc>
          <w:tcPr>
            <w:tcW w:w="873" w:type="dxa"/>
            <w:shd w:val="clear" w:color="auto" w:fill="auto"/>
            <w:noWrap/>
            <w:vAlign w:val="bottom"/>
            <w:hideMark/>
          </w:tcPr>
          <w:p w14:paraId="4F334C4A" w14:textId="77777777" w:rsidR="00E47AB8" w:rsidRPr="008B2F8A" w:rsidRDefault="00E47AB8" w:rsidP="00422306">
            <w:pPr>
              <w:pStyle w:val="Tableheaderrow"/>
              <w:spacing w:before="40" w:after="80" w:line="276" w:lineRule="auto"/>
              <w:jc w:val="center"/>
            </w:pPr>
            <w:r w:rsidRPr="008B2F8A">
              <w:t>FY 2017</w:t>
            </w:r>
          </w:p>
        </w:tc>
        <w:tc>
          <w:tcPr>
            <w:tcW w:w="873" w:type="dxa"/>
            <w:shd w:val="clear" w:color="auto" w:fill="auto"/>
            <w:noWrap/>
            <w:vAlign w:val="bottom"/>
            <w:hideMark/>
          </w:tcPr>
          <w:p w14:paraId="7E02835A" w14:textId="77777777" w:rsidR="00E47AB8" w:rsidRPr="008B2F8A" w:rsidRDefault="00E47AB8" w:rsidP="00422306">
            <w:pPr>
              <w:pStyle w:val="Tableheaderrow"/>
              <w:spacing w:before="40" w:after="80" w:line="276" w:lineRule="auto"/>
              <w:jc w:val="center"/>
            </w:pPr>
            <w:r w:rsidRPr="008B2F8A">
              <w:t>FY 2018</w:t>
            </w:r>
          </w:p>
        </w:tc>
        <w:tc>
          <w:tcPr>
            <w:tcW w:w="873" w:type="dxa"/>
            <w:shd w:val="clear" w:color="auto" w:fill="auto"/>
            <w:noWrap/>
            <w:vAlign w:val="bottom"/>
            <w:hideMark/>
          </w:tcPr>
          <w:p w14:paraId="4176170B"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3BD7860B" w14:textId="77777777" w:rsidTr="004E7861">
        <w:tc>
          <w:tcPr>
            <w:tcW w:w="2442" w:type="dxa"/>
            <w:shd w:val="clear" w:color="auto" w:fill="auto"/>
            <w:hideMark/>
          </w:tcPr>
          <w:p w14:paraId="566539BD" w14:textId="77777777" w:rsidR="00E47AB8" w:rsidRPr="008B2F8A" w:rsidRDefault="00E47AB8" w:rsidP="00422306">
            <w:pPr>
              <w:pStyle w:val="TableText0"/>
              <w:keepNext w:val="0"/>
              <w:spacing w:before="40" w:after="80" w:line="276" w:lineRule="auto"/>
            </w:pPr>
            <w:r w:rsidRPr="008B2F8A">
              <w:t>History of invasive breast cancer</w:t>
            </w:r>
          </w:p>
        </w:tc>
        <w:tc>
          <w:tcPr>
            <w:tcW w:w="2272" w:type="dxa"/>
            <w:shd w:val="clear" w:color="auto" w:fill="auto"/>
            <w:hideMark/>
          </w:tcPr>
          <w:p w14:paraId="0464E181" w14:textId="77777777" w:rsidR="00E47AB8" w:rsidRPr="008B2F8A" w:rsidRDefault="00E47AB8" w:rsidP="00422306">
            <w:pPr>
              <w:pStyle w:val="TableText0"/>
              <w:keepNext w:val="0"/>
              <w:spacing w:before="40" w:after="80" w:line="276" w:lineRule="auto"/>
            </w:pPr>
            <w:r w:rsidRPr="008B2F8A">
              <w:t>BreastScreen Australia target, AIHW 2013 p. 10</w:t>
            </w:r>
          </w:p>
        </w:tc>
        <w:tc>
          <w:tcPr>
            <w:tcW w:w="858" w:type="dxa"/>
            <w:shd w:val="clear" w:color="auto" w:fill="auto"/>
            <w:noWrap/>
            <w:hideMark/>
          </w:tcPr>
          <w:p w14:paraId="2D2BBD2C" w14:textId="77777777" w:rsidR="00E47AB8" w:rsidRPr="008B2F8A" w:rsidRDefault="00E47AB8" w:rsidP="00422306">
            <w:pPr>
              <w:pStyle w:val="TableText0"/>
              <w:keepNext w:val="0"/>
              <w:spacing w:before="40" w:after="80" w:line="276" w:lineRule="auto"/>
              <w:jc w:val="right"/>
            </w:pPr>
            <w:r w:rsidRPr="008B2F8A">
              <w:t>30.0%</w:t>
            </w:r>
          </w:p>
        </w:tc>
        <w:tc>
          <w:tcPr>
            <w:tcW w:w="873" w:type="dxa"/>
            <w:shd w:val="clear" w:color="auto" w:fill="auto"/>
            <w:noWrap/>
            <w:hideMark/>
          </w:tcPr>
          <w:p w14:paraId="02051A61" w14:textId="77777777" w:rsidR="00E47AB8" w:rsidRPr="008B2F8A" w:rsidRDefault="00E47AB8" w:rsidP="00422306">
            <w:pPr>
              <w:pStyle w:val="TableText0"/>
              <w:keepNext w:val="0"/>
              <w:spacing w:before="40" w:after="80" w:line="276" w:lineRule="auto"/>
              <w:jc w:val="right"/>
            </w:pPr>
            <w:r w:rsidRPr="008B2F8A">
              <w:t>40.0%</w:t>
            </w:r>
          </w:p>
        </w:tc>
        <w:tc>
          <w:tcPr>
            <w:tcW w:w="873" w:type="dxa"/>
            <w:shd w:val="clear" w:color="auto" w:fill="auto"/>
            <w:noWrap/>
            <w:hideMark/>
          </w:tcPr>
          <w:p w14:paraId="18D1A31A" w14:textId="77777777" w:rsidR="00E47AB8" w:rsidRPr="008B2F8A" w:rsidRDefault="00E47AB8" w:rsidP="00422306">
            <w:pPr>
              <w:pStyle w:val="TableText0"/>
              <w:keepNext w:val="0"/>
              <w:spacing w:before="40" w:after="80" w:line="276" w:lineRule="auto"/>
              <w:jc w:val="right"/>
            </w:pPr>
            <w:r w:rsidRPr="008B2F8A">
              <w:t>50.0%</w:t>
            </w:r>
          </w:p>
        </w:tc>
        <w:tc>
          <w:tcPr>
            <w:tcW w:w="873" w:type="dxa"/>
            <w:shd w:val="clear" w:color="auto" w:fill="auto"/>
            <w:noWrap/>
            <w:hideMark/>
          </w:tcPr>
          <w:p w14:paraId="3D6AE833" w14:textId="77777777" w:rsidR="00E47AB8" w:rsidRPr="008B2F8A" w:rsidRDefault="00E47AB8" w:rsidP="00422306">
            <w:pPr>
              <w:pStyle w:val="TableText0"/>
              <w:keepNext w:val="0"/>
              <w:spacing w:before="40" w:after="80" w:line="276" w:lineRule="auto"/>
              <w:jc w:val="right"/>
            </w:pPr>
            <w:r w:rsidRPr="008B2F8A">
              <w:t>60.0%</w:t>
            </w:r>
          </w:p>
        </w:tc>
        <w:tc>
          <w:tcPr>
            <w:tcW w:w="873" w:type="dxa"/>
            <w:shd w:val="clear" w:color="auto" w:fill="auto"/>
            <w:noWrap/>
            <w:hideMark/>
          </w:tcPr>
          <w:p w14:paraId="495ACF82" w14:textId="77777777" w:rsidR="00E47AB8" w:rsidRPr="008B2F8A" w:rsidRDefault="00E47AB8" w:rsidP="00422306">
            <w:pPr>
              <w:pStyle w:val="TableText0"/>
              <w:keepNext w:val="0"/>
              <w:spacing w:before="40" w:after="80" w:line="276" w:lineRule="auto"/>
              <w:jc w:val="right"/>
            </w:pPr>
            <w:r w:rsidRPr="008B2F8A">
              <w:t>70.0%</w:t>
            </w:r>
          </w:p>
        </w:tc>
      </w:tr>
      <w:tr w:rsidR="00E47AB8" w:rsidRPr="008B2F8A" w14:paraId="36827293" w14:textId="77777777" w:rsidTr="004E7861">
        <w:tc>
          <w:tcPr>
            <w:tcW w:w="2442" w:type="dxa"/>
            <w:shd w:val="clear" w:color="auto" w:fill="auto"/>
            <w:hideMark/>
          </w:tcPr>
          <w:p w14:paraId="563E2957" w14:textId="208456EB" w:rsidR="00E47AB8" w:rsidRPr="008B2F8A" w:rsidRDefault="00E47AB8" w:rsidP="00422306">
            <w:pPr>
              <w:pStyle w:val="TableText0"/>
              <w:keepNext w:val="0"/>
              <w:spacing w:before="40" w:after="80" w:line="276" w:lineRule="auto"/>
            </w:pPr>
            <w:r w:rsidRPr="008B2F8A">
              <w:t xml:space="preserve">History of DCIS </w:t>
            </w:r>
            <w:r>
              <w:t>or</w:t>
            </w:r>
            <w:r w:rsidRPr="008B2F8A">
              <w:t xml:space="preserve"> LCIS</w:t>
            </w:r>
          </w:p>
        </w:tc>
        <w:tc>
          <w:tcPr>
            <w:tcW w:w="2272" w:type="dxa"/>
            <w:shd w:val="clear" w:color="auto" w:fill="auto"/>
            <w:hideMark/>
          </w:tcPr>
          <w:p w14:paraId="29C4C42D" w14:textId="77777777" w:rsidR="00E47AB8" w:rsidRPr="008B2F8A" w:rsidRDefault="00E47AB8" w:rsidP="00422306">
            <w:pPr>
              <w:pStyle w:val="TableText0"/>
              <w:keepNext w:val="0"/>
              <w:spacing w:before="40" w:after="80" w:line="276" w:lineRule="auto"/>
            </w:pPr>
            <w:r w:rsidRPr="008B2F8A">
              <w:t>BreastScreen Australia target, AIHW 2013 p. 10</w:t>
            </w:r>
          </w:p>
        </w:tc>
        <w:tc>
          <w:tcPr>
            <w:tcW w:w="858" w:type="dxa"/>
            <w:shd w:val="clear" w:color="auto" w:fill="auto"/>
            <w:noWrap/>
            <w:hideMark/>
          </w:tcPr>
          <w:p w14:paraId="7CA6B674" w14:textId="77777777" w:rsidR="00E47AB8" w:rsidRPr="008B2F8A" w:rsidRDefault="00E47AB8" w:rsidP="00422306">
            <w:pPr>
              <w:pStyle w:val="TableText0"/>
              <w:keepNext w:val="0"/>
              <w:spacing w:before="40" w:after="80" w:line="276" w:lineRule="auto"/>
              <w:jc w:val="right"/>
            </w:pPr>
            <w:r w:rsidRPr="008B2F8A">
              <w:t>30.0%</w:t>
            </w:r>
          </w:p>
        </w:tc>
        <w:tc>
          <w:tcPr>
            <w:tcW w:w="873" w:type="dxa"/>
            <w:shd w:val="clear" w:color="auto" w:fill="auto"/>
            <w:noWrap/>
            <w:hideMark/>
          </w:tcPr>
          <w:p w14:paraId="22B2849E" w14:textId="77777777" w:rsidR="00E47AB8" w:rsidRPr="008B2F8A" w:rsidRDefault="00E47AB8" w:rsidP="00422306">
            <w:pPr>
              <w:pStyle w:val="TableText0"/>
              <w:keepNext w:val="0"/>
              <w:spacing w:before="40" w:after="80" w:line="276" w:lineRule="auto"/>
              <w:jc w:val="right"/>
            </w:pPr>
            <w:r w:rsidRPr="008B2F8A">
              <w:t>40.0%</w:t>
            </w:r>
          </w:p>
        </w:tc>
        <w:tc>
          <w:tcPr>
            <w:tcW w:w="873" w:type="dxa"/>
            <w:shd w:val="clear" w:color="auto" w:fill="auto"/>
            <w:noWrap/>
            <w:hideMark/>
          </w:tcPr>
          <w:p w14:paraId="35965A45" w14:textId="77777777" w:rsidR="00E47AB8" w:rsidRPr="008B2F8A" w:rsidRDefault="00E47AB8" w:rsidP="00422306">
            <w:pPr>
              <w:pStyle w:val="TableText0"/>
              <w:keepNext w:val="0"/>
              <w:spacing w:before="40" w:after="80" w:line="276" w:lineRule="auto"/>
              <w:jc w:val="right"/>
            </w:pPr>
            <w:r w:rsidRPr="008B2F8A">
              <w:t>50.0%</w:t>
            </w:r>
          </w:p>
        </w:tc>
        <w:tc>
          <w:tcPr>
            <w:tcW w:w="873" w:type="dxa"/>
            <w:shd w:val="clear" w:color="auto" w:fill="auto"/>
            <w:noWrap/>
            <w:hideMark/>
          </w:tcPr>
          <w:p w14:paraId="6411DDBC" w14:textId="77777777" w:rsidR="00E47AB8" w:rsidRPr="008B2F8A" w:rsidRDefault="00E47AB8" w:rsidP="00422306">
            <w:pPr>
              <w:pStyle w:val="TableText0"/>
              <w:keepNext w:val="0"/>
              <w:spacing w:before="40" w:after="80" w:line="276" w:lineRule="auto"/>
              <w:jc w:val="right"/>
            </w:pPr>
            <w:r w:rsidRPr="008B2F8A">
              <w:t>60.0%</w:t>
            </w:r>
          </w:p>
        </w:tc>
        <w:tc>
          <w:tcPr>
            <w:tcW w:w="873" w:type="dxa"/>
            <w:shd w:val="clear" w:color="auto" w:fill="auto"/>
            <w:noWrap/>
            <w:hideMark/>
          </w:tcPr>
          <w:p w14:paraId="1C7458E1" w14:textId="77777777" w:rsidR="00E47AB8" w:rsidRPr="008B2F8A" w:rsidRDefault="00E47AB8" w:rsidP="00422306">
            <w:pPr>
              <w:pStyle w:val="TableText0"/>
              <w:keepNext w:val="0"/>
              <w:spacing w:before="40" w:after="80" w:line="276" w:lineRule="auto"/>
              <w:jc w:val="right"/>
            </w:pPr>
            <w:r w:rsidRPr="008B2F8A">
              <w:t>70.0%</w:t>
            </w:r>
          </w:p>
        </w:tc>
      </w:tr>
      <w:tr w:rsidR="00E47AB8" w:rsidRPr="008B2F8A" w14:paraId="634A564F" w14:textId="77777777" w:rsidTr="004E7861">
        <w:tc>
          <w:tcPr>
            <w:tcW w:w="2442" w:type="dxa"/>
            <w:shd w:val="clear" w:color="auto" w:fill="auto"/>
            <w:hideMark/>
          </w:tcPr>
          <w:p w14:paraId="45724C24" w14:textId="77777777" w:rsidR="00E47AB8" w:rsidRPr="008B2F8A" w:rsidRDefault="00E47AB8" w:rsidP="00422306">
            <w:pPr>
              <w:pStyle w:val="TableText0"/>
              <w:keepNext w:val="0"/>
              <w:spacing w:before="40" w:after="80" w:line="276" w:lineRule="auto"/>
            </w:pPr>
            <w:r w:rsidRPr="008B2F8A">
              <w:t>History of chest irradiation</w:t>
            </w:r>
          </w:p>
        </w:tc>
        <w:tc>
          <w:tcPr>
            <w:tcW w:w="2272" w:type="dxa"/>
            <w:shd w:val="clear" w:color="auto" w:fill="auto"/>
            <w:hideMark/>
          </w:tcPr>
          <w:p w14:paraId="4CDFD9A5" w14:textId="77777777" w:rsidR="00E47AB8" w:rsidRPr="008B2F8A" w:rsidRDefault="00E47AB8" w:rsidP="00422306">
            <w:pPr>
              <w:pStyle w:val="TableText0"/>
              <w:keepNext w:val="0"/>
              <w:spacing w:before="40" w:after="80" w:line="276" w:lineRule="auto"/>
            </w:pPr>
            <w:r w:rsidRPr="008B2F8A">
              <w:t>Howell</w:t>
            </w:r>
            <w:r>
              <w:t xml:space="preserve"> &amp; Sebek,</w:t>
            </w:r>
            <w:r w:rsidRPr="008B2F8A">
              <w:t xml:space="preserve"> 2009 p. 101</w:t>
            </w:r>
          </w:p>
        </w:tc>
        <w:tc>
          <w:tcPr>
            <w:tcW w:w="858" w:type="dxa"/>
            <w:shd w:val="clear" w:color="auto" w:fill="auto"/>
            <w:noWrap/>
            <w:hideMark/>
          </w:tcPr>
          <w:p w14:paraId="42AD5D3E" w14:textId="77777777" w:rsidR="00E47AB8" w:rsidRPr="008B2F8A" w:rsidRDefault="00E47AB8" w:rsidP="00422306">
            <w:pPr>
              <w:pStyle w:val="TableText0"/>
              <w:keepNext w:val="0"/>
              <w:spacing w:before="40" w:after="80" w:line="276" w:lineRule="auto"/>
              <w:jc w:val="right"/>
            </w:pPr>
            <w:r w:rsidRPr="008B2F8A">
              <w:t>20.0%</w:t>
            </w:r>
          </w:p>
        </w:tc>
        <w:tc>
          <w:tcPr>
            <w:tcW w:w="873" w:type="dxa"/>
            <w:shd w:val="clear" w:color="auto" w:fill="auto"/>
            <w:noWrap/>
            <w:hideMark/>
          </w:tcPr>
          <w:p w14:paraId="0FDEE63F" w14:textId="77777777" w:rsidR="00E47AB8" w:rsidRPr="008B2F8A" w:rsidRDefault="00E47AB8" w:rsidP="00422306">
            <w:pPr>
              <w:pStyle w:val="TableText0"/>
              <w:keepNext w:val="0"/>
              <w:spacing w:before="40" w:after="80" w:line="276" w:lineRule="auto"/>
              <w:jc w:val="right"/>
            </w:pPr>
            <w:r w:rsidRPr="008B2F8A">
              <w:t>30.0%</w:t>
            </w:r>
          </w:p>
        </w:tc>
        <w:tc>
          <w:tcPr>
            <w:tcW w:w="873" w:type="dxa"/>
            <w:shd w:val="clear" w:color="auto" w:fill="auto"/>
            <w:noWrap/>
            <w:hideMark/>
          </w:tcPr>
          <w:p w14:paraId="7533C6BD" w14:textId="77777777" w:rsidR="00E47AB8" w:rsidRPr="008B2F8A" w:rsidRDefault="00E47AB8" w:rsidP="00422306">
            <w:pPr>
              <w:pStyle w:val="TableText0"/>
              <w:keepNext w:val="0"/>
              <w:spacing w:before="40" w:after="80" w:line="276" w:lineRule="auto"/>
              <w:jc w:val="right"/>
            </w:pPr>
            <w:r w:rsidRPr="008B2F8A">
              <w:t>40.0%</w:t>
            </w:r>
          </w:p>
        </w:tc>
        <w:tc>
          <w:tcPr>
            <w:tcW w:w="873" w:type="dxa"/>
            <w:shd w:val="clear" w:color="auto" w:fill="auto"/>
            <w:noWrap/>
            <w:hideMark/>
          </w:tcPr>
          <w:p w14:paraId="5E5C4847" w14:textId="77777777" w:rsidR="00E47AB8" w:rsidRPr="008B2F8A" w:rsidRDefault="00E47AB8" w:rsidP="00422306">
            <w:pPr>
              <w:pStyle w:val="TableText0"/>
              <w:keepNext w:val="0"/>
              <w:spacing w:before="40" w:after="80" w:line="276" w:lineRule="auto"/>
              <w:jc w:val="right"/>
            </w:pPr>
            <w:r w:rsidRPr="008B2F8A">
              <w:t>50.0%</w:t>
            </w:r>
          </w:p>
        </w:tc>
        <w:tc>
          <w:tcPr>
            <w:tcW w:w="873" w:type="dxa"/>
            <w:shd w:val="clear" w:color="auto" w:fill="auto"/>
            <w:noWrap/>
            <w:hideMark/>
          </w:tcPr>
          <w:p w14:paraId="154DC34E" w14:textId="77777777" w:rsidR="00E47AB8" w:rsidRPr="008B2F8A" w:rsidRDefault="00E47AB8" w:rsidP="00422306">
            <w:pPr>
              <w:pStyle w:val="TableText0"/>
              <w:keepNext w:val="0"/>
              <w:spacing w:before="40" w:after="80" w:line="276" w:lineRule="auto"/>
              <w:jc w:val="right"/>
            </w:pPr>
            <w:r w:rsidRPr="008B2F8A">
              <w:t>58.3%</w:t>
            </w:r>
          </w:p>
        </w:tc>
      </w:tr>
    </w:tbl>
    <w:p w14:paraId="35DDFFC6" w14:textId="7E9FB406" w:rsidR="00E47AB8" w:rsidRPr="008B2F8A" w:rsidRDefault="00E47AB8" w:rsidP="004E7861">
      <w:pPr>
        <w:pStyle w:val="TableNotesLast"/>
        <w:rPr>
          <w:rFonts w:ascii="Calibri" w:hAnsi="Calibri" w:cs="Tahoma"/>
          <w:b/>
          <w:sz w:val="24"/>
          <w:szCs w:val="24"/>
        </w:rPr>
      </w:pPr>
      <w:r w:rsidRPr="008B2F8A">
        <w:t>AIHW = Australian Institute of Health and Welfare; DCIS = ductal carcinoma in situ; FY = financial year; LCIS = lobular carcinoma in situ.</w:t>
      </w:r>
    </w:p>
    <w:p w14:paraId="20AA1810" w14:textId="203AF044" w:rsidR="00E47AB8" w:rsidRPr="008B2F8A" w:rsidRDefault="00E47AB8" w:rsidP="00422306">
      <w:pPr>
        <w:spacing w:after="240"/>
      </w:pPr>
      <w:r w:rsidRPr="008B2F8A">
        <w:t>Using the higher uptake rates, the total cost</w:t>
      </w:r>
      <w:r>
        <w:t>s</w:t>
      </w:r>
      <w:r w:rsidRPr="008B2F8A">
        <w:t xml:space="preserve"> of the proposed listing to the MBS and to government health budgets </w:t>
      </w:r>
      <w:r>
        <w:t>are</w:t>
      </w:r>
      <w:r w:rsidRPr="008B2F8A">
        <w:t xml:space="preserve"> shown in </w:t>
      </w:r>
      <w:r w:rsidRPr="008B2F8A">
        <w:fldChar w:fldCharType="begin"/>
      </w:r>
      <w:r w:rsidRPr="008B2F8A">
        <w:instrText xml:space="preserve"> REF _Ref376954099 \h </w:instrText>
      </w:r>
      <w:r w:rsidRPr="008B2F8A">
        <w:fldChar w:fldCharType="separate"/>
      </w:r>
      <w:r w:rsidR="00B81273" w:rsidRPr="008B2F8A">
        <w:t xml:space="preserve">Table </w:t>
      </w:r>
      <w:r w:rsidR="00B81273">
        <w:rPr>
          <w:noProof/>
        </w:rPr>
        <w:t>E</w:t>
      </w:r>
      <w:r w:rsidR="00B81273" w:rsidRPr="008B2F8A">
        <w:t>.</w:t>
      </w:r>
      <w:r w:rsidR="00B81273">
        <w:rPr>
          <w:noProof/>
        </w:rPr>
        <w:t>35</w:t>
      </w:r>
      <w:r w:rsidRPr="008B2F8A">
        <w:fldChar w:fldCharType="end"/>
      </w:r>
      <w:r w:rsidRPr="008B2F8A">
        <w:t xml:space="preserve"> and </w:t>
      </w:r>
      <w:r w:rsidRPr="008B2F8A">
        <w:fldChar w:fldCharType="begin"/>
      </w:r>
      <w:r w:rsidRPr="008B2F8A">
        <w:instrText xml:space="preserve"> REF _Ref376954105 \h </w:instrText>
      </w:r>
      <w:r w:rsidRPr="008B2F8A">
        <w:fldChar w:fldCharType="separate"/>
      </w:r>
      <w:r w:rsidR="00B81273" w:rsidRPr="008B2F8A">
        <w:t xml:space="preserve">Table </w:t>
      </w:r>
      <w:r w:rsidR="00B81273">
        <w:rPr>
          <w:noProof/>
        </w:rPr>
        <w:t>E</w:t>
      </w:r>
      <w:r w:rsidR="00B81273" w:rsidRPr="008B2F8A">
        <w:t>.</w:t>
      </w:r>
      <w:r w:rsidR="00B81273">
        <w:rPr>
          <w:noProof/>
        </w:rPr>
        <w:t>36</w:t>
      </w:r>
      <w:r w:rsidRPr="008B2F8A">
        <w:fldChar w:fldCharType="end"/>
      </w:r>
      <w:r w:rsidRPr="008B2F8A">
        <w:t>, respectively. The increase in screening uptake rates results in an increase in the number of women screened and treated, with a corresponding increase in costs. The total cost to government is estimated to be increased to $29.1 million in 2019, with the majority of the cost borne by the MBS. This represents an increase of $5.7 million from the base-case estimate.</w:t>
      </w:r>
    </w:p>
    <w:p w14:paraId="3869DC14" w14:textId="77777777" w:rsidR="00E47AB8" w:rsidRPr="008B2F8A" w:rsidRDefault="00E47AB8" w:rsidP="00422306">
      <w:pPr>
        <w:pStyle w:val="Caption"/>
      </w:pPr>
      <w:bookmarkStart w:id="1418" w:name="_Ref376954099"/>
      <w:bookmarkStart w:id="1419" w:name="_Toc383424666"/>
      <w:r w:rsidRPr="008B2F8A">
        <w:t xml:space="preserve">Table </w:t>
      </w:r>
      <w:fldSimple w:instr=" STYLEREF 1 \s ">
        <w:r w:rsidR="00B81273">
          <w:rPr>
            <w:noProof/>
          </w:rPr>
          <w:t>E</w:t>
        </w:r>
      </w:fldSimple>
      <w:r w:rsidRPr="008B2F8A">
        <w:t>.</w:t>
      </w:r>
      <w:fldSimple w:instr=" SEQ Table \* ARABIC \s 1 ">
        <w:r w:rsidR="00B81273">
          <w:rPr>
            <w:noProof/>
          </w:rPr>
          <w:t>35</w:t>
        </w:r>
      </w:fldSimple>
      <w:bookmarkEnd w:id="1418"/>
      <w:r w:rsidRPr="008B2F8A">
        <w:tab/>
        <w:t>Total cost to the MBS of the requested listing using alternative uptake rates.</w:t>
      </w:r>
      <w:bookmarkEnd w:id="1419"/>
    </w:p>
    <w:tbl>
      <w:tblPr>
        <w:tblStyle w:val="TableGrid"/>
        <w:tblW w:w="9070" w:type="dxa"/>
        <w:tblCellMar>
          <w:left w:w="28" w:type="dxa"/>
          <w:right w:w="28" w:type="dxa"/>
        </w:tblCellMar>
        <w:tblLook w:val="04A0" w:firstRow="1" w:lastRow="0" w:firstColumn="1" w:lastColumn="0" w:noHBand="0" w:noVBand="1"/>
        <w:tblCaption w:val="Total cost to the MBS of the requested listing using alternative uptake rates."/>
      </w:tblPr>
      <w:tblGrid>
        <w:gridCol w:w="3539"/>
        <w:gridCol w:w="1123"/>
        <w:gridCol w:w="1124"/>
        <w:gridCol w:w="1124"/>
        <w:gridCol w:w="1122"/>
        <w:gridCol w:w="1038"/>
      </w:tblGrid>
      <w:tr w:rsidR="00E47AB8" w:rsidRPr="008B2F8A" w14:paraId="484BDD4B" w14:textId="77777777" w:rsidTr="00422306">
        <w:trPr>
          <w:tblHeader/>
        </w:trPr>
        <w:tc>
          <w:tcPr>
            <w:tcW w:w="1598" w:type="pct"/>
            <w:noWrap/>
            <w:hideMark/>
          </w:tcPr>
          <w:p w14:paraId="502CC2EE" w14:textId="77777777" w:rsidR="00E47AB8" w:rsidRPr="008B2F8A" w:rsidRDefault="00E47AB8" w:rsidP="004E7861">
            <w:pPr>
              <w:pStyle w:val="Tableheaderrow"/>
              <w:keepNext/>
              <w:spacing w:before="40" w:after="80"/>
              <w:rPr>
                <w:lang w:eastAsia="en-US"/>
              </w:rPr>
            </w:pPr>
            <w:r w:rsidRPr="008B2F8A">
              <w:t>Population</w:t>
            </w:r>
          </w:p>
        </w:tc>
        <w:tc>
          <w:tcPr>
            <w:tcW w:w="690" w:type="pct"/>
            <w:noWrap/>
            <w:hideMark/>
          </w:tcPr>
          <w:p w14:paraId="603F123B" w14:textId="77777777" w:rsidR="00E47AB8" w:rsidRPr="008B2F8A" w:rsidRDefault="00E47AB8" w:rsidP="004E7861">
            <w:pPr>
              <w:pStyle w:val="Tableheaderrow"/>
              <w:keepNext/>
              <w:spacing w:before="40" w:after="80"/>
              <w:jc w:val="center"/>
              <w:rPr>
                <w:lang w:eastAsia="en-US"/>
              </w:rPr>
            </w:pPr>
            <w:r w:rsidRPr="008B2F8A">
              <w:t>FY 2015</w:t>
            </w:r>
          </w:p>
        </w:tc>
        <w:tc>
          <w:tcPr>
            <w:tcW w:w="690" w:type="pct"/>
            <w:noWrap/>
            <w:hideMark/>
          </w:tcPr>
          <w:p w14:paraId="6EAB3F3E" w14:textId="77777777" w:rsidR="00E47AB8" w:rsidRPr="008B2F8A" w:rsidRDefault="00E47AB8" w:rsidP="004E7861">
            <w:pPr>
              <w:pStyle w:val="Tableheaderrow"/>
              <w:keepNext/>
              <w:spacing w:before="40" w:after="80"/>
              <w:jc w:val="center"/>
              <w:rPr>
                <w:lang w:eastAsia="en-US"/>
              </w:rPr>
            </w:pPr>
            <w:r w:rsidRPr="008B2F8A">
              <w:t>FY 2016</w:t>
            </w:r>
          </w:p>
        </w:tc>
        <w:tc>
          <w:tcPr>
            <w:tcW w:w="690" w:type="pct"/>
            <w:noWrap/>
            <w:hideMark/>
          </w:tcPr>
          <w:p w14:paraId="3AA6173F" w14:textId="77777777" w:rsidR="00E47AB8" w:rsidRPr="008B2F8A" w:rsidRDefault="00E47AB8" w:rsidP="004E7861">
            <w:pPr>
              <w:pStyle w:val="Tableheaderrow"/>
              <w:keepNext/>
              <w:spacing w:before="40" w:after="80"/>
              <w:jc w:val="center"/>
              <w:rPr>
                <w:lang w:eastAsia="en-US"/>
              </w:rPr>
            </w:pPr>
            <w:r w:rsidRPr="008B2F8A">
              <w:t>FY 2017</w:t>
            </w:r>
          </w:p>
        </w:tc>
        <w:tc>
          <w:tcPr>
            <w:tcW w:w="689" w:type="pct"/>
            <w:noWrap/>
            <w:hideMark/>
          </w:tcPr>
          <w:p w14:paraId="10D6B11E" w14:textId="77777777" w:rsidR="00E47AB8" w:rsidRPr="008B2F8A" w:rsidRDefault="00E47AB8" w:rsidP="004E7861">
            <w:pPr>
              <w:pStyle w:val="Tableheaderrow"/>
              <w:keepNext/>
              <w:spacing w:before="40" w:after="80"/>
              <w:jc w:val="center"/>
              <w:rPr>
                <w:lang w:eastAsia="en-US"/>
              </w:rPr>
            </w:pPr>
            <w:r w:rsidRPr="008B2F8A">
              <w:t>FY 2018</w:t>
            </w:r>
          </w:p>
        </w:tc>
        <w:tc>
          <w:tcPr>
            <w:tcW w:w="644" w:type="pct"/>
            <w:noWrap/>
            <w:hideMark/>
          </w:tcPr>
          <w:p w14:paraId="17558E96" w14:textId="77777777" w:rsidR="00E47AB8" w:rsidRPr="008B2F8A" w:rsidRDefault="00E47AB8" w:rsidP="004E7861">
            <w:pPr>
              <w:pStyle w:val="Tableheaderrow"/>
              <w:keepNext/>
              <w:spacing w:before="40" w:after="80"/>
              <w:jc w:val="center"/>
              <w:rPr>
                <w:lang w:eastAsia="en-US"/>
              </w:rPr>
            </w:pPr>
            <w:r w:rsidRPr="008B2F8A">
              <w:t>FY 2019</w:t>
            </w:r>
          </w:p>
        </w:tc>
      </w:tr>
      <w:tr w:rsidR="00E47AB8" w:rsidRPr="008B2F8A" w14:paraId="669982A6" w14:textId="77777777" w:rsidTr="00422306">
        <w:tc>
          <w:tcPr>
            <w:tcW w:w="1598" w:type="pct"/>
            <w:noWrap/>
            <w:vAlign w:val="bottom"/>
            <w:hideMark/>
          </w:tcPr>
          <w:p w14:paraId="2175670E" w14:textId="77777777" w:rsidR="00E47AB8" w:rsidRPr="008B2F8A" w:rsidRDefault="00E47AB8" w:rsidP="00422306">
            <w:pPr>
              <w:pStyle w:val="TableText0"/>
              <w:keepNext w:val="0"/>
              <w:spacing w:before="40" w:after="80" w:line="276" w:lineRule="auto"/>
            </w:pPr>
            <w:r w:rsidRPr="008B2F8A">
              <w:t>Gene mutation or family history</w:t>
            </w:r>
          </w:p>
        </w:tc>
        <w:tc>
          <w:tcPr>
            <w:tcW w:w="690" w:type="pct"/>
            <w:noWrap/>
            <w:hideMark/>
          </w:tcPr>
          <w:p w14:paraId="2FFF51A3" w14:textId="77777777" w:rsidR="00E47AB8" w:rsidRPr="008B2F8A" w:rsidRDefault="00E47AB8" w:rsidP="00422306">
            <w:pPr>
              <w:pStyle w:val="TableText0"/>
              <w:keepNext w:val="0"/>
              <w:spacing w:before="40" w:after="80" w:line="276" w:lineRule="auto"/>
              <w:jc w:val="right"/>
            </w:pPr>
            <w:r w:rsidRPr="008B2F8A">
              <w:t xml:space="preserve"> $3,393,189 </w:t>
            </w:r>
          </w:p>
        </w:tc>
        <w:tc>
          <w:tcPr>
            <w:tcW w:w="690" w:type="pct"/>
            <w:noWrap/>
            <w:hideMark/>
          </w:tcPr>
          <w:p w14:paraId="70EBB3FA" w14:textId="77777777" w:rsidR="00E47AB8" w:rsidRPr="008B2F8A" w:rsidRDefault="00E47AB8" w:rsidP="00422306">
            <w:pPr>
              <w:pStyle w:val="TableText0"/>
              <w:keepNext w:val="0"/>
              <w:spacing w:before="40" w:after="80" w:line="276" w:lineRule="auto"/>
              <w:jc w:val="right"/>
            </w:pPr>
            <w:r w:rsidRPr="008B2F8A">
              <w:t xml:space="preserve"> $3,864,168 </w:t>
            </w:r>
          </w:p>
        </w:tc>
        <w:tc>
          <w:tcPr>
            <w:tcW w:w="690" w:type="pct"/>
            <w:noWrap/>
            <w:hideMark/>
          </w:tcPr>
          <w:p w14:paraId="1D646EE4" w14:textId="77777777" w:rsidR="00E47AB8" w:rsidRPr="008B2F8A" w:rsidRDefault="00E47AB8" w:rsidP="00422306">
            <w:pPr>
              <w:pStyle w:val="TableText0"/>
              <w:keepNext w:val="0"/>
              <w:spacing w:before="40" w:after="80" w:line="276" w:lineRule="auto"/>
              <w:jc w:val="right"/>
            </w:pPr>
            <w:r w:rsidRPr="008B2F8A">
              <w:t xml:space="preserve"> $4,335,577 </w:t>
            </w:r>
          </w:p>
        </w:tc>
        <w:tc>
          <w:tcPr>
            <w:tcW w:w="689" w:type="pct"/>
            <w:noWrap/>
            <w:hideMark/>
          </w:tcPr>
          <w:p w14:paraId="30FED80D" w14:textId="77777777" w:rsidR="00E47AB8" w:rsidRPr="008B2F8A" w:rsidRDefault="00E47AB8" w:rsidP="00422306">
            <w:pPr>
              <w:pStyle w:val="TableText0"/>
              <w:keepNext w:val="0"/>
              <w:spacing w:before="40" w:after="80" w:line="276" w:lineRule="auto"/>
              <w:jc w:val="right"/>
            </w:pPr>
            <w:r w:rsidRPr="008B2F8A">
              <w:t xml:space="preserve"> $4,806,126 </w:t>
            </w:r>
          </w:p>
        </w:tc>
        <w:tc>
          <w:tcPr>
            <w:tcW w:w="644" w:type="pct"/>
            <w:noWrap/>
            <w:hideMark/>
          </w:tcPr>
          <w:p w14:paraId="3BB33F8B" w14:textId="77777777" w:rsidR="00E47AB8" w:rsidRPr="008B2F8A" w:rsidRDefault="00E47AB8" w:rsidP="00422306">
            <w:pPr>
              <w:pStyle w:val="TableText0"/>
              <w:keepNext w:val="0"/>
              <w:spacing w:before="40" w:after="80" w:line="276" w:lineRule="auto"/>
              <w:jc w:val="right"/>
            </w:pPr>
            <w:r w:rsidRPr="008B2F8A">
              <w:t xml:space="preserve"> $5,276,675 </w:t>
            </w:r>
          </w:p>
        </w:tc>
      </w:tr>
      <w:tr w:rsidR="00E47AB8" w:rsidRPr="008B2F8A" w14:paraId="2167FE47" w14:textId="77777777" w:rsidTr="00422306">
        <w:tc>
          <w:tcPr>
            <w:tcW w:w="1598" w:type="pct"/>
            <w:noWrap/>
            <w:vAlign w:val="bottom"/>
          </w:tcPr>
          <w:p w14:paraId="2A35FB43" w14:textId="77777777" w:rsidR="00E47AB8" w:rsidRPr="008B2F8A" w:rsidRDefault="00E47AB8" w:rsidP="00422306">
            <w:pPr>
              <w:pStyle w:val="TableText0"/>
              <w:keepNext w:val="0"/>
              <w:spacing w:before="40" w:after="80" w:line="276" w:lineRule="auto"/>
            </w:pPr>
            <w:r w:rsidRPr="008B2F8A">
              <w:t>Prior history of invasive breast cancer</w:t>
            </w:r>
          </w:p>
        </w:tc>
        <w:tc>
          <w:tcPr>
            <w:tcW w:w="690" w:type="pct"/>
            <w:noWrap/>
          </w:tcPr>
          <w:p w14:paraId="73F514D3" w14:textId="77777777" w:rsidR="00E47AB8" w:rsidRPr="008B2F8A" w:rsidRDefault="00E47AB8" w:rsidP="00422306">
            <w:pPr>
              <w:pStyle w:val="TableText0"/>
              <w:keepNext w:val="0"/>
              <w:spacing w:before="40" w:after="80" w:line="276" w:lineRule="auto"/>
              <w:jc w:val="right"/>
            </w:pPr>
            <w:r w:rsidRPr="008B2F8A">
              <w:t xml:space="preserve"> $6,998,468 </w:t>
            </w:r>
          </w:p>
        </w:tc>
        <w:tc>
          <w:tcPr>
            <w:tcW w:w="690" w:type="pct"/>
            <w:noWrap/>
          </w:tcPr>
          <w:p w14:paraId="1C2CDA8A" w14:textId="77777777" w:rsidR="00E47AB8" w:rsidRPr="008B2F8A" w:rsidRDefault="00E47AB8" w:rsidP="00422306">
            <w:pPr>
              <w:pStyle w:val="TableText0"/>
              <w:keepNext w:val="0"/>
              <w:spacing w:before="40" w:after="80" w:line="276" w:lineRule="auto"/>
              <w:jc w:val="right"/>
            </w:pPr>
            <w:r w:rsidRPr="008B2F8A">
              <w:t xml:space="preserve"> $9,494,486 </w:t>
            </w:r>
          </w:p>
        </w:tc>
        <w:tc>
          <w:tcPr>
            <w:tcW w:w="690" w:type="pct"/>
            <w:noWrap/>
          </w:tcPr>
          <w:p w14:paraId="7FC8AB95" w14:textId="77777777" w:rsidR="00E47AB8" w:rsidRPr="008B2F8A" w:rsidRDefault="00E47AB8" w:rsidP="00422306">
            <w:pPr>
              <w:pStyle w:val="TableText0"/>
              <w:keepNext w:val="0"/>
              <w:spacing w:before="40" w:after="80" w:line="276" w:lineRule="auto"/>
              <w:jc w:val="right"/>
            </w:pPr>
            <w:r w:rsidRPr="008B2F8A">
              <w:t xml:space="preserve"> $12,073,215 </w:t>
            </w:r>
          </w:p>
        </w:tc>
        <w:tc>
          <w:tcPr>
            <w:tcW w:w="689" w:type="pct"/>
            <w:noWrap/>
          </w:tcPr>
          <w:p w14:paraId="506B6FF5" w14:textId="77777777" w:rsidR="00E47AB8" w:rsidRPr="008B2F8A" w:rsidRDefault="00E47AB8" w:rsidP="00422306">
            <w:pPr>
              <w:pStyle w:val="TableText0"/>
              <w:keepNext w:val="0"/>
              <w:spacing w:before="40" w:after="80" w:line="276" w:lineRule="auto"/>
              <w:jc w:val="right"/>
            </w:pPr>
            <w:r w:rsidRPr="008B2F8A">
              <w:t xml:space="preserve"> $14,733,379 </w:t>
            </w:r>
          </w:p>
        </w:tc>
        <w:tc>
          <w:tcPr>
            <w:tcW w:w="644" w:type="pct"/>
            <w:noWrap/>
          </w:tcPr>
          <w:p w14:paraId="44B2FB85" w14:textId="77777777" w:rsidR="00E47AB8" w:rsidRPr="008B2F8A" w:rsidRDefault="00E47AB8" w:rsidP="00422306">
            <w:pPr>
              <w:pStyle w:val="TableText0"/>
              <w:keepNext w:val="0"/>
              <w:spacing w:before="40" w:after="80" w:line="276" w:lineRule="auto"/>
              <w:jc w:val="right"/>
            </w:pPr>
            <w:r w:rsidRPr="008B2F8A">
              <w:t xml:space="preserve"> $17,474,405 </w:t>
            </w:r>
          </w:p>
        </w:tc>
      </w:tr>
      <w:tr w:rsidR="00E47AB8" w:rsidRPr="008B2F8A" w14:paraId="06DA4797" w14:textId="77777777" w:rsidTr="00422306">
        <w:tc>
          <w:tcPr>
            <w:tcW w:w="1598" w:type="pct"/>
            <w:noWrap/>
            <w:vAlign w:val="bottom"/>
          </w:tcPr>
          <w:p w14:paraId="2D929EEB" w14:textId="10201BC0"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690" w:type="pct"/>
            <w:noWrap/>
          </w:tcPr>
          <w:p w14:paraId="6CE76EE4" w14:textId="77777777" w:rsidR="00E47AB8" w:rsidRPr="008B2F8A" w:rsidRDefault="00E47AB8" w:rsidP="00422306">
            <w:pPr>
              <w:pStyle w:val="TableText0"/>
              <w:keepNext w:val="0"/>
              <w:spacing w:before="40" w:after="80" w:line="276" w:lineRule="auto"/>
              <w:jc w:val="right"/>
            </w:pPr>
            <w:r w:rsidRPr="008B2F8A">
              <w:t xml:space="preserve"> $827,954 </w:t>
            </w:r>
          </w:p>
        </w:tc>
        <w:tc>
          <w:tcPr>
            <w:tcW w:w="690" w:type="pct"/>
            <w:noWrap/>
          </w:tcPr>
          <w:p w14:paraId="059612A6" w14:textId="77777777" w:rsidR="00E47AB8" w:rsidRPr="008B2F8A" w:rsidRDefault="00E47AB8" w:rsidP="00422306">
            <w:pPr>
              <w:pStyle w:val="TableText0"/>
              <w:keepNext w:val="0"/>
              <w:spacing w:before="40" w:after="80" w:line="276" w:lineRule="auto"/>
              <w:jc w:val="right"/>
            </w:pPr>
            <w:r w:rsidRPr="008B2F8A">
              <w:t xml:space="preserve"> $1,122,705 </w:t>
            </w:r>
          </w:p>
        </w:tc>
        <w:tc>
          <w:tcPr>
            <w:tcW w:w="690" w:type="pct"/>
            <w:noWrap/>
          </w:tcPr>
          <w:p w14:paraId="69561A7B" w14:textId="77777777" w:rsidR="00E47AB8" w:rsidRPr="008B2F8A" w:rsidRDefault="00E47AB8" w:rsidP="00422306">
            <w:pPr>
              <w:pStyle w:val="TableText0"/>
              <w:keepNext w:val="0"/>
              <w:spacing w:before="40" w:after="80" w:line="276" w:lineRule="auto"/>
              <w:jc w:val="right"/>
            </w:pPr>
            <w:r w:rsidRPr="008B2F8A">
              <w:t xml:space="preserve"> $1,427,239 </w:t>
            </w:r>
          </w:p>
        </w:tc>
        <w:tc>
          <w:tcPr>
            <w:tcW w:w="689" w:type="pct"/>
            <w:noWrap/>
          </w:tcPr>
          <w:p w14:paraId="2742D905" w14:textId="77777777" w:rsidR="00E47AB8" w:rsidRPr="008B2F8A" w:rsidRDefault="00E47AB8" w:rsidP="00422306">
            <w:pPr>
              <w:pStyle w:val="TableText0"/>
              <w:keepNext w:val="0"/>
              <w:spacing w:before="40" w:after="80" w:line="276" w:lineRule="auto"/>
              <w:jc w:val="right"/>
            </w:pPr>
            <w:r w:rsidRPr="008B2F8A">
              <w:t xml:space="preserve"> $1,741,802 </w:t>
            </w:r>
          </w:p>
        </w:tc>
        <w:tc>
          <w:tcPr>
            <w:tcW w:w="644" w:type="pct"/>
            <w:noWrap/>
          </w:tcPr>
          <w:p w14:paraId="4A8C63B7" w14:textId="77777777" w:rsidR="00E47AB8" w:rsidRPr="008B2F8A" w:rsidRDefault="00E47AB8" w:rsidP="00422306">
            <w:pPr>
              <w:pStyle w:val="TableText0"/>
              <w:keepNext w:val="0"/>
              <w:spacing w:before="40" w:after="80" w:line="276" w:lineRule="auto"/>
              <w:jc w:val="right"/>
            </w:pPr>
            <w:r w:rsidRPr="008B2F8A">
              <w:t xml:space="preserve"> $2,066,648 </w:t>
            </w:r>
          </w:p>
        </w:tc>
      </w:tr>
      <w:tr w:rsidR="00E47AB8" w:rsidRPr="008B2F8A" w14:paraId="4668BC56" w14:textId="77777777" w:rsidTr="00422306">
        <w:tc>
          <w:tcPr>
            <w:tcW w:w="1598" w:type="pct"/>
            <w:noWrap/>
            <w:vAlign w:val="bottom"/>
          </w:tcPr>
          <w:p w14:paraId="7EF912BD"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690" w:type="pct"/>
            <w:noWrap/>
          </w:tcPr>
          <w:p w14:paraId="3450E747" w14:textId="77777777" w:rsidR="00E47AB8" w:rsidRPr="008B2F8A" w:rsidRDefault="00E47AB8" w:rsidP="00422306">
            <w:pPr>
              <w:pStyle w:val="TableText0"/>
              <w:keepNext w:val="0"/>
              <w:spacing w:before="40" w:after="80" w:line="276" w:lineRule="auto"/>
              <w:jc w:val="right"/>
            </w:pPr>
            <w:r w:rsidRPr="008B2F8A">
              <w:t xml:space="preserve"> $149,909 </w:t>
            </w:r>
          </w:p>
        </w:tc>
        <w:tc>
          <w:tcPr>
            <w:tcW w:w="690" w:type="pct"/>
            <w:noWrap/>
          </w:tcPr>
          <w:p w14:paraId="1EC56A22" w14:textId="77777777" w:rsidR="00E47AB8" w:rsidRPr="008B2F8A" w:rsidRDefault="00E47AB8" w:rsidP="00422306">
            <w:pPr>
              <w:pStyle w:val="TableText0"/>
              <w:keepNext w:val="0"/>
              <w:spacing w:before="40" w:after="80" w:line="276" w:lineRule="auto"/>
              <w:jc w:val="right"/>
            </w:pPr>
            <w:r w:rsidRPr="008B2F8A">
              <w:t xml:space="preserve"> $228,686 </w:t>
            </w:r>
          </w:p>
        </w:tc>
        <w:tc>
          <w:tcPr>
            <w:tcW w:w="690" w:type="pct"/>
            <w:noWrap/>
          </w:tcPr>
          <w:p w14:paraId="16855DF1" w14:textId="77777777" w:rsidR="00E47AB8" w:rsidRPr="008B2F8A" w:rsidRDefault="00E47AB8" w:rsidP="00422306">
            <w:pPr>
              <w:pStyle w:val="TableText0"/>
              <w:keepNext w:val="0"/>
              <w:spacing w:before="40" w:after="80" w:line="276" w:lineRule="auto"/>
              <w:jc w:val="right"/>
            </w:pPr>
            <w:r w:rsidRPr="008B2F8A">
              <w:t xml:space="preserve"> $310,097 </w:t>
            </w:r>
          </w:p>
        </w:tc>
        <w:tc>
          <w:tcPr>
            <w:tcW w:w="689" w:type="pct"/>
            <w:noWrap/>
          </w:tcPr>
          <w:p w14:paraId="157193E3" w14:textId="77777777" w:rsidR="00E47AB8" w:rsidRPr="008B2F8A" w:rsidRDefault="00E47AB8" w:rsidP="00422306">
            <w:pPr>
              <w:pStyle w:val="TableText0"/>
              <w:keepNext w:val="0"/>
              <w:spacing w:before="40" w:after="80" w:line="276" w:lineRule="auto"/>
              <w:jc w:val="right"/>
            </w:pPr>
            <w:r w:rsidRPr="008B2F8A">
              <w:t xml:space="preserve"> $394,211 </w:t>
            </w:r>
          </w:p>
        </w:tc>
        <w:tc>
          <w:tcPr>
            <w:tcW w:w="644" w:type="pct"/>
            <w:noWrap/>
          </w:tcPr>
          <w:p w14:paraId="41431AD2" w14:textId="77777777" w:rsidR="00E47AB8" w:rsidRPr="008B2F8A" w:rsidRDefault="00E47AB8" w:rsidP="00422306">
            <w:pPr>
              <w:pStyle w:val="TableText0"/>
              <w:keepNext w:val="0"/>
              <w:spacing w:before="40" w:after="80" w:line="276" w:lineRule="auto"/>
              <w:jc w:val="right"/>
            </w:pPr>
            <w:r w:rsidRPr="008B2F8A">
              <w:t xml:space="preserve"> $467,463 </w:t>
            </w:r>
          </w:p>
        </w:tc>
      </w:tr>
      <w:tr w:rsidR="00E47AB8" w:rsidRPr="008B2F8A" w14:paraId="3E769D00" w14:textId="77777777" w:rsidTr="00422306">
        <w:tc>
          <w:tcPr>
            <w:tcW w:w="1598" w:type="pct"/>
            <w:noWrap/>
            <w:vAlign w:val="bottom"/>
          </w:tcPr>
          <w:p w14:paraId="3B0E051C" w14:textId="77777777" w:rsidR="00E47AB8" w:rsidRPr="008B2F8A" w:rsidRDefault="00E47AB8" w:rsidP="00422306">
            <w:pPr>
              <w:pStyle w:val="TableText0"/>
              <w:keepNext w:val="0"/>
              <w:spacing w:before="40" w:after="80" w:line="276" w:lineRule="auto"/>
            </w:pPr>
            <w:r w:rsidRPr="008B2F8A">
              <w:t>All populations</w:t>
            </w:r>
          </w:p>
        </w:tc>
        <w:tc>
          <w:tcPr>
            <w:tcW w:w="690" w:type="pct"/>
            <w:noWrap/>
          </w:tcPr>
          <w:p w14:paraId="23E6E328" w14:textId="77777777" w:rsidR="00E47AB8" w:rsidRPr="008B2F8A" w:rsidRDefault="00E47AB8" w:rsidP="00422306">
            <w:pPr>
              <w:pStyle w:val="TableText0"/>
              <w:keepNext w:val="0"/>
              <w:spacing w:before="40" w:after="80" w:line="276" w:lineRule="auto"/>
              <w:jc w:val="right"/>
            </w:pPr>
            <w:r w:rsidRPr="008B2F8A">
              <w:t xml:space="preserve"> $11,369,520 </w:t>
            </w:r>
          </w:p>
        </w:tc>
        <w:tc>
          <w:tcPr>
            <w:tcW w:w="690" w:type="pct"/>
            <w:noWrap/>
          </w:tcPr>
          <w:p w14:paraId="6BA54328" w14:textId="77777777" w:rsidR="00E47AB8" w:rsidRPr="008B2F8A" w:rsidRDefault="00E47AB8" w:rsidP="00422306">
            <w:pPr>
              <w:pStyle w:val="TableText0"/>
              <w:keepNext w:val="0"/>
              <w:spacing w:before="40" w:after="80" w:line="276" w:lineRule="auto"/>
              <w:jc w:val="right"/>
            </w:pPr>
            <w:r w:rsidRPr="008B2F8A">
              <w:t xml:space="preserve"> $14,710,045 </w:t>
            </w:r>
          </w:p>
        </w:tc>
        <w:tc>
          <w:tcPr>
            <w:tcW w:w="690" w:type="pct"/>
            <w:noWrap/>
          </w:tcPr>
          <w:p w14:paraId="3E0E3644" w14:textId="77777777" w:rsidR="00E47AB8" w:rsidRPr="008B2F8A" w:rsidRDefault="00E47AB8" w:rsidP="00422306">
            <w:pPr>
              <w:pStyle w:val="TableText0"/>
              <w:keepNext w:val="0"/>
              <w:spacing w:before="40" w:after="80" w:line="276" w:lineRule="auto"/>
              <w:jc w:val="right"/>
            </w:pPr>
            <w:r w:rsidRPr="008B2F8A">
              <w:t xml:space="preserve"> $18,146,128 </w:t>
            </w:r>
          </w:p>
        </w:tc>
        <w:tc>
          <w:tcPr>
            <w:tcW w:w="689" w:type="pct"/>
            <w:noWrap/>
          </w:tcPr>
          <w:p w14:paraId="4244955C" w14:textId="77777777" w:rsidR="00E47AB8" w:rsidRPr="008B2F8A" w:rsidRDefault="00E47AB8" w:rsidP="00422306">
            <w:pPr>
              <w:pStyle w:val="TableText0"/>
              <w:keepNext w:val="0"/>
              <w:spacing w:before="40" w:after="80" w:line="276" w:lineRule="auto"/>
              <w:jc w:val="right"/>
            </w:pPr>
            <w:r w:rsidRPr="008B2F8A">
              <w:t xml:space="preserve"> $21,675,518 </w:t>
            </w:r>
          </w:p>
        </w:tc>
        <w:tc>
          <w:tcPr>
            <w:tcW w:w="644" w:type="pct"/>
            <w:noWrap/>
          </w:tcPr>
          <w:p w14:paraId="5C22CF46" w14:textId="77777777" w:rsidR="00E47AB8" w:rsidRPr="008B2F8A" w:rsidRDefault="00E47AB8" w:rsidP="00422306">
            <w:pPr>
              <w:pStyle w:val="TableText0"/>
              <w:keepNext w:val="0"/>
              <w:spacing w:before="40" w:after="80" w:line="276" w:lineRule="auto"/>
              <w:jc w:val="right"/>
            </w:pPr>
            <w:r w:rsidRPr="008B2F8A">
              <w:t xml:space="preserve"> $25,285,192 </w:t>
            </w:r>
          </w:p>
        </w:tc>
      </w:tr>
    </w:tbl>
    <w:p w14:paraId="183A76B8" w14:textId="4D9734FA" w:rsidR="00E47AB8" w:rsidRPr="008B2F8A" w:rsidRDefault="00E47AB8" w:rsidP="004E7861">
      <w:pPr>
        <w:pStyle w:val="TableNotesLast"/>
      </w:pPr>
      <w:r w:rsidRPr="008B2F8A">
        <w:t>DCIS = ductal carcinoma in situ; FY = financial year; LCIS = lobular carcinoma in situ.</w:t>
      </w:r>
      <w:r>
        <w:t xml:space="preserve"> </w:t>
      </w:r>
      <w:r w:rsidRPr="008B2F8A">
        <w:t>Note: Rounding has been applied.</w:t>
      </w:r>
    </w:p>
    <w:p w14:paraId="15E929A4" w14:textId="77777777" w:rsidR="00E47AB8" w:rsidRPr="008B2F8A" w:rsidRDefault="00E47AB8" w:rsidP="00422306">
      <w:pPr>
        <w:pStyle w:val="Caption"/>
        <w:ind w:left="1440" w:hanging="1440"/>
      </w:pPr>
      <w:bookmarkStart w:id="1420" w:name="_Ref376954105"/>
      <w:bookmarkStart w:id="1421" w:name="_Toc383424667"/>
      <w:r w:rsidRPr="008B2F8A">
        <w:lastRenderedPageBreak/>
        <w:t xml:space="preserve">Table </w:t>
      </w:r>
      <w:fldSimple w:instr=" STYLEREF 1 \s ">
        <w:r w:rsidR="00B81273">
          <w:rPr>
            <w:noProof/>
          </w:rPr>
          <w:t>E</w:t>
        </w:r>
      </w:fldSimple>
      <w:r w:rsidRPr="008B2F8A">
        <w:t>.</w:t>
      </w:r>
      <w:fldSimple w:instr=" SEQ Table \* ARABIC \s 1 ">
        <w:r w:rsidR="00B81273">
          <w:rPr>
            <w:noProof/>
          </w:rPr>
          <w:t>36</w:t>
        </w:r>
      </w:fldSimple>
      <w:bookmarkEnd w:id="1420"/>
      <w:r w:rsidRPr="008B2F8A">
        <w:tab/>
        <w:t>Total cost to government health budgets using alternative uptake rates.</w:t>
      </w:r>
      <w:bookmarkEnd w:id="1421"/>
    </w:p>
    <w:tbl>
      <w:tblPr>
        <w:tblStyle w:val="TableGrid"/>
        <w:tblW w:w="9070" w:type="dxa"/>
        <w:tblCellMar>
          <w:left w:w="28" w:type="dxa"/>
          <w:right w:w="28" w:type="dxa"/>
        </w:tblCellMar>
        <w:tblLook w:val="04A0" w:firstRow="1" w:lastRow="0" w:firstColumn="1" w:lastColumn="0" w:noHBand="0" w:noVBand="1"/>
        <w:tblCaption w:val="Total cost to government health budgets using alternative uptake rates."/>
      </w:tblPr>
      <w:tblGrid>
        <w:gridCol w:w="3539"/>
        <w:gridCol w:w="1121"/>
        <w:gridCol w:w="1123"/>
        <w:gridCol w:w="1121"/>
        <w:gridCol w:w="1122"/>
        <w:gridCol w:w="1044"/>
      </w:tblGrid>
      <w:tr w:rsidR="00E47AB8" w:rsidRPr="008B2F8A" w14:paraId="37EABBF4" w14:textId="77777777" w:rsidTr="00422306">
        <w:trPr>
          <w:tblHeader/>
        </w:trPr>
        <w:tc>
          <w:tcPr>
            <w:tcW w:w="1597" w:type="pct"/>
            <w:noWrap/>
            <w:hideMark/>
          </w:tcPr>
          <w:p w14:paraId="2CEF4648" w14:textId="77777777" w:rsidR="00E47AB8" w:rsidRPr="008B2F8A" w:rsidRDefault="00E47AB8" w:rsidP="00422306">
            <w:pPr>
              <w:pStyle w:val="Tableheaderrow"/>
              <w:spacing w:before="40" w:after="80" w:line="276" w:lineRule="auto"/>
            </w:pPr>
            <w:r w:rsidRPr="008B2F8A">
              <w:t>Population</w:t>
            </w:r>
          </w:p>
        </w:tc>
        <w:tc>
          <w:tcPr>
            <w:tcW w:w="689" w:type="pct"/>
            <w:noWrap/>
            <w:hideMark/>
          </w:tcPr>
          <w:p w14:paraId="7267F97E" w14:textId="77777777" w:rsidR="00E47AB8" w:rsidRPr="008B2F8A" w:rsidRDefault="00E47AB8" w:rsidP="00422306">
            <w:pPr>
              <w:pStyle w:val="Tableheaderrow"/>
              <w:spacing w:before="40" w:after="80" w:line="276" w:lineRule="auto"/>
              <w:jc w:val="center"/>
            </w:pPr>
            <w:r w:rsidRPr="008B2F8A">
              <w:t>FY 2015</w:t>
            </w:r>
          </w:p>
        </w:tc>
        <w:tc>
          <w:tcPr>
            <w:tcW w:w="690" w:type="pct"/>
            <w:noWrap/>
            <w:hideMark/>
          </w:tcPr>
          <w:p w14:paraId="19DB3F9A" w14:textId="77777777" w:rsidR="00E47AB8" w:rsidRPr="008B2F8A" w:rsidRDefault="00E47AB8" w:rsidP="00422306">
            <w:pPr>
              <w:pStyle w:val="Tableheaderrow"/>
              <w:spacing w:before="40" w:after="80" w:line="276" w:lineRule="auto"/>
              <w:jc w:val="center"/>
            </w:pPr>
            <w:r w:rsidRPr="008B2F8A">
              <w:t>FY 2016</w:t>
            </w:r>
          </w:p>
        </w:tc>
        <w:tc>
          <w:tcPr>
            <w:tcW w:w="689" w:type="pct"/>
            <w:noWrap/>
            <w:hideMark/>
          </w:tcPr>
          <w:p w14:paraId="0B23AEEC" w14:textId="77777777" w:rsidR="00E47AB8" w:rsidRPr="008B2F8A" w:rsidRDefault="00E47AB8" w:rsidP="00422306">
            <w:pPr>
              <w:pStyle w:val="Tableheaderrow"/>
              <w:spacing w:before="40" w:after="80" w:line="276" w:lineRule="auto"/>
              <w:jc w:val="center"/>
            </w:pPr>
            <w:r w:rsidRPr="008B2F8A">
              <w:t>FY 2017</w:t>
            </w:r>
          </w:p>
        </w:tc>
        <w:tc>
          <w:tcPr>
            <w:tcW w:w="689" w:type="pct"/>
            <w:noWrap/>
            <w:hideMark/>
          </w:tcPr>
          <w:p w14:paraId="72FA3B25" w14:textId="77777777" w:rsidR="00E47AB8" w:rsidRPr="008B2F8A" w:rsidRDefault="00E47AB8" w:rsidP="00422306">
            <w:pPr>
              <w:pStyle w:val="Tableheaderrow"/>
              <w:spacing w:before="40" w:after="80" w:line="276" w:lineRule="auto"/>
              <w:jc w:val="center"/>
            </w:pPr>
            <w:r w:rsidRPr="008B2F8A">
              <w:t>FY 2018</w:t>
            </w:r>
          </w:p>
        </w:tc>
        <w:tc>
          <w:tcPr>
            <w:tcW w:w="646" w:type="pct"/>
            <w:noWrap/>
            <w:hideMark/>
          </w:tcPr>
          <w:p w14:paraId="04BBE91D"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28413E6D" w14:textId="77777777" w:rsidTr="00422306">
        <w:tc>
          <w:tcPr>
            <w:tcW w:w="1597" w:type="pct"/>
            <w:noWrap/>
            <w:vAlign w:val="bottom"/>
            <w:hideMark/>
          </w:tcPr>
          <w:p w14:paraId="43393EE1" w14:textId="77777777" w:rsidR="00E47AB8" w:rsidRPr="008B2F8A" w:rsidRDefault="00E47AB8" w:rsidP="00422306">
            <w:pPr>
              <w:pStyle w:val="TableText0"/>
              <w:keepNext w:val="0"/>
              <w:spacing w:before="40" w:after="80" w:line="276" w:lineRule="auto"/>
            </w:pPr>
            <w:r w:rsidRPr="008B2F8A">
              <w:t>Gene mutation or family history</w:t>
            </w:r>
          </w:p>
        </w:tc>
        <w:tc>
          <w:tcPr>
            <w:tcW w:w="689" w:type="pct"/>
            <w:noWrap/>
            <w:hideMark/>
          </w:tcPr>
          <w:p w14:paraId="062E2345" w14:textId="77777777" w:rsidR="00E47AB8" w:rsidRPr="008B2F8A" w:rsidRDefault="00E47AB8" w:rsidP="00422306">
            <w:pPr>
              <w:pStyle w:val="TableText0"/>
              <w:keepNext w:val="0"/>
              <w:spacing w:before="40" w:after="80" w:line="276" w:lineRule="auto"/>
              <w:jc w:val="right"/>
            </w:pPr>
            <w:r w:rsidRPr="008B2F8A">
              <w:t xml:space="preserve"> $3,975,470 </w:t>
            </w:r>
          </w:p>
        </w:tc>
        <w:tc>
          <w:tcPr>
            <w:tcW w:w="690" w:type="pct"/>
            <w:noWrap/>
            <w:hideMark/>
          </w:tcPr>
          <w:p w14:paraId="330BC644" w14:textId="77777777" w:rsidR="00E47AB8" w:rsidRPr="008B2F8A" w:rsidRDefault="00E47AB8" w:rsidP="00422306">
            <w:pPr>
              <w:pStyle w:val="TableText0"/>
              <w:keepNext w:val="0"/>
              <w:spacing w:before="40" w:after="80" w:line="276" w:lineRule="auto"/>
              <w:jc w:val="right"/>
            </w:pPr>
            <w:r w:rsidRPr="008B2F8A">
              <w:t xml:space="preserve"> $4,527,270 </w:t>
            </w:r>
          </w:p>
        </w:tc>
        <w:tc>
          <w:tcPr>
            <w:tcW w:w="689" w:type="pct"/>
            <w:noWrap/>
            <w:hideMark/>
          </w:tcPr>
          <w:p w14:paraId="65C1DB05" w14:textId="77777777" w:rsidR="00E47AB8" w:rsidRPr="008B2F8A" w:rsidRDefault="00E47AB8" w:rsidP="00422306">
            <w:pPr>
              <w:pStyle w:val="TableText0"/>
              <w:keepNext w:val="0"/>
              <w:spacing w:before="40" w:after="80" w:line="276" w:lineRule="auto"/>
              <w:jc w:val="right"/>
            </w:pPr>
            <w:r w:rsidRPr="008B2F8A">
              <w:t xml:space="preserve"> $5,079,574 </w:t>
            </w:r>
          </w:p>
        </w:tc>
        <w:tc>
          <w:tcPr>
            <w:tcW w:w="689" w:type="pct"/>
            <w:noWrap/>
            <w:hideMark/>
          </w:tcPr>
          <w:p w14:paraId="58FC311F" w14:textId="77777777" w:rsidR="00E47AB8" w:rsidRPr="008B2F8A" w:rsidRDefault="00E47AB8" w:rsidP="00422306">
            <w:pPr>
              <w:pStyle w:val="TableText0"/>
              <w:keepNext w:val="0"/>
              <w:spacing w:before="40" w:after="80" w:line="276" w:lineRule="auto"/>
              <w:jc w:val="right"/>
            </w:pPr>
            <w:r w:rsidRPr="008B2F8A">
              <w:t xml:space="preserve"> $5,630,871 </w:t>
            </w:r>
          </w:p>
        </w:tc>
        <w:tc>
          <w:tcPr>
            <w:tcW w:w="646" w:type="pct"/>
            <w:noWrap/>
            <w:hideMark/>
          </w:tcPr>
          <w:p w14:paraId="5DF55816" w14:textId="77777777" w:rsidR="00E47AB8" w:rsidRPr="008B2F8A" w:rsidRDefault="00E47AB8" w:rsidP="00422306">
            <w:pPr>
              <w:pStyle w:val="TableText0"/>
              <w:keepNext w:val="0"/>
              <w:spacing w:before="40" w:after="80" w:line="276" w:lineRule="auto"/>
              <w:jc w:val="right"/>
            </w:pPr>
            <w:r w:rsidRPr="008B2F8A">
              <w:t xml:space="preserve"> $6,182,168 </w:t>
            </w:r>
          </w:p>
        </w:tc>
      </w:tr>
      <w:tr w:rsidR="00E47AB8" w:rsidRPr="008B2F8A" w14:paraId="529F306D" w14:textId="77777777" w:rsidTr="00422306">
        <w:tc>
          <w:tcPr>
            <w:tcW w:w="1597" w:type="pct"/>
            <w:noWrap/>
            <w:vAlign w:val="bottom"/>
          </w:tcPr>
          <w:p w14:paraId="6A04ADCB" w14:textId="77777777" w:rsidR="00E47AB8" w:rsidRPr="008B2F8A" w:rsidRDefault="00E47AB8" w:rsidP="00422306">
            <w:pPr>
              <w:pStyle w:val="TableText0"/>
              <w:keepNext w:val="0"/>
              <w:spacing w:before="40" w:after="80" w:line="276" w:lineRule="auto"/>
            </w:pPr>
            <w:r w:rsidRPr="008B2F8A">
              <w:t>Prior history of invasive breast cancer</w:t>
            </w:r>
          </w:p>
        </w:tc>
        <w:tc>
          <w:tcPr>
            <w:tcW w:w="689" w:type="pct"/>
            <w:noWrap/>
          </w:tcPr>
          <w:p w14:paraId="508C288D" w14:textId="77777777" w:rsidR="00E47AB8" w:rsidRPr="008B2F8A" w:rsidRDefault="00E47AB8" w:rsidP="00422306">
            <w:pPr>
              <w:pStyle w:val="TableText0"/>
              <w:keepNext w:val="0"/>
              <w:spacing w:before="40" w:after="80" w:line="276" w:lineRule="auto"/>
              <w:jc w:val="right"/>
            </w:pPr>
            <w:r w:rsidRPr="008B2F8A">
              <w:t xml:space="preserve"> $8,069,418 </w:t>
            </w:r>
          </w:p>
        </w:tc>
        <w:tc>
          <w:tcPr>
            <w:tcW w:w="690" w:type="pct"/>
            <w:noWrap/>
          </w:tcPr>
          <w:p w14:paraId="2BFC80F7" w14:textId="77777777" w:rsidR="00E47AB8" w:rsidRPr="008B2F8A" w:rsidRDefault="00E47AB8" w:rsidP="00422306">
            <w:pPr>
              <w:pStyle w:val="TableText0"/>
              <w:keepNext w:val="0"/>
              <w:spacing w:before="40" w:after="80" w:line="276" w:lineRule="auto"/>
              <w:jc w:val="right"/>
            </w:pPr>
            <w:r w:rsidRPr="008B2F8A">
              <w:t xml:space="preserve"> $10,947,393 </w:t>
            </w:r>
          </w:p>
        </w:tc>
        <w:tc>
          <w:tcPr>
            <w:tcW w:w="689" w:type="pct"/>
            <w:noWrap/>
          </w:tcPr>
          <w:p w14:paraId="10EC521C" w14:textId="77777777" w:rsidR="00E47AB8" w:rsidRPr="008B2F8A" w:rsidRDefault="00E47AB8" w:rsidP="00422306">
            <w:pPr>
              <w:pStyle w:val="TableText0"/>
              <w:keepNext w:val="0"/>
              <w:spacing w:before="40" w:after="80" w:line="276" w:lineRule="auto"/>
              <w:jc w:val="right"/>
            </w:pPr>
            <w:r w:rsidRPr="008B2F8A">
              <w:t xml:space="preserve"> $13,920,736 </w:t>
            </w:r>
          </w:p>
        </w:tc>
        <w:tc>
          <w:tcPr>
            <w:tcW w:w="689" w:type="pct"/>
            <w:noWrap/>
          </w:tcPr>
          <w:p w14:paraId="5516AF7F" w14:textId="77777777" w:rsidR="00E47AB8" w:rsidRPr="008B2F8A" w:rsidRDefault="00E47AB8" w:rsidP="00422306">
            <w:pPr>
              <w:pStyle w:val="TableText0"/>
              <w:keepNext w:val="0"/>
              <w:spacing w:before="40" w:after="80" w:line="276" w:lineRule="auto"/>
              <w:jc w:val="right"/>
            </w:pPr>
            <w:r w:rsidRPr="008B2F8A">
              <w:t xml:space="preserve"> $16,987,974 </w:t>
            </w:r>
          </w:p>
        </w:tc>
        <w:tc>
          <w:tcPr>
            <w:tcW w:w="646" w:type="pct"/>
            <w:noWrap/>
          </w:tcPr>
          <w:p w14:paraId="6257853C" w14:textId="77777777" w:rsidR="00E47AB8" w:rsidRPr="008B2F8A" w:rsidRDefault="00E47AB8" w:rsidP="00422306">
            <w:pPr>
              <w:pStyle w:val="TableText0"/>
              <w:keepNext w:val="0"/>
              <w:spacing w:before="40" w:after="80" w:line="276" w:lineRule="auto"/>
              <w:jc w:val="right"/>
            </w:pPr>
            <w:r w:rsidRPr="008B2F8A">
              <w:t xml:space="preserve"> $20,148,450 </w:t>
            </w:r>
          </w:p>
        </w:tc>
      </w:tr>
      <w:tr w:rsidR="00E47AB8" w:rsidRPr="008B2F8A" w14:paraId="67DAEC15" w14:textId="77777777" w:rsidTr="00422306">
        <w:tc>
          <w:tcPr>
            <w:tcW w:w="1597" w:type="pct"/>
            <w:noWrap/>
            <w:vAlign w:val="bottom"/>
          </w:tcPr>
          <w:p w14:paraId="4011B970" w14:textId="3CD84286"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689" w:type="pct"/>
            <w:noWrap/>
          </w:tcPr>
          <w:p w14:paraId="0303D07D" w14:textId="77777777" w:rsidR="00E47AB8" w:rsidRPr="008B2F8A" w:rsidRDefault="00E47AB8" w:rsidP="00422306">
            <w:pPr>
              <w:pStyle w:val="TableText0"/>
              <w:keepNext w:val="0"/>
              <w:spacing w:before="40" w:after="80" w:line="276" w:lineRule="auto"/>
              <w:jc w:val="right"/>
            </w:pPr>
            <w:r w:rsidRPr="008B2F8A">
              <w:t xml:space="preserve"> $917,314 </w:t>
            </w:r>
          </w:p>
        </w:tc>
        <w:tc>
          <w:tcPr>
            <w:tcW w:w="690" w:type="pct"/>
            <w:noWrap/>
          </w:tcPr>
          <w:p w14:paraId="4461F3DF" w14:textId="77777777" w:rsidR="00E47AB8" w:rsidRPr="008B2F8A" w:rsidRDefault="00E47AB8" w:rsidP="00422306">
            <w:pPr>
              <w:pStyle w:val="TableText0"/>
              <w:keepNext w:val="0"/>
              <w:spacing w:before="40" w:after="80" w:line="276" w:lineRule="auto"/>
              <w:jc w:val="right"/>
            </w:pPr>
            <w:r w:rsidRPr="008B2F8A">
              <w:t xml:space="preserve"> $1,243,878 </w:t>
            </w:r>
          </w:p>
        </w:tc>
        <w:tc>
          <w:tcPr>
            <w:tcW w:w="689" w:type="pct"/>
            <w:noWrap/>
          </w:tcPr>
          <w:p w14:paraId="7CD58F26" w14:textId="77777777" w:rsidR="00E47AB8" w:rsidRPr="008B2F8A" w:rsidRDefault="00E47AB8" w:rsidP="00422306">
            <w:pPr>
              <w:pStyle w:val="TableText0"/>
              <w:keepNext w:val="0"/>
              <w:spacing w:before="40" w:after="80" w:line="276" w:lineRule="auto"/>
              <w:jc w:val="right"/>
            </w:pPr>
            <w:r w:rsidRPr="008B2F8A">
              <w:t xml:space="preserve"> $1,581,280 </w:t>
            </w:r>
          </w:p>
        </w:tc>
        <w:tc>
          <w:tcPr>
            <w:tcW w:w="689" w:type="pct"/>
            <w:noWrap/>
          </w:tcPr>
          <w:p w14:paraId="27E18D2E" w14:textId="77777777" w:rsidR="00E47AB8" w:rsidRPr="008B2F8A" w:rsidRDefault="00E47AB8" w:rsidP="00422306">
            <w:pPr>
              <w:pStyle w:val="TableText0"/>
              <w:keepNext w:val="0"/>
              <w:spacing w:before="40" w:after="80" w:line="276" w:lineRule="auto"/>
              <w:jc w:val="right"/>
            </w:pPr>
            <w:r w:rsidRPr="008B2F8A">
              <w:t xml:space="preserve"> $1,929,794 </w:t>
            </w:r>
          </w:p>
        </w:tc>
        <w:tc>
          <w:tcPr>
            <w:tcW w:w="646" w:type="pct"/>
            <w:noWrap/>
          </w:tcPr>
          <w:p w14:paraId="12F1F89A" w14:textId="77777777" w:rsidR="00E47AB8" w:rsidRPr="008B2F8A" w:rsidRDefault="00E47AB8" w:rsidP="00422306">
            <w:pPr>
              <w:pStyle w:val="TableText0"/>
              <w:keepNext w:val="0"/>
              <w:spacing w:before="40" w:after="80" w:line="276" w:lineRule="auto"/>
              <w:jc w:val="right"/>
            </w:pPr>
            <w:r w:rsidRPr="008B2F8A">
              <w:t xml:space="preserve"> $2,289,701 </w:t>
            </w:r>
          </w:p>
        </w:tc>
      </w:tr>
      <w:tr w:rsidR="00E47AB8" w:rsidRPr="008B2F8A" w14:paraId="792FFD44" w14:textId="77777777" w:rsidTr="00422306">
        <w:tc>
          <w:tcPr>
            <w:tcW w:w="1597" w:type="pct"/>
            <w:noWrap/>
            <w:vAlign w:val="bottom"/>
          </w:tcPr>
          <w:p w14:paraId="549FCE0D"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689" w:type="pct"/>
            <w:noWrap/>
          </w:tcPr>
          <w:p w14:paraId="11B09C32" w14:textId="77777777" w:rsidR="00E47AB8" w:rsidRPr="008B2F8A" w:rsidRDefault="00E47AB8" w:rsidP="00422306">
            <w:pPr>
              <w:pStyle w:val="TableText0"/>
              <w:keepNext w:val="0"/>
              <w:spacing w:before="40" w:after="80" w:line="276" w:lineRule="auto"/>
              <w:jc w:val="right"/>
            </w:pPr>
            <w:r w:rsidRPr="008B2F8A">
              <w:t xml:space="preserve"> $149,940 </w:t>
            </w:r>
          </w:p>
        </w:tc>
        <w:tc>
          <w:tcPr>
            <w:tcW w:w="690" w:type="pct"/>
            <w:noWrap/>
          </w:tcPr>
          <w:p w14:paraId="3F64EAFA" w14:textId="77777777" w:rsidR="00E47AB8" w:rsidRPr="008B2F8A" w:rsidRDefault="00E47AB8" w:rsidP="00422306">
            <w:pPr>
              <w:pStyle w:val="TableText0"/>
              <w:keepNext w:val="0"/>
              <w:spacing w:before="40" w:after="80" w:line="276" w:lineRule="auto"/>
              <w:jc w:val="right"/>
            </w:pPr>
            <w:r w:rsidRPr="008B2F8A">
              <w:t xml:space="preserve"> $228,716 </w:t>
            </w:r>
          </w:p>
        </w:tc>
        <w:tc>
          <w:tcPr>
            <w:tcW w:w="689" w:type="pct"/>
            <w:noWrap/>
          </w:tcPr>
          <w:p w14:paraId="1D97573B" w14:textId="77777777" w:rsidR="00E47AB8" w:rsidRPr="008B2F8A" w:rsidRDefault="00E47AB8" w:rsidP="00422306">
            <w:pPr>
              <w:pStyle w:val="TableText0"/>
              <w:keepNext w:val="0"/>
              <w:spacing w:before="40" w:after="80" w:line="276" w:lineRule="auto"/>
              <w:jc w:val="right"/>
            </w:pPr>
            <w:r w:rsidRPr="008B2F8A">
              <w:t xml:space="preserve"> $310,128 </w:t>
            </w:r>
          </w:p>
        </w:tc>
        <w:tc>
          <w:tcPr>
            <w:tcW w:w="689" w:type="pct"/>
            <w:noWrap/>
          </w:tcPr>
          <w:p w14:paraId="51FA472D" w14:textId="77777777" w:rsidR="00E47AB8" w:rsidRPr="008B2F8A" w:rsidRDefault="00E47AB8" w:rsidP="00422306">
            <w:pPr>
              <w:pStyle w:val="TableText0"/>
              <w:keepNext w:val="0"/>
              <w:spacing w:before="40" w:after="80" w:line="276" w:lineRule="auto"/>
              <w:jc w:val="right"/>
            </w:pPr>
            <w:r w:rsidRPr="008B2F8A">
              <w:t xml:space="preserve"> $394,241 </w:t>
            </w:r>
          </w:p>
        </w:tc>
        <w:tc>
          <w:tcPr>
            <w:tcW w:w="646" w:type="pct"/>
            <w:noWrap/>
          </w:tcPr>
          <w:p w14:paraId="098973E6" w14:textId="77777777" w:rsidR="00E47AB8" w:rsidRPr="008B2F8A" w:rsidRDefault="00E47AB8" w:rsidP="00422306">
            <w:pPr>
              <w:pStyle w:val="TableText0"/>
              <w:keepNext w:val="0"/>
              <w:spacing w:before="40" w:after="80" w:line="276" w:lineRule="auto"/>
              <w:jc w:val="right"/>
            </w:pPr>
            <w:r w:rsidRPr="008B2F8A">
              <w:t xml:space="preserve"> $467,494 </w:t>
            </w:r>
          </w:p>
        </w:tc>
      </w:tr>
      <w:tr w:rsidR="00E47AB8" w:rsidRPr="008B2F8A" w14:paraId="4C053C6B" w14:textId="77777777" w:rsidTr="00422306">
        <w:tc>
          <w:tcPr>
            <w:tcW w:w="1597" w:type="pct"/>
            <w:noWrap/>
            <w:vAlign w:val="bottom"/>
          </w:tcPr>
          <w:p w14:paraId="41141B2E" w14:textId="77777777" w:rsidR="00E47AB8" w:rsidRPr="008B2F8A" w:rsidRDefault="00E47AB8" w:rsidP="00422306">
            <w:pPr>
              <w:pStyle w:val="TableText0"/>
              <w:keepNext w:val="0"/>
              <w:spacing w:before="40" w:after="80" w:line="276" w:lineRule="auto"/>
            </w:pPr>
            <w:r w:rsidRPr="008B2F8A">
              <w:t>All populations</w:t>
            </w:r>
          </w:p>
        </w:tc>
        <w:tc>
          <w:tcPr>
            <w:tcW w:w="689" w:type="pct"/>
            <w:noWrap/>
          </w:tcPr>
          <w:p w14:paraId="3B6388C1" w14:textId="77777777" w:rsidR="00E47AB8" w:rsidRPr="008B2F8A" w:rsidRDefault="00E47AB8" w:rsidP="00422306">
            <w:pPr>
              <w:pStyle w:val="TableText0"/>
              <w:keepNext w:val="0"/>
              <w:spacing w:before="40" w:after="80" w:line="276" w:lineRule="auto"/>
              <w:jc w:val="right"/>
            </w:pPr>
            <w:r w:rsidRPr="008B2F8A">
              <w:t xml:space="preserve"> $13,112,142 </w:t>
            </w:r>
          </w:p>
        </w:tc>
        <w:tc>
          <w:tcPr>
            <w:tcW w:w="690" w:type="pct"/>
            <w:noWrap/>
          </w:tcPr>
          <w:p w14:paraId="7482342B" w14:textId="77777777" w:rsidR="00E47AB8" w:rsidRPr="008B2F8A" w:rsidRDefault="00E47AB8" w:rsidP="00422306">
            <w:pPr>
              <w:pStyle w:val="TableText0"/>
              <w:keepNext w:val="0"/>
              <w:spacing w:before="40" w:after="80" w:line="276" w:lineRule="auto"/>
              <w:jc w:val="right"/>
            </w:pPr>
            <w:r w:rsidRPr="008B2F8A">
              <w:t xml:space="preserve"> $16,947,257 </w:t>
            </w:r>
          </w:p>
        </w:tc>
        <w:tc>
          <w:tcPr>
            <w:tcW w:w="689" w:type="pct"/>
            <w:noWrap/>
          </w:tcPr>
          <w:p w14:paraId="42185094" w14:textId="77777777" w:rsidR="00E47AB8" w:rsidRPr="008B2F8A" w:rsidRDefault="00E47AB8" w:rsidP="00422306">
            <w:pPr>
              <w:pStyle w:val="TableText0"/>
              <w:keepNext w:val="0"/>
              <w:spacing w:before="40" w:after="80" w:line="276" w:lineRule="auto"/>
              <w:jc w:val="right"/>
            </w:pPr>
            <w:r w:rsidRPr="008B2F8A">
              <w:t xml:space="preserve"> $20,891,717 </w:t>
            </w:r>
          </w:p>
        </w:tc>
        <w:tc>
          <w:tcPr>
            <w:tcW w:w="689" w:type="pct"/>
            <w:noWrap/>
          </w:tcPr>
          <w:p w14:paraId="39D81A74" w14:textId="77777777" w:rsidR="00E47AB8" w:rsidRPr="008B2F8A" w:rsidRDefault="00E47AB8" w:rsidP="00422306">
            <w:pPr>
              <w:pStyle w:val="TableText0"/>
              <w:keepNext w:val="0"/>
              <w:spacing w:before="40" w:after="80" w:line="276" w:lineRule="auto"/>
              <w:jc w:val="right"/>
            </w:pPr>
            <w:r w:rsidRPr="008B2F8A">
              <w:t xml:space="preserve"> $24,942,881 </w:t>
            </w:r>
          </w:p>
        </w:tc>
        <w:tc>
          <w:tcPr>
            <w:tcW w:w="646" w:type="pct"/>
            <w:noWrap/>
          </w:tcPr>
          <w:p w14:paraId="327BA211" w14:textId="77777777" w:rsidR="00E47AB8" w:rsidRPr="008B2F8A" w:rsidRDefault="00E47AB8" w:rsidP="00422306">
            <w:pPr>
              <w:pStyle w:val="TableText0"/>
              <w:keepNext w:val="0"/>
              <w:spacing w:before="40" w:after="80" w:line="276" w:lineRule="auto"/>
              <w:jc w:val="right"/>
            </w:pPr>
            <w:r w:rsidRPr="008B2F8A">
              <w:t xml:space="preserve"> $29,087,812 </w:t>
            </w:r>
          </w:p>
        </w:tc>
      </w:tr>
    </w:tbl>
    <w:p w14:paraId="0FFEE944" w14:textId="24FB406A" w:rsidR="00E47AB8" w:rsidRPr="008B2F8A" w:rsidRDefault="00E47AB8" w:rsidP="004E7861">
      <w:pPr>
        <w:pStyle w:val="TableNotesLast"/>
      </w:pPr>
      <w:r w:rsidRPr="008B2F8A">
        <w:t>DCIS = ductal carcinoma in situ; FY = financial year; LCIS = lobular carcinoma in situ.</w:t>
      </w:r>
      <w:r>
        <w:t xml:space="preserve"> </w:t>
      </w:r>
      <w:r w:rsidRPr="008B2F8A">
        <w:t>Note: Rounding has been applied.</w:t>
      </w:r>
    </w:p>
    <w:p w14:paraId="41479205" w14:textId="77777777" w:rsidR="00E47AB8" w:rsidRPr="008B2F8A" w:rsidRDefault="00E47AB8" w:rsidP="00E47AB8">
      <w:pPr>
        <w:pStyle w:val="Heading3"/>
        <w:numPr>
          <w:ilvl w:val="2"/>
          <w:numId w:val="42"/>
        </w:numPr>
      </w:pPr>
      <w:bookmarkStart w:id="1422" w:name="_Toc383424541"/>
      <w:r w:rsidRPr="008B2F8A">
        <w:t>Higher risk of breast cancer</w:t>
      </w:r>
      <w:bookmarkEnd w:id="1422"/>
    </w:p>
    <w:p w14:paraId="71B9AC1F" w14:textId="77777777" w:rsidR="00E47AB8" w:rsidRPr="008B2F8A" w:rsidRDefault="00E47AB8" w:rsidP="00422306">
      <w:r w:rsidRPr="008B2F8A">
        <w:t xml:space="preserve">An increase in the risk of breast cancer would result in increases in the number of women who undergo biopsies and treatment for breast cancer. The effect of a higher risk of breast cancer was explored using the higher rates for each population shown in </w:t>
      </w:r>
      <w:r w:rsidRPr="008B2F8A">
        <w:fldChar w:fldCharType="begin"/>
      </w:r>
      <w:r w:rsidRPr="008B2F8A">
        <w:instrText xml:space="preserve"> REF _Ref377389490 \h </w:instrText>
      </w:r>
      <w:r w:rsidRPr="008B2F8A">
        <w:fldChar w:fldCharType="separate"/>
      </w:r>
      <w:r w:rsidR="00B81273" w:rsidRPr="008B2F8A">
        <w:t xml:space="preserve">Table </w:t>
      </w:r>
      <w:r w:rsidR="00B81273">
        <w:rPr>
          <w:noProof/>
        </w:rPr>
        <w:t>E</w:t>
      </w:r>
      <w:r w:rsidR="00B81273" w:rsidRPr="008B2F8A">
        <w:t>.</w:t>
      </w:r>
      <w:r w:rsidR="00B81273">
        <w:rPr>
          <w:noProof/>
        </w:rPr>
        <w:t>37</w:t>
      </w:r>
      <w:r w:rsidRPr="008B2F8A">
        <w:fldChar w:fldCharType="end"/>
      </w:r>
      <w:r w:rsidRPr="008B2F8A">
        <w:t>.</w:t>
      </w:r>
    </w:p>
    <w:p w14:paraId="7B0D0716" w14:textId="77777777" w:rsidR="00E47AB8" w:rsidRPr="008B2F8A" w:rsidRDefault="00E47AB8" w:rsidP="00422306">
      <w:pPr>
        <w:pStyle w:val="Caption"/>
      </w:pPr>
      <w:bookmarkStart w:id="1423" w:name="_Ref377389490"/>
      <w:bookmarkStart w:id="1424" w:name="_Toc383424668"/>
      <w:r w:rsidRPr="008B2F8A">
        <w:t xml:space="preserve">Table </w:t>
      </w:r>
      <w:fldSimple w:instr=" STYLEREF 1 \s ">
        <w:r w:rsidR="00B81273">
          <w:rPr>
            <w:noProof/>
          </w:rPr>
          <w:t>E</w:t>
        </w:r>
      </w:fldSimple>
      <w:r w:rsidRPr="008B2F8A">
        <w:t>.</w:t>
      </w:r>
      <w:fldSimple w:instr=" SEQ Table \* ARABIC \s 1 ">
        <w:r w:rsidR="00B81273">
          <w:rPr>
            <w:noProof/>
          </w:rPr>
          <w:t>37</w:t>
        </w:r>
      </w:fldSimple>
      <w:bookmarkEnd w:id="1423"/>
      <w:r w:rsidRPr="008B2F8A">
        <w:tab/>
      </w:r>
      <w:r w:rsidRPr="00C277DF">
        <w:rPr>
          <w:spacing w:val="-4"/>
          <w:szCs w:val="22"/>
        </w:rPr>
        <w:t>Higher estimates for the annual risk of breast cancer in each of the included populations</w:t>
      </w:r>
      <w:r w:rsidRPr="008B2F8A">
        <w:t>.</w:t>
      </w:r>
      <w:bookmarkEnd w:id="1424"/>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Higher estimates for the annual risk of breast cancer in each of the included populations."/>
      </w:tblPr>
      <w:tblGrid>
        <w:gridCol w:w="2750"/>
        <w:gridCol w:w="1287"/>
        <w:gridCol w:w="1671"/>
        <w:gridCol w:w="3362"/>
      </w:tblGrid>
      <w:tr w:rsidR="00E47AB8" w:rsidRPr="008B2F8A" w14:paraId="57C4E34C" w14:textId="77777777" w:rsidTr="00422306">
        <w:trPr>
          <w:tblHeader/>
        </w:trPr>
        <w:tc>
          <w:tcPr>
            <w:tcW w:w="2750" w:type="dxa"/>
            <w:shd w:val="clear" w:color="auto" w:fill="auto"/>
            <w:vAlign w:val="bottom"/>
          </w:tcPr>
          <w:p w14:paraId="3DD5D180" w14:textId="77777777" w:rsidR="00E47AB8" w:rsidRPr="008B2F8A" w:rsidRDefault="00E47AB8" w:rsidP="00422306">
            <w:pPr>
              <w:pStyle w:val="Tableheaderrow"/>
              <w:spacing w:before="40" w:after="80" w:line="276" w:lineRule="auto"/>
            </w:pPr>
            <w:r w:rsidRPr="008B2F8A">
              <w:t>Population</w:t>
            </w:r>
          </w:p>
        </w:tc>
        <w:tc>
          <w:tcPr>
            <w:tcW w:w="1287" w:type="dxa"/>
            <w:vAlign w:val="bottom"/>
          </w:tcPr>
          <w:p w14:paraId="0E03DD51" w14:textId="55E2EEF0" w:rsidR="00E47AB8" w:rsidRPr="008B2F8A" w:rsidRDefault="00E47AB8" w:rsidP="00422306">
            <w:pPr>
              <w:pStyle w:val="Tableheaderrow"/>
              <w:spacing w:before="40" w:after="80" w:line="276" w:lineRule="auto"/>
              <w:jc w:val="center"/>
            </w:pPr>
            <w:r w:rsidRPr="008B2F8A">
              <w:t>Risk estimate</w:t>
            </w:r>
            <w:r>
              <w:t xml:space="preserve"> </w:t>
            </w:r>
            <w:r w:rsidRPr="008B2F8A">
              <w:t>base case</w:t>
            </w:r>
          </w:p>
        </w:tc>
        <w:tc>
          <w:tcPr>
            <w:tcW w:w="1671" w:type="dxa"/>
            <w:shd w:val="clear" w:color="auto" w:fill="auto"/>
            <w:noWrap/>
            <w:vAlign w:val="bottom"/>
          </w:tcPr>
          <w:p w14:paraId="604A7CAD" w14:textId="7DF54227" w:rsidR="00E47AB8" w:rsidRPr="008B2F8A" w:rsidRDefault="00E47AB8" w:rsidP="00422306">
            <w:pPr>
              <w:pStyle w:val="Tableheaderrow"/>
              <w:spacing w:before="40" w:after="80" w:line="276" w:lineRule="auto"/>
              <w:jc w:val="center"/>
            </w:pPr>
            <w:r w:rsidRPr="008B2F8A">
              <w:t>Risk estimate</w:t>
            </w:r>
            <w:r>
              <w:t xml:space="preserve"> </w:t>
            </w:r>
            <w:r w:rsidRPr="008B2F8A">
              <w:t>sensitivity analysis</w:t>
            </w:r>
          </w:p>
        </w:tc>
        <w:tc>
          <w:tcPr>
            <w:tcW w:w="3362" w:type="dxa"/>
            <w:vAlign w:val="bottom"/>
          </w:tcPr>
          <w:p w14:paraId="249DE0C6" w14:textId="77777777" w:rsidR="00E47AB8" w:rsidRPr="008B2F8A" w:rsidRDefault="00E47AB8" w:rsidP="00422306">
            <w:pPr>
              <w:pStyle w:val="Tableheaderrow"/>
              <w:spacing w:before="40" w:after="80" w:line="276" w:lineRule="auto"/>
            </w:pPr>
            <w:r w:rsidRPr="008B2F8A">
              <w:t>Source for sensitivity analysis</w:t>
            </w:r>
          </w:p>
        </w:tc>
      </w:tr>
      <w:tr w:rsidR="00E47AB8" w:rsidRPr="008B2F8A" w14:paraId="1318B879" w14:textId="77777777" w:rsidTr="00422306">
        <w:tc>
          <w:tcPr>
            <w:tcW w:w="2750" w:type="dxa"/>
            <w:shd w:val="clear" w:color="auto" w:fill="auto"/>
            <w:hideMark/>
          </w:tcPr>
          <w:p w14:paraId="3750AC82" w14:textId="77777777" w:rsidR="00E47AB8" w:rsidRPr="008B2F8A" w:rsidRDefault="00E47AB8" w:rsidP="00422306">
            <w:pPr>
              <w:pStyle w:val="TableText0"/>
              <w:keepNext w:val="0"/>
              <w:spacing w:before="40" w:after="80" w:line="276" w:lineRule="auto"/>
            </w:pPr>
            <w:r w:rsidRPr="008B2F8A">
              <w:t>Women with gene mutations or family history</w:t>
            </w:r>
          </w:p>
        </w:tc>
        <w:tc>
          <w:tcPr>
            <w:tcW w:w="1287" w:type="dxa"/>
          </w:tcPr>
          <w:p w14:paraId="2CF6BF29" w14:textId="77777777" w:rsidR="00E47AB8" w:rsidRPr="008B2F8A" w:rsidRDefault="00E47AB8" w:rsidP="00422306">
            <w:pPr>
              <w:pStyle w:val="TableText0"/>
              <w:keepNext w:val="0"/>
              <w:spacing w:before="40" w:after="80" w:line="276" w:lineRule="auto"/>
              <w:jc w:val="center"/>
            </w:pPr>
            <w:r w:rsidRPr="008B2F8A">
              <w:t>1.2%</w:t>
            </w:r>
          </w:p>
        </w:tc>
        <w:tc>
          <w:tcPr>
            <w:tcW w:w="1671" w:type="dxa"/>
            <w:shd w:val="clear" w:color="auto" w:fill="auto"/>
            <w:noWrap/>
            <w:hideMark/>
          </w:tcPr>
          <w:p w14:paraId="111049C2" w14:textId="77777777" w:rsidR="00E47AB8" w:rsidRPr="008B2F8A" w:rsidRDefault="00E47AB8" w:rsidP="00422306">
            <w:pPr>
              <w:pStyle w:val="TableText0"/>
              <w:keepNext w:val="0"/>
              <w:spacing w:before="40" w:after="80" w:line="276" w:lineRule="auto"/>
              <w:jc w:val="center"/>
            </w:pPr>
            <w:r w:rsidRPr="008B2F8A">
              <w:t>2.0%</w:t>
            </w:r>
          </w:p>
        </w:tc>
        <w:tc>
          <w:tcPr>
            <w:tcW w:w="3362" w:type="dxa"/>
          </w:tcPr>
          <w:p w14:paraId="38EA645B" w14:textId="77777777" w:rsidR="00E47AB8" w:rsidRPr="008B2F8A" w:rsidRDefault="00E47AB8" w:rsidP="00422306">
            <w:pPr>
              <w:pStyle w:val="TableText0"/>
              <w:keepNext w:val="0"/>
              <w:spacing w:before="40" w:after="80" w:line="276" w:lineRule="auto"/>
            </w:pPr>
            <w:r w:rsidRPr="008B2F8A">
              <w:t>Assumption; based on 10-year risk estimates in Berg 2009</w:t>
            </w:r>
          </w:p>
        </w:tc>
      </w:tr>
      <w:tr w:rsidR="00E47AB8" w:rsidRPr="008B2F8A" w14:paraId="74D90E6F" w14:textId="77777777" w:rsidTr="00422306">
        <w:tc>
          <w:tcPr>
            <w:tcW w:w="2750" w:type="dxa"/>
            <w:tcBorders>
              <w:bottom w:val="single" w:sz="4" w:space="0" w:color="auto"/>
            </w:tcBorders>
            <w:shd w:val="clear" w:color="auto" w:fill="auto"/>
          </w:tcPr>
          <w:p w14:paraId="3669C363" w14:textId="77777777" w:rsidR="00E47AB8" w:rsidRPr="008B2F8A" w:rsidRDefault="00E47AB8" w:rsidP="00422306">
            <w:pPr>
              <w:pStyle w:val="TableText0"/>
              <w:keepNext w:val="0"/>
              <w:spacing w:before="40" w:after="80" w:line="276" w:lineRule="auto"/>
            </w:pPr>
            <w:r w:rsidRPr="008B2F8A">
              <w:t>Women with history of invasive breast cancer</w:t>
            </w:r>
          </w:p>
        </w:tc>
        <w:tc>
          <w:tcPr>
            <w:tcW w:w="1287" w:type="dxa"/>
          </w:tcPr>
          <w:p w14:paraId="1279871B" w14:textId="77777777" w:rsidR="00E47AB8" w:rsidRPr="008B2F8A" w:rsidRDefault="00E47AB8" w:rsidP="00422306">
            <w:pPr>
              <w:pStyle w:val="TableText0"/>
              <w:keepNext w:val="0"/>
              <w:spacing w:before="40" w:after="80" w:line="276" w:lineRule="auto"/>
              <w:jc w:val="center"/>
            </w:pPr>
            <w:r w:rsidRPr="008B2F8A">
              <w:t>1.1%</w:t>
            </w:r>
          </w:p>
        </w:tc>
        <w:tc>
          <w:tcPr>
            <w:tcW w:w="1671" w:type="dxa"/>
            <w:shd w:val="clear" w:color="auto" w:fill="auto"/>
            <w:noWrap/>
          </w:tcPr>
          <w:p w14:paraId="5B40DDFD" w14:textId="77777777" w:rsidR="00E47AB8" w:rsidRPr="008B2F8A" w:rsidRDefault="00E47AB8" w:rsidP="00422306">
            <w:pPr>
              <w:pStyle w:val="TableText0"/>
              <w:keepNext w:val="0"/>
              <w:spacing w:before="40" w:after="80" w:line="276" w:lineRule="auto"/>
              <w:jc w:val="center"/>
            </w:pPr>
            <w:r w:rsidRPr="008B2F8A">
              <w:t>2.0%</w:t>
            </w:r>
          </w:p>
        </w:tc>
        <w:tc>
          <w:tcPr>
            <w:tcW w:w="3362" w:type="dxa"/>
          </w:tcPr>
          <w:p w14:paraId="6291222D" w14:textId="7CFF0BA9" w:rsidR="00E47AB8" w:rsidRPr="008B2F8A" w:rsidRDefault="00C277DF" w:rsidP="00422306">
            <w:pPr>
              <w:pStyle w:val="TableText0"/>
              <w:keepNext w:val="0"/>
              <w:spacing w:before="40" w:after="80" w:line="276" w:lineRule="auto"/>
            </w:pPr>
            <w:r>
              <w:t>ditto</w:t>
            </w:r>
          </w:p>
        </w:tc>
      </w:tr>
      <w:tr w:rsidR="00E47AB8" w:rsidRPr="008B2F8A" w14:paraId="4A94435F" w14:textId="77777777" w:rsidTr="00422306">
        <w:tc>
          <w:tcPr>
            <w:tcW w:w="2750" w:type="dxa"/>
            <w:tcBorders>
              <w:bottom w:val="nil"/>
            </w:tcBorders>
            <w:shd w:val="clear" w:color="auto" w:fill="auto"/>
          </w:tcPr>
          <w:p w14:paraId="460B9C5A" w14:textId="77777777" w:rsidR="00E47AB8" w:rsidRPr="008B2F8A" w:rsidRDefault="00E47AB8" w:rsidP="00422306">
            <w:pPr>
              <w:pStyle w:val="TableText0"/>
              <w:keepNext w:val="0"/>
              <w:spacing w:before="40" w:after="80" w:line="276" w:lineRule="auto"/>
            </w:pPr>
            <w:r w:rsidRPr="008B2F8A">
              <w:t>Women with previous DCIS or LCIS</w:t>
            </w:r>
          </w:p>
        </w:tc>
        <w:tc>
          <w:tcPr>
            <w:tcW w:w="1287" w:type="dxa"/>
          </w:tcPr>
          <w:p w14:paraId="467A156B" w14:textId="77777777" w:rsidR="00E47AB8" w:rsidRPr="008B2F8A" w:rsidRDefault="00E47AB8" w:rsidP="00422306">
            <w:pPr>
              <w:pStyle w:val="TableText0"/>
              <w:keepNext w:val="0"/>
              <w:spacing w:before="40" w:after="80" w:line="276" w:lineRule="auto"/>
              <w:jc w:val="center"/>
            </w:pPr>
            <w:r w:rsidRPr="008B2F8A">
              <w:t>1.1%</w:t>
            </w:r>
          </w:p>
        </w:tc>
        <w:tc>
          <w:tcPr>
            <w:tcW w:w="1671" w:type="dxa"/>
            <w:shd w:val="clear" w:color="auto" w:fill="auto"/>
            <w:noWrap/>
          </w:tcPr>
          <w:p w14:paraId="549472DA" w14:textId="77777777" w:rsidR="00E47AB8" w:rsidRPr="008B2F8A" w:rsidRDefault="00E47AB8" w:rsidP="00422306">
            <w:pPr>
              <w:pStyle w:val="TableText0"/>
              <w:keepNext w:val="0"/>
              <w:spacing w:before="40" w:after="80" w:line="276" w:lineRule="auto"/>
              <w:jc w:val="center"/>
            </w:pPr>
            <w:r w:rsidRPr="008B2F8A">
              <w:t>2.0%</w:t>
            </w:r>
          </w:p>
        </w:tc>
        <w:tc>
          <w:tcPr>
            <w:tcW w:w="3362" w:type="dxa"/>
          </w:tcPr>
          <w:p w14:paraId="5E06EBE3" w14:textId="5F6F4F99" w:rsidR="00E47AB8" w:rsidRPr="008B2F8A" w:rsidRDefault="00C277DF" w:rsidP="00422306">
            <w:pPr>
              <w:pStyle w:val="TableText0"/>
              <w:keepNext w:val="0"/>
              <w:spacing w:before="40" w:after="80" w:line="276" w:lineRule="auto"/>
            </w:pPr>
            <w:r>
              <w:t>ditto</w:t>
            </w:r>
          </w:p>
        </w:tc>
      </w:tr>
      <w:tr w:rsidR="00E47AB8" w:rsidRPr="008B2F8A" w14:paraId="27000983" w14:textId="77777777" w:rsidTr="00422306">
        <w:tc>
          <w:tcPr>
            <w:tcW w:w="2750" w:type="dxa"/>
            <w:shd w:val="clear" w:color="auto" w:fill="auto"/>
          </w:tcPr>
          <w:p w14:paraId="34E98089" w14:textId="77777777" w:rsidR="00E47AB8" w:rsidRPr="008B2F8A" w:rsidRDefault="00E47AB8" w:rsidP="00422306">
            <w:pPr>
              <w:pStyle w:val="TableText0"/>
              <w:keepNext w:val="0"/>
              <w:spacing w:before="40" w:after="80" w:line="276" w:lineRule="auto"/>
            </w:pPr>
            <w:r w:rsidRPr="008B2F8A">
              <w:t>Women with previous chest irradiation</w:t>
            </w:r>
          </w:p>
        </w:tc>
        <w:tc>
          <w:tcPr>
            <w:tcW w:w="1287" w:type="dxa"/>
          </w:tcPr>
          <w:p w14:paraId="7CF4C642" w14:textId="77777777" w:rsidR="00E47AB8" w:rsidRPr="008B2F8A" w:rsidRDefault="00E47AB8" w:rsidP="00422306">
            <w:pPr>
              <w:pStyle w:val="TableText0"/>
              <w:keepNext w:val="0"/>
              <w:spacing w:before="40" w:after="80" w:line="276" w:lineRule="auto"/>
              <w:jc w:val="center"/>
            </w:pPr>
            <w:r w:rsidRPr="008B2F8A">
              <w:t>0.5%</w:t>
            </w:r>
          </w:p>
        </w:tc>
        <w:tc>
          <w:tcPr>
            <w:tcW w:w="1671" w:type="dxa"/>
            <w:shd w:val="clear" w:color="auto" w:fill="auto"/>
            <w:noWrap/>
          </w:tcPr>
          <w:p w14:paraId="5566BE8C" w14:textId="77777777" w:rsidR="00E47AB8" w:rsidRPr="008B2F8A" w:rsidRDefault="00E47AB8" w:rsidP="00422306">
            <w:pPr>
              <w:pStyle w:val="TableText0"/>
              <w:keepNext w:val="0"/>
              <w:spacing w:before="40" w:after="80" w:line="276" w:lineRule="auto"/>
              <w:jc w:val="center"/>
            </w:pPr>
            <w:r w:rsidRPr="008B2F8A">
              <w:t>1.2%</w:t>
            </w:r>
          </w:p>
        </w:tc>
        <w:tc>
          <w:tcPr>
            <w:tcW w:w="3362" w:type="dxa"/>
          </w:tcPr>
          <w:p w14:paraId="61A8E257" w14:textId="44F7D19F" w:rsidR="00E47AB8" w:rsidRPr="008B2F8A" w:rsidRDefault="00E47AB8" w:rsidP="00422306">
            <w:pPr>
              <w:pStyle w:val="TableText0"/>
              <w:keepNext w:val="0"/>
              <w:spacing w:before="40" w:after="80" w:line="276" w:lineRule="auto"/>
            </w:pPr>
            <w:r w:rsidRPr="008B2F8A">
              <w:t>Assumption; same risk as women with gene mutation or family history (base-case risk)</w:t>
            </w:r>
          </w:p>
        </w:tc>
      </w:tr>
    </w:tbl>
    <w:p w14:paraId="47799B44" w14:textId="73DC996D" w:rsidR="00E47AB8" w:rsidRPr="008B2F8A" w:rsidRDefault="00E47AB8" w:rsidP="004E7861">
      <w:pPr>
        <w:pStyle w:val="TableNotesLast"/>
      </w:pPr>
      <w:r w:rsidRPr="008B2F8A">
        <w:t>DCIS = ductal carcinoma in situ; LCIS = lobular carcinoma in situ.</w:t>
      </w:r>
    </w:p>
    <w:p w14:paraId="1F464DC8" w14:textId="70F6D751" w:rsidR="00E47AB8" w:rsidRPr="008B2F8A" w:rsidRDefault="00E47AB8" w:rsidP="00422306">
      <w:pPr>
        <w:spacing w:after="240"/>
      </w:pPr>
      <w:r w:rsidRPr="008B2F8A">
        <w:t xml:space="preserve">The higher risk of breast cancer was incorporated into the cost calculations for each of the populations. The results of the analyses are shown in </w:t>
      </w:r>
      <w:r w:rsidRPr="008B2F8A">
        <w:fldChar w:fldCharType="begin"/>
      </w:r>
      <w:r w:rsidRPr="008B2F8A">
        <w:instrText xml:space="preserve"> REF _Ref377389623 \h </w:instrText>
      </w:r>
      <w:r w:rsidRPr="008B2F8A">
        <w:fldChar w:fldCharType="separate"/>
      </w:r>
      <w:r w:rsidR="00B81273" w:rsidRPr="008B2F8A">
        <w:t xml:space="preserve">Table </w:t>
      </w:r>
      <w:r w:rsidR="00B81273">
        <w:rPr>
          <w:noProof/>
        </w:rPr>
        <w:t>E</w:t>
      </w:r>
      <w:r w:rsidR="00B81273" w:rsidRPr="008B2F8A">
        <w:t>.</w:t>
      </w:r>
      <w:r w:rsidR="00B81273">
        <w:rPr>
          <w:noProof/>
        </w:rPr>
        <w:t>38</w:t>
      </w:r>
      <w:r w:rsidRPr="008B2F8A">
        <w:fldChar w:fldCharType="end"/>
      </w:r>
      <w:r w:rsidRPr="008B2F8A">
        <w:t xml:space="preserve"> and </w:t>
      </w:r>
      <w:r w:rsidRPr="008B2F8A">
        <w:fldChar w:fldCharType="begin"/>
      </w:r>
      <w:r w:rsidRPr="008B2F8A">
        <w:instrText xml:space="preserve"> REF _Ref377389628 \h </w:instrText>
      </w:r>
      <w:r w:rsidRPr="008B2F8A">
        <w:fldChar w:fldCharType="separate"/>
      </w:r>
      <w:r w:rsidR="00B81273" w:rsidRPr="008B2F8A">
        <w:t xml:space="preserve">Table </w:t>
      </w:r>
      <w:r w:rsidR="00B81273">
        <w:rPr>
          <w:noProof/>
        </w:rPr>
        <w:t>E</w:t>
      </w:r>
      <w:r w:rsidR="00B81273" w:rsidRPr="008B2F8A">
        <w:t>.</w:t>
      </w:r>
      <w:r w:rsidR="00B81273">
        <w:rPr>
          <w:noProof/>
        </w:rPr>
        <w:t>39</w:t>
      </w:r>
      <w:r w:rsidRPr="008B2F8A">
        <w:fldChar w:fldCharType="end"/>
      </w:r>
      <w:r w:rsidRPr="008B2F8A">
        <w:t>. Increasing the risk of breast cancer resulted in a modest increase in the overall cost of the requested listing. The total cost to government in 2019 was increased to $25.7 million, representing an increase of $2.3 million from the base-case estimate.</w:t>
      </w:r>
    </w:p>
    <w:p w14:paraId="6722AF78" w14:textId="77777777" w:rsidR="00E47AB8" w:rsidRPr="008B2F8A" w:rsidRDefault="00E47AB8" w:rsidP="00422306">
      <w:pPr>
        <w:pStyle w:val="Caption"/>
      </w:pPr>
      <w:bookmarkStart w:id="1425" w:name="_Ref377389623"/>
      <w:bookmarkStart w:id="1426" w:name="_Toc383424669"/>
      <w:r w:rsidRPr="008B2F8A">
        <w:t xml:space="preserve">Table </w:t>
      </w:r>
      <w:fldSimple w:instr=" STYLEREF 1 \s ">
        <w:r w:rsidR="00B81273">
          <w:rPr>
            <w:noProof/>
          </w:rPr>
          <w:t>E</w:t>
        </w:r>
      </w:fldSimple>
      <w:r w:rsidRPr="008B2F8A">
        <w:t>.</w:t>
      </w:r>
      <w:fldSimple w:instr=" SEQ Table \* ARABIC \s 1 ">
        <w:r w:rsidR="00B81273">
          <w:rPr>
            <w:noProof/>
          </w:rPr>
          <w:t>38</w:t>
        </w:r>
      </w:fldSimple>
      <w:bookmarkEnd w:id="1425"/>
      <w:r w:rsidRPr="008B2F8A">
        <w:tab/>
        <w:t>Total cost to the MBS of the requested listing using higher breast cancer risk estimates.</w:t>
      </w:r>
      <w:bookmarkEnd w:id="1426"/>
    </w:p>
    <w:tbl>
      <w:tblPr>
        <w:tblStyle w:val="TableGrid"/>
        <w:tblW w:w="9070" w:type="dxa"/>
        <w:tblCellMar>
          <w:left w:w="28" w:type="dxa"/>
          <w:right w:w="28" w:type="dxa"/>
        </w:tblCellMar>
        <w:tblLook w:val="04A0" w:firstRow="1" w:lastRow="0" w:firstColumn="1" w:lastColumn="0" w:noHBand="0" w:noVBand="1"/>
        <w:tblCaption w:val="Total cost to the MBS of the requested listing using higher breast cancer risk estimates."/>
      </w:tblPr>
      <w:tblGrid>
        <w:gridCol w:w="3048"/>
        <w:gridCol w:w="1118"/>
        <w:gridCol w:w="1258"/>
        <w:gridCol w:w="1258"/>
        <w:gridCol w:w="1257"/>
        <w:gridCol w:w="1187"/>
      </w:tblGrid>
      <w:tr w:rsidR="00E47AB8" w:rsidRPr="008B2F8A" w14:paraId="7A306E94" w14:textId="77777777" w:rsidTr="00422306">
        <w:trPr>
          <w:tblHeader/>
        </w:trPr>
        <w:tc>
          <w:tcPr>
            <w:tcW w:w="3107" w:type="dxa"/>
            <w:noWrap/>
            <w:hideMark/>
          </w:tcPr>
          <w:p w14:paraId="38B2892D" w14:textId="77777777" w:rsidR="00E47AB8" w:rsidRPr="008B2F8A" w:rsidRDefault="00E47AB8" w:rsidP="00422306">
            <w:pPr>
              <w:pStyle w:val="Tableheaderrow"/>
              <w:spacing w:before="40" w:after="80" w:line="276" w:lineRule="auto"/>
            </w:pPr>
            <w:r w:rsidRPr="008B2F8A">
              <w:t>Population</w:t>
            </w:r>
          </w:p>
        </w:tc>
        <w:tc>
          <w:tcPr>
            <w:tcW w:w="1139" w:type="dxa"/>
            <w:noWrap/>
            <w:hideMark/>
          </w:tcPr>
          <w:p w14:paraId="3445637B" w14:textId="77777777" w:rsidR="00E47AB8" w:rsidRPr="008B2F8A" w:rsidRDefault="00E47AB8" w:rsidP="00422306">
            <w:pPr>
              <w:pStyle w:val="Tableheaderrow"/>
              <w:spacing w:before="40" w:after="80" w:line="276" w:lineRule="auto"/>
              <w:jc w:val="center"/>
            </w:pPr>
            <w:r w:rsidRPr="008B2F8A">
              <w:t>FY 2015</w:t>
            </w:r>
          </w:p>
        </w:tc>
        <w:tc>
          <w:tcPr>
            <w:tcW w:w="1282" w:type="dxa"/>
            <w:noWrap/>
            <w:hideMark/>
          </w:tcPr>
          <w:p w14:paraId="6506413E" w14:textId="77777777" w:rsidR="00E47AB8" w:rsidRPr="008B2F8A" w:rsidRDefault="00E47AB8" w:rsidP="00422306">
            <w:pPr>
              <w:pStyle w:val="Tableheaderrow"/>
              <w:spacing w:before="40" w:after="80" w:line="276" w:lineRule="auto"/>
              <w:jc w:val="center"/>
            </w:pPr>
            <w:r w:rsidRPr="008B2F8A">
              <w:t>FY 2016</w:t>
            </w:r>
          </w:p>
        </w:tc>
        <w:tc>
          <w:tcPr>
            <w:tcW w:w="1282" w:type="dxa"/>
            <w:noWrap/>
            <w:hideMark/>
          </w:tcPr>
          <w:p w14:paraId="3C01E661" w14:textId="77777777" w:rsidR="00E47AB8" w:rsidRPr="008B2F8A" w:rsidRDefault="00E47AB8" w:rsidP="00422306">
            <w:pPr>
              <w:pStyle w:val="Tableheaderrow"/>
              <w:spacing w:before="40" w:after="80" w:line="276" w:lineRule="auto"/>
              <w:jc w:val="center"/>
            </w:pPr>
            <w:r w:rsidRPr="008B2F8A">
              <w:t>FY 2017</w:t>
            </w:r>
          </w:p>
        </w:tc>
        <w:tc>
          <w:tcPr>
            <w:tcW w:w="1281" w:type="dxa"/>
            <w:noWrap/>
            <w:hideMark/>
          </w:tcPr>
          <w:p w14:paraId="2FEFDE92" w14:textId="77777777" w:rsidR="00E47AB8" w:rsidRPr="008B2F8A" w:rsidRDefault="00E47AB8" w:rsidP="00422306">
            <w:pPr>
              <w:pStyle w:val="Tableheaderrow"/>
              <w:spacing w:before="40" w:after="80" w:line="276" w:lineRule="auto"/>
              <w:jc w:val="center"/>
            </w:pPr>
            <w:r w:rsidRPr="008B2F8A">
              <w:t>FY 2018</w:t>
            </w:r>
          </w:p>
        </w:tc>
        <w:tc>
          <w:tcPr>
            <w:tcW w:w="1209" w:type="dxa"/>
            <w:noWrap/>
            <w:hideMark/>
          </w:tcPr>
          <w:p w14:paraId="203A5DE2"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5B9AE4EC" w14:textId="77777777" w:rsidTr="00422306">
        <w:tc>
          <w:tcPr>
            <w:tcW w:w="3107" w:type="dxa"/>
            <w:noWrap/>
            <w:vAlign w:val="bottom"/>
            <w:hideMark/>
          </w:tcPr>
          <w:p w14:paraId="2F0F2EE9" w14:textId="77777777" w:rsidR="00E47AB8" w:rsidRPr="008B2F8A" w:rsidRDefault="00E47AB8" w:rsidP="00422306">
            <w:pPr>
              <w:pStyle w:val="TableText0"/>
              <w:keepNext w:val="0"/>
              <w:spacing w:before="40" w:after="80" w:line="276" w:lineRule="auto"/>
            </w:pPr>
            <w:r w:rsidRPr="008B2F8A">
              <w:t>Gene mutation or family history</w:t>
            </w:r>
          </w:p>
        </w:tc>
        <w:tc>
          <w:tcPr>
            <w:tcW w:w="1139" w:type="dxa"/>
            <w:noWrap/>
            <w:hideMark/>
          </w:tcPr>
          <w:p w14:paraId="74875FF5" w14:textId="77777777" w:rsidR="00E47AB8" w:rsidRPr="008B2F8A" w:rsidRDefault="00E47AB8" w:rsidP="00422306">
            <w:pPr>
              <w:pStyle w:val="TableText0"/>
              <w:keepNext w:val="0"/>
              <w:spacing w:before="40" w:after="80" w:line="276" w:lineRule="auto"/>
              <w:jc w:val="right"/>
            </w:pPr>
            <w:r w:rsidRPr="008B2F8A">
              <w:t xml:space="preserve"> $3,168,737 </w:t>
            </w:r>
          </w:p>
        </w:tc>
        <w:tc>
          <w:tcPr>
            <w:tcW w:w="1282" w:type="dxa"/>
            <w:noWrap/>
            <w:hideMark/>
          </w:tcPr>
          <w:p w14:paraId="08792681" w14:textId="77777777" w:rsidR="00E47AB8" w:rsidRPr="008B2F8A" w:rsidRDefault="00E47AB8" w:rsidP="00422306">
            <w:pPr>
              <w:pStyle w:val="TableText0"/>
              <w:keepNext w:val="0"/>
              <w:spacing w:before="40" w:after="80" w:line="276" w:lineRule="auto"/>
              <w:jc w:val="right"/>
            </w:pPr>
            <w:r w:rsidRPr="008B2F8A">
              <w:t xml:space="preserve"> $3,577,250 </w:t>
            </w:r>
          </w:p>
        </w:tc>
        <w:tc>
          <w:tcPr>
            <w:tcW w:w="1282" w:type="dxa"/>
            <w:noWrap/>
            <w:hideMark/>
          </w:tcPr>
          <w:p w14:paraId="2AC6D6F1" w14:textId="77777777" w:rsidR="00E47AB8" w:rsidRPr="008B2F8A" w:rsidRDefault="00E47AB8" w:rsidP="00422306">
            <w:pPr>
              <w:pStyle w:val="TableText0"/>
              <w:keepNext w:val="0"/>
              <w:spacing w:before="40" w:after="80" w:line="276" w:lineRule="auto"/>
              <w:jc w:val="right"/>
            </w:pPr>
            <w:r w:rsidRPr="008B2F8A">
              <w:t xml:space="preserve"> $3,985,763 </w:t>
            </w:r>
          </w:p>
        </w:tc>
        <w:tc>
          <w:tcPr>
            <w:tcW w:w="1281" w:type="dxa"/>
            <w:noWrap/>
            <w:hideMark/>
          </w:tcPr>
          <w:p w14:paraId="2930983F" w14:textId="77777777" w:rsidR="00E47AB8" w:rsidRPr="008B2F8A" w:rsidRDefault="00E47AB8" w:rsidP="00422306">
            <w:pPr>
              <w:pStyle w:val="TableText0"/>
              <w:keepNext w:val="0"/>
              <w:spacing w:before="40" w:after="80" w:line="276" w:lineRule="auto"/>
              <w:jc w:val="right"/>
            </w:pPr>
            <w:r w:rsidRPr="008B2F8A">
              <w:t xml:space="preserve"> $4,394,276 </w:t>
            </w:r>
          </w:p>
        </w:tc>
        <w:tc>
          <w:tcPr>
            <w:tcW w:w="1209" w:type="dxa"/>
            <w:noWrap/>
            <w:hideMark/>
          </w:tcPr>
          <w:p w14:paraId="484D614F" w14:textId="77777777" w:rsidR="00E47AB8" w:rsidRPr="008B2F8A" w:rsidRDefault="00E47AB8" w:rsidP="00422306">
            <w:pPr>
              <w:pStyle w:val="TableText0"/>
              <w:keepNext w:val="0"/>
              <w:spacing w:before="40" w:after="80" w:line="276" w:lineRule="auto"/>
              <w:jc w:val="right"/>
            </w:pPr>
            <w:r w:rsidRPr="008B2F8A">
              <w:t xml:space="preserve"> $4,802,789 </w:t>
            </w:r>
          </w:p>
        </w:tc>
      </w:tr>
      <w:tr w:rsidR="00E47AB8" w:rsidRPr="008B2F8A" w14:paraId="53E89192" w14:textId="77777777" w:rsidTr="00422306">
        <w:tc>
          <w:tcPr>
            <w:tcW w:w="3107" w:type="dxa"/>
            <w:noWrap/>
            <w:vAlign w:val="bottom"/>
          </w:tcPr>
          <w:p w14:paraId="604D07AD" w14:textId="77777777" w:rsidR="00E47AB8" w:rsidRPr="008B2F8A" w:rsidRDefault="00E47AB8" w:rsidP="00422306">
            <w:pPr>
              <w:pStyle w:val="TableText0"/>
              <w:keepNext w:val="0"/>
              <w:spacing w:before="40" w:after="80" w:line="276" w:lineRule="auto"/>
            </w:pPr>
            <w:r w:rsidRPr="008B2F8A">
              <w:t>Prior history of invasive breast cancer</w:t>
            </w:r>
          </w:p>
        </w:tc>
        <w:tc>
          <w:tcPr>
            <w:tcW w:w="1139" w:type="dxa"/>
            <w:noWrap/>
          </w:tcPr>
          <w:p w14:paraId="062C5ECE" w14:textId="77777777" w:rsidR="00E47AB8" w:rsidRPr="008B2F8A" w:rsidRDefault="00E47AB8" w:rsidP="00422306">
            <w:pPr>
              <w:pStyle w:val="TableText0"/>
              <w:keepNext w:val="0"/>
              <w:spacing w:before="40" w:after="80" w:line="276" w:lineRule="auto"/>
              <w:jc w:val="right"/>
            </w:pPr>
            <w:r w:rsidRPr="008B2F8A">
              <w:t xml:space="preserve"> $4,692,090 </w:t>
            </w:r>
          </w:p>
        </w:tc>
        <w:tc>
          <w:tcPr>
            <w:tcW w:w="1282" w:type="dxa"/>
            <w:noWrap/>
          </w:tcPr>
          <w:p w14:paraId="6F3DA7FA" w14:textId="77777777" w:rsidR="00E47AB8" w:rsidRPr="008B2F8A" w:rsidRDefault="00E47AB8" w:rsidP="00422306">
            <w:pPr>
              <w:pStyle w:val="TableText0"/>
              <w:keepNext w:val="0"/>
              <w:spacing w:before="40" w:after="80" w:line="276" w:lineRule="auto"/>
              <w:jc w:val="right"/>
            </w:pPr>
            <w:r w:rsidRPr="008B2F8A">
              <w:t xml:space="preserve"> $7,161,226 </w:t>
            </w:r>
          </w:p>
        </w:tc>
        <w:tc>
          <w:tcPr>
            <w:tcW w:w="1282" w:type="dxa"/>
            <w:noWrap/>
          </w:tcPr>
          <w:p w14:paraId="2B6202EE" w14:textId="77777777" w:rsidR="00E47AB8" w:rsidRPr="008B2F8A" w:rsidRDefault="00E47AB8" w:rsidP="00422306">
            <w:pPr>
              <w:pStyle w:val="TableText0"/>
              <w:keepNext w:val="0"/>
              <w:spacing w:before="40" w:after="80" w:line="276" w:lineRule="auto"/>
              <w:jc w:val="right"/>
            </w:pPr>
            <w:r w:rsidRPr="008B2F8A">
              <w:t xml:space="preserve"> $9,713,317 </w:t>
            </w:r>
          </w:p>
        </w:tc>
        <w:tc>
          <w:tcPr>
            <w:tcW w:w="1281" w:type="dxa"/>
            <w:noWrap/>
          </w:tcPr>
          <w:p w14:paraId="6A172785" w14:textId="77777777" w:rsidR="00E47AB8" w:rsidRPr="008B2F8A" w:rsidRDefault="00E47AB8" w:rsidP="00422306">
            <w:pPr>
              <w:pStyle w:val="TableText0"/>
              <w:keepNext w:val="0"/>
              <w:spacing w:before="40" w:after="80" w:line="276" w:lineRule="auto"/>
              <w:jc w:val="right"/>
            </w:pPr>
            <w:r w:rsidRPr="008B2F8A">
              <w:t xml:space="preserve"> $12,347,407 </w:t>
            </w:r>
          </w:p>
        </w:tc>
        <w:tc>
          <w:tcPr>
            <w:tcW w:w="1209" w:type="dxa"/>
            <w:noWrap/>
          </w:tcPr>
          <w:p w14:paraId="155408F6" w14:textId="77777777" w:rsidR="00E47AB8" w:rsidRPr="008B2F8A" w:rsidRDefault="00E47AB8" w:rsidP="00422306">
            <w:pPr>
              <w:pStyle w:val="TableText0"/>
              <w:keepNext w:val="0"/>
              <w:spacing w:before="40" w:after="80" w:line="276" w:lineRule="auto"/>
              <w:jc w:val="right"/>
            </w:pPr>
            <w:r w:rsidRPr="008B2F8A">
              <w:t xml:space="preserve"> $13,707,291 </w:t>
            </w:r>
          </w:p>
        </w:tc>
      </w:tr>
      <w:tr w:rsidR="00E47AB8" w:rsidRPr="008B2F8A" w14:paraId="3F81A7C0" w14:textId="77777777" w:rsidTr="00422306">
        <w:tc>
          <w:tcPr>
            <w:tcW w:w="3107" w:type="dxa"/>
            <w:noWrap/>
            <w:vAlign w:val="bottom"/>
          </w:tcPr>
          <w:p w14:paraId="1C255D77" w14:textId="48AF2DD8"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1139" w:type="dxa"/>
            <w:noWrap/>
          </w:tcPr>
          <w:p w14:paraId="607F6662" w14:textId="77777777" w:rsidR="00E47AB8" w:rsidRPr="008B2F8A" w:rsidRDefault="00E47AB8" w:rsidP="00422306">
            <w:pPr>
              <w:pStyle w:val="TableText0"/>
              <w:keepNext w:val="0"/>
              <w:spacing w:before="40" w:after="80" w:line="276" w:lineRule="auto"/>
              <w:jc w:val="right"/>
            </w:pPr>
            <w:r w:rsidRPr="008B2F8A">
              <w:t xml:space="preserve"> $554,141 </w:t>
            </w:r>
          </w:p>
        </w:tc>
        <w:tc>
          <w:tcPr>
            <w:tcW w:w="1282" w:type="dxa"/>
            <w:noWrap/>
          </w:tcPr>
          <w:p w14:paraId="1287BABC" w14:textId="77777777" w:rsidR="00E47AB8" w:rsidRPr="008B2F8A" w:rsidRDefault="00E47AB8" w:rsidP="00422306">
            <w:pPr>
              <w:pStyle w:val="TableText0"/>
              <w:keepNext w:val="0"/>
              <w:spacing w:before="40" w:after="80" w:line="276" w:lineRule="auto"/>
              <w:jc w:val="right"/>
            </w:pPr>
            <w:r w:rsidRPr="008B2F8A">
              <w:t xml:space="preserve"> $845,342 </w:t>
            </w:r>
          </w:p>
        </w:tc>
        <w:tc>
          <w:tcPr>
            <w:tcW w:w="1282" w:type="dxa"/>
            <w:noWrap/>
          </w:tcPr>
          <w:p w14:paraId="7C137ECF" w14:textId="77777777" w:rsidR="00E47AB8" w:rsidRPr="008B2F8A" w:rsidRDefault="00E47AB8" w:rsidP="00422306">
            <w:pPr>
              <w:pStyle w:val="TableText0"/>
              <w:keepNext w:val="0"/>
              <w:spacing w:before="40" w:after="80" w:line="276" w:lineRule="auto"/>
              <w:jc w:val="right"/>
            </w:pPr>
            <w:r w:rsidRPr="008B2F8A">
              <w:t xml:space="preserve"> $1,146,284 </w:t>
            </w:r>
          </w:p>
        </w:tc>
        <w:tc>
          <w:tcPr>
            <w:tcW w:w="1281" w:type="dxa"/>
            <w:noWrap/>
          </w:tcPr>
          <w:p w14:paraId="12F4B41A" w14:textId="77777777" w:rsidR="00E47AB8" w:rsidRPr="008B2F8A" w:rsidRDefault="00E47AB8" w:rsidP="00422306">
            <w:pPr>
              <w:pStyle w:val="TableText0"/>
              <w:keepNext w:val="0"/>
              <w:spacing w:before="40" w:after="80" w:line="276" w:lineRule="auto"/>
              <w:jc w:val="right"/>
            </w:pPr>
            <w:r w:rsidRPr="008B2F8A">
              <w:t xml:space="preserve"> $1,457,213 </w:t>
            </w:r>
          </w:p>
        </w:tc>
        <w:tc>
          <w:tcPr>
            <w:tcW w:w="1209" w:type="dxa"/>
            <w:noWrap/>
          </w:tcPr>
          <w:p w14:paraId="50AE084F" w14:textId="77777777" w:rsidR="00E47AB8" w:rsidRPr="008B2F8A" w:rsidRDefault="00E47AB8" w:rsidP="00422306">
            <w:pPr>
              <w:pStyle w:val="TableText0"/>
              <w:keepNext w:val="0"/>
              <w:spacing w:before="40" w:after="80" w:line="276" w:lineRule="auto"/>
              <w:jc w:val="right"/>
            </w:pPr>
            <w:r w:rsidRPr="008B2F8A">
              <w:t xml:space="preserve"> $1,618,328 </w:t>
            </w:r>
          </w:p>
        </w:tc>
      </w:tr>
      <w:tr w:rsidR="00E47AB8" w:rsidRPr="008B2F8A" w14:paraId="7212661D" w14:textId="77777777" w:rsidTr="00422306">
        <w:tc>
          <w:tcPr>
            <w:tcW w:w="3107" w:type="dxa"/>
            <w:noWrap/>
            <w:vAlign w:val="bottom"/>
          </w:tcPr>
          <w:p w14:paraId="6C0D3D8D"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1139" w:type="dxa"/>
            <w:noWrap/>
          </w:tcPr>
          <w:p w14:paraId="52FF2B07" w14:textId="77777777" w:rsidR="00E47AB8" w:rsidRPr="008B2F8A" w:rsidRDefault="00E47AB8" w:rsidP="00422306">
            <w:pPr>
              <w:pStyle w:val="TableText0"/>
              <w:keepNext w:val="0"/>
              <w:spacing w:before="40" w:after="80" w:line="276" w:lineRule="auto"/>
              <w:jc w:val="right"/>
            </w:pPr>
            <w:r w:rsidRPr="008B2F8A">
              <w:t xml:space="preserve"> $52,471 </w:t>
            </w:r>
          </w:p>
        </w:tc>
        <w:tc>
          <w:tcPr>
            <w:tcW w:w="1282" w:type="dxa"/>
            <w:noWrap/>
          </w:tcPr>
          <w:p w14:paraId="22229F76" w14:textId="77777777" w:rsidR="00E47AB8" w:rsidRPr="008B2F8A" w:rsidRDefault="00E47AB8" w:rsidP="00422306">
            <w:pPr>
              <w:pStyle w:val="TableText0"/>
              <w:keepNext w:val="0"/>
              <w:spacing w:before="40" w:after="80" w:line="276" w:lineRule="auto"/>
              <w:jc w:val="right"/>
            </w:pPr>
            <w:r w:rsidRPr="008B2F8A">
              <w:t xml:space="preserve"> $106,723 </w:t>
            </w:r>
          </w:p>
        </w:tc>
        <w:tc>
          <w:tcPr>
            <w:tcW w:w="1282" w:type="dxa"/>
            <w:noWrap/>
          </w:tcPr>
          <w:p w14:paraId="254C2545" w14:textId="77777777" w:rsidR="00E47AB8" w:rsidRPr="008B2F8A" w:rsidRDefault="00E47AB8" w:rsidP="00422306">
            <w:pPr>
              <w:pStyle w:val="TableText0"/>
              <w:keepNext w:val="0"/>
              <w:spacing w:before="40" w:after="80" w:line="276" w:lineRule="auto"/>
              <w:jc w:val="right"/>
            </w:pPr>
            <w:r w:rsidRPr="008B2F8A">
              <w:t xml:space="preserve"> $162,804 </w:t>
            </w:r>
          </w:p>
        </w:tc>
        <w:tc>
          <w:tcPr>
            <w:tcW w:w="1281" w:type="dxa"/>
            <w:noWrap/>
          </w:tcPr>
          <w:p w14:paraId="753E92C4" w14:textId="77777777" w:rsidR="00E47AB8" w:rsidRPr="008B2F8A" w:rsidRDefault="00E47AB8" w:rsidP="00422306">
            <w:pPr>
              <w:pStyle w:val="TableText0"/>
              <w:keepNext w:val="0"/>
              <w:spacing w:before="40" w:after="80" w:line="276" w:lineRule="auto"/>
              <w:jc w:val="right"/>
            </w:pPr>
            <w:r w:rsidRPr="008B2F8A">
              <w:t xml:space="preserve"> $220,761 </w:t>
            </w:r>
          </w:p>
        </w:tc>
        <w:tc>
          <w:tcPr>
            <w:tcW w:w="1209" w:type="dxa"/>
            <w:noWrap/>
          </w:tcPr>
          <w:p w14:paraId="7C916D13" w14:textId="77777777" w:rsidR="00E47AB8" w:rsidRPr="008B2F8A" w:rsidRDefault="00E47AB8" w:rsidP="00422306">
            <w:pPr>
              <w:pStyle w:val="TableText0"/>
              <w:keepNext w:val="0"/>
              <w:spacing w:before="40" w:after="80" w:line="276" w:lineRule="auto"/>
              <w:jc w:val="right"/>
            </w:pPr>
            <w:r w:rsidRPr="008B2F8A">
              <w:t xml:space="preserve"> $255,784 </w:t>
            </w:r>
          </w:p>
        </w:tc>
      </w:tr>
      <w:tr w:rsidR="00E47AB8" w:rsidRPr="008B2F8A" w14:paraId="20D8CDFD" w14:textId="77777777" w:rsidTr="00422306">
        <w:tc>
          <w:tcPr>
            <w:tcW w:w="3107" w:type="dxa"/>
            <w:noWrap/>
            <w:vAlign w:val="bottom"/>
          </w:tcPr>
          <w:p w14:paraId="46E45C3F" w14:textId="77777777" w:rsidR="00E47AB8" w:rsidRPr="008B2F8A" w:rsidRDefault="00E47AB8" w:rsidP="00422306">
            <w:pPr>
              <w:pStyle w:val="TableText0"/>
              <w:keepNext w:val="0"/>
              <w:spacing w:before="40" w:after="80" w:line="276" w:lineRule="auto"/>
            </w:pPr>
            <w:r w:rsidRPr="008B2F8A">
              <w:t>All populations</w:t>
            </w:r>
          </w:p>
        </w:tc>
        <w:tc>
          <w:tcPr>
            <w:tcW w:w="1139" w:type="dxa"/>
            <w:noWrap/>
          </w:tcPr>
          <w:p w14:paraId="41B3C483" w14:textId="77777777" w:rsidR="00E47AB8" w:rsidRPr="008B2F8A" w:rsidRDefault="00E47AB8" w:rsidP="00422306">
            <w:pPr>
              <w:pStyle w:val="TableText0"/>
              <w:keepNext w:val="0"/>
              <w:spacing w:before="40" w:after="80" w:line="276" w:lineRule="auto"/>
              <w:jc w:val="right"/>
            </w:pPr>
            <w:r w:rsidRPr="008B2F8A">
              <w:t xml:space="preserve"> $8,467,439 </w:t>
            </w:r>
          </w:p>
        </w:tc>
        <w:tc>
          <w:tcPr>
            <w:tcW w:w="1282" w:type="dxa"/>
            <w:noWrap/>
          </w:tcPr>
          <w:p w14:paraId="2886B773" w14:textId="77777777" w:rsidR="00E47AB8" w:rsidRPr="008B2F8A" w:rsidRDefault="00E47AB8" w:rsidP="00422306">
            <w:pPr>
              <w:pStyle w:val="TableText0"/>
              <w:keepNext w:val="0"/>
              <w:spacing w:before="40" w:after="80" w:line="276" w:lineRule="auto"/>
              <w:jc w:val="right"/>
            </w:pPr>
            <w:r w:rsidRPr="008B2F8A">
              <w:t xml:space="preserve"> $11,690,540 </w:t>
            </w:r>
          </w:p>
        </w:tc>
        <w:tc>
          <w:tcPr>
            <w:tcW w:w="1282" w:type="dxa"/>
            <w:noWrap/>
          </w:tcPr>
          <w:p w14:paraId="533872CB" w14:textId="77777777" w:rsidR="00E47AB8" w:rsidRPr="008B2F8A" w:rsidRDefault="00E47AB8" w:rsidP="00422306">
            <w:pPr>
              <w:pStyle w:val="TableText0"/>
              <w:keepNext w:val="0"/>
              <w:spacing w:before="40" w:after="80" w:line="276" w:lineRule="auto"/>
              <w:jc w:val="right"/>
            </w:pPr>
            <w:r w:rsidRPr="008B2F8A">
              <w:t xml:space="preserve"> $15,008,168 </w:t>
            </w:r>
          </w:p>
        </w:tc>
        <w:tc>
          <w:tcPr>
            <w:tcW w:w="1281" w:type="dxa"/>
            <w:noWrap/>
          </w:tcPr>
          <w:p w14:paraId="3798C28B" w14:textId="77777777" w:rsidR="00E47AB8" w:rsidRPr="008B2F8A" w:rsidRDefault="00E47AB8" w:rsidP="00422306">
            <w:pPr>
              <w:pStyle w:val="TableText0"/>
              <w:keepNext w:val="0"/>
              <w:spacing w:before="40" w:after="80" w:line="276" w:lineRule="auto"/>
              <w:jc w:val="right"/>
            </w:pPr>
            <w:r w:rsidRPr="008B2F8A">
              <w:t xml:space="preserve"> $18,419,657 </w:t>
            </w:r>
          </w:p>
        </w:tc>
        <w:tc>
          <w:tcPr>
            <w:tcW w:w="1209" w:type="dxa"/>
            <w:noWrap/>
          </w:tcPr>
          <w:p w14:paraId="7A6C1E71" w14:textId="77777777" w:rsidR="00E47AB8" w:rsidRPr="008B2F8A" w:rsidRDefault="00E47AB8" w:rsidP="00422306">
            <w:pPr>
              <w:pStyle w:val="TableText0"/>
              <w:keepNext w:val="0"/>
              <w:spacing w:before="40" w:after="80" w:line="276" w:lineRule="auto"/>
              <w:jc w:val="right"/>
            </w:pPr>
            <w:r w:rsidRPr="008B2F8A">
              <w:t xml:space="preserve"> $20,384,193 </w:t>
            </w:r>
          </w:p>
        </w:tc>
      </w:tr>
    </w:tbl>
    <w:p w14:paraId="4D5B9A41" w14:textId="0817A7AC" w:rsidR="00E47AB8"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0E8830A7" w14:textId="77777777" w:rsidR="00F56FD1" w:rsidRPr="008B2F8A" w:rsidRDefault="00F56FD1" w:rsidP="00F56FD1">
      <w:pPr>
        <w:pStyle w:val="TableNotesFirst"/>
      </w:pPr>
    </w:p>
    <w:p w14:paraId="4E399DFB" w14:textId="77777777" w:rsidR="00E47AB8" w:rsidRPr="008B2F8A" w:rsidRDefault="00E47AB8" w:rsidP="00422306">
      <w:pPr>
        <w:pStyle w:val="Caption"/>
        <w:ind w:left="1440" w:hanging="1440"/>
      </w:pPr>
      <w:bookmarkStart w:id="1427" w:name="_Ref377389628"/>
      <w:bookmarkStart w:id="1428" w:name="_Toc383424670"/>
      <w:r w:rsidRPr="008B2F8A">
        <w:t xml:space="preserve">Table </w:t>
      </w:r>
      <w:fldSimple w:instr=" STYLEREF 1 \s ">
        <w:r w:rsidR="00B81273">
          <w:rPr>
            <w:noProof/>
          </w:rPr>
          <w:t>E</w:t>
        </w:r>
      </w:fldSimple>
      <w:r w:rsidRPr="008B2F8A">
        <w:t>.</w:t>
      </w:r>
      <w:fldSimple w:instr=" SEQ Table \* ARABIC \s 1 ">
        <w:r w:rsidR="00B81273">
          <w:rPr>
            <w:noProof/>
          </w:rPr>
          <w:t>39</w:t>
        </w:r>
      </w:fldSimple>
      <w:bookmarkEnd w:id="1427"/>
      <w:r w:rsidRPr="008B2F8A">
        <w:tab/>
        <w:t>Total cost to government health budgets using higher breast cancer risk estimates.</w:t>
      </w:r>
      <w:bookmarkEnd w:id="1428"/>
    </w:p>
    <w:tbl>
      <w:tblPr>
        <w:tblStyle w:val="TableGrid"/>
        <w:tblW w:w="9070" w:type="dxa"/>
        <w:tblCellMar>
          <w:left w:w="28" w:type="dxa"/>
          <w:right w:w="28" w:type="dxa"/>
        </w:tblCellMar>
        <w:tblLook w:val="04A0" w:firstRow="1" w:lastRow="0" w:firstColumn="1" w:lastColumn="0" w:noHBand="0" w:noVBand="1"/>
        <w:tblCaption w:val="Total cost to government health budgets using higher breast cancer risk estimates."/>
      </w:tblPr>
      <w:tblGrid>
        <w:gridCol w:w="2908"/>
        <w:gridCol w:w="1258"/>
        <w:gridCol w:w="1258"/>
        <w:gridCol w:w="1258"/>
        <w:gridCol w:w="1257"/>
        <w:gridCol w:w="1187"/>
      </w:tblGrid>
      <w:tr w:rsidR="00E47AB8" w:rsidRPr="008B2F8A" w14:paraId="2ADA54DA" w14:textId="77777777" w:rsidTr="00422306">
        <w:trPr>
          <w:tblHeader/>
        </w:trPr>
        <w:tc>
          <w:tcPr>
            <w:tcW w:w="2964" w:type="dxa"/>
            <w:noWrap/>
            <w:hideMark/>
          </w:tcPr>
          <w:p w14:paraId="136E9561" w14:textId="77777777" w:rsidR="00E47AB8" w:rsidRPr="008B2F8A" w:rsidRDefault="00E47AB8" w:rsidP="00422306">
            <w:pPr>
              <w:pStyle w:val="Tableheaderrow"/>
              <w:spacing w:before="40" w:after="80" w:line="276" w:lineRule="auto"/>
            </w:pPr>
            <w:r w:rsidRPr="008B2F8A">
              <w:t>Population</w:t>
            </w:r>
          </w:p>
        </w:tc>
        <w:tc>
          <w:tcPr>
            <w:tcW w:w="1282" w:type="dxa"/>
            <w:noWrap/>
            <w:hideMark/>
          </w:tcPr>
          <w:p w14:paraId="146572FF" w14:textId="77777777" w:rsidR="00E47AB8" w:rsidRPr="008B2F8A" w:rsidRDefault="00E47AB8" w:rsidP="00422306">
            <w:pPr>
              <w:pStyle w:val="Tableheaderrow"/>
              <w:spacing w:before="40" w:after="80" w:line="276" w:lineRule="auto"/>
              <w:jc w:val="center"/>
            </w:pPr>
            <w:r w:rsidRPr="008B2F8A">
              <w:t>FY 2015</w:t>
            </w:r>
          </w:p>
        </w:tc>
        <w:tc>
          <w:tcPr>
            <w:tcW w:w="1282" w:type="dxa"/>
            <w:noWrap/>
            <w:hideMark/>
          </w:tcPr>
          <w:p w14:paraId="12F9626D" w14:textId="77777777" w:rsidR="00E47AB8" w:rsidRPr="008B2F8A" w:rsidRDefault="00E47AB8" w:rsidP="00422306">
            <w:pPr>
              <w:pStyle w:val="Tableheaderrow"/>
              <w:spacing w:before="40" w:after="80" w:line="276" w:lineRule="auto"/>
              <w:jc w:val="center"/>
            </w:pPr>
            <w:r w:rsidRPr="008B2F8A">
              <w:t>FY 2016</w:t>
            </w:r>
          </w:p>
        </w:tc>
        <w:tc>
          <w:tcPr>
            <w:tcW w:w="1282" w:type="dxa"/>
            <w:noWrap/>
            <w:hideMark/>
          </w:tcPr>
          <w:p w14:paraId="0441B582" w14:textId="77777777" w:rsidR="00E47AB8" w:rsidRPr="008B2F8A" w:rsidRDefault="00E47AB8" w:rsidP="00422306">
            <w:pPr>
              <w:pStyle w:val="Tableheaderrow"/>
              <w:spacing w:before="40" w:after="80" w:line="276" w:lineRule="auto"/>
              <w:jc w:val="center"/>
            </w:pPr>
            <w:r w:rsidRPr="008B2F8A">
              <w:t>FY 2017</w:t>
            </w:r>
          </w:p>
        </w:tc>
        <w:tc>
          <w:tcPr>
            <w:tcW w:w="1281" w:type="dxa"/>
            <w:noWrap/>
            <w:hideMark/>
          </w:tcPr>
          <w:p w14:paraId="67DD01C2" w14:textId="77777777" w:rsidR="00E47AB8" w:rsidRPr="008B2F8A" w:rsidRDefault="00E47AB8" w:rsidP="00422306">
            <w:pPr>
              <w:pStyle w:val="Tableheaderrow"/>
              <w:spacing w:before="40" w:after="80" w:line="276" w:lineRule="auto"/>
              <w:jc w:val="center"/>
            </w:pPr>
            <w:r w:rsidRPr="008B2F8A">
              <w:t>FY 2018</w:t>
            </w:r>
          </w:p>
        </w:tc>
        <w:tc>
          <w:tcPr>
            <w:tcW w:w="1209" w:type="dxa"/>
            <w:noWrap/>
            <w:hideMark/>
          </w:tcPr>
          <w:p w14:paraId="24995EE6"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7CF9BE23" w14:textId="77777777" w:rsidTr="00422306">
        <w:tc>
          <w:tcPr>
            <w:tcW w:w="2964" w:type="dxa"/>
            <w:noWrap/>
            <w:vAlign w:val="bottom"/>
            <w:hideMark/>
          </w:tcPr>
          <w:p w14:paraId="14F60AFC" w14:textId="77777777" w:rsidR="00E47AB8" w:rsidRPr="008B2F8A" w:rsidRDefault="00E47AB8" w:rsidP="00422306">
            <w:pPr>
              <w:pStyle w:val="TableText0"/>
              <w:keepNext w:val="0"/>
              <w:spacing w:before="40" w:after="80" w:line="276" w:lineRule="auto"/>
            </w:pPr>
            <w:r w:rsidRPr="008B2F8A">
              <w:t>Gene mutation or family history</w:t>
            </w:r>
          </w:p>
        </w:tc>
        <w:tc>
          <w:tcPr>
            <w:tcW w:w="1282" w:type="dxa"/>
            <w:noWrap/>
            <w:hideMark/>
          </w:tcPr>
          <w:p w14:paraId="3E102C94" w14:textId="77777777" w:rsidR="00E47AB8" w:rsidRPr="008B2F8A" w:rsidRDefault="00E47AB8" w:rsidP="00422306">
            <w:pPr>
              <w:pStyle w:val="TableText0"/>
              <w:keepNext w:val="0"/>
              <w:spacing w:before="40" w:after="80" w:line="276" w:lineRule="auto"/>
              <w:jc w:val="right"/>
            </w:pPr>
            <w:r w:rsidRPr="008B2F8A">
              <w:t xml:space="preserve"> $4,041,059 </w:t>
            </w:r>
          </w:p>
        </w:tc>
        <w:tc>
          <w:tcPr>
            <w:tcW w:w="1282" w:type="dxa"/>
            <w:noWrap/>
            <w:hideMark/>
          </w:tcPr>
          <w:p w14:paraId="0D8B0B1A" w14:textId="77777777" w:rsidR="00E47AB8" w:rsidRPr="008B2F8A" w:rsidRDefault="00E47AB8" w:rsidP="00422306">
            <w:pPr>
              <w:pStyle w:val="TableText0"/>
              <w:keepNext w:val="0"/>
              <w:spacing w:before="40" w:after="80" w:line="276" w:lineRule="auto"/>
              <w:jc w:val="right"/>
            </w:pPr>
            <w:r w:rsidRPr="008B2F8A">
              <w:t xml:space="preserve"> $4,562,032 </w:t>
            </w:r>
          </w:p>
        </w:tc>
        <w:tc>
          <w:tcPr>
            <w:tcW w:w="1282" w:type="dxa"/>
            <w:noWrap/>
            <w:hideMark/>
          </w:tcPr>
          <w:p w14:paraId="2A35960D" w14:textId="77777777" w:rsidR="00E47AB8" w:rsidRPr="008B2F8A" w:rsidRDefault="00E47AB8" w:rsidP="00422306">
            <w:pPr>
              <w:pStyle w:val="TableText0"/>
              <w:keepNext w:val="0"/>
              <w:spacing w:before="40" w:after="80" w:line="276" w:lineRule="auto"/>
              <w:jc w:val="right"/>
            </w:pPr>
            <w:r w:rsidRPr="008B2F8A">
              <w:t xml:space="preserve"> $5,083,004 </w:t>
            </w:r>
          </w:p>
        </w:tc>
        <w:tc>
          <w:tcPr>
            <w:tcW w:w="1281" w:type="dxa"/>
            <w:noWrap/>
            <w:hideMark/>
          </w:tcPr>
          <w:p w14:paraId="64CA2DA3" w14:textId="77777777" w:rsidR="00E47AB8" w:rsidRPr="008B2F8A" w:rsidRDefault="00E47AB8" w:rsidP="00422306">
            <w:pPr>
              <w:pStyle w:val="TableText0"/>
              <w:keepNext w:val="0"/>
              <w:spacing w:before="40" w:after="80" w:line="276" w:lineRule="auto"/>
              <w:jc w:val="right"/>
            </w:pPr>
            <w:r w:rsidRPr="008B2F8A">
              <w:t xml:space="preserve"> $5,603,977 </w:t>
            </w:r>
          </w:p>
        </w:tc>
        <w:tc>
          <w:tcPr>
            <w:tcW w:w="1209" w:type="dxa"/>
            <w:noWrap/>
            <w:hideMark/>
          </w:tcPr>
          <w:p w14:paraId="3B45B9E8" w14:textId="77777777" w:rsidR="00E47AB8" w:rsidRPr="008B2F8A" w:rsidRDefault="00E47AB8" w:rsidP="00422306">
            <w:pPr>
              <w:pStyle w:val="TableText0"/>
              <w:keepNext w:val="0"/>
              <w:spacing w:before="40" w:after="80" w:line="276" w:lineRule="auto"/>
              <w:jc w:val="right"/>
            </w:pPr>
            <w:r w:rsidRPr="008B2F8A">
              <w:t xml:space="preserve"> $6,124,950 </w:t>
            </w:r>
          </w:p>
        </w:tc>
      </w:tr>
      <w:tr w:rsidR="00E47AB8" w:rsidRPr="008B2F8A" w14:paraId="30BC734B" w14:textId="77777777" w:rsidTr="00422306">
        <w:tc>
          <w:tcPr>
            <w:tcW w:w="2964" w:type="dxa"/>
            <w:noWrap/>
            <w:vAlign w:val="bottom"/>
          </w:tcPr>
          <w:p w14:paraId="14004226" w14:textId="77777777" w:rsidR="00E47AB8" w:rsidRPr="008B2F8A" w:rsidRDefault="00E47AB8" w:rsidP="00422306">
            <w:pPr>
              <w:pStyle w:val="TableText0"/>
              <w:keepNext w:val="0"/>
              <w:spacing w:before="40" w:after="80" w:line="276" w:lineRule="auto"/>
            </w:pPr>
            <w:r w:rsidRPr="008B2F8A">
              <w:t>Prior history of invasive breast cancer</w:t>
            </w:r>
          </w:p>
        </w:tc>
        <w:tc>
          <w:tcPr>
            <w:tcW w:w="1282" w:type="dxa"/>
            <w:noWrap/>
          </w:tcPr>
          <w:p w14:paraId="68F661FA" w14:textId="77777777" w:rsidR="00E47AB8" w:rsidRPr="008B2F8A" w:rsidRDefault="00E47AB8" w:rsidP="00422306">
            <w:pPr>
              <w:pStyle w:val="TableText0"/>
              <w:keepNext w:val="0"/>
              <w:spacing w:before="40" w:after="80" w:line="276" w:lineRule="auto"/>
              <w:jc w:val="right"/>
            </w:pPr>
            <w:r w:rsidRPr="008B2F8A">
              <w:t xml:space="preserve"> $5,944,663 </w:t>
            </w:r>
          </w:p>
        </w:tc>
        <w:tc>
          <w:tcPr>
            <w:tcW w:w="1282" w:type="dxa"/>
            <w:noWrap/>
          </w:tcPr>
          <w:p w14:paraId="4F199A2C" w14:textId="77777777" w:rsidR="00E47AB8" w:rsidRPr="008B2F8A" w:rsidRDefault="00E47AB8" w:rsidP="00422306">
            <w:pPr>
              <w:pStyle w:val="TableText0"/>
              <w:keepNext w:val="0"/>
              <w:spacing w:before="40" w:after="80" w:line="276" w:lineRule="auto"/>
              <w:jc w:val="right"/>
            </w:pPr>
            <w:r w:rsidRPr="008B2F8A">
              <w:t xml:space="preserve"> $9,072,945 </w:t>
            </w:r>
          </w:p>
        </w:tc>
        <w:tc>
          <w:tcPr>
            <w:tcW w:w="1282" w:type="dxa"/>
            <w:noWrap/>
          </w:tcPr>
          <w:p w14:paraId="243C6879" w14:textId="77777777" w:rsidR="00E47AB8" w:rsidRPr="008B2F8A" w:rsidRDefault="00E47AB8" w:rsidP="00422306">
            <w:pPr>
              <w:pStyle w:val="TableText0"/>
              <w:keepNext w:val="0"/>
              <w:spacing w:before="40" w:after="80" w:line="276" w:lineRule="auto"/>
              <w:jc w:val="right"/>
            </w:pPr>
            <w:r w:rsidRPr="008B2F8A">
              <w:t xml:space="preserve"> $12,306,328 </w:t>
            </w:r>
          </w:p>
        </w:tc>
        <w:tc>
          <w:tcPr>
            <w:tcW w:w="1281" w:type="dxa"/>
            <w:noWrap/>
          </w:tcPr>
          <w:p w14:paraId="3C809F4E" w14:textId="77777777" w:rsidR="00E47AB8" w:rsidRPr="008B2F8A" w:rsidRDefault="00E47AB8" w:rsidP="00422306">
            <w:pPr>
              <w:pStyle w:val="TableText0"/>
              <w:keepNext w:val="0"/>
              <w:spacing w:before="40" w:after="80" w:line="276" w:lineRule="auto"/>
              <w:jc w:val="right"/>
            </w:pPr>
            <w:r w:rsidRPr="008B2F8A">
              <w:t xml:space="preserve"> $15,643,599 </w:t>
            </w:r>
          </w:p>
        </w:tc>
        <w:tc>
          <w:tcPr>
            <w:tcW w:w="1209" w:type="dxa"/>
            <w:noWrap/>
          </w:tcPr>
          <w:p w14:paraId="2D6C59C4" w14:textId="77777777" w:rsidR="00E47AB8" w:rsidRPr="008B2F8A" w:rsidRDefault="00E47AB8" w:rsidP="00422306">
            <w:pPr>
              <w:pStyle w:val="TableText0"/>
              <w:keepNext w:val="0"/>
              <w:spacing w:before="40" w:after="80" w:line="276" w:lineRule="auto"/>
              <w:jc w:val="right"/>
            </w:pPr>
            <w:r w:rsidRPr="008B2F8A">
              <w:t xml:space="preserve"> $17,366,510 </w:t>
            </w:r>
          </w:p>
        </w:tc>
      </w:tr>
      <w:tr w:rsidR="00E47AB8" w:rsidRPr="008B2F8A" w14:paraId="24E113C3" w14:textId="77777777" w:rsidTr="00422306">
        <w:tc>
          <w:tcPr>
            <w:tcW w:w="2964" w:type="dxa"/>
            <w:noWrap/>
            <w:vAlign w:val="bottom"/>
          </w:tcPr>
          <w:p w14:paraId="489FDBD6" w14:textId="60BA7937"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1282" w:type="dxa"/>
            <w:noWrap/>
          </w:tcPr>
          <w:p w14:paraId="37C1878B" w14:textId="77777777" w:rsidR="00E47AB8" w:rsidRPr="008B2F8A" w:rsidRDefault="00E47AB8" w:rsidP="00422306">
            <w:pPr>
              <w:pStyle w:val="TableText0"/>
              <w:keepNext w:val="0"/>
              <w:spacing w:before="40" w:after="80" w:line="276" w:lineRule="auto"/>
              <w:jc w:val="right"/>
            </w:pPr>
            <w:r w:rsidRPr="008B2F8A">
              <w:t xml:space="preserve"> $658,656 </w:t>
            </w:r>
          </w:p>
        </w:tc>
        <w:tc>
          <w:tcPr>
            <w:tcW w:w="1282" w:type="dxa"/>
            <w:noWrap/>
          </w:tcPr>
          <w:p w14:paraId="1679C16E" w14:textId="77777777" w:rsidR="00E47AB8" w:rsidRPr="008B2F8A" w:rsidRDefault="00E47AB8" w:rsidP="00422306">
            <w:pPr>
              <w:pStyle w:val="TableText0"/>
              <w:keepNext w:val="0"/>
              <w:spacing w:before="40" w:after="80" w:line="276" w:lineRule="auto"/>
              <w:jc w:val="right"/>
            </w:pPr>
            <w:r w:rsidRPr="008B2F8A">
              <w:t xml:space="preserve"> $1,004,780 </w:t>
            </w:r>
          </w:p>
        </w:tc>
        <w:tc>
          <w:tcPr>
            <w:tcW w:w="1282" w:type="dxa"/>
            <w:noWrap/>
          </w:tcPr>
          <w:p w14:paraId="57FE5BF2" w14:textId="77777777" w:rsidR="00E47AB8" w:rsidRPr="008B2F8A" w:rsidRDefault="00E47AB8" w:rsidP="00422306">
            <w:pPr>
              <w:pStyle w:val="TableText0"/>
              <w:keepNext w:val="0"/>
              <w:spacing w:before="40" w:after="80" w:line="276" w:lineRule="auto"/>
              <w:jc w:val="right"/>
            </w:pPr>
            <w:r w:rsidRPr="008B2F8A">
              <w:t xml:space="preserve"> $1,362,482 </w:t>
            </w:r>
          </w:p>
        </w:tc>
        <w:tc>
          <w:tcPr>
            <w:tcW w:w="1281" w:type="dxa"/>
            <w:noWrap/>
          </w:tcPr>
          <w:p w14:paraId="541A3B97" w14:textId="77777777" w:rsidR="00E47AB8" w:rsidRPr="008B2F8A" w:rsidRDefault="00E47AB8" w:rsidP="00422306">
            <w:pPr>
              <w:pStyle w:val="TableText0"/>
              <w:keepNext w:val="0"/>
              <w:spacing w:before="40" w:after="80" w:line="276" w:lineRule="auto"/>
              <w:jc w:val="right"/>
            </w:pPr>
            <w:r w:rsidRPr="008B2F8A">
              <w:t xml:space="preserve"> $1,732,055 </w:t>
            </w:r>
          </w:p>
        </w:tc>
        <w:tc>
          <w:tcPr>
            <w:tcW w:w="1209" w:type="dxa"/>
            <w:noWrap/>
          </w:tcPr>
          <w:p w14:paraId="0D6CE02F" w14:textId="77777777" w:rsidR="00E47AB8" w:rsidRPr="008B2F8A" w:rsidRDefault="00E47AB8" w:rsidP="00422306">
            <w:pPr>
              <w:pStyle w:val="TableText0"/>
              <w:keepNext w:val="0"/>
              <w:spacing w:before="40" w:after="80" w:line="276" w:lineRule="auto"/>
              <w:jc w:val="right"/>
            </w:pPr>
            <w:r w:rsidRPr="008B2F8A">
              <w:t xml:space="preserve"> $1,923,558 </w:t>
            </w:r>
          </w:p>
        </w:tc>
      </w:tr>
      <w:tr w:rsidR="00E47AB8" w:rsidRPr="008B2F8A" w14:paraId="39F4E97B" w14:textId="77777777" w:rsidTr="00422306">
        <w:tc>
          <w:tcPr>
            <w:tcW w:w="2964" w:type="dxa"/>
            <w:noWrap/>
            <w:vAlign w:val="bottom"/>
          </w:tcPr>
          <w:p w14:paraId="69BFEB84"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1282" w:type="dxa"/>
            <w:noWrap/>
          </w:tcPr>
          <w:p w14:paraId="02BB1254" w14:textId="77777777" w:rsidR="00E47AB8" w:rsidRPr="008B2F8A" w:rsidRDefault="00E47AB8" w:rsidP="00422306">
            <w:pPr>
              <w:pStyle w:val="TableText0"/>
              <w:keepNext w:val="0"/>
              <w:spacing w:before="40" w:after="80" w:line="276" w:lineRule="auto"/>
              <w:jc w:val="right"/>
            </w:pPr>
            <w:r w:rsidRPr="008B2F8A">
              <w:t xml:space="preserve"> $52,539 </w:t>
            </w:r>
          </w:p>
        </w:tc>
        <w:tc>
          <w:tcPr>
            <w:tcW w:w="1282" w:type="dxa"/>
            <w:noWrap/>
          </w:tcPr>
          <w:p w14:paraId="5DBADF27" w14:textId="77777777" w:rsidR="00E47AB8" w:rsidRPr="008B2F8A" w:rsidRDefault="00E47AB8" w:rsidP="00422306">
            <w:pPr>
              <w:pStyle w:val="TableText0"/>
              <w:keepNext w:val="0"/>
              <w:spacing w:before="40" w:after="80" w:line="276" w:lineRule="auto"/>
              <w:jc w:val="right"/>
            </w:pPr>
            <w:r w:rsidRPr="008B2F8A">
              <w:t xml:space="preserve"> $106,790 </w:t>
            </w:r>
          </w:p>
        </w:tc>
        <w:tc>
          <w:tcPr>
            <w:tcW w:w="1282" w:type="dxa"/>
            <w:noWrap/>
          </w:tcPr>
          <w:p w14:paraId="650FD5AD" w14:textId="77777777" w:rsidR="00E47AB8" w:rsidRPr="008B2F8A" w:rsidRDefault="00E47AB8" w:rsidP="00422306">
            <w:pPr>
              <w:pStyle w:val="TableText0"/>
              <w:keepNext w:val="0"/>
              <w:spacing w:before="40" w:after="80" w:line="276" w:lineRule="auto"/>
              <w:jc w:val="right"/>
            </w:pPr>
            <w:r w:rsidRPr="008B2F8A">
              <w:t xml:space="preserve"> $162,871 </w:t>
            </w:r>
          </w:p>
        </w:tc>
        <w:tc>
          <w:tcPr>
            <w:tcW w:w="1281" w:type="dxa"/>
            <w:noWrap/>
          </w:tcPr>
          <w:p w14:paraId="2B853E04" w14:textId="77777777" w:rsidR="00E47AB8" w:rsidRPr="008B2F8A" w:rsidRDefault="00E47AB8" w:rsidP="00422306">
            <w:pPr>
              <w:pStyle w:val="TableText0"/>
              <w:keepNext w:val="0"/>
              <w:spacing w:before="40" w:after="80" w:line="276" w:lineRule="auto"/>
              <w:jc w:val="right"/>
            </w:pPr>
            <w:r w:rsidRPr="008B2F8A">
              <w:t xml:space="preserve"> $220,828 </w:t>
            </w:r>
          </w:p>
        </w:tc>
        <w:tc>
          <w:tcPr>
            <w:tcW w:w="1209" w:type="dxa"/>
            <w:noWrap/>
          </w:tcPr>
          <w:p w14:paraId="31A8F612" w14:textId="77777777" w:rsidR="00E47AB8" w:rsidRPr="008B2F8A" w:rsidRDefault="00E47AB8" w:rsidP="00422306">
            <w:pPr>
              <w:pStyle w:val="TableText0"/>
              <w:keepNext w:val="0"/>
              <w:spacing w:before="40" w:after="80" w:line="276" w:lineRule="auto"/>
              <w:jc w:val="right"/>
            </w:pPr>
            <w:r w:rsidRPr="008B2F8A">
              <w:t xml:space="preserve"> $255,852 </w:t>
            </w:r>
          </w:p>
        </w:tc>
      </w:tr>
      <w:tr w:rsidR="00E47AB8" w:rsidRPr="008B2F8A" w14:paraId="641F3B5C" w14:textId="77777777" w:rsidTr="00422306">
        <w:tc>
          <w:tcPr>
            <w:tcW w:w="2964" w:type="dxa"/>
            <w:noWrap/>
            <w:vAlign w:val="bottom"/>
          </w:tcPr>
          <w:p w14:paraId="03ADDE77" w14:textId="77777777" w:rsidR="00E47AB8" w:rsidRPr="008B2F8A" w:rsidRDefault="00E47AB8" w:rsidP="00422306">
            <w:pPr>
              <w:pStyle w:val="TableText0"/>
              <w:keepNext w:val="0"/>
              <w:spacing w:before="40" w:after="80" w:line="276" w:lineRule="auto"/>
            </w:pPr>
            <w:r w:rsidRPr="008B2F8A">
              <w:t>All populations</w:t>
            </w:r>
          </w:p>
        </w:tc>
        <w:tc>
          <w:tcPr>
            <w:tcW w:w="1282" w:type="dxa"/>
            <w:noWrap/>
          </w:tcPr>
          <w:p w14:paraId="403C3959" w14:textId="77777777" w:rsidR="00E47AB8" w:rsidRPr="008B2F8A" w:rsidRDefault="00E47AB8" w:rsidP="00422306">
            <w:pPr>
              <w:pStyle w:val="TableText0"/>
              <w:keepNext w:val="0"/>
              <w:spacing w:before="40" w:after="80" w:line="276" w:lineRule="auto"/>
              <w:jc w:val="right"/>
            </w:pPr>
            <w:r w:rsidRPr="008B2F8A">
              <w:t xml:space="preserve"> $10,696,917 </w:t>
            </w:r>
          </w:p>
        </w:tc>
        <w:tc>
          <w:tcPr>
            <w:tcW w:w="1282" w:type="dxa"/>
            <w:noWrap/>
          </w:tcPr>
          <w:p w14:paraId="6170D50F" w14:textId="77777777" w:rsidR="00E47AB8" w:rsidRPr="008B2F8A" w:rsidRDefault="00E47AB8" w:rsidP="00422306">
            <w:pPr>
              <w:pStyle w:val="TableText0"/>
              <w:keepNext w:val="0"/>
              <w:spacing w:before="40" w:after="80" w:line="276" w:lineRule="auto"/>
              <w:jc w:val="right"/>
            </w:pPr>
            <w:r w:rsidRPr="008B2F8A">
              <w:t xml:space="preserve"> $14,746,547 </w:t>
            </w:r>
          </w:p>
        </w:tc>
        <w:tc>
          <w:tcPr>
            <w:tcW w:w="1282" w:type="dxa"/>
            <w:noWrap/>
          </w:tcPr>
          <w:p w14:paraId="40AA9676" w14:textId="77777777" w:rsidR="00E47AB8" w:rsidRPr="008B2F8A" w:rsidRDefault="00E47AB8" w:rsidP="00422306">
            <w:pPr>
              <w:pStyle w:val="TableText0"/>
              <w:keepNext w:val="0"/>
              <w:spacing w:before="40" w:after="80" w:line="276" w:lineRule="auto"/>
              <w:jc w:val="right"/>
            </w:pPr>
            <w:r w:rsidRPr="008B2F8A">
              <w:t xml:space="preserve"> $18,914,685 </w:t>
            </w:r>
          </w:p>
        </w:tc>
        <w:tc>
          <w:tcPr>
            <w:tcW w:w="1281" w:type="dxa"/>
            <w:noWrap/>
          </w:tcPr>
          <w:p w14:paraId="6B5B09ED" w14:textId="77777777" w:rsidR="00E47AB8" w:rsidRPr="008B2F8A" w:rsidRDefault="00E47AB8" w:rsidP="00422306">
            <w:pPr>
              <w:pStyle w:val="TableText0"/>
              <w:keepNext w:val="0"/>
              <w:spacing w:before="40" w:after="80" w:line="276" w:lineRule="auto"/>
              <w:jc w:val="right"/>
            </w:pPr>
            <w:r w:rsidRPr="008B2F8A">
              <w:t xml:space="preserve"> $23,200,459 </w:t>
            </w:r>
          </w:p>
        </w:tc>
        <w:tc>
          <w:tcPr>
            <w:tcW w:w="1209" w:type="dxa"/>
            <w:noWrap/>
          </w:tcPr>
          <w:p w14:paraId="1E98B9DE" w14:textId="77777777" w:rsidR="00E47AB8" w:rsidRPr="008B2F8A" w:rsidRDefault="00E47AB8" w:rsidP="00422306">
            <w:pPr>
              <w:pStyle w:val="TableText0"/>
              <w:keepNext w:val="0"/>
              <w:spacing w:before="40" w:after="80" w:line="276" w:lineRule="auto"/>
              <w:jc w:val="right"/>
            </w:pPr>
            <w:r w:rsidRPr="008B2F8A">
              <w:t xml:space="preserve"> $25,670,870 </w:t>
            </w:r>
          </w:p>
        </w:tc>
      </w:tr>
    </w:tbl>
    <w:p w14:paraId="19C2323A" w14:textId="5675B6F7" w:rsidR="00E47AB8" w:rsidRPr="008B2F8A"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4A0DA3C0" w14:textId="77777777" w:rsidR="00E47AB8" w:rsidRPr="008B2F8A" w:rsidRDefault="00E47AB8" w:rsidP="00E47AB8">
      <w:pPr>
        <w:pStyle w:val="Heading3"/>
        <w:numPr>
          <w:ilvl w:val="2"/>
          <w:numId w:val="42"/>
        </w:numPr>
      </w:pPr>
      <w:bookmarkStart w:id="1429" w:name="_Toc383424542"/>
      <w:r w:rsidRPr="008B2F8A">
        <w:t>Alternative accuracy estimates for MRI and mammography</w:t>
      </w:r>
      <w:bookmarkEnd w:id="1429"/>
    </w:p>
    <w:p w14:paraId="084FDDF0" w14:textId="2C69E08B" w:rsidR="00E47AB8" w:rsidRPr="008B2F8A" w:rsidRDefault="00E47AB8" w:rsidP="00422306">
      <w:r w:rsidRPr="008B2F8A">
        <w:t>The impact of varying the diagnostic accuracy of mammography and MRI in the new populations was explored. For each of the new populations</w:t>
      </w:r>
      <w:r>
        <w:t>,</w:t>
      </w:r>
      <w:r w:rsidRPr="008B2F8A">
        <w:t xml:space="preserve"> the sensitivity and specificity of mammography and MRI were set to the values from the meta-analysis in the HIQA (2013) report (</w:t>
      </w:r>
      <w:r w:rsidRPr="008B2F8A">
        <w:fldChar w:fldCharType="begin"/>
      </w:r>
      <w:r w:rsidRPr="008B2F8A">
        <w:instrText xml:space="preserve"> REF _Ref377390687 \h </w:instrText>
      </w:r>
      <w:r w:rsidRPr="008B2F8A">
        <w:fldChar w:fldCharType="separate"/>
      </w:r>
      <w:r w:rsidR="00B81273" w:rsidRPr="008B2F8A">
        <w:t xml:space="preserve">Table </w:t>
      </w:r>
      <w:r w:rsidR="00B81273">
        <w:rPr>
          <w:noProof/>
        </w:rPr>
        <w:t>E</w:t>
      </w:r>
      <w:r w:rsidR="00B81273" w:rsidRPr="008B2F8A">
        <w:t>.</w:t>
      </w:r>
      <w:r w:rsidR="00B81273">
        <w:rPr>
          <w:noProof/>
        </w:rPr>
        <w:t>4</w:t>
      </w:r>
      <w:r w:rsidRPr="008B2F8A">
        <w:fldChar w:fldCharType="end"/>
      </w:r>
      <w:r w:rsidRPr="008B2F8A">
        <w:t xml:space="preserve">). The results of the analysis are shown in </w:t>
      </w:r>
      <w:r w:rsidRPr="008B2F8A">
        <w:fldChar w:fldCharType="begin"/>
      </w:r>
      <w:r w:rsidRPr="008B2F8A">
        <w:instrText xml:space="preserve"> REF _Ref377390777 \h </w:instrText>
      </w:r>
      <w:r w:rsidRPr="008B2F8A">
        <w:fldChar w:fldCharType="separate"/>
      </w:r>
      <w:r w:rsidR="00B81273" w:rsidRPr="008B2F8A">
        <w:t xml:space="preserve">Table </w:t>
      </w:r>
      <w:r w:rsidR="00B81273">
        <w:rPr>
          <w:noProof/>
        </w:rPr>
        <w:t>E</w:t>
      </w:r>
      <w:r w:rsidR="00B81273" w:rsidRPr="008B2F8A">
        <w:t>.</w:t>
      </w:r>
      <w:r w:rsidR="00B81273">
        <w:rPr>
          <w:noProof/>
        </w:rPr>
        <w:t>40</w:t>
      </w:r>
      <w:r w:rsidRPr="008B2F8A">
        <w:fldChar w:fldCharType="end"/>
      </w:r>
      <w:r w:rsidRPr="008B2F8A">
        <w:t xml:space="preserve"> and </w:t>
      </w:r>
      <w:r w:rsidRPr="008B2F8A">
        <w:fldChar w:fldCharType="begin"/>
      </w:r>
      <w:r w:rsidRPr="008B2F8A">
        <w:instrText xml:space="preserve"> REF _Ref377390782 \h </w:instrText>
      </w:r>
      <w:r w:rsidRPr="008B2F8A">
        <w:fldChar w:fldCharType="separate"/>
      </w:r>
      <w:r w:rsidR="00B81273" w:rsidRPr="008B2F8A">
        <w:t xml:space="preserve">Table </w:t>
      </w:r>
      <w:r w:rsidR="00B81273">
        <w:rPr>
          <w:noProof/>
        </w:rPr>
        <w:t>E</w:t>
      </w:r>
      <w:r w:rsidR="00B81273" w:rsidRPr="008B2F8A">
        <w:t>.</w:t>
      </w:r>
      <w:r w:rsidR="00B81273">
        <w:rPr>
          <w:noProof/>
        </w:rPr>
        <w:t>41</w:t>
      </w:r>
      <w:r w:rsidRPr="008B2F8A">
        <w:fldChar w:fldCharType="end"/>
      </w:r>
      <w:r w:rsidRPr="008B2F8A">
        <w:t>. The variation resulted in a very minor decrease in the overall cost of the proposed listing. The total cost to government in 2019 was $23.0 million, representing a decrease of $0.4 million from the base-case estimate.</w:t>
      </w:r>
    </w:p>
    <w:p w14:paraId="7B01E3DA" w14:textId="77777777" w:rsidR="00E47AB8" w:rsidRPr="008B2F8A" w:rsidRDefault="00E47AB8" w:rsidP="00422306">
      <w:pPr>
        <w:pStyle w:val="Caption"/>
      </w:pPr>
      <w:bookmarkStart w:id="1430" w:name="_Ref377390777"/>
      <w:bookmarkStart w:id="1431" w:name="_Toc383424671"/>
      <w:r w:rsidRPr="008B2F8A">
        <w:t xml:space="preserve">Table </w:t>
      </w:r>
      <w:fldSimple w:instr=" STYLEREF 1 \s ">
        <w:r w:rsidR="00B81273">
          <w:rPr>
            <w:noProof/>
          </w:rPr>
          <w:t>E</w:t>
        </w:r>
      </w:fldSimple>
      <w:r w:rsidRPr="008B2F8A">
        <w:t>.</w:t>
      </w:r>
      <w:fldSimple w:instr=" SEQ Table \* ARABIC \s 1 ">
        <w:r w:rsidR="00B81273">
          <w:rPr>
            <w:noProof/>
          </w:rPr>
          <w:t>40</w:t>
        </w:r>
      </w:fldSimple>
      <w:bookmarkEnd w:id="1430"/>
      <w:r w:rsidRPr="008B2F8A">
        <w:tab/>
        <w:t>Total cost to the MBS of the requested listing using alternative diagnostic accuracy estimates.</w:t>
      </w:r>
      <w:bookmarkEnd w:id="1431"/>
    </w:p>
    <w:tbl>
      <w:tblPr>
        <w:tblStyle w:val="TableGrid"/>
        <w:tblW w:w="9070" w:type="dxa"/>
        <w:tblCellMar>
          <w:left w:w="28" w:type="dxa"/>
          <w:right w:w="28" w:type="dxa"/>
        </w:tblCellMar>
        <w:tblLook w:val="04A0" w:firstRow="1" w:lastRow="0" w:firstColumn="1" w:lastColumn="0" w:noHBand="0" w:noVBand="1"/>
        <w:tblCaption w:val="Total cost to the MBS of the requested listing using alternative diagnostic accuracy estimates."/>
      </w:tblPr>
      <w:tblGrid>
        <w:gridCol w:w="3048"/>
        <w:gridCol w:w="1118"/>
        <w:gridCol w:w="1258"/>
        <w:gridCol w:w="1258"/>
        <w:gridCol w:w="1257"/>
        <w:gridCol w:w="1187"/>
      </w:tblGrid>
      <w:tr w:rsidR="00E47AB8" w:rsidRPr="008B2F8A" w14:paraId="04C55C7D" w14:textId="77777777" w:rsidTr="00422306">
        <w:trPr>
          <w:tblHeader/>
        </w:trPr>
        <w:tc>
          <w:tcPr>
            <w:tcW w:w="3107" w:type="dxa"/>
            <w:noWrap/>
            <w:hideMark/>
          </w:tcPr>
          <w:p w14:paraId="128F0DB8" w14:textId="77777777" w:rsidR="00E47AB8" w:rsidRPr="008B2F8A" w:rsidRDefault="00E47AB8" w:rsidP="007F4E2E">
            <w:pPr>
              <w:pStyle w:val="Tableheaderrow"/>
              <w:keepNext/>
              <w:spacing w:before="40" w:after="80" w:line="276" w:lineRule="auto"/>
            </w:pPr>
            <w:r w:rsidRPr="008B2F8A">
              <w:t>Population</w:t>
            </w:r>
          </w:p>
        </w:tc>
        <w:tc>
          <w:tcPr>
            <w:tcW w:w="1139" w:type="dxa"/>
            <w:noWrap/>
            <w:hideMark/>
          </w:tcPr>
          <w:p w14:paraId="150E1880" w14:textId="77777777" w:rsidR="00E47AB8" w:rsidRPr="008B2F8A" w:rsidRDefault="00E47AB8" w:rsidP="007F4E2E">
            <w:pPr>
              <w:pStyle w:val="Tableheaderrow"/>
              <w:keepNext/>
              <w:spacing w:before="40" w:after="80" w:line="276" w:lineRule="auto"/>
              <w:jc w:val="center"/>
            </w:pPr>
            <w:r w:rsidRPr="008B2F8A">
              <w:t>FY 2015</w:t>
            </w:r>
          </w:p>
        </w:tc>
        <w:tc>
          <w:tcPr>
            <w:tcW w:w="1282" w:type="dxa"/>
            <w:noWrap/>
            <w:hideMark/>
          </w:tcPr>
          <w:p w14:paraId="58CE9302" w14:textId="77777777" w:rsidR="00E47AB8" w:rsidRPr="008B2F8A" w:rsidRDefault="00E47AB8" w:rsidP="007F4E2E">
            <w:pPr>
              <w:pStyle w:val="Tableheaderrow"/>
              <w:keepNext/>
              <w:spacing w:before="40" w:after="80" w:line="276" w:lineRule="auto"/>
              <w:jc w:val="center"/>
            </w:pPr>
            <w:r w:rsidRPr="008B2F8A">
              <w:t>FY 2016</w:t>
            </w:r>
          </w:p>
        </w:tc>
        <w:tc>
          <w:tcPr>
            <w:tcW w:w="1282" w:type="dxa"/>
            <w:noWrap/>
            <w:hideMark/>
          </w:tcPr>
          <w:p w14:paraId="07EA8986" w14:textId="77777777" w:rsidR="00E47AB8" w:rsidRPr="008B2F8A" w:rsidRDefault="00E47AB8" w:rsidP="007F4E2E">
            <w:pPr>
              <w:pStyle w:val="Tableheaderrow"/>
              <w:keepNext/>
              <w:spacing w:before="40" w:after="80" w:line="276" w:lineRule="auto"/>
              <w:jc w:val="center"/>
            </w:pPr>
            <w:r w:rsidRPr="008B2F8A">
              <w:t>FY 2017</w:t>
            </w:r>
          </w:p>
        </w:tc>
        <w:tc>
          <w:tcPr>
            <w:tcW w:w="1281" w:type="dxa"/>
            <w:noWrap/>
            <w:hideMark/>
          </w:tcPr>
          <w:p w14:paraId="4BAA8C55" w14:textId="77777777" w:rsidR="00E47AB8" w:rsidRPr="008B2F8A" w:rsidRDefault="00E47AB8" w:rsidP="007F4E2E">
            <w:pPr>
              <w:pStyle w:val="Tableheaderrow"/>
              <w:keepNext/>
              <w:spacing w:before="40" w:after="80" w:line="276" w:lineRule="auto"/>
              <w:jc w:val="center"/>
            </w:pPr>
            <w:r w:rsidRPr="008B2F8A">
              <w:t>FY 2018</w:t>
            </w:r>
          </w:p>
        </w:tc>
        <w:tc>
          <w:tcPr>
            <w:tcW w:w="1209" w:type="dxa"/>
            <w:noWrap/>
            <w:hideMark/>
          </w:tcPr>
          <w:p w14:paraId="68D66AA0" w14:textId="77777777" w:rsidR="00E47AB8" w:rsidRPr="008B2F8A" w:rsidRDefault="00E47AB8" w:rsidP="007F4E2E">
            <w:pPr>
              <w:pStyle w:val="Tableheaderrow"/>
              <w:keepNext/>
              <w:spacing w:before="40" w:after="80" w:line="276" w:lineRule="auto"/>
              <w:jc w:val="center"/>
            </w:pPr>
            <w:r w:rsidRPr="008B2F8A">
              <w:t>FY 2019</w:t>
            </w:r>
          </w:p>
        </w:tc>
      </w:tr>
      <w:tr w:rsidR="00E47AB8" w:rsidRPr="008B2F8A" w14:paraId="307B37FB" w14:textId="77777777" w:rsidTr="00422306">
        <w:tc>
          <w:tcPr>
            <w:tcW w:w="3107" w:type="dxa"/>
            <w:noWrap/>
            <w:vAlign w:val="bottom"/>
            <w:hideMark/>
          </w:tcPr>
          <w:p w14:paraId="2279CB27" w14:textId="77777777" w:rsidR="00E47AB8" w:rsidRPr="008B2F8A" w:rsidRDefault="00E47AB8" w:rsidP="007F4E2E">
            <w:pPr>
              <w:pStyle w:val="TableText0"/>
              <w:spacing w:before="40" w:after="80" w:line="276" w:lineRule="auto"/>
            </w:pPr>
            <w:r w:rsidRPr="008B2F8A">
              <w:t>Gene mutation or family history</w:t>
            </w:r>
          </w:p>
        </w:tc>
        <w:tc>
          <w:tcPr>
            <w:tcW w:w="1139" w:type="dxa"/>
            <w:noWrap/>
            <w:hideMark/>
          </w:tcPr>
          <w:p w14:paraId="3573634C" w14:textId="77777777" w:rsidR="00E47AB8" w:rsidRPr="008B2F8A" w:rsidRDefault="00E47AB8" w:rsidP="007F4E2E">
            <w:pPr>
              <w:pStyle w:val="TableText0"/>
              <w:spacing w:before="40" w:after="80" w:line="276" w:lineRule="auto"/>
              <w:jc w:val="right"/>
            </w:pPr>
            <w:r w:rsidRPr="008B2F8A">
              <w:t xml:space="preserve"> $3,151,694 </w:t>
            </w:r>
          </w:p>
        </w:tc>
        <w:tc>
          <w:tcPr>
            <w:tcW w:w="1282" w:type="dxa"/>
            <w:noWrap/>
            <w:hideMark/>
          </w:tcPr>
          <w:p w14:paraId="26B52311" w14:textId="77777777" w:rsidR="00E47AB8" w:rsidRPr="008B2F8A" w:rsidRDefault="00E47AB8" w:rsidP="007F4E2E">
            <w:pPr>
              <w:pStyle w:val="TableText0"/>
              <w:spacing w:before="40" w:after="80" w:line="276" w:lineRule="auto"/>
              <w:jc w:val="right"/>
            </w:pPr>
            <w:r w:rsidRPr="008B2F8A">
              <w:t xml:space="preserve"> $3,558,010 </w:t>
            </w:r>
          </w:p>
        </w:tc>
        <w:tc>
          <w:tcPr>
            <w:tcW w:w="1282" w:type="dxa"/>
            <w:noWrap/>
            <w:hideMark/>
          </w:tcPr>
          <w:p w14:paraId="0E0F0F75" w14:textId="77777777" w:rsidR="00E47AB8" w:rsidRPr="008B2F8A" w:rsidRDefault="00E47AB8" w:rsidP="007F4E2E">
            <w:pPr>
              <w:pStyle w:val="TableText0"/>
              <w:spacing w:before="40" w:after="80" w:line="276" w:lineRule="auto"/>
              <w:jc w:val="right"/>
            </w:pPr>
            <w:r w:rsidRPr="008B2F8A">
              <w:t xml:space="preserve"> $3,964,326 </w:t>
            </w:r>
          </w:p>
        </w:tc>
        <w:tc>
          <w:tcPr>
            <w:tcW w:w="1281" w:type="dxa"/>
            <w:noWrap/>
            <w:hideMark/>
          </w:tcPr>
          <w:p w14:paraId="72D0AB88" w14:textId="77777777" w:rsidR="00E47AB8" w:rsidRPr="008B2F8A" w:rsidRDefault="00E47AB8" w:rsidP="007F4E2E">
            <w:pPr>
              <w:pStyle w:val="TableText0"/>
              <w:spacing w:before="40" w:after="80" w:line="276" w:lineRule="auto"/>
              <w:jc w:val="right"/>
            </w:pPr>
            <w:r w:rsidRPr="008B2F8A">
              <w:t xml:space="preserve"> $4,370,642 </w:t>
            </w:r>
          </w:p>
        </w:tc>
        <w:tc>
          <w:tcPr>
            <w:tcW w:w="1209" w:type="dxa"/>
            <w:noWrap/>
            <w:hideMark/>
          </w:tcPr>
          <w:p w14:paraId="4A516ACE" w14:textId="77777777" w:rsidR="00E47AB8" w:rsidRPr="008B2F8A" w:rsidRDefault="00E47AB8" w:rsidP="007F4E2E">
            <w:pPr>
              <w:pStyle w:val="TableText0"/>
              <w:spacing w:before="40" w:after="80" w:line="276" w:lineRule="auto"/>
              <w:jc w:val="right"/>
            </w:pPr>
            <w:r w:rsidRPr="008B2F8A">
              <w:t xml:space="preserve"> $4,776,958 </w:t>
            </w:r>
          </w:p>
        </w:tc>
      </w:tr>
      <w:tr w:rsidR="00E47AB8" w:rsidRPr="008B2F8A" w14:paraId="0A5510E5" w14:textId="77777777" w:rsidTr="00422306">
        <w:tc>
          <w:tcPr>
            <w:tcW w:w="3107" w:type="dxa"/>
            <w:noWrap/>
            <w:vAlign w:val="bottom"/>
          </w:tcPr>
          <w:p w14:paraId="021F552E" w14:textId="77777777" w:rsidR="00E47AB8" w:rsidRPr="008B2F8A" w:rsidRDefault="00E47AB8" w:rsidP="007F4E2E">
            <w:pPr>
              <w:pStyle w:val="TableText0"/>
              <w:spacing w:before="40" w:after="80" w:line="276" w:lineRule="auto"/>
            </w:pPr>
            <w:r w:rsidRPr="008B2F8A">
              <w:t>Prior history of invasive breast cancer</w:t>
            </w:r>
          </w:p>
        </w:tc>
        <w:tc>
          <w:tcPr>
            <w:tcW w:w="1139" w:type="dxa"/>
            <w:noWrap/>
          </w:tcPr>
          <w:p w14:paraId="071373A5" w14:textId="77777777" w:rsidR="00E47AB8" w:rsidRPr="008B2F8A" w:rsidRDefault="00E47AB8" w:rsidP="007F4E2E">
            <w:pPr>
              <w:pStyle w:val="TableText0"/>
              <w:spacing w:before="40" w:after="80" w:line="276" w:lineRule="auto"/>
              <w:jc w:val="right"/>
            </w:pPr>
            <w:r w:rsidRPr="008B2F8A">
              <w:t xml:space="preserve"> $4,522,319 </w:t>
            </w:r>
          </w:p>
        </w:tc>
        <w:tc>
          <w:tcPr>
            <w:tcW w:w="1282" w:type="dxa"/>
            <w:noWrap/>
          </w:tcPr>
          <w:p w14:paraId="104841AF" w14:textId="77777777" w:rsidR="00E47AB8" w:rsidRPr="008B2F8A" w:rsidRDefault="00E47AB8" w:rsidP="007F4E2E">
            <w:pPr>
              <w:pStyle w:val="TableText0"/>
              <w:spacing w:before="40" w:after="80" w:line="276" w:lineRule="auto"/>
              <w:jc w:val="right"/>
            </w:pPr>
            <w:r w:rsidRPr="008B2F8A">
              <w:t xml:space="preserve"> $6,902,115 </w:t>
            </w:r>
          </w:p>
        </w:tc>
        <w:tc>
          <w:tcPr>
            <w:tcW w:w="1282" w:type="dxa"/>
            <w:noWrap/>
          </w:tcPr>
          <w:p w14:paraId="3F0C9EA5" w14:textId="77777777" w:rsidR="00E47AB8" w:rsidRPr="008B2F8A" w:rsidRDefault="00E47AB8" w:rsidP="007F4E2E">
            <w:pPr>
              <w:pStyle w:val="TableText0"/>
              <w:spacing w:before="40" w:after="80" w:line="276" w:lineRule="auto"/>
              <w:jc w:val="right"/>
            </w:pPr>
            <w:r w:rsidRPr="008B2F8A">
              <w:t xml:space="preserve"> $9,361,865 </w:t>
            </w:r>
          </w:p>
        </w:tc>
        <w:tc>
          <w:tcPr>
            <w:tcW w:w="1281" w:type="dxa"/>
            <w:noWrap/>
          </w:tcPr>
          <w:p w14:paraId="622F06DB" w14:textId="77777777" w:rsidR="00E47AB8" w:rsidRPr="008B2F8A" w:rsidRDefault="00E47AB8" w:rsidP="007F4E2E">
            <w:pPr>
              <w:pStyle w:val="TableText0"/>
              <w:spacing w:before="40" w:after="80" w:line="276" w:lineRule="auto"/>
              <w:jc w:val="right"/>
            </w:pPr>
            <w:r w:rsidRPr="008B2F8A">
              <w:t xml:space="preserve"> $11,900,647 </w:t>
            </w:r>
          </w:p>
        </w:tc>
        <w:tc>
          <w:tcPr>
            <w:tcW w:w="1209" w:type="dxa"/>
            <w:noWrap/>
          </w:tcPr>
          <w:p w14:paraId="4126D8B9" w14:textId="77777777" w:rsidR="00E47AB8" w:rsidRPr="008B2F8A" w:rsidRDefault="00E47AB8" w:rsidP="007F4E2E">
            <w:pPr>
              <w:pStyle w:val="TableText0"/>
              <w:spacing w:before="40" w:after="80" w:line="276" w:lineRule="auto"/>
              <w:jc w:val="right"/>
            </w:pPr>
            <w:r w:rsidRPr="008B2F8A">
              <w:t xml:space="preserve"> $13,211,328 </w:t>
            </w:r>
          </w:p>
        </w:tc>
      </w:tr>
      <w:tr w:rsidR="00E47AB8" w:rsidRPr="008B2F8A" w14:paraId="48BA50C3" w14:textId="77777777" w:rsidTr="00422306">
        <w:tc>
          <w:tcPr>
            <w:tcW w:w="3107" w:type="dxa"/>
            <w:noWrap/>
            <w:vAlign w:val="bottom"/>
          </w:tcPr>
          <w:p w14:paraId="7C75D2F1" w14:textId="74D80FD5"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1139" w:type="dxa"/>
            <w:noWrap/>
          </w:tcPr>
          <w:p w14:paraId="4F2A58C4" w14:textId="77777777" w:rsidR="00E47AB8" w:rsidRPr="008B2F8A" w:rsidRDefault="00E47AB8" w:rsidP="00422306">
            <w:pPr>
              <w:pStyle w:val="TableText0"/>
              <w:keepNext w:val="0"/>
              <w:spacing w:before="40" w:after="80" w:line="276" w:lineRule="auto"/>
              <w:jc w:val="right"/>
            </w:pPr>
            <w:r w:rsidRPr="008B2F8A">
              <w:t xml:space="preserve"> $539,064 </w:t>
            </w:r>
          </w:p>
        </w:tc>
        <w:tc>
          <w:tcPr>
            <w:tcW w:w="1282" w:type="dxa"/>
            <w:noWrap/>
          </w:tcPr>
          <w:p w14:paraId="269C42BA" w14:textId="77777777" w:rsidR="00E47AB8" w:rsidRPr="008B2F8A" w:rsidRDefault="00E47AB8" w:rsidP="00422306">
            <w:pPr>
              <w:pStyle w:val="TableText0"/>
              <w:keepNext w:val="0"/>
              <w:spacing w:before="40" w:after="80" w:line="276" w:lineRule="auto"/>
              <w:jc w:val="right"/>
            </w:pPr>
            <w:r w:rsidRPr="008B2F8A">
              <w:t xml:space="preserve"> $822,342 </w:t>
            </w:r>
          </w:p>
        </w:tc>
        <w:tc>
          <w:tcPr>
            <w:tcW w:w="1282" w:type="dxa"/>
            <w:noWrap/>
          </w:tcPr>
          <w:p w14:paraId="53B8A625" w14:textId="77777777" w:rsidR="00E47AB8" w:rsidRPr="008B2F8A" w:rsidRDefault="00E47AB8" w:rsidP="00422306">
            <w:pPr>
              <w:pStyle w:val="TableText0"/>
              <w:keepNext w:val="0"/>
              <w:spacing w:before="40" w:after="80" w:line="276" w:lineRule="auto"/>
              <w:jc w:val="right"/>
            </w:pPr>
            <w:r w:rsidRPr="008B2F8A">
              <w:t xml:space="preserve"> $1,115,096 </w:t>
            </w:r>
          </w:p>
        </w:tc>
        <w:tc>
          <w:tcPr>
            <w:tcW w:w="1281" w:type="dxa"/>
            <w:noWrap/>
          </w:tcPr>
          <w:p w14:paraId="6DCACBB4" w14:textId="77777777" w:rsidR="00E47AB8" w:rsidRPr="008B2F8A" w:rsidRDefault="00E47AB8" w:rsidP="00422306">
            <w:pPr>
              <w:pStyle w:val="TableText0"/>
              <w:keepNext w:val="0"/>
              <w:spacing w:before="40" w:after="80" w:line="276" w:lineRule="auto"/>
              <w:jc w:val="right"/>
            </w:pPr>
            <w:r w:rsidRPr="008B2F8A">
              <w:t xml:space="preserve"> $1,417,566 </w:t>
            </w:r>
          </w:p>
        </w:tc>
        <w:tc>
          <w:tcPr>
            <w:tcW w:w="1209" w:type="dxa"/>
            <w:noWrap/>
          </w:tcPr>
          <w:p w14:paraId="17F5B8AC" w14:textId="77777777" w:rsidR="00E47AB8" w:rsidRPr="008B2F8A" w:rsidRDefault="00E47AB8" w:rsidP="00422306">
            <w:pPr>
              <w:pStyle w:val="TableText0"/>
              <w:keepNext w:val="0"/>
              <w:spacing w:before="40" w:after="80" w:line="276" w:lineRule="auto"/>
              <w:jc w:val="right"/>
            </w:pPr>
            <w:r w:rsidRPr="008B2F8A">
              <w:t xml:space="preserve"> $1,574,298 </w:t>
            </w:r>
          </w:p>
        </w:tc>
      </w:tr>
      <w:tr w:rsidR="00E47AB8" w:rsidRPr="008B2F8A" w14:paraId="008901D2" w14:textId="77777777" w:rsidTr="00422306">
        <w:tc>
          <w:tcPr>
            <w:tcW w:w="3107" w:type="dxa"/>
            <w:noWrap/>
            <w:vAlign w:val="bottom"/>
          </w:tcPr>
          <w:p w14:paraId="2EB91E1C" w14:textId="77777777" w:rsidR="00E47AB8" w:rsidRPr="008B2F8A" w:rsidRDefault="00E47AB8" w:rsidP="00422306">
            <w:pPr>
              <w:pStyle w:val="TableText0"/>
              <w:keepNext w:val="0"/>
              <w:spacing w:before="40" w:after="80" w:line="276" w:lineRule="auto"/>
            </w:pPr>
            <w:r w:rsidRPr="008B2F8A">
              <w:t>Prior history of therapeutic radiation to the chest</w:t>
            </w:r>
          </w:p>
        </w:tc>
        <w:tc>
          <w:tcPr>
            <w:tcW w:w="1139" w:type="dxa"/>
            <w:noWrap/>
          </w:tcPr>
          <w:p w14:paraId="0EC4E6C6" w14:textId="77777777" w:rsidR="00E47AB8" w:rsidRPr="008B2F8A" w:rsidRDefault="00E47AB8" w:rsidP="00422306">
            <w:pPr>
              <w:pStyle w:val="TableText0"/>
              <w:keepNext w:val="0"/>
              <w:spacing w:before="40" w:after="80" w:line="276" w:lineRule="auto"/>
              <w:jc w:val="right"/>
            </w:pPr>
            <w:r w:rsidRPr="008B2F8A">
              <w:t xml:space="preserve"> $52,189 </w:t>
            </w:r>
          </w:p>
        </w:tc>
        <w:tc>
          <w:tcPr>
            <w:tcW w:w="1282" w:type="dxa"/>
            <w:noWrap/>
          </w:tcPr>
          <w:p w14:paraId="32D60229" w14:textId="77777777" w:rsidR="00E47AB8" w:rsidRPr="008B2F8A" w:rsidRDefault="00E47AB8" w:rsidP="00422306">
            <w:pPr>
              <w:pStyle w:val="TableText0"/>
              <w:keepNext w:val="0"/>
              <w:spacing w:before="40" w:after="80" w:line="276" w:lineRule="auto"/>
              <w:jc w:val="right"/>
            </w:pPr>
            <w:r w:rsidRPr="008B2F8A">
              <w:t xml:space="preserve"> $106,150 </w:t>
            </w:r>
          </w:p>
        </w:tc>
        <w:tc>
          <w:tcPr>
            <w:tcW w:w="1282" w:type="dxa"/>
            <w:noWrap/>
          </w:tcPr>
          <w:p w14:paraId="571DBCA1" w14:textId="77777777" w:rsidR="00E47AB8" w:rsidRPr="008B2F8A" w:rsidRDefault="00E47AB8" w:rsidP="00422306">
            <w:pPr>
              <w:pStyle w:val="TableText0"/>
              <w:keepNext w:val="0"/>
              <w:spacing w:before="40" w:after="80" w:line="276" w:lineRule="auto"/>
              <w:jc w:val="right"/>
            </w:pPr>
            <w:r w:rsidRPr="008B2F8A">
              <w:t xml:space="preserve"> $161,931 </w:t>
            </w:r>
          </w:p>
        </w:tc>
        <w:tc>
          <w:tcPr>
            <w:tcW w:w="1281" w:type="dxa"/>
            <w:noWrap/>
          </w:tcPr>
          <w:p w14:paraId="2ADA4F3F" w14:textId="77777777" w:rsidR="00E47AB8" w:rsidRPr="008B2F8A" w:rsidRDefault="00E47AB8" w:rsidP="00422306">
            <w:pPr>
              <w:pStyle w:val="TableText0"/>
              <w:keepNext w:val="0"/>
              <w:spacing w:before="40" w:after="80" w:line="276" w:lineRule="auto"/>
              <w:jc w:val="right"/>
            </w:pPr>
            <w:r w:rsidRPr="008B2F8A">
              <w:t xml:space="preserve"> $219,577 </w:t>
            </w:r>
          </w:p>
        </w:tc>
        <w:tc>
          <w:tcPr>
            <w:tcW w:w="1209" w:type="dxa"/>
            <w:noWrap/>
          </w:tcPr>
          <w:p w14:paraId="141EE6CD" w14:textId="77777777" w:rsidR="00E47AB8" w:rsidRPr="008B2F8A" w:rsidRDefault="00E47AB8" w:rsidP="00422306">
            <w:pPr>
              <w:pStyle w:val="TableText0"/>
              <w:keepNext w:val="0"/>
              <w:spacing w:before="40" w:after="80" w:line="276" w:lineRule="auto"/>
              <w:jc w:val="right"/>
            </w:pPr>
            <w:r w:rsidRPr="008B2F8A">
              <w:t xml:space="preserve"> $254,413 </w:t>
            </w:r>
          </w:p>
        </w:tc>
      </w:tr>
      <w:tr w:rsidR="00E47AB8" w:rsidRPr="008B2F8A" w14:paraId="1353E383" w14:textId="77777777" w:rsidTr="00422306">
        <w:tc>
          <w:tcPr>
            <w:tcW w:w="3107" w:type="dxa"/>
            <w:noWrap/>
            <w:vAlign w:val="bottom"/>
          </w:tcPr>
          <w:p w14:paraId="2317835F" w14:textId="77777777" w:rsidR="00E47AB8" w:rsidRPr="008B2F8A" w:rsidRDefault="00E47AB8" w:rsidP="00422306">
            <w:pPr>
              <w:pStyle w:val="TableText0"/>
              <w:keepNext w:val="0"/>
              <w:spacing w:before="40" w:after="80" w:line="276" w:lineRule="auto"/>
            </w:pPr>
            <w:r w:rsidRPr="008B2F8A">
              <w:t>All populations</w:t>
            </w:r>
          </w:p>
        </w:tc>
        <w:tc>
          <w:tcPr>
            <w:tcW w:w="1139" w:type="dxa"/>
            <w:noWrap/>
          </w:tcPr>
          <w:p w14:paraId="5817A230" w14:textId="77777777" w:rsidR="00E47AB8" w:rsidRPr="008B2F8A" w:rsidRDefault="00E47AB8" w:rsidP="00422306">
            <w:pPr>
              <w:pStyle w:val="TableText0"/>
              <w:keepNext w:val="0"/>
              <w:spacing w:before="40" w:after="80" w:line="276" w:lineRule="auto"/>
              <w:jc w:val="right"/>
            </w:pPr>
            <w:r w:rsidRPr="008B2F8A">
              <w:t xml:space="preserve"> $8,265,267 </w:t>
            </w:r>
          </w:p>
        </w:tc>
        <w:tc>
          <w:tcPr>
            <w:tcW w:w="1282" w:type="dxa"/>
            <w:noWrap/>
          </w:tcPr>
          <w:p w14:paraId="1DB5E624" w14:textId="77777777" w:rsidR="00E47AB8" w:rsidRPr="008B2F8A" w:rsidRDefault="00E47AB8" w:rsidP="00422306">
            <w:pPr>
              <w:pStyle w:val="TableText0"/>
              <w:keepNext w:val="0"/>
              <w:spacing w:before="40" w:after="80" w:line="276" w:lineRule="auto"/>
              <w:jc w:val="right"/>
            </w:pPr>
            <w:r w:rsidRPr="008B2F8A">
              <w:t xml:space="preserve"> $11,388,618 </w:t>
            </w:r>
          </w:p>
        </w:tc>
        <w:tc>
          <w:tcPr>
            <w:tcW w:w="1282" w:type="dxa"/>
            <w:noWrap/>
          </w:tcPr>
          <w:p w14:paraId="664AB503" w14:textId="77777777" w:rsidR="00E47AB8" w:rsidRPr="008B2F8A" w:rsidRDefault="00E47AB8" w:rsidP="00422306">
            <w:pPr>
              <w:pStyle w:val="TableText0"/>
              <w:keepNext w:val="0"/>
              <w:spacing w:before="40" w:after="80" w:line="276" w:lineRule="auto"/>
              <w:jc w:val="right"/>
            </w:pPr>
            <w:r w:rsidRPr="008B2F8A">
              <w:t xml:space="preserve"> $14,603,219 </w:t>
            </w:r>
          </w:p>
        </w:tc>
        <w:tc>
          <w:tcPr>
            <w:tcW w:w="1281" w:type="dxa"/>
            <w:noWrap/>
          </w:tcPr>
          <w:p w14:paraId="5B0F2E4C" w14:textId="77777777" w:rsidR="00E47AB8" w:rsidRPr="008B2F8A" w:rsidRDefault="00E47AB8" w:rsidP="00422306">
            <w:pPr>
              <w:pStyle w:val="TableText0"/>
              <w:keepNext w:val="0"/>
              <w:spacing w:before="40" w:after="80" w:line="276" w:lineRule="auto"/>
              <w:jc w:val="right"/>
            </w:pPr>
            <w:r w:rsidRPr="008B2F8A">
              <w:t xml:space="preserve"> $17,908,433 </w:t>
            </w:r>
          </w:p>
        </w:tc>
        <w:tc>
          <w:tcPr>
            <w:tcW w:w="1209" w:type="dxa"/>
            <w:noWrap/>
          </w:tcPr>
          <w:p w14:paraId="706FFD43" w14:textId="77777777" w:rsidR="00E47AB8" w:rsidRPr="008B2F8A" w:rsidRDefault="00E47AB8" w:rsidP="00422306">
            <w:pPr>
              <w:pStyle w:val="TableText0"/>
              <w:keepNext w:val="0"/>
              <w:spacing w:before="40" w:after="80" w:line="276" w:lineRule="auto"/>
              <w:jc w:val="right"/>
            </w:pPr>
            <w:r w:rsidRPr="008B2F8A">
              <w:t xml:space="preserve"> $19,816,997 </w:t>
            </w:r>
          </w:p>
        </w:tc>
      </w:tr>
    </w:tbl>
    <w:p w14:paraId="3A67BF48" w14:textId="781CB318" w:rsidR="00E47AB8" w:rsidRDefault="00E47AB8" w:rsidP="00F56FD1">
      <w:pPr>
        <w:pStyle w:val="TableNotesFirst"/>
      </w:pPr>
      <w:r w:rsidRPr="008B2F8A">
        <w:t>DCIS = ductal carcinoma in situ; FY = financial year; LCIS = lobular carcinoma in situ.</w:t>
      </w:r>
      <w:r w:rsidR="00F56FD1">
        <w:t xml:space="preserve"> </w:t>
      </w:r>
      <w:r w:rsidRPr="008B2F8A">
        <w:t>Note: Rounding has been applied.</w:t>
      </w:r>
    </w:p>
    <w:p w14:paraId="000F9A3B" w14:textId="77777777" w:rsidR="00F56FD1" w:rsidRPr="008B2F8A" w:rsidRDefault="00F56FD1" w:rsidP="00F56FD1">
      <w:pPr>
        <w:pStyle w:val="TableNotesFirst"/>
      </w:pPr>
    </w:p>
    <w:p w14:paraId="3921F3D0" w14:textId="77777777" w:rsidR="00E47AB8" w:rsidRPr="008B2F8A" w:rsidRDefault="00E47AB8" w:rsidP="00422306">
      <w:pPr>
        <w:pStyle w:val="Caption"/>
        <w:ind w:left="1440" w:hanging="1440"/>
      </w:pPr>
      <w:bookmarkStart w:id="1432" w:name="_Ref377390782"/>
      <w:bookmarkStart w:id="1433" w:name="_Toc383424672"/>
      <w:r w:rsidRPr="008B2F8A">
        <w:t xml:space="preserve">Table </w:t>
      </w:r>
      <w:fldSimple w:instr=" STYLEREF 1 \s ">
        <w:r w:rsidR="00B81273">
          <w:rPr>
            <w:noProof/>
          </w:rPr>
          <w:t>E</w:t>
        </w:r>
      </w:fldSimple>
      <w:r w:rsidRPr="008B2F8A">
        <w:t>.</w:t>
      </w:r>
      <w:fldSimple w:instr=" SEQ Table \* ARABIC \s 1 ">
        <w:r w:rsidR="00B81273">
          <w:rPr>
            <w:noProof/>
          </w:rPr>
          <w:t>41</w:t>
        </w:r>
      </w:fldSimple>
      <w:bookmarkEnd w:id="1432"/>
      <w:r w:rsidRPr="008B2F8A">
        <w:tab/>
        <w:t>Total cost to government health budgets using alternative diagnostic accuracy estimates.</w:t>
      </w:r>
      <w:bookmarkEnd w:id="1433"/>
    </w:p>
    <w:tbl>
      <w:tblPr>
        <w:tblStyle w:val="TableGrid"/>
        <w:tblW w:w="9126" w:type="dxa"/>
        <w:tblLayout w:type="fixed"/>
        <w:tblCellMar>
          <w:left w:w="28" w:type="dxa"/>
          <w:right w:w="28" w:type="dxa"/>
        </w:tblCellMar>
        <w:tblLook w:val="04A0" w:firstRow="1" w:lastRow="0" w:firstColumn="1" w:lastColumn="0" w:noHBand="0" w:noVBand="1"/>
        <w:tblCaption w:val="Total cost to government health budgets using alternative diagnostic accuracy estimates."/>
      </w:tblPr>
      <w:tblGrid>
        <w:gridCol w:w="3436"/>
        <w:gridCol w:w="1136"/>
        <w:gridCol w:w="1136"/>
        <w:gridCol w:w="1136"/>
        <w:gridCol w:w="1136"/>
        <w:gridCol w:w="1146"/>
      </w:tblGrid>
      <w:tr w:rsidR="00E47AB8" w:rsidRPr="008B2F8A" w14:paraId="3EFCEEE7" w14:textId="77777777" w:rsidTr="004E7861">
        <w:trPr>
          <w:tblHeader/>
        </w:trPr>
        <w:tc>
          <w:tcPr>
            <w:tcW w:w="3436" w:type="dxa"/>
            <w:noWrap/>
            <w:hideMark/>
          </w:tcPr>
          <w:p w14:paraId="6693576A" w14:textId="77777777" w:rsidR="00E47AB8" w:rsidRPr="008B2F8A" w:rsidRDefault="00E47AB8" w:rsidP="00422306">
            <w:pPr>
              <w:pStyle w:val="Tableheaderrow"/>
              <w:spacing w:before="40" w:after="80" w:line="276" w:lineRule="auto"/>
            </w:pPr>
            <w:r w:rsidRPr="008B2F8A">
              <w:t>Population</w:t>
            </w:r>
          </w:p>
        </w:tc>
        <w:tc>
          <w:tcPr>
            <w:tcW w:w="1136" w:type="dxa"/>
            <w:noWrap/>
            <w:hideMark/>
          </w:tcPr>
          <w:p w14:paraId="3D8D6A14" w14:textId="77777777" w:rsidR="00E47AB8" w:rsidRPr="008B2F8A" w:rsidRDefault="00E47AB8" w:rsidP="00422306">
            <w:pPr>
              <w:pStyle w:val="Tableheaderrow"/>
              <w:spacing w:before="40" w:after="80" w:line="276" w:lineRule="auto"/>
              <w:jc w:val="center"/>
            </w:pPr>
            <w:r w:rsidRPr="008B2F8A">
              <w:t>FY 2015</w:t>
            </w:r>
          </w:p>
        </w:tc>
        <w:tc>
          <w:tcPr>
            <w:tcW w:w="1136" w:type="dxa"/>
            <w:noWrap/>
            <w:hideMark/>
          </w:tcPr>
          <w:p w14:paraId="752B62AB" w14:textId="77777777" w:rsidR="00E47AB8" w:rsidRPr="008B2F8A" w:rsidRDefault="00E47AB8" w:rsidP="00422306">
            <w:pPr>
              <w:pStyle w:val="Tableheaderrow"/>
              <w:spacing w:before="40" w:after="80" w:line="276" w:lineRule="auto"/>
              <w:jc w:val="center"/>
            </w:pPr>
            <w:r w:rsidRPr="008B2F8A">
              <w:t>FY 2016</w:t>
            </w:r>
          </w:p>
        </w:tc>
        <w:tc>
          <w:tcPr>
            <w:tcW w:w="1136" w:type="dxa"/>
            <w:noWrap/>
            <w:hideMark/>
          </w:tcPr>
          <w:p w14:paraId="1C753F6C" w14:textId="77777777" w:rsidR="00E47AB8" w:rsidRPr="008B2F8A" w:rsidRDefault="00E47AB8" w:rsidP="00422306">
            <w:pPr>
              <w:pStyle w:val="Tableheaderrow"/>
              <w:spacing w:before="40" w:after="80" w:line="276" w:lineRule="auto"/>
              <w:jc w:val="center"/>
            </w:pPr>
            <w:r w:rsidRPr="008B2F8A">
              <w:t>FY 2017</w:t>
            </w:r>
          </w:p>
        </w:tc>
        <w:tc>
          <w:tcPr>
            <w:tcW w:w="1136" w:type="dxa"/>
            <w:noWrap/>
            <w:hideMark/>
          </w:tcPr>
          <w:p w14:paraId="590ECB1B" w14:textId="77777777" w:rsidR="00E47AB8" w:rsidRPr="008B2F8A" w:rsidRDefault="00E47AB8" w:rsidP="00422306">
            <w:pPr>
              <w:pStyle w:val="Tableheaderrow"/>
              <w:spacing w:before="40" w:after="80" w:line="276" w:lineRule="auto"/>
              <w:jc w:val="center"/>
            </w:pPr>
            <w:r w:rsidRPr="008B2F8A">
              <w:t>FY 2018</w:t>
            </w:r>
          </w:p>
        </w:tc>
        <w:tc>
          <w:tcPr>
            <w:tcW w:w="1146" w:type="dxa"/>
            <w:noWrap/>
            <w:hideMark/>
          </w:tcPr>
          <w:p w14:paraId="27929F7B"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52DC70C6" w14:textId="77777777" w:rsidTr="004E7861">
        <w:tc>
          <w:tcPr>
            <w:tcW w:w="3436" w:type="dxa"/>
            <w:noWrap/>
            <w:vAlign w:val="bottom"/>
            <w:hideMark/>
          </w:tcPr>
          <w:p w14:paraId="0865D6C2" w14:textId="77777777" w:rsidR="00E47AB8" w:rsidRPr="008B2F8A" w:rsidRDefault="00E47AB8" w:rsidP="00422306">
            <w:pPr>
              <w:pStyle w:val="TableText0"/>
              <w:keepNext w:val="0"/>
              <w:spacing w:before="40" w:after="80" w:line="276" w:lineRule="auto"/>
            </w:pPr>
            <w:r w:rsidRPr="008B2F8A">
              <w:t>Gene mutation or family history</w:t>
            </w:r>
          </w:p>
        </w:tc>
        <w:tc>
          <w:tcPr>
            <w:tcW w:w="1136" w:type="dxa"/>
            <w:noWrap/>
            <w:hideMark/>
          </w:tcPr>
          <w:p w14:paraId="45EC84DA" w14:textId="77777777" w:rsidR="00E47AB8" w:rsidRPr="008B2F8A" w:rsidRDefault="00E47AB8" w:rsidP="00422306">
            <w:pPr>
              <w:pStyle w:val="TableText0"/>
              <w:keepNext w:val="0"/>
              <w:spacing w:before="40" w:after="80" w:line="276" w:lineRule="auto"/>
              <w:jc w:val="right"/>
            </w:pPr>
            <w:r w:rsidRPr="008B2F8A">
              <w:t xml:space="preserve"> $3,692,534 </w:t>
            </w:r>
          </w:p>
        </w:tc>
        <w:tc>
          <w:tcPr>
            <w:tcW w:w="1136" w:type="dxa"/>
            <w:noWrap/>
            <w:hideMark/>
          </w:tcPr>
          <w:p w14:paraId="1DB177C3" w14:textId="77777777" w:rsidR="00E47AB8" w:rsidRPr="008B2F8A" w:rsidRDefault="00E47AB8" w:rsidP="00422306">
            <w:pPr>
              <w:pStyle w:val="TableText0"/>
              <w:keepNext w:val="0"/>
              <w:spacing w:before="40" w:after="80" w:line="276" w:lineRule="auto"/>
              <w:jc w:val="right"/>
            </w:pPr>
            <w:r w:rsidRPr="008B2F8A">
              <w:t xml:space="preserve"> $4,168,575 </w:t>
            </w:r>
          </w:p>
        </w:tc>
        <w:tc>
          <w:tcPr>
            <w:tcW w:w="1136" w:type="dxa"/>
            <w:noWrap/>
            <w:hideMark/>
          </w:tcPr>
          <w:p w14:paraId="3C4C4224" w14:textId="77777777" w:rsidR="00E47AB8" w:rsidRPr="008B2F8A" w:rsidRDefault="00E47AB8" w:rsidP="00422306">
            <w:pPr>
              <w:pStyle w:val="TableText0"/>
              <w:keepNext w:val="0"/>
              <w:spacing w:before="40" w:after="80" w:line="276" w:lineRule="auto"/>
              <w:jc w:val="right"/>
            </w:pPr>
            <w:r w:rsidRPr="008B2F8A">
              <w:t xml:space="preserve"> $4,644,616 </w:t>
            </w:r>
          </w:p>
        </w:tc>
        <w:tc>
          <w:tcPr>
            <w:tcW w:w="1136" w:type="dxa"/>
            <w:noWrap/>
            <w:hideMark/>
          </w:tcPr>
          <w:p w14:paraId="549231CC" w14:textId="77777777" w:rsidR="00E47AB8" w:rsidRPr="008B2F8A" w:rsidRDefault="00E47AB8" w:rsidP="00422306">
            <w:pPr>
              <w:pStyle w:val="TableText0"/>
              <w:keepNext w:val="0"/>
              <w:spacing w:before="40" w:after="80" w:line="276" w:lineRule="auto"/>
              <w:jc w:val="right"/>
            </w:pPr>
            <w:r w:rsidRPr="008B2F8A">
              <w:t xml:space="preserve"> $5,120,657 </w:t>
            </w:r>
          </w:p>
        </w:tc>
        <w:tc>
          <w:tcPr>
            <w:tcW w:w="1146" w:type="dxa"/>
            <w:noWrap/>
            <w:hideMark/>
          </w:tcPr>
          <w:p w14:paraId="078D4D55" w14:textId="77777777" w:rsidR="00E47AB8" w:rsidRPr="008B2F8A" w:rsidRDefault="00E47AB8" w:rsidP="00422306">
            <w:pPr>
              <w:pStyle w:val="TableText0"/>
              <w:keepNext w:val="0"/>
              <w:spacing w:before="40" w:after="80" w:line="276" w:lineRule="auto"/>
              <w:jc w:val="right"/>
            </w:pPr>
            <w:r w:rsidRPr="008B2F8A">
              <w:t xml:space="preserve"> $5,596,698 </w:t>
            </w:r>
          </w:p>
        </w:tc>
      </w:tr>
      <w:tr w:rsidR="00E47AB8" w:rsidRPr="008B2F8A" w14:paraId="7217C641" w14:textId="77777777" w:rsidTr="004E7861">
        <w:tc>
          <w:tcPr>
            <w:tcW w:w="3436" w:type="dxa"/>
            <w:noWrap/>
            <w:vAlign w:val="bottom"/>
          </w:tcPr>
          <w:p w14:paraId="6DDF2CED" w14:textId="77777777" w:rsidR="00E47AB8" w:rsidRPr="008B2F8A" w:rsidRDefault="00E47AB8" w:rsidP="00422306">
            <w:pPr>
              <w:pStyle w:val="TableText0"/>
              <w:keepNext w:val="0"/>
              <w:spacing w:before="40" w:after="80" w:line="276" w:lineRule="auto"/>
            </w:pPr>
            <w:r w:rsidRPr="008B2F8A">
              <w:t>Prior history of invasive breast cancer</w:t>
            </w:r>
          </w:p>
        </w:tc>
        <w:tc>
          <w:tcPr>
            <w:tcW w:w="1136" w:type="dxa"/>
            <w:noWrap/>
          </w:tcPr>
          <w:p w14:paraId="25CB6780" w14:textId="77777777" w:rsidR="00E47AB8" w:rsidRPr="008B2F8A" w:rsidRDefault="00E47AB8" w:rsidP="00422306">
            <w:pPr>
              <w:pStyle w:val="TableText0"/>
              <w:keepNext w:val="0"/>
              <w:spacing w:before="40" w:after="80" w:line="276" w:lineRule="auto"/>
              <w:jc w:val="right"/>
            </w:pPr>
            <w:r w:rsidRPr="008B2F8A">
              <w:t xml:space="preserve"> $5,236,285 </w:t>
            </w:r>
          </w:p>
        </w:tc>
        <w:tc>
          <w:tcPr>
            <w:tcW w:w="1136" w:type="dxa"/>
            <w:noWrap/>
          </w:tcPr>
          <w:p w14:paraId="074E6675" w14:textId="77777777" w:rsidR="00E47AB8" w:rsidRPr="008B2F8A" w:rsidRDefault="00E47AB8" w:rsidP="00422306">
            <w:pPr>
              <w:pStyle w:val="TableText0"/>
              <w:keepNext w:val="0"/>
              <w:spacing w:before="40" w:after="80" w:line="276" w:lineRule="auto"/>
              <w:jc w:val="right"/>
            </w:pPr>
            <w:r w:rsidRPr="008B2F8A">
              <w:t xml:space="preserve"> $7,991,795 </w:t>
            </w:r>
          </w:p>
        </w:tc>
        <w:tc>
          <w:tcPr>
            <w:tcW w:w="1136" w:type="dxa"/>
            <w:noWrap/>
          </w:tcPr>
          <w:p w14:paraId="65BD3885" w14:textId="77777777" w:rsidR="00E47AB8" w:rsidRPr="008B2F8A" w:rsidRDefault="00E47AB8" w:rsidP="00422306">
            <w:pPr>
              <w:pStyle w:val="TableText0"/>
              <w:keepNext w:val="0"/>
              <w:spacing w:before="40" w:after="80" w:line="276" w:lineRule="auto"/>
              <w:jc w:val="right"/>
            </w:pPr>
            <w:r w:rsidRPr="008B2F8A">
              <w:t xml:space="preserve"> $10,839,881 </w:t>
            </w:r>
          </w:p>
        </w:tc>
        <w:tc>
          <w:tcPr>
            <w:tcW w:w="1136" w:type="dxa"/>
            <w:noWrap/>
          </w:tcPr>
          <w:p w14:paraId="272E31FD" w14:textId="77777777" w:rsidR="00E47AB8" w:rsidRPr="008B2F8A" w:rsidRDefault="00E47AB8" w:rsidP="00422306">
            <w:pPr>
              <w:pStyle w:val="TableText0"/>
              <w:keepNext w:val="0"/>
              <w:spacing w:before="40" w:after="80" w:line="276" w:lineRule="auto"/>
              <w:jc w:val="right"/>
            </w:pPr>
            <w:r w:rsidRPr="008B2F8A">
              <w:t xml:space="preserve"> $13,779,476 </w:t>
            </w:r>
          </w:p>
        </w:tc>
        <w:tc>
          <w:tcPr>
            <w:tcW w:w="1146" w:type="dxa"/>
            <w:noWrap/>
          </w:tcPr>
          <w:p w14:paraId="3240916D" w14:textId="77777777" w:rsidR="00E47AB8" w:rsidRPr="008B2F8A" w:rsidRDefault="00E47AB8" w:rsidP="00422306">
            <w:pPr>
              <w:pStyle w:val="TableText0"/>
              <w:keepNext w:val="0"/>
              <w:spacing w:before="40" w:after="80" w:line="276" w:lineRule="auto"/>
              <w:jc w:val="right"/>
            </w:pPr>
            <w:r w:rsidRPr="008B2F8A">
              <w:t xml:space="preserve"> $15,297,082 </w:t>
            </w:r>
          </w:p>
        </w:tc>
      </w:tr>
      <w:tr w:rsidR="00E47AB8" w:rsidRPr="008B2F8A" w14:paraId="0198672C" w14:textId="77777777" w:rsidTr="004E7861">
        <w:tc>
          <w:tcPr>
            <w:tcW w:w="3436" w:type="dxa"/>
            <w:noWrap/>
            <w:vAlign w:val="bottom"/>
          </w:tcPr>
          <w:p w14:paraId="151DACA5" w14:textId="0470F757"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1136" w:type="dxa"/>
            <w:noWrap/>
          </w:tcPr>
          <w:p w14:paraId="2E74E154" w14:textId="77777777" w:rsidR="00E47AB8" w:rsidRPr="008B2F8A" w:rsidRDefault="00E47AB8" w:rsidP="00422306">
            <w:pPr>
              <w:pStyle w:val="TableText0"/>
              <w:keepNext w:val="0"/>
              <w:spacing w:before="40" w:after="80" w:line="276" w:lineRule="auto"/>
              <w:jc w:val="right"/>
            </w:pPr>
            <w:r w:rsidRPr="008B2F8A">
              <w:t xml:space="preserve"> $624,170 </w:t>
            </w:r>
          </w:p>
        </w:tc>
        <w:tc>
          <w:tcPr>
            <w:tcW w:w="1136" w:type="dxa"/>
            <w:noWrap/>
          </w:tcPr>
          <w:p w14:paraId="54F50D82" w14:textId="77777777" w:rsidR="00E47AB8" w:rsidRPr="008B2F8A" w:rsidRDefault="00E47AB8" w:rsidP="00422306">
            <w:pPr>
              <w:pStyle w:val="TableText0"/>
              <w:keepNext w:val="0"/>
              <w:spacing w:before="40" w:after="80" w:line="276" w:lineRule="auto"/>
              <w:jc w:val="right"/>
            </w:pPr>
            <w:r w:rsidRPr="008B2F8A">
              <w:t xml:space="preserve"> $952,171 </w:t>
            </w:r>
          </w:p>
        </w:tc>
        <w:tc>
          <w:tcPr>
            <w:tcW w:w="1136" w:type="dxa"/>
            <w:noWrap/>
          </w:tcPr>
          <w:p w14:paraId="581424B1" w14:textId="77777777" w:rsidR="00E47AB8" w:rsidRPr="008B2F8A" w:rsidRDefault="00E47AB8" w:rsidP="00422306">
            <w:pPr>
              <w:pStyle w:val="TableText0"/>
              <w:keepNext w:val="0"/>
              <w:spacing w:before="40" w:after="80" w:line="276" w:lineRule="auto"/>
              <w:jc w:val="right"/>
            </w:pPr>
            <w:r w:rsidRPr="008B2F8A">
              <w:t xml:space="preserve"> $1,291,144 </w:t>
            </w:r>
          </w:p>
        </w:tc>
        <w:tc>
          <w:tcPr>
            <w:tcW w:w="1136" w:type="dxa"/>
            <w:noWrap/>
          </w:tcPr>
          <w:p w14:paraId="17D08CCB" w14:textId="77777777" w:rsidR="00E47AB8" w:rsidRPr="008B2F8A" w:rsidRDefault="00E47AB8" w:rsidP="00422306">
            <w:pPr>
              <w:pStyle w:val="TableText0"/>
              <w:keepNext w:val="0"/>
              <w:spacing w:before="40" w:after="80" w:line="276" w:lineRule="auto"/>
              <w:jc w:val="right"/>
            </w:pPr>
            <w:r w:rsidRPr="008B2F8A">
              <w:t xml:space="preserve"> $1,641,366 </w:t>
            </w:r>
          </w:p>
        </w:tc>
        <w:tc>
          <w:tcPr>
            <w:tcW w:w="1146" w:type="dxa"/>
            <w:noWrap/>
          </w:tcPr>
          <w:p w14:paraId="36B61034" w14:textId="77777777" w:rsidR="00E47AB8" w:rsidRPr="008B2F8A" w:rsidRDefault="00E47AB8" w:rsidP="00422306">
            <w:pPr>
              <w:pStyle w:val="TableText0"/>
              <w:keepNext w:val="0"/>
              <w:spacing w:before="40" w:after="80" w:line="276" w:lineRule="auto"/>
              <w:jc w:val="right"/>
            </w:pPr>
            <w:r w:rsidRPr="008B2F8A">
              <w:t xml:space="preserve"> $1,822,842 </w:t>
            </w:r>
          </w:p>
        </w:tc>
      </w:tr>
      <w:tr w:rsidR="00E47AB8" w:rsidRPr="008B2F8A" w14:paraId="3C02EA1F" w14:textId="77777777" w:rsidTr="004E7861">
        <w:tc>
          <w:tcPr>
            <w:tcW w:w="3436" w:type="dxa"/>
            <w:noWrap/>
            <w:vAlign w:val="bottom"/>
          </w:tcPr>
          <w:p w14:paraId="4EBAB303" w14:textId="7CCD7049" w:rsidR="00E47AB8" w:rsidRPr="008B2F8A" w:rsidRDefault="00E47AB8" w:rsidP="00422306">
            <w:pPr>
              <w:pStyle w:val="TableText0"/>
              <w:keepNext w:val="0"/>
              <w:spacing w:before="40" w:after="80" w:line="276" w:lineRule="auto"/>
            </w:pPr>
            <w:r w:rsidRPr="008B2F8A">
              <w:t>Prior history of therapeutic radiation to chest</w:t>
            </w:r>
          </w:p>
        </w:tc>
        <w:tc>
          <w:tcPr>
            <w:tcW w:w="1136" w:type="dxa"/>
            <w:noWrap/>
          </w:tcPr>
          <w:p w14:paraId="6B72647D" w14:textId="77777777" w:rsidR="00E47AB8" w:rsidRPr="008B2F8A" w:rsidRDefault="00E47AB8" w:rsidP="00422306">
            <w:pPr>
              <w:pStyle w:val="TableText0"/>
              <w:keepNext w:val="0"/>
              <w:spacing w:before="40" w:after="80" w:line="276" w:lineRule="auto"/>
              <w:jc w:val="right"/>
            </w:pPr>
            <w:r w:rsidRPr="008B2F8A">
              <w:t xml:space="preserve"> $52,246 </w:t>
            </w:r>
          </w:p>
        </w:tc>
        <w:tc>
          <w:tcPr>
            <w:tcW w:w="1136" w:type="dxa"/>
            <w:noWrap/>
          </w:tcPr>
          <w:p w14:paraId="1E85F205" w14:textId="77777777" w:rsidR="00E47AB8" w:rsidRPr="008B2F8A" w:rsidRDefault="00E47AB8" w:rsidP="00422306">
            <w:pPr>
              <w:pStyle w:val="TableText0"/>
              <w:keepNext w:val="0"/>
              <w:spacing w:before="40" w:after="80" w:line="276" w:lineRule="auto"/>
              <w:jc w:val="right"/>
            </w:pPr>
            <w:r w:rsidRPr="008B2F8A">
              <w:t xml:space="preserve"> $106,207 </w:t>
            </w:r>
          </w:p>
        </w:tc>
        <w:tc>
          <w:tcPr>
            <w:tcW w:w="1136" w:type="dxa"/>
            <w:noWrap/>
          </w:tcPr>
          <w:p w14:paraId="13A25ECB" w14:textId="77777777" w:rsidR="00E47AB8" w:rsidRPr="008B2F8A" w:rsidRDefault="00E47AB8" w:rsidP="00422306">
            <w:pPr>
              <w:pStyle w:val="TableText0"/>
              <w:keepNext w:val="0"/>
              <w:spacing w:before="40" w:after="80" w:line="276" w:lineRule="auto"/>
              <w:jc w:val="right"/>
            </w:pPr>
            <w:r w:rsidRPr="008B2F8A">
              <w:t xml:space="preserve"> $161,987 </w:t>
            </w:r>
          </w:p>
        </w:tc>
        <w:tc>
          <w:tcPr>
            <w:tcW w:w="1136" w:type="dxa"/>
            <w:noWrap/>
          </w:tcPr>
          <w:p w14:paraId="571B5555" w14:textId="77777777" w:rsidR="00E47AB8" w:rsidRPr="008B2F8A" w:rsidRDefault="00E47AB8" w:rsidP="00422306">
            <w:pPr>
              <w:pStyle w:val="TableText0"/>
              <w:keepNext w:val="0"/>
              <w:spacing w:before="40" w:after="80" w:line="276" w:lineRule="auto"/>
              <w:jc w:val="right"/>
            </w:pPr>
            <w:r w:rsidRPr="008B2F8A">
              <w:t xml:space="preserve"> $219,633 </w:t>
            </w:r>
          </w:p>
        </w:tc>
        <w:tc>
          <w:tcPr>
            <w:tcW w:w="1146" w:type="dxa"/>
            <w:noWrap/>
          </w:tcPr>
          <w:p w14:paraId="4EA57193" w14:textId="77777777" w:rsidR="00E47AB8" w:rsidRPr="008B2F8A" w:rsidRDefault="00E47AB8" w:rsidP="00422306">
            <w:pPr>
              <w:pStyle w:val="TableText0"/>
              <w:keepNext w:val="0"/>
              <w:spacing w:before="40" w:after="80" w:line="276" w:lineRule="auto"/>
              <w:jc w:val="right"/>
            </w:pPr>
            <w:r w:rsidRPr="008B2F8A">
              <w:t xml:space="preserve"> $254,470 </w:t>
            </w:r>
          </w:p>
        </w:tc>
      </w:tr>
      <w:tr w:rsidR="00E47AB8" w:rsidRPr="008B2F8A" w14:paraId="1A54B3B9" w14:textId="77777777" w:rsidTr="004E7861">
        <w:tc>
          <w:tcPr>
            <w:tcW w:w="3436" w:type="dxa"/>
            <w:noWrap/>
            <w:vAlign w:val="bottom"/>
          </w:tcPr>
          <w:p w14:paraId="56DC794F" w14:textId="77777777" w:rsidR="00E47AB8" w:rsidRPr="008B2F8A" w:rsidRDefault="00E47AB8" w:rsidP="00422306">
            <w:pPr>
              <w:pStyle w:val="TableText0"/>
              <w:keepNext w:val="0"/>
              <w:spacing w:before="40" w:after="80" w:line="276" w:lineRule="auto"/>
            </w:pPr>
            <w:r w:rsidRPr="008B2F8A">
              <w:t>All populations</w:t>
            </w:r>
          </w:p>
        </w:tc>
        <w:tc>
          <w:tcPr>
            <w:tcW w:w="1136" w:type="dxa"/>
            <w:noWrap/>
          </w:tcPr>
          <w:p w14:paraId="6326A191" w14:textId="77777777" w:rsidR="00E47AB8" w:rsidRPr="008B2F8A" w:rsidRDefault="00E47AB8" w:rsidP="00422306">
            <w:pPr>
              <w:pStyle w:val="TableText0"/>
              <w:keepNext w:val="0"/>
              <w:spacing w:before="40" w:after="80" w:line="276" w:lineRule="auto"/>
              <w:jc w:val="right"/>
            </w:pPr>
            <w:r w:rsidRPr="008B2F8A">
              <w:t xml:space="preserve"> $9,605,235 </w:t>
            </w:r>
          </w:p>
        </w:tc>
        <w:tc>
          <w:tcPr>
            <w:tcW w:w="1136" w:type="dxa"/>
            <w:noWrap/>
          </w:tcPr>
          <w:p w14:paraId="5C1117A8" w14:textId="77777777" w:rsidR="00E47AB8" w:rsidRPr="008B2F8A" w:rsidRDefault="00E47AB8" w:rsidP="00422306">
            <w:pPr>
              <w:pStyle w:val="TableText0"/>
              <w:keepNext w:val="0"/>
              <w:spacing w:before="40" w:after="80" w:line="276" w:lineRule="auto"/>
              <w:jc w:val="right"/>
            </w:pPr>
            <w:r w:rsidRPr="008B2F8A">
              <w:t xml:space="preserve"> $13,218,747 </w:t>
            </w:r>
          </w:p>
        </w:tc>
        <w:tc>
          <w:tcPr>
            <w:tcW w:w="1136" w:type="dxa"/>
            <w:noWrap/>
          </w:tcPr>
          <w:p w14:paraId="16C57C06" w14:textId="77777777" w:rsidR="00E47AB8" w:rsidRPr="008B2F8A" w:rsidRDefault="00E47AB8" w:rsidP="00422306">
            <w:pPr>
              <w:pStyle w:val="TableText0"/>
              <w:keepNext w:val="0"/>
              <w:spacing w:before="40" w:after="80" w:line="276" w:lineRule="auto"/>
              <w:jc w:val="right"/>
            </w:pPr>
            <w:r w:rsidRPr="008B2F8A">
              <w:t xml:space="preserve"> $16,937,628 </w:t>
            </w:r>
          </w:p>
        </w:tc>
        <w:tc>
          <w:tcPr>
            <w:tcW w:w="1136" w:type="dxa"/>
            <w:noWrap/>
          </w:tcPr>
          <w:p w14:paraId="3133AC8D" w14:textId="77777777" w:rsidR="00E47AB8" w:rsidRPr="008B2F8A" w:rsidRDefault="00E47AB8" w:rsidP="00422306">
            <w:pPr>
              <w:pStyle w:val="TableText0"/>
              <w:keepNext w:val="0"/>
              <w:spacing w:before="40" w:after="80" w:line="276" w:lineRule="auto"/>
              <w:jc w:val="right"/>
            </w:pPr>
            <w:r w:rsidRPr="008B2F8A">
              <w:t xml:space="preserve"> $20,761,133 </w:t>
            </w:r>
          </w:p>
        </w:tc>
        <w:tc>
          <w:tcPr>
            <w:tcW w:w="1146" w:type="dxa"/>
            <w:noWrap/>
          </w:tcPr>
          <w:p w14:paraId="266F63CF" w14:textId="77777777" w:rsidR="00E47AB8" w:rsidRPr="008B2F8A" w:rsidRDefault="00E47AB8" w:rsidP="00422306">
            <w:pPr>
              <w:pStyle w:val="TableText0"/>
              <w:keepNext w:val="0"/>
              <w:spacing w:before="40" w:after="80" w:line="276" w:lineRule="auto"/>
              <w:jc w:val="right"/>
            </w:pPr>
            <w:r w:rsidRPr="008B2F8A">
              <w:t xml:space="preserve"> $22,971,092 </w:t>
            </w:r>
          </w:p>
        </w:tc>
      </w:tr>
    </w:tbl>
    <w:p w14:paraId="3DF28ACD" w14:textId="6A4F66FF" w:rsidR="00E47AB8" w:rsidRPr="008B2F8A" w:rsidRDefault="00E47AB8" w:rsidP="004E7861">
      <w:pPr>
        <w:pStyle w:val="TableNotesLast"/>
      </w:pPr>
      <w:r w:rsidRPr="008B2F8A">
        <w:t>DCIS = ductal carcinoma in situ; FY = financial year; LCIS = lobular carcinoma in situ.</w:t>
      </w:r>
      <w:r>
        <w:t xml:space="preserve"> </w:t>
      </w:r>
      <w:r w:rsidRPr="008B2F8A">
        <w:t>Note: Rounding has been applied.</w:t>
      </w:r>
    </w:p>
    <w:p w14:paraId="1CC3BCEE" w14:textId="77777777" w:rsidR="00E47AB8" w:rsidRPr="008B2F8A" w:rsidRDefault="00E47AB8" w:rsidP="00E47AB8">
      <w:pPr>
        <w:pStyle w:val="Heading3"/>
        <w:numPr>
          <w:ilvl w:val="2"/>
          <w:numId w:val="42"/>
        </w:numPr>
      </w:pPr>
      <w:bookmarkStart w:id="1434" w:name="_Toc383424543"/>
      <w:bookmarkStart w:id="1435" w:name="_Ref377476357"/>
      <w:r w:rsidRPr="008B2F8A">
        <w:lastRenderedPageBreak/>
        <w:t>Alternative average benefit for service for the breast MRI MBS items</w:t>
      </w:r>
      <w:bookmarkEnd w:id="1434"/>
    </w:p>
    <w:p w14:paraId="1C33C3DD" w14:textId="6E24E61E" w:rsidR="00E47AB8" w:rsidRPr="008B2F8A" w:rsidRDefault="00E47AB8" w:rsidP="00422306">
      <w:r w:rsidRPr="008B2F8A">
        <w:t>The average benefit per service for the two interim MBS items for breast MRI has increased each year since 2009 owing to increasing use of bulk billing. The base-case financial impact analysis used the average benefit per service from 2009 to 2013. To explore the effect of varying this cost, a sensitivity analysis was performed using the average benefits per service from the financial year 2013. For MBS item 63464</w:t>
      </w:r>
      <w:r>
        <w:t>,</w:t>
      </w:r>
      <w:r w:rsidRPr="008B2F8A">
        <w:t xml:space="preserve"> the average benefit per service in 2013 was $669.18</w:t>
      </w:r>
      <w:r>
        <w:t>,</w:t>
      </w:r>
      <w:r w:rsidRPr="008B2F8A">
        <w:t xml:space="preserve"> and for MBS item 63467</w:t>
      </w:r>
      <w:r>
        <w:t>,</w:t>
      </w:r>
      <w:r w:rsidRPr="008B2F8A">
        <w:t xml:space="preserve"> </w:t>
      </w:r>
      <w:r>
        <w:t>it</w:t>
      </w:r>
      <w:r w:rsidRPr="008B2F8A">
        <w:t xml:space="preserve"> was $676.23. The results of the analysis are shown in </w:t>
      </w:r>
      <w:r w:rsidRPr="008B2F8A">
        <w:fldChar w:fldCharType="begin"/>
      </w:r>
      <w:r w:rsidRPr="008B2F8A">
        <w:instrText xml:space="preserve"> REF _Ref377476801 \h </w:instrText>
      </w:r>
      <w:r w:rsidRPr="008B2F8A">
        <w:fldChar w:fldCharType="separate"/>
      </w:r>
      <w:r w:rsidR="00B81273" w:rsidRPr="008B2F8A">
        <w:t xml:space="preserve">Table </w:t>
      </w:r>
      <w:r w:rsidR="00B81273">
        <w:rPr>
          <w:noProof/>
        </w:rPr>
        <w:t>E</w:t>
      </w:r>
      <w:r w:rsidR="00B81273" w:rsidRPr="008B2F8A">
        <w:t>.</w:t>
      </w:r>
      <w:r w:rsidR="00B81273">
        <w:rPr>
          <w:noProof/>
        </w:rPr>
        <w:t>42</w:t>
      </w:r>
      <w:r w:rsidRPr="008B2F8A">
        <w:fldChar w:fldCharType="end"/>
      </w:r>
      <w:r w:rsidRPr="008B2F8A">
        <w:t xml:space="preserve"> and </w:t>
      </w:r>
      <w:r w:rsidRPr="008B2F8A">
        <w:fldChar w:fldCharType="begin"/>
      </w:r>
      <w:r w:rsidRPr="008B2F8A">
        <w:instrText xml:space="preserve"> REF _Ref377476806 \h </w:instrText>
      </w:r>
      <w:r w:rsidRPr="008B2F8A">
        <w:fldChar w:fldCharType="separate"/>
      </w:r>
      <w:r w:rsidR="00B81273" w:rsidRPr="008B2F8A">
        <w:t xml:space="preserve">Table </w:t>
      </w:r>
      <w:r w:rsidR="00B81273">
        <w:rPr>
          <w:noProof/>
        </w:rPr>
        <w:t>E</w:t>
      </w:r>
      <w:r w:rsidR="00B81273" w:rsidRPr="008B2F8A">
        <w:t>.</w:t>
      </w:r>
      <w:r w:rsidR="00B81273">
        <w:rPr>
          <w:noProof/>
        </w:rPr>
        <w:t>43</w:t>
      </w:r>
      <w:r w:rsidRPr="008B2F8A">
        <w:fldChar w:fldCharType="end"/>
      </w:r>
      <w:r w:rsidRPr="008B2F8A">
        <w:t xml:space="preserve">. Using a higher cost for the breast MRI MBS items increased the total cost to the MBS and, consequently, to government. Overall, the increase in the cost to government was modest, </w:t>
      </w:r>
      <w:r>
        <w:t>being</w:t>
      </w:r>
      <w:r w:rsidRPr="008B2F8A">
        <w:t xml:space="preserve"> $0.4 million over the base-case estimates in 2019.</w:t>
      </w:r>
    </w:p>
    <w:p w14:paraId="08EDC11E" w14:textId="77777777" w:rsidR="00E47AB8" w:rsidRPr="008B2F8A" w:rsidRDefault="00E47AB8" w:rsidP="00422306">
      <w:pPr>
        <w:pStyle w:val="Caption"/>
      </w:pPr>
      <w:bookmarkStart w:id="1436" w:name="_Ref377476801"/>
      <w:bookmarkStart w:id="1437" w:name="_Toc383424673"/>
      <w:r w:rsidRPr="008B2F8A">
        <w:t xml:space="preserve">Table </w:t>
      </w:r>
      <w:fldSimple w:instr=" STYLEREF 1 \s ">
        <w:r w:rsidR="00B81273">
          <w:rPr>
            <w:noProof/>
          </w:rPr>
          <w:t>E</w:t>
        </w:r>
      </w:fldSimple>
      <w:r w:rsidRPr="008B2F8A">
        <w:t>.</w:t>
      </w:r>
      <w:fldSimple w:instr=" SEQ Table \* ARABIC \s 1 ">
        <w:r w:rsidR="00B81273">
          <w:rPr>
            <w:noProof/>
          </w:rPr>
          <w:t>42</w:t>
        </w:r>
      </w:fldSimple>
      <w:bookmarkEnd w:id="1436"/>
      <w:r w:rsidRPr="008B2F8A">
        <w:tab/>
        <w:t>Total cost to the MBS of the requested listing using alternative costs for breast MRI MBS items.</w:t>
      </w:r>
      <w:bookmarkEnd w:id="1437"/>
    </w:p>
    <w:tbl>
      <w:tblPr>
        <w:tblStyle w:val="TableGrid"/>
        <w:tblW w:w="9126" w:type="dxa"/>
        <w:tblLayout w:type="fixed"/>
        <w:tblCellMar>
          <w:left w:w="28" w:type="dxa"/>
          <w:right w:w="28" w:type="dxa"/>
        </w:tblCellMar>
        <w:tblLook w:val="04A0" w:firstRow="1" w:lastRow="0" w:firstColumn="1" w:lastColumn="0" w:noHBand="0" w:noVBand="1"/>
        <w:tblCaption w:val="Total cost to the MBS of the requested listing using alternative costs for breast MRI MBS items."/>
      </w:tblPr>
      <w:tblGrid>
        <w:gridCol w:w="3436"/>
        <w:gridCol w:w="1136"/>
        <w:gridCol w:w="1136"/>
        <w:gridCol w:w="1136"/>
        <w:gridCol w:w="1136"/>
        <w:gridCol w:w="1146"/>
      </w:tblGrid>
      <w:tr w:rsidR="00E47AB8" w:rsidRPr="008B2F8A" w14:paraId="53E9BA69" w14:textId="77777777" w:rsidTr="004E7861">
        <w:trPr>
          <w:tblHeader/>
        </w:trPr>
        <w:tc>
          <w:tcPr>
            <w:tcW w:w="3436" w:type="dxa"/>
            <w:noWrap/>
            <w:hideMark/>
          </w:tcPr>
          <w:p w14:paraId="2416487C" w14:textId="77777777" w:rsidR="00E47AB8" w:rsidRPr="008B2F8A" w:rsidRDefault="00E47AB8" w:rsidP="007F4E2E">
            <w:pPr>
              <w:pStyle w:val="Tableheaderrow"/>
              <w:keepNext/>
              <w:spacing w:before="40" w:after="80" w:line="276" w:lineRule="auto"/>
            </w:pPr>
            <w:r w:rsidRPr="008B2F8A">
              <w:t>Population</w:t>
            </w:r>
          </w:p>
        </w:tc>
        <w:tc>
          <w:tcPr>
            <w:tcW w:w="1136" w:type="dxa"/>
            <w:noWrap/>
            <w:hideMark/>
          </w:tcPr>
          <w:p w14:paraId="05E77373" w14:textId="77777777" w:rsidR="00E47AB8" w:rsidRPr="008B2F8A" w:rsidRDefault="00E47AB8" w:rsidP="007F4E2E">
            <w:pPr>
              <w:pStyle w:val="Tableheaderrow"/>
              <w:keepNext/>
              <w:spacing w:before="40" w:after="80" w:line="276" w:lineRule="auto"/>
              <w:jc w:val="center"/>
            </w:pPr>
            <w:r w:rsidRPr="008B2F8A">
              <w:t>FY 2015</w:t>
            </w:r>
          </w:p>
        </w:tc>
        <w:tc>
          <w:tcPr>
            <w:tcW w:w="1136" w:type="dxa"/>
            <w:noWrap/>
            <w:hideMark/>
          </w:tcPr>
          <w:p w14:paraId="1B44B14F" w14:textId="77777777" w:rsidR="00E47AB8" w:rsidRPr="008B2F8A" w:rsidRDefault="00E47AB8" w:rsidP="007F4E2E">
            <w:pPr>
              <w:pStyle w:val="Tableheaderrow"/>
              <w:keepNext/>
              <w:spacing w:before="40" w:after="80" w:line="276" w:lineRule="auto"/>
              <w:jc w:val="center"/>
            </w:pPr>
            <w:r w:rsidRPr="008B2F8A">
              <w:t>FY 2016</w:t>
            </w:r>
          </w:p>
        </w:tc>
        <w:tc>
          <w:tcPr>
            <w:tcW w:w="1136" w:type="dxa"/>
            <w:noWrap/>
            <w:hideMark/>
          </w:tcPr>
          <w:p w14:paraId="3552F5D2" w14:textId="77777777" w:rsidR="00E47AB8" w:rsidRPr="008B2F8A" w:rsidRDefault="00E47AB8" w:rsidP="007F4E2E">
            <w:pPr>
              <w:pStyle w:val="Tableheaderrow"/>
              <w:keepNext/>
              <w:spacing w:before="40" w:after="80" w:line="276" w:lineRule="auto"/>
              <w:jc w:val="center"/>
            </w:pPr>
            <w:r w:rsidRPr="008B2F8A">
              <w:t>FY 2017</w:t>
            </w:r>
          </w:p>
        </w:tc>
        <w:tc>
          <w:tcPr>
            <w:tcW w:w="1136" w:type="dxa"/>
            <w:noWrap/>
            <w:hideMark/>
          </w:tcPr>
          <w:p w14:paraId="4AAD5620" w14:textId="77777777" w:rsidR="00E47AB8" w:rsidRPr="008B2F8A" w:rsidRDefault="00E47AB8" w:rsidP="007F4E2E">
            <w:pPr>
              <w:pStyle w:val="Tableheaderrow"/>
              <w:keepNext/>
              <w:spacing w:before="40" w:after="80" w:line="276" w:lineRule="auto"/>
              <w:jc w:val="center"/>
            </w:pPr>
            <w:r w:rsidRPr="008B2F8A">
              <w:t>FY 2018</w:t>
            </w:r>
          </w:p>
        </w:tc>
        <w:tc>
          <w:tcPr>
            <w:tcW w:w="1146" w:type="dxa"/>
            <w:noWrap/>
            <w:hideMark/>
          </w:tcPr>
          <w:p w14:paraId="76CDE57C" w14:textId="77777777" w:rsidR="00E47AB8" w:rsidRPr="008B2F8A" w:rsidRDefault="00E47AB8" w:rsidP="007F4E2E">
            <w:pPr>
              <w:pStyle w:val="Tableheaderrow"/>
              <w:keepNext/>
              <w:spacing w:before="40" w:after="80" w:line="276" w:lineRule="auto"/>
              <w:jc w:val="center"/>
            </w:pPr>
            <w:r w:rsidRPr="008B2F8A">
              <w:t>FY 2019</w:t>
            </w:r>
          </w:p>
        </w:tc>
      </w:tr>
      <w:tr w:rsidR="00E47AB8" w:rsidRPr="008B2F8A" w14:paraId="67B336F5" w14:textId="77777777" w:rsidTr="004E7861">
        <w:tc>
          <w:tcPr>
            <w:tcW w:w="3436" w:type="dxa"/>
            <w:noWrap/>
            <w:vAlign w:val="bottom"/>
            <w:hideMark/>
          </w:tcPr>
          <w:p w14:paraId="48A12B6E" w14:textId="77777777" w:rsidR="00E47AB8" w:rsidRPr="008B2F8A" w:rsidRDefault="00E47AB8" w:rsidP="007F4E2E">
            <w:pPr>
              <w:pStyle w:val="TableText0"/>
              <w:spacing w:before="40" w:after="80" w:line="276" w:lineRule="auto"/>
            </w:pPr>
            <w:r w:rsidRPr="008B2F8A">
              <w:t>Gene mutation or family history</w:t>
            </w:r>
          </w:p>
        </w:tc>
        <w:tc>
          <w:tcPr>
            <w:tcW w:w="1136" w:type="dxa"/>
            <w:noWrap/>
            <w:hideMark/>
          </w:tcPr>
          <w:p w14:paraId="6A0BFA44" w14:textId="77777777" w:rsidR="00E47AB8" w:rsidRPr="008B2F8A" w:rsidRDefault="00E47AB8" w:rsidP="007F4E2E">
            <w:pPr>
              <w:pStyle w:val="TableText0"/>
              <w:spacing w:before="40" w:after="80" w:line="276" w:lineRule="auto"/>
              <w:jc w:val="right"/>
            </w:pPr>
            <w:r w:rsidRPr="008B2F8A">
              <w:t xml:space="preserve"> $3,219,140 </w:t>
            </w:r>
          </w:p>
        </w:tc>
        <w:tc>
          <w:tcPr>
            <w:tcW w:w="1136" w:type="dxa"/>
            <w:noWrap/>
            <w:hideMark/>
          </w:tcPr>
          <w:p w14:paraId="688D04B4" w14:textId="77777777" w:rsidR="00E47AB8" w:rsidRPr="008B2F8A" w:rsidRDefault="00E47AB8" w:rsidP="007F4E2E">
            <w:pPr>
              <w:pStyle w:val="TableText0"/>
              <w:spacing w:before="40" w:after="80" w:line="276" w:lineRule="auto"/>
              <w:jc w:val="right"/>
            </w:pPr>
            <w:r w:rsidRPr="008B2F8A">
              <w:t xml:space="preserve"> $3,634,152 </w:t>
            </w:r>
          </w:p>
        </w:tc>
        <w:tc>
          <w:tcPr>
            <w:tcW w:w="1136" w:type="dxa"/>
            <w:noWrap/>
            <w:hideMark/>
          </w:tcPr>
          <w:p w14:paraId="04FA4CDA" w14:textId="77777777" w:rsidR="00E47AB8" w:rsidRPr="008B2F8A" w:rsidRDefault="00E47AB8" w:rsidP="007F4E2E">
            <w:pPr>
              <w:pStyle w:val="TableText0"/>
              <w:spacing w:before="40" w:after="80" w:line="276" w:lineRule="auto"/>
              <w:jc w:val="right"/>
            </w:pPr>
            <w:r w:rsidRPr="008B2F8A">
              <w:t xml:space="preserve"> $4,049,163 </w:t>
            </w:r>
          </w:p>
        </w:tc>
        <w:tc>
          <w:tcPr>
            <w:tcW w:w="1136" w:type="dxa"/>
            <w:noWrap/>
            <w:hideMark/>
          </w:tcPr>
          <w:p w14:paraId="11630A69" w14:textId="77777777" w:rsidR="00E47AB8" w:rsidRPr="008B2F8A" w:rsidRDefault="00E47AB8" w:rsidP="007F4E2E">
            <w:pPr>
              <w:pStyle w:val="TableText0"/>
              <w:spacing w:before="40" w:after="80" w:line="276" w:lineRule="auto"/>
              <w:jc w:val="right"/>
            </w:pPr>
            <w:r w:rsidRPr="008B2F8A">
              <w:t xml:space="preserve"> $4,464,174 </w:t>
            </w:r>
          </w:p>
        </w:tc>
        <w:tc>
          <w:tcPr>
            <w:tcW w:w="1146" w:type="dxa"/>
            <w:noWrap/>
            <w:hideMark/>
          </w:tcPr>
          <w:p w14:paraId="1F930F00" w14:textId="77777777" w:rsidR="00E47AB8" w:rsidRPr="008B2F8A" w:rsidRDefault="00E47AB8" w:rsidP="007F4E2E">
            <w:pPr>
              <w:pStyle w:val="TableText0"/>
              <w:spacing w:before="40" w:after="80" w:line="276" w:lineRule="auto"/>
              <w:jc w:val="right"/>
            </w:pPr>
            <w:r w:rsidRPr="008B2F8A">
              <w:t xml:space="preserve"> $4,879,185 </w:t>
            </w:r>
          </w:p>
        </w:tc>
      </w:tr>
      <w:tr w:rsidR="00E47AB8" w:rsidRPr="008B2F8A" w14:paraId="6CFA967E" w14:textId="77777777" w:rsidTr="004E7861">
        <w:tc>
          <w:tcPr>
            <w:tcW w:w="3436" w:type="dxa"/>
            <w:noWrap/>
            <w:vAlign w:val="bottom"/>
          </w:tcPr>
          <w:p w14:paraId="61504B8A" w14:textId="77777777" w:rsidR="00E47AB8" w:rsidRPr="008B2F8A" w:rsidRDefault="00E47AB8" w:rsidP="007F4E2E">
            <w:pPr>
              <w:pStyle w:val="TableText0"/>
              <w:spacing w:before="40" w:after="80" w:line="276" w:lineRule="auto"/>
            </w:pPr>
            <w:r w:rsidRPr="008B2F8A">
              <w:t>Prior history of invasive breast cancer</w:t>
            </w:r>
          </w:p>
        </w:tc>
        <w:tc>
          <w:tcPr>
            <w:tcW w:w="1136" w:type="dxa"/>
            <w:noWrap/>
          </w:tcPr>
          <w:p w14:paraId="606ED49B" w14:textId="77777777" w:rsidR="00E47AB8" w:rsidRPr="008B2F8A" w:rsidRDefault="00E47AB8" w:rsidP="007F4E2E">
            <w:pPr>
              <w:pStyle w:val="TableText0"/>
              <w:spacing w:before="40" w:after="80" w:line="276" w:lineRule="auto"/>
              <w:jc w:val="right"/>
            </w:pPr>
            <w:r w:rsidRPr="008B2F8A">
              <w:t xml:space="preserve"> $4,762,492 </w:t>
            </w:r>
          </w:p>
        </w:tc>
        <w:tc>
          <w:tcPr>
            <w:tcW w:w="1136" w:type="dxa"/>
            <w:noWrap/>
          </w:tcPr>
          <w:p w14:paraId="16DF3898" w14:textId="77777777" w:rsidR="00E47AB8" w:rsidRPr="008B2F8A" w:rsidRDefault="00E47AB8" w:rsidP="007F4E2E">
            <w:pPr>
              <w:pStyle w:val="TableText0"/>
              <w:spacing w:before="40" w:after="80" w:line="276" w:lineRule="auto"/>
              <w:jc w:val="right"/>
            </w:pPr>
            <w:r w:rsidRPr="008B2F8A">
              <w:t xml:space="preserve"> $7,268,675 </w:t>
            </w:r>
          </w:p>
        </w:tc>
        <w:tc>
          <w:tcPr>
            <w:tcW w:w="1136" w:type="dxa"/>
            <w:noWrap/>
          </w:tcPr>
          <w:p w14:paraId="0C8AE37B" w14:textId="77777777" w:rsidR="00E47AB8" w:rsidRPr="008B2F8A" w:rsidRDefault="00E47AB8" w:rsidP="007F4E2E">
            <w:pPr>
              <w:pStyle w:val="TableText0"/>
              <w:spacing w:before="40" w:after="80" w:line="276" w:lineRule="auto"/>
              <w:jc w:val="right"/>
            </w:pPr>
            <w:r w:rsidRPr="008B2F8A">
              <w:t xml:space="preserve"> $9,859,059 </w:t>
            </w:r>
          </w:p>
        </w:tc>
        <w:tc>
          <w:tcPr>
            <w:tcW w:w="1136" w:type="dxa"/>
            <w:noWrap/>
          </w:tcPr>
          <w:p w14:paraId="4745AB5E" w14:textId="77777777" w:rsidR="00E47AB8" w:rsidRPr="008B2F8A" w:rsidRDefault="00E47AB8" w:rsidP="007F4E2E">
            <w:pPr>
              <w:pStyle w:val="TableText0"/>
              <w:spacing w:before="40" w:after="80" w:line="276" w:lineRule="auto"/>
              <w:jc w:val="right"/>
            </w:pPr>
            <w:r w:rsidRPr="008B2F8A">
              <w:t xml:space="preserve"> $12,532,671 </w:t>
            </w:r>
          </w:p>
        </w:tc>
        <w:tc>
          <w:tcPr>
            <w:tcW w:w="1146" w:type="dxa"/>
            <w:noWrap/>
          </w:tcPr>
          <w:p w14:paraId="56CC0C24" w14:textId="77777777" w:rsidR="00E47AB8" w:rsidRPr="008B2F8A" w:rsidRDefault="00E47AB8" w:rsidP="007F4E2E">
            <w:pPr>
              <w:pStyle w:val="TableText0"/>
              <w:spacing w:before="40" w:after="80" w:line="276" w:lineRule="auto"/>
              <w:jc w:val="right"/>
            </w:pPr>
            <w:r w:rsidRPr="008B2F8A">
              <w:t xml:space="preserve"> $13,912,960 </w:t>
            </w:r>
          </w:p>
        </w:tc>
      </w:tr>
      <w:tr w:rsidR="00E47AB8" w:rsidRPr="008B2F8A" w14:paraId="3496D021" w14:textId="77777777" w:rsidTr="004E7861">
        <w:tc>
          <w:tcPr>
            <w:tcW w:w="3436" w:type="dxa"/>
            <w:noWrap/>
            <w:vAlign w:val="bottom"/>
          </w:tcPr>
          <w:p w14:paraId="646C62AC" w14:textId="189D0131" w:rsidR="00E47AB8" w:rsidRPr="008B2F8A" w:rsidRDefault="00E47AB8" w:rsidP="007F4E2E">
            <w:pPr>
              <w:pStyle w:val="TableText0"/>
              <w:spacing w:before="40" w:after="80" w:line="276" w:lineRule="auto"/>
            </w:pPr>
            <w:r w:rsidRPr="008B2F8A">
              <w:t xml:space="preserve">Prior history of DCIS </w:t>
            </w:r>
            <w:r>
              <w:t>or</w:t>
            </w:r>
            <w:r w:rsidRPr="008B2F8A">
              <w:t xml:space="preserve"> LCIS</w:t>
            </w:r>
          </w:p>
        </w:tc>
        <w:tc>
          <w:tcPr>
            <w:tcW w:w="1136" w:type="dxa"/>
            <w:noWrap/>
          </w:tcPr>
          <w:p w14:paraId="2D1246EA" w14:textId="77777777" w:rsidR="00E47AB8" w:rsidRPr="008B2F8A" w:rsidRDefault="00E47AB8" w:rsidP="007F4E2E">
            <w:pPr>
              <w:pStyle w:val="TableText0"/>
              <w:spacing w:before="40" w:after="80" w:line="276" w:lineRule="auto"/>
              <w:jc w:val="right"/>
            </w:pPr>
            <w:r w:rsidRPr="008B2F8A">
              <w:t xml:space="preserve"> $563,513 </w:t>
            </w:r>
          </w:p>
        </w:tc>
        <w:tc>
          <w:tcPr>
            <w:tcW w:w="1136" w:type="dxa"/>
            <w:noWrap/>
          </w:tcPr>
          <w:p w14:paraId="31373E19" w14:textId="77777777" w:rsidR="00E47AB8" w:rsidRPr="008B2F8A" w:rsidRDefault="00E47AB8" w:rsidP="007F4E2E">
            <w:pPr>
              <w:pStyle w:val="TableText0"/>
              <w:spacing w:before="40" w:after="80" w:line="276" w:lineRule="auto"/>
              <w:jc w:val="right"/>
            </w:pPr>
            <w:r w:rsidRPr="008B2F8A">
              <w:t xml:space="preserve"> $859,639 </w:t>
            </w:r>
          </w:p>
        </w:tc>
        <w:tc>
          <w:tcPr>
            <w:tcW w:w="1136" w:type="dxa"/>
            <w:noWrap/>
          </w:tcPr>
          <w:p w14:paraId="2F561CAD" w14:textId="77777777" w:rsidR="00E47AB8" w:rsidRPr="008B2F8A" w:rsidRDefault="00E47AB8" w:rsidP="007F4E2E">
            <w:pPr>
              <w:pStyle w:val="TableText0"/>
              <w:spacing w:before="40" w:after="80" w:line="276" w:lineRule="auto"/>
              <w:jc w:val="right"/>
            </w:pPr>
            <w:r w:rsidRPr="008B2F8A">
              <w:t xml:space="preserve"> $1,165,671 </w:t>
            </w:r>
          </w:p>
        </w:tc>
        <w:tc>
          <w:tcPr>
            <w:tcW w:w="1136" w:type="dxa"/>
            <w:noWrap/>
          </w:tcPr>
          <w:p w14:paraId="1596D94A" w14:textId="77777777" w:rsidR="00E47AB8" w:rsidRPr="008B2F8A" w:rsidRDefault="00E47AB8" w:rsidP="007F4E2E">
            <w:pPr>
              <w:pStyle w:val="TableText0"/>
              <w:spacing w:before="40" w:after="80" w:line="276" w:lineRule="auto"/>
              <w:jc w:val="right"/>
            </w:pPr>
            <w:r w:rsidRPr="008B2F8A">
              <w:t xml:space="preserve"> $1,481,859 </w:t>
            </w:r>
          </w:p>
        </w:tc>
        <w:tc>
          <w:tcPr>
            <w:tcW w:w="1146" w:type="dxa"/>
            <w:noWrap/>
          </w:tcPr>
          <w:p w14:paraId="571AA773" w14:textId="77777777" w:rsidR="00E47AB8" w:rsidRPr="008B2F8A" w:rsidRDefault="00E47AB8" w:rsidP="007F4E2E">
            <w:pPr>
              <w:pStyle w:val="TableText0"/>
              <w:spacing w:before="40" w:after="80" w:line="276" w:lineRule="auto"/>
              <w:jc w:val="right"/>
            </w:pPr>
            <w:r w:rsidRPr="008B2F8A">
              <w:t xml:space="preserve"> $1,645,700 </w:t>
            </w:r>
          </w:p>
        </w:tc>
      </w:tr>
      <w:tr w:rsidR="00E47AB8" w:rsidRPr="008B2F8A" w14:paraId="5AF8633B" w14:textId="77777777" w:rsidTr="004E7861">
        <w:tc>
          <w:tcPr>
            <w:tcW w:w="3436" w:type="dxa"/>
            <w:noWrap/>
            <w:vAlign w:val="bottom"/>
          </w:tcPr>
          <w:p w14:paraId="18BB444D" w14:textId="5A4364AE" w:rsidR="00E47AB8" w:rsidRPr="008B2F8A" w:rsidRDefault="00E47AB8" w:rsidP="007F4E2E">
            <w:pPr>
              <w:pStyle w:val="TableText0"/>
              <w:spacing w:before="40" w:after="80" w:line="276" w:lineRule="auto"/>
            </w:pPr>
            <w:r w:rsidRPr="008B2F8A">
              <w:t>Prior history of therapeutic radiation to chest</w:t>
            </w:r>
          </w:p>
        </w:tc>
        <w:tc>
          <w:tcPr>
            <w:tcW w:w="1136" w:type="dxa"/>
            <w:noWrap/>
          </w:tcPr>
          <w:p w14:paraId="63380E4B" w14:textId="77777777" w:rsidR="00E47AB8" w:rsidRPr="008B2F8A" w:rsidRDefault="00E47AB8" w:rsidP="007F4E2E">
            <w:pPr>
              <w:pStyle w:val="TableText0"/>
              <w:spacing w:before="40" w:after="80" w:line="276" w:lineRule="auto"/>
              <w:jc w:val="right"/>
            </w:pPr>
            <w:r w:rsidRPr="008B2F8A">
              <w:t xml:space="preserve"> $53,596 </w:t>
            </w:r>
          </w:p>
        </w:tc>
        <w:tc>
          <w:tcPr>
            <w:tcW w:w="1136" w:type="dxa"/>
            <w:noWrap/>
          </w:tcPr>
          <w:p w14:paraId="788948A8" w14:textId="77777777" w:rsidR="00E47AB8" w:rsidRPr="008B2F8A" w:rsidRDefault="00E47AB8" w:rsidP="007F4E2E">
            <w:pPr>
              <w:pStyle w:val="TableText0"/>
              <w:spacing w:before="40" w:after="80" w:line="276" w:lineRule="auto"/>
              <w:jc w:val="right"/>
            </w:pPr>
            <w:r w:rsidRPr="008B2F8A">
              <w:t xml:space="preserve"> $109,013 </w:t>
            </w:r>
          </w:p>
        </w:tc>
        <w:tc>
          <w:tcPr>
            <w:tcW w:w="1136" w:type="dxa"/>
            <w:noWrap/>
          </w:tcPr>
          <w:p w14:paraId="45B54712" w14:textId="77777777" w:rsidR="00E47AB8" w:rsidRPr="008B2F8A" w:rsidRDefault="00E47AB8" w:rsidP="007F4E2E">
            <w:pPr>
              <w:pStyle w:val="TableText0"/>
              <w:spacing w:before="40" w:after="80" w:line="276" w:lineRule="auto"/>
              <w:jc w:val="right"/>
            </w:pPr>
            <w:r w:rsidRPr="008B2F8A">
              <w:t xml:space="preserve"> $166,298 </w:t>
            </w:r>
          </w:p>
        </w:tc>
        <w:tc>
          <w:tcPr>
            <w:tcW w:w="1136" w:type="dxa"/>
            <w:noWrap/>
          </w:tcPr>
          <w:p w14:paraId="5674690F" w14:textId="77777777" w:rsidR="00E47AB8" w:rsidRPr="008B2F8A" w:rsidRDefault="00E47AB8" w:rsidP="007F4E2E">
            <w:pPr>
              <w:pStyle w:val="TableText0"/>
              <w:spacing w:before="40" w:after="80" w:line="276" w:lineRule="auto"/>
              <w:jc w:val="right"/>
            </w:pPr>
            <w:r w:rsidRPr="008B2F8A">
              <w:t xml:space="preserve"> $225,499 </w:t>
            </w:r>
          </w:p>
        </w:tc>
        <w:tc>
          <w:tcPr>
            <w:tcW w:w="1146" w:type="dxa"/>
            <w:noWrap/>
          </w:tcPr>
          <w:p w14:paraId="4AEF5764" w14:textId="77777777" w:rsidR="00E47AB8" w:rsidRPr="008B2F8A" w:rsidRDefault="00E47AB8" w:rsidP="007F4E2E">
            <w:pPr>
              <w:pStyle w:val="TableText0"/>
              <w:spacing w:before="40" w:after="80" w:line="276" w:lineRule="auto"/>
              <w:jc w:val="right"/>
            </w:pPr>
            <w:r w:rsidRPr="008B2F8A">
              <w:t xml:space="preserve"> $261,275 </w:t>
            </w:r>
          </w:p>
        </w:tc>
      </w:tr>
      <w:tr w:rsidR="00E47AB8" w:rsidRPr="008B2F8A" w14:paraId="6A5A173C" w14:textId="77777777" w:rsidTr="004E7861">
        <w:tc>
          <w:tcPr>
            <w:tcW w:w="3436" w:type="dxa"/>
            <w:noWrap/>
            <w:vAlign w:val="bottom"/>
          </w:tcPr>
          <w:p w14:paraId="0603A85A" w14:textId="77777777" w:rsidR="00E47AB8" w:rsidRPr="008B2F8A" w:rsidRDefault="00E47AB8" w:rsidP="00422306">
            <w:pPr>
              <w:pStyle w:val="TableText0"/>
              <w:keepNext w:val="0"/>
              <w:spacing w:before="40" w:after="80" w:line="276" w:lineRule="auto"/>
            </w:pPr>
            <w:r w:rsidRPr="008B2F8A">
              <w:t>All populations</w:t>
            </w:r>
          </w:p>
        </w:tc>
        <w:tc>
          <w:tcPr>
            <w:tcW w:w="1136" w:type="dxa"/>
            <w:noWrap/>
          </w:tcPr>
          <w:p w14:paraId="555E36F9" w14:textId="77777777" w:rsidR="00E47AB8" w:rsidRPr="008B2F8A" w:rsidRDefault="00E47AB8" w:rsidP="00422306">
            <w:pPr>
              <w:pStyle w:val="TableText0"/>
              <w:keepNext w:val="0"/>
              <w:spacing w:before="40" w:after="80" w:line="276" w:lineRule="auto"/>
              <w:jc w:val="right"/>
            </w:pPr>
            <w:r w:rsidRPr="008B2F8A">
              <w:t xml:space="preserve"> $8,598,741 </w:t>
            </w:r>
          </w:p>
        </w:tc>
        <w:tc>
          <w:tcPr>
            <w:tcW w:w="1136" w:type="dxa"/>
            <w:noWrap/>
          </w:tcPr>
          <w:p w14:paraId="1A6FC3BA" w14:textId="77777777" w:rsidR="00E47AB8" w:rsidRPr="008B2F8A" w:rsidRDefault="00E47AB8" w:rsidP="00422306">
            <w:pPr>
              <w:pStyle w:val="TableText0"/>
              <w:keepNext w:val="0"/>
              <w:spacing w:before="40" w:after="80" w:line="276" w:lineRule="auto"/>
              <w:jc w:val="right"/>
            </w:pPr>
            <w:r w:rsidRPr="008B2F8A">
              <w:t xml:space="preserve"> $11,871,478 </w:t>
            </w:r>
          </w:p>
        </w:tc>
        <w:tc>
          <w:tcPr>
            <w:tcW w:w="1136" w:type="dxa"/>
            <w:noWrap/>
          </w:tcPr>
          <w:p w14:paraId="4CB4852B" w14:textId="77777777" w:rsidR="00E47AB8" w:rsidRPr="008B2F8A" w:rsidRDefault="00E47AB8" w:rsidP="00422306">
            <w:pPr>
              <w:pStyle w:val="TableText0"/>
              <w:keepNext w:val="0"/>
              <w:spacing w:before="40" w:after="80" w:line="276" w:lineRule="auto"/>
              <w:jc w:val="right"/>
            </w:pPr>
            <w:r w:rsidRPr="008B2F8A">
              <w:t xml:space="preserve"> $15,240,190 </w:t>
            </w:r>
          </w:p>
        </w:tc>
        <w:tc>
          <w:tcPr>
            <w:tcW w:w="1136" w:type="dxa"/>
            <w:noWrap/>
          </w:tcPr>
          <w:p w14:paraId="4465B137" w14:textId="77777777" w:rsidR="00E47AB8" w:rsidRPr="008B2F8A" w:rsidRDefault="00E47AB8" w:rsidP="00422306">
            <w:pPr>
              <w:pStyle w:val="TableText0"/>
              <w:keepNext w:val="0"/>
              <w:spacing w:before="40" w:after="80" w:line="276" w:lineRule="auto"/>
              <w:jc w:val="right"/>
            </w:pPr>
            <w:r w:rsidRPr="008B2F8A">
              <w:t xml:space="preserve"> $18,704,204 </w:t>
            </w:r>
          </w:p>
        </w:tc>
        <w:tc>
          <w:tcPr>
            <w:tcW w:w="1146" w:type="dxa"/>
            <w:noWrap/>
          </w:tcPr>
          <w:p w14:paraId="0C4C68B8" w14:textId="77777777" w:rsidR="00E47AB8" w:rsidRPr="008B2F8A" w:rsidRDefault="00E47AB8" w:rsidP="00422306">
            <w:pPr>
              <w:pStyle w:val="TableText0"/>
              <w:keepNext w:val="0"/>
              <w:spacing w:before="40" w:after="80" w:line="276" w:lineRule="auto"/>
              <w:jc w:val="right"/>
            </w:pPr>
            <w:r w:rsidRPr="008B2F8A">
              <w:t xml:space="preserve"> $20,699,120 </w:t>
            </w:r>
          </w:p>
        </w:tc>
      </w:tr>
    </w:tbl>
    <w:p w14:paraId="5F058E3E" w14:textId="06889FF4" w:rsidR="00E47AB8" w:rsidRPr="008B2F8A" w:rsidRDefault="00E47AB8" w:rsidP="004E7861">
      <w:pPr>
        <w:pStyle w:val="TableNotesLast"/>
      </w:pPr>
      <w:r w:rsidRPr="008B2F8A">
        <w:t>DCIS = ductal carcinoma in situ; FY = financial year; LCIS = lobular carcinoma in situ.</w:t>
      </w:r>
      <w:r>
        <w:t xml:space="preserve"> </w:t>
      </w:r>
      <w:r w:rsidRPr="008B2F8A">
        <w:t>Note: Rounding has been applied.</w:t>
      </w:r>
    </w:p>
    <w:p w14:paraId="732EDB54" w14:textId="77777777" w:rsidR="00E47AB8" w:rsidRPr="008B2F8A" w:rsidRDefault="00E47AB8" w:rsidP="00422306">
      <w:pPr>
        <w:pStyle w:val="Caption"/>
        <w:ind w:left="1440" w:hanging="1440"/>
      </w:pPr>
      <w:bookmarkStart w:id="1438" w:name="_Ref377476806"/>
      <w:bookmarkStart w:id="1439" w:name="_Toc383424674"/>
      <w:r w:rsidRPr="008B2F8A">
        <w:t xml:space="preserve">Table </w:t>
      </w:r>
      <w:fldSimple w:instr=" STYLEREF 1 \s ">
        <w:r w:rsidR="00B81273">
          <w:rPr>
            <w:noProof/>
          </w:rPr>
          <w:t>E</w:t>
        </w:r>
      </w:fldSimple>
      <w:r w:rsidRPr="008B2F8A">
        <w:t>.</w:t>
      </w:r>
      <w:fldSimple w:instr=" SEQ Table \* ARABIC \s 1 ">
        <w:r w:rsidR="00B81273">
          <w:rPr>
            <w:noProof/>
          </w:rPr>
          <w:t>43</w:t>
        </w:r>
      </w:fldSimple>
      <w:bookmarkEnd w:id="1438"/>
      <w:r w:rsidRPr="008B2F8A">
        <w:tab/>
        <w:t>Total cost to government health budgets using alternative costs for breast MRI MBS items.</w:t>
      </w:r>
      <w:bookmarkEnd w:id="1439"/>
    </w:p>
    <w:tbl>
      <w:tblPr>
        <w:tblStyle w:val="TableGrid"/>
        <w:tblW w:w="9126" w:type="dxa"/>
        <w:tblLayout w:type="fixed"/>
        <w:tblCellMar>
          <w:left w:w="28" w:type="dxa"/>
          <w:right w:w="28" w:type="dxa"/>
        </w:tblCellMar>
        <w:tblLook w:val="04A0" w:firstRow="1" w:lastRow="0" w:firstColumn="1" w:lastColumn="0" w:noHBand="0" w:noVBand="1"/>
        <w:tblCaption w:val="Total cost to government health budgets using alternative costs for breast MRI MBS items."/>
      </w:tblPr>
      <w:tblGrid>
        <w:gridCol w:w="3436"/>
        <w:gridCol w:w="1136"/>
        <w:gridCol w:w="1136"/>
        <w:gridCol w:w="1136"/>
        <w:gridCol w:w="1136"/>
        <w:gridCol w:w="1146"/>
      </w:tblGrid>
      <w:tr w:rsidR="00E47AB8" w:rsidRPr="008B2F8A" w14:paraId="5F85E603" w14:textId="77777777" w:rsidTr="00422306">
        <w:trPr>
          <w:tblHeader/>
        </w:trPr>
        <w:tc>
          <w:tcPr>
            <w:tcW w:w="3436" w:type="dxa"/>
            <w:noWrap/>
            <w:hideMark/>
          </w:tcPr>
          <w:p w14:paraId="67A11A8D" w14:textId="77777777" w:rsidR="00E47AB8" w:rsidRPr="008B2F8A" w:rsidRDefault="00E47AB8" w:rsidP="00422306">
            <w:pPr>
              <w:pStyle w:val="Tableheaderrow"/>
              <w:spacing w:before="40" w:after="80" w:line="276" w:lineRule="auto"/>
            </w:pPr>
            <w:r w:rsidRPr="008B2F8A">
              <w:t>Population</w:t>
            </w:r>
          </w:p>
        </w:tc>
        <w:tc>
          <w:tcPr>
            <w:tcW w:w="1136" w:type="dxa"/>
            <w:noWrap/>
            <w:hideMark/>
          </w:tcPr>
          <w:p w14:paraId="2A8488F0" w14:textId="77777777" w:rsidR="00E47AB8" w:rsidRPr="008B2F8A" w:rsidRDefault="00E47AB8" w:rsidP="00422306">
            <w:pPr>
              <w:pStyle w:val="Tableheaderrow"/>
              <w:spacing w:before="40" w:after="80" w:line="276" w:lineRule="auto"/>
              <w:jc w:val="center"/>
            </w:pPr>
            <w:r w:rsidRPr="008B2F8A">
              <w:t>FY 2015</w:t>
            </w:r>
          </w:p>
        </w:tc>
        <w:tc>
          <w:tcPr>
            <w:tcW w:w="1136" w:type="dxa"/>
            <w:noWrap/>
            <w:hideMark/>
          </w:tcPr>
          <w:p w14:paraId="39862060" w14:textId="77777777" w:rsidR="00E47AB8" w:rsidRPr="008B2F8A" w:rsidRDefault="00E47AB8" w:rsidP="00422306">
            <w:pPr>
              <w:pStyle w:val="Tableheaderrow"/>
              <w:spacing w:before="40" w:after="80" w:line="276" w:lineRule="auto"/>
              <w:jc w:val="center"/>
            </w:pPr>
            <w:r w:rsidRPr="008B2F8A">
              <w:t>FY 2016</w:t>
            </w:r>
          </w:p>
        </w:tc>
        <w:tc>
          <w:tcPr>
            <w:tcW w:w="1136" w:type="dxa"/>
            <w:noWrap/>
            <w:hideMark/>
          </w:tcPr>
          <w:p w14:paraId="6994DDC3" w14:textId="77777777" w:rsidR="00E47AB8" w:rsidRPr="008B2F8A" w:rsidRDefault="00E47AB8" w:rsidP="00422306">
            <w:pPr>
              <w:pStyle w:val="Tableheaderrow"/>
              <w:spacing w:before="40" w:after="80" w:line="276" w:lineRule="auto"/>
              <w:jc w:val="center"/>
            </w:pPr>
            <w:r w:rsidRPr="008B2F8A">
              <w:t>FY 2017</w:t>
            </w:r>
          </w:p>
        </w:tc>
        <w:tc>
          <w:tcPr>
            <w:tcW w:w="1136" w:type="dxa"/>
            <w:noWrap/>
            <w:hideMark/>
          </w:tcPr>
          <w:p w14:paraId="0F0C6858" w14:textId="77777777" w:rsidR="00E47AB8" w:rsidRPr="008B2F8A" w:rsidRDefault="00E47AB8" w:rsidP="00422306">
            <w:pPr>
              <w:pStyle w:val="Tableheaderrow"/>
              <w:spacing w:before="40" w:after="80" w:line="276" w:lineRule="auto"/>
              <w:jc w:val="center"/>
            </w:pPr>
            <w:r w:rsidRPr="008B2F8A">
              <w:t>FY 2018</w:t>
            </w:r>
          </w:p>
        </w:tc>
        <w:tc>
          <w:tcPr>
            <w:tcW w:w="1146" w:type="dxa"/>
            <w:noWrap/>
            <w:hideMark/>
          </w:tcPr>
          <w:p w14:paraId="6A0BBE06" w14:textId="77777777" w:rsidR="00E47AB8" w:rsidRPr="008B2F8A" w:rsidRDefault="00E47AB8" w:rsidP="00422306">
            <w:pPr>
              <w:pStyle w:val="Tableheaderrow"/>
              <w:spacing w:before="40" w:after="80" w:line="276" w:lineRule="auto"/>
              <w:jc w:val="center"/>
            </w:pPr>
            <w:r w:rsidRPr="008B2F8A">
              <w:t>FY 2019</w:t>
            </w:r>
          </w:p>
        </w:tc>
      </w:tr>
      <w:tr w:rsidR="00E47AB8" w:rsidRPr="008B2F8A" w14:paraId="7AAA64FA" w14:textId="77777777" w:rsidTr="00422306">
        <w:tc>
          <w:tcPr>
            <w:tcW w:w="3436" w:type="dxa"/>
            <w:noWrap/>
            <w:vAlign w:val="bottom"/>
            <w:hideMark/>
          </w:tcPr>
          <w:p w14:paraId="2ED5E844" w14:textId="77777777" w:rsidR="00E47AB8" w:rsidRPr="008B2F8A" w:rsidRDefault="00E47AB8" w:rsidP="00422306">
            <w:pPr>
              <w:pStyle w:val="TableText0"/>
              <w:keepNext w:val="0"/>
              <w:spacing w:before="40" w:after="80" w:line="276" w:lineRule="auto"/>
            </w:pPr>
            <w:r w:rsidRPr="008B2F8A">
              <w:t>Gene mutation or family history</w:t>
            </w:r>
          </w:p>
        </w:tc>
        <w:tc>
          <w:tcPr>
            <w:tcW w:w="1136" w:type="dxa"/>
            <w:noWrap/>
            <w:hideMark/>
          </w:tcPr>
          <w:p w14:paraId="5F3C571C" w14:textId="77777777" w:rsidR="00E47AB8" w:rsidRPr="008B2F8A" w:rsidRDefault="00E47AB8" w:rsidP="00422306">
            <w:pPr>
              <w:pStyle w:val="TableText0"/>
              <w:keepNext w:val="0"/>
              <w:spacing w:before="40" w:after="80" w:line="276" w:lineRule="auto"/>
              <w:jc w:val="right"/>
            </w:pPr>
            <w:r w:rsidRPr="008B2F8A">
              <w:t xml:space="preserve"> $3,759,980 </w:t>
            </w:r>
          </w:p>
        </w:tc>
        <w:tc>
          <w:tcPr>
            <w:tcW w:w="1136" w:type="dxa"/>
            <w:noWrap/>
            <w:hideMark/>
          </w:tcPr>
          <w:p w14:paraId="28E6C848" w14:textId="77777777" w:rsidR="00E47AB8" w:rsidRPr="008B2F8A" w:rsidRDefault="00E47AB8" w:rsidP="00422306">
            <w:pPr>
              <w:pStyle w:val="TableText0"/>
              <w:keepNext w:val="0"/>
              <w:spacing w:before="40" w:after="80" w:line="276" w:lineRule="auto"/>
              <w:jc w:val="right"/>
            </w:pPr>
            <w:r w:rsidRPr="008B2F8A">
              <w:t xml:space="preserve"> $4,244,716 </w:t>
            </w:r>
          </w:p>
        </w:tc>
        <w:tc>
          <w:tcPr>
            <w:tcW w:w="1136" w:type="dxa"/>
            <w:noWrap/>
            <w:hideMark/>
          </w:tcPr>
          <w:p w14:paraId="389E3657" w14:textId="77777777" w:rsidR="00E47AB8" w:rsidRPr="008B2F8A" w:rsidRDefault="00E47AB8" w:rsidP="00422306">
            <w:pPr>
              <w:pStyle w:val="TableText0"/>
              <w:keepNext w:val="0"/>
              <w:spacing w:before="40" w:after="80" w:line="276" w:lineRule="auto"/>
              <w:jc w:val="right"/>
            </w:pPr>
            <w:r w:rsidRPr="008B2F8A">
              <w:t xml:space="preserve"> $4,729,452 </w:t>
            </w:r>
          </w:p>
        </w:tc>
        <w:tc>
          <w:tcPr>
            <w:tcW w:w="1136" w:type="dxa"/>
            <w:noWrap/>
            <w:hideMark/>
          </w:tcPr>
          <w:p w14:paraId="28978CAF" w14:textId="77777777" w:rsidR="00E47AB8" w:rsidRPr="008B2F8A" w:rsidRDefault="00E47AB8" w:rsidP="00422306">
            <w:pPr>
              <w:pStyle w:val="TableText0"/>
              <w:keepNext w:val="0"/>
              <w:spacing w:before="40" w:after="80" w:line="276" w:lineRule="auto"/>
              <w:jc w:val="right"/>
            </w:pPr>
            <w:r w:rsidRPr="008B2F8A">
              <w:t xml:space="preserve"> $5,214,188 </w:t>
            </w:r>
          </w:p>
        </w:tc>
        <w:tc>
          <w:tcPr>
            <w:tcW w:w="1146" w:type="dxa"/>
            <w:noWrap/>
            <w:hideMark/>
          </w:tcPr>
          <w:p w14:paraId="58FCF0B0" w14:textId="77777777" w:rsidR="00E47AB8" w:rsidRPr="008B2F8A" w:rsidRDefault="00E47AB8" w:rsidP="00422306">
            <w:pPr>
              <w:pStyle w:val="TableText0"/>
              <w:keepNext w:val="0"/>
              <w:spacing w:before="40" w:after="80" w:line="276" w:lineRule="auto"/>
              <w:jc w:val="right"/>
            </w:pPr>
            <w:r w:rsidRPr="008B2F8A">
              <w:t xml:space="preserve"> $5,698,925 </w:t>
            </w:r>
          </w:p>
        </w:tc>
      </w:tr>
      <w:tr w:rsidR="00E47AB8" w:rsidRPr="008B2F8A" w14:paraId="169165D6" w14:textId="77777777" w:rsidTr="00422306">
        <w:tc>
          <w:tcPr>
            <w:tcW w:w="3436" w:type="dxa"/>
            <w:noWrap/>
            <w:vAlign w:val="bottom"/>
          </w:tcPr>
          <w:p w14:paraId="75F0D13D" w14:textId="77777777" w:rsidR="00E47AB8" w:rsidRPr="008B2F8A" w:rsidRDefault="00E47AB8" w:rsidP="00422306">
            <w:pPr>
              <w:pStyle w:val="TableText0"/>
              <w:keepNext w:val="0"/>
              <w:spacing w:before="40" w:after="80" w:line="276" w:lineRule="auto"/>
            </w:pPr>
            <w:r w:rsidRPr="008B2F8A">
              <w:t>Prior history of invasive breast cancer</w:t>
            </w:r>
          </w:p>
        </w:tc>
        <w:tc>
          <w:tcPr>
            <w:tcW w:w="1136" w:type="dxa"/>
            <w:noWrap/>
          </w:tcPr>
          <w:p w14:paraId="32980C45" w14:textId="77777777" w:rsidR="00E47AB8" w:rsidRPr="008B2F8A" w:rsidRDefault="00E47AB8" w:rsidP="00422306">
            <w:pPr>
              <w:pStyle w:val="TableText0"/>
              <w:keepNext w:val="0"/>
              <w:spacing w:before="40" w:after="80" w:line="276" w:lineRule="auto"/>
              <w:jc w:val="right"/>
            </w:pPr>
            <w:r w:rsidRPr="008B2F8A">
              <w:t xml:space="preserve"> $5,476,459 </w:t>
            </w:r>
          </w:p>
        </w:tc>
        <w:tc>
          <w:tcPr>
            <w:tcW w:w="1136" w:type="dxa"/>
            <w:noWrap/>
          </w:tcPr>
          <w:p w14:paraId="0E1B7754" w14:textId="77777777" w:rsidR="00E47AB8" w:rsidRPr="008B2F8A" w:rsidRDefault="00E47AB8" w:rsidP="00422306">
            <w:pPr>
              <w:pStyle w:val="TableText0"/>
              <w:keepNext w:val="0"/>
              <w:spacing w:before="40" w:after="80" w:line="276" w:lineRule="auto"/>
              <w:jc w:val="right"/>
            </w:pPr>
            <w:r w:rsidRPr="008B2F8A">
              <w:t xml:space="preserve"> $8,358,355 </w:t>
            </w:r>
          </w:p>
        </w:tc>
        <w:tc>
          <w:tcPr>
            <w:tcW w:w="1136" w:type="dxa"/>
            <w:noWrap/>
          </w:tcPr>
          <w:p w14:paraId="4EBD9733" w14:textId="77777777" w:rsidR="00E47AB8" w:rsidRPr="008B2F8A" w:rsidRDefault="00E47AB8" w:rsidP="00422306">
            <w:pPr>
              <w:pStyle w:val="TableText0"/>
              <w:keepNext w:val="0"/>
              <w:spacing w:before="40" w:after="80" w:line="276" w:lineRule="auto"/>
              <w:jc w:val="right"/>
            </w:pPr>
            <w:r w:rsidRPr="008B2F8A">
              <w:t xml:space="preserve"> $11,337,075 </w:t>
            </w:r>
          </w:p>
        </w:tc>
        <w:tc>
          <w:tcPr>
            <w:tcW w:w="1136" w:type="dxa"/>
            <w:noWrap/>
          </w:tcPr>
          <w:p w14:paraId="5A5E5685" w14:textId="77777777" w:rsidR="00E47AB8" w:rsidRPr="008B2F8A" w:rsidRDefault="00E47AB8" w:rsidP="00422306">
            <w:pPr>
              <w:pStyle w:val="TableText0"/>
              <w:keepNext w:val="0"/>
              <w:spacing w:before="40" w:after="80" w:line="276" w:lineRule="auto"/>
              <w:jc w:val="right"/>
            </w:pPr>
            <w:r w:rsidRPr="008B2F8A">
              <w:t xml:space="preserve"> $14,411,501 </w:t>
            </w:r>
          </w:p>
        </w:tc>
        <w:tc>
          <w:tcPr>
            <w:tcW w:w="1146" w:type="dxa"/>
            <w:noWrap/>
          </w:tcPr>
          <w:p w14:paraId="702A01BB" w14:textId="77777777" w:rsidR="00E47AB8" w:rsidRPr="008B2F8A" w:rsidRDefault="00E47AB8" w:rsidP="00422306">
            <w:pPr>
              <w:pStyle w:val="TableText0"/>
              <w:keepNext w:val="0"/>
              <w:spacing w:before="40" w:after="80" w:line="276" w:lineRule="auto"/>
              <w:jc w:val="right"/>
            </w:pPr>
            <w:r w:rsidRPr="008B2F8A">
              <w:t xml:space="preserve"> $15,998,715 </w:t>
            </w:r>
          </w:p>
        </w:tc>
      </w:tr>
      <w:tr w:rsidR="00E47AB8" w:rsidRPr="008B2F8A" w14:paraId="473E2DAA" w14:textId="77777777" w:rsidTr="00422306">
        <w:tc>
          <w:tcPr>
            <w:tcW w:w="3436" w:type="dxa"/>
            <w:noWrap/>
            <w:vAlign w:val="bottom"/>
          </w:tcPr>
          <w:p w14:paraId="62FC82CE" w14:textId="426D174D" w:rsidR="00E47AB8" w:rsidRPr="008B2F8A" w:rsidRDefault="00E47AB8" w:rsidP="00422306">
            <w:pPr>
              <w:pStyle w:val="TableText0"/>
              <w:keepNext w:val="0"/>
              <w:spacing w:before="40" w:after="80" w:line="276" w:lineRule="auto"/>
            </w:pPr>
            <w:r w:rsidRPr="008B2F8A">
              <w:t xml:space="preserve">Prior history of DCIS </w:t>
            </w:r>
            <w:r>
              <w:t>or</w:t>
            </w:r>
            <w:r w:rsidRPr="008B2F8A">
              <w:t xml:space="preserve"> LCIS</w:t>
            </w:r>
          </w:p>
        </w:tc>
        <w:tc>
          <w:tcPr>
            <w:tcW w:w="1136" w:type="dxa"/>
            <w:noWrap/>
          </w:tcPr>
          <w:p w14:paraId="0C32FE4B" w14:textId="77777777" w:rsidR="00E47AB8" w:rsidRPr="008B2F8A" w:rsidRDefault="00E47AB8" w:rsidP="00422306">
            <w:pPr>
              <w:pStyle w:val="TableText0"/>
              <w:keepNext w:val="0"/>
              <w:spacing w:before="40" w:after="80" w:line="276" w:lineRule="auto"/>
              <w:jc w:val="right"/>
            </w:pPr>
            <w:r w:rsidRPr="008B2F8A">
              <w:t xml:space="preserve"> $623,087 </w:t>
            </w:r>
          </w:p>
        </w:tc>
        <w:tc>
          <w:tcPr>
            <w:tcW w:w="1136" w:type="dxa"/>
            <w:noWrap/>
          </w:tcPr>
          <w:p w14:paraId="1B52347A" w14:textId="77777777" w:rsidR="00E47AB8" w:rsidRPr="008B2F8A" w:rsidRDefault="00E47AB8" w:rsidP="00422306">
            <w:pPr>
              <w:pStyle w:val="TableText0"/>
              <w:keepNext w:val="0"/>
              <w:spacing w:before="40" w:after="80" w:line="276" w:lineRule="auto"/>
              <w:jc w:val="right"/>
            </w:pPr>
            <w:r w:rsidRPr="008B2F8A">
              <w:t xml:space="preserve"> $950,519 </w:t>
            </w:r>
          </w:p>
        </w:tc>
        <w:tc>
          <w:tcPr>
            <w:tcW w:w="1136" w:type="dxa"/>
            <w:noWrap/>
          </w:tcPr>
          <w:p w14:paraId="3BB3ECC2" w14:textId="77777777" w:rsidR="00E47AB8" w:rsidRPr="008B2F8A" w:rsidRDefault="00E47AB8" w:rsidP="00422306">
            <w:pPr>
              <w:pStyle w:val="TableText0"/>
              <w:keepNext w:val="0"/>
              <w:spacing w:before="40" w:after="80" w:line="276" w:lineRule="auto"/>
              <w:jc w:val="right"/>
            </w:pPr>
            <w:r w:rsidRPr="008B2F8A">
              <w:t xml:space="preserve"> $1,288,904 </w:t>
            </w:r>
          </w:p>
        </w:tc>
        <w:tc>
          <w:tcPr>
            <w:tcW w:w="1136" w:type="dxa"/>
            <w:noWrap/>
          </w:tcPr>
          <w:p w14:paraId="008EB069" w14:textId="77777777" w:rsidR="00E47AB8" w:rsidRPr="008B2F8A" w:rsidRDefault="00E47AB8" w:rsidP="00422306">
            <w:pPr>
              <w:pStyle w:val="TableText0"/>
              <w:keepNext w:val="0"/>
              <w:spacing w:before="40" w:after="80" w:line="276" w:lineRule="auto"/>
              <w:jc w:val="right"/>
            </w:pPr>
            <w:r w:rsidRPr="008B2F8A">
              <w:t xml:space="preserve"> $1,638,519 </w:t>
            </w:r>
          </w:p>
        </w:tc>
        <w:tc>
          <w:tcPr>
            <w:tcW w:w="1146" w:type="dxa"/>
            <w:noWrap/>
          </w:tcPr>
          <w:p w14:paraId="7D126F21" w14:textId="77777777" w:rsidR="00E47AB8" w:rsidRPr="008B2F8A" w:rsidRDefault="00E47AB8" w:rsidP="00422306">
            <w:pPr>
              <w:pStyle w:val="TableText0"/>
              <w:keepNext w:val="0"/>
              <w:spacing w:before="40" w:after="80" w:line="276" w:lineRule="auto"/>
              <w:jc w:val="right"/>
            </w:pPr>
            <w:r w:rsidRPr="008B2F8A">
              <w:t xml:space="preserve"> $1,819,681 </w:t>
            </w:r>
          </w:p>
        </w:tc>
      </w:tr>
      <w:tr w:rsidR="00E47AB8" w:rsidRPr="008B2F8A" w14:paraId="4F3C3783" w14:textId="77777777" w:rsidTr="00422306">
        <w:tc>
          <w:tcPr>
            <w:tcW w:w="3436" w:type="dxa"/>
            <w:noWrap/>
            <w:vAlign w:val="bottom"/>
          </w:tcPr>
          <w:p w14:paraId="376AAEB2" w14:textId="6E23BFA2" w:rsidR="00E47AB8" w:rsidRPr="008B2F8A" w:rsidRDefault="00E47AB8" w:rsidP="00422306">
            <w:pPr>
              <w:pStyle w:val="TableText0"/>
              <w:keepNext w:val="0"/>
              <w:spacing w:before="40" w:after="80" w:line="276" w:lineRule="auto"/>
            </w:pPr>
            <w:r w:rsidRPr="008B2F8A">
              <w:t>Prior history of therapeutic radiation to chest</w:t>
            </w:r>
          </w:p>
        </w:tc>
        <w:tc>
          <w:tcPr>
            <w:tcW w:w="1136" w:type="dxa"/>
            <w:noWrap/>
          </w:tcPr>
          <w:p w14:paraId="12BCB7A3" w14:textId="77777777" w:rsidR="00E47AB8" w:rsidRPr="008B2F8A" w:rsidRDefault="00E47AB8" w:rsidP="00422306">
            <w:pPr>
              <w:pStyle w:val="TableText0"/>
              <w:keepNext w:val="0"/>
              <w:spacing w:before="40" w:after="80" w:line="276" w:lineRule="auto"/>
              <w:jc w:val="right"/>
            </w:pPr>
            <w:r w:rsidRPr="008B2F8A">
              <w:t xml:space="preserve"> $53,626 </w:t>
            </w:r>
          </w:p>
        </w:tc>
        <w:tc>
          <w:tcPr>
            <w:tcW w:w="1136" w:type="dxa"/>
            <w:noWrap/>
          </w:tcPr>
          <w:p w14:paraId="6CDD9AF0" w14:textId="77777777" w:rsidR="00E47AB8" w:rsidRPr="008B2F8A" w:rsidRDefault="00E47AB8" w:rsidP="00422306">
            <w:pPr>
              <w:pStyle w:val="TableText0"/>
              <w:keepNext w:val="0"/>
              <w:spacing w:before="40" w:after="80" w:line="276" w:lineRule="auto"/>
              <w:jc w:val="right"/>
            </w:pPr>
            <w:r w:rsidRPr="008B2F8A">
              <w:t xml:space="preserve"> $109,043 </w:t>
            </w:r>
          </w:p>
        </w:tc>
        <w:tc>
          <w:tcPr>
            <w:tcW w:w="1136" w:type="dxa"/>
            <w:noWrap/>
          </w:tcPr>
          <w:p w14:paraId="0C8DE845" w14:textId="77777777" w:rsidR="00E47AB8" w:rsidRPr="008B2F8A" w:rsidRDefault="00E47AB8" w:rsidP="00422306">
            <w:pPr>
              <w:pStyle w:val="TableText0"/>
              <w:keepNext w:val="0"/>
              <w:spacing w:before="40" w:after="80" w:line="276" w:lineRule="auto"/>
              <w:jc w:val="right"/>
            </w:pPr>
            <w:r w:rsidRPr="008B2F8A">
              <w:t xml:space="preserve"> $166,328 </w:t>
            </w:r>
          </w:p>
        </w:tc>
        <w:tc>
          <w:tcPr>
            <w:tcW w:w="1136" w:type="dxa"/>
            <w:noWrap/>
          </w:tcPr>
          <w:p w14:paraId="3B1454F1" w14:textId="77777777" w:rsidR="00E47AB8" w:rsidRPr="008B2F8A" w:rsidRDefault="00E47AB8" w:rsidP="00422306">
            <w:pPr>
              <w:pStyle w:val="TableText0"/>
              <w:keepNext w:val="0"/>
              <w:spacing w:before="40" w:after="80" w:line="276" w:lineRule="auto"/>
              <w:jc w:val="right"/>
            </w:pPr>
            <w:r w:rsidRPr="008B2F8A">
              <w:t xml:space="preserve"> $225,530 </w:t>
            </w:r>
          </w:p>
        </w:tc>
        <w:tc>
          <w:tcPr>
            <w:tcW w:w="1146" w:type="dxa"/>
            <w:noWrap/>
          </w:tcPr>
          <w:p w14:paraId="160B6C08" w14:textId="77777777" w:rsidR="00E47AB8" w:rsidRPr="008B2F8A" w:rsidRDefault="00E47AB8" w:rsidP="00422306">
            <w:pPr>
              <w:pStyle w:val="TableText0"/>
              <w:keepNext w:val="0"/>
              <w:spacing w:before="40" w:after="80" w:line="276" w:lineRule="auto"/>
              <w:jc w:val="right"/>
            </w:pPr>
            <w:r w:rsidRPr="008B2F8A">
              <w:t xml:space="preserve"> $261,306 </w:t>
            </w:r>
          </w:p>
        </w:tc>
      </w:tr>
      <w:tr w:rsidR="00E47AB8" w:rsidRPr="008B2F8A" w14:paraId="6FA1A3ED" w14:textId="77777777" w:rsidTr="00422306">
        <w:tc>
          <w:tcPr>
            <w:tcW w:w="3436" w:type="dxa"/>
            <w:noWrap/>
            <w:vAlign w:val="bottom"/>
          </w:tcPr>
          <w:p w14:paraId="542A76CD" w14:textId="77777777" w:rsidR="00E47AB8" w:rsidRPr="008B2F8A" w:rsidRDefault="00E47AB8" w:rsidP="00422306">
            <w:pPr>
              <w:pStyle w:val="TableText0"/>
              <w:keepNext w:val="0"/>
              <w:spacing w:before="40" w:after="80" w:line="276" w:lineRule="auto"/>
            </w:pPr>
            <w:r w:rsidRPr="008B2F8A">
              <w:t>All populations</w:t>
            </w:r>
          </w:p>
        </w:tc>
        <w:tc>
          <w:tcPr>
            <w:tcW w:w="1136" w:type="dxa"/>
            <w:noWrap/>
          </w:tcPr>
          <w:p w14:paraId="7C1C8AFC" w14:textId="77777777" w:rsidR="00E47AB8" w:rsidRPr="008B2F8A" w:rsidRDefault="00E47AB8" w:rsidP="00422306">
            <w:pPr>
              <w:pStyle w:val="TableText0"/>
              <w:keepNext w:val="0"/>
              <w:spacing w:before="40" w:after="80" w:line="276" w:lineRule="auto"/>
              <w:jc w:val="right"/>
            </w:pPr>
            <w:r w:rsidRPr="008B2F8A">
              <w:t xml:space="preserve"> $9,913,152 </w:t>
            </w:r>
          </w:p>
        </w:tc>
        <w:tc>
          <w:tcPr>
            <w:tcW w:w="1136" w:type="dxa"/>
            <w:noWrap/>
          </w:tcPr>
          <w:p w14:paraId="6E0CD0B1" w14:textId="77777777" w:rsidR="00E47AB8" w:rsidRPr="008B2F8A" w:rsidRDefault="00E47AB8" w:rsidP="00422306">
            <w:pPr>
              <w:pStyle w:val="TableText0"/>
              <w:keepNext w:val="0"/>
              <w:spacing w:before="40" w:after="80" w:line="276" w:lineRule="auto"/>
              <w:jc w:val="right"/>
            </w:pPr>
            <w:r w:rsidRPr="008B2F8A">
              <w:t xml:space="preserve"> $13,662,633 </w:t>
            </w:r>
          </w:p>
        </w:tc>
        <w:tc>
          <w:tcPr>
            <w:tcW w:w="1136" w:type="dxa"/>
            <w:noWrap/>
          </w:tcPr>
          <w:p w14:paraId="7CAF0CE9" w14:textId="77777777" w:rsidR="00E47AB8" w:rsidRPr="008B2F8A" w:rsidRDefault="00E47AB8" w:rsidP="00422306">
            <w:pPr>
              <w:pStyle w:val="TableText0"/>
              <w:keepNext w:val="0"/>
              <w:spacing w:before="40" w:after="80" w:line="276" w:lineRule="auto"/>
              <w:jc w:val="right"/>
            </w:pPr>
            <w:r w:rsidRPr="008B2F8A">
              <w:t xml:space="preserve"> $17,521,760 </w:t>
            </w:r>
          </w:p>
        </w:tc>
        <w:tc>
          <w:tcPr>
            <w:tcW w:w="1136" w:type="dxa"/>
            <w:noWrap/>
          </w:tcPr>
          <w:p w14:paraId="628F3529" w14:textId="77777777" w:rsidR="00E47AB8" w:rsidRPr="008B2F8A" w:rsidRDefault="00E47AB8" w:rsidP="00422306">
            <w:pPr>
              <w:pStyle w:val="TableText0"/>
              <w:keepNext w:val="0"/>
              <w:spacing w:before="40" w:after="80" w:line="276" w:lineRule="auto"/>
              <w:jc w:val="right"/>
            </w:pPr>
            <w:r w:rsidRPr="008B2F8A">
              <w:t xml:space="preserve"> $21,489,738 </w:t>
            </w:r>
          </w:p>
        </w:tc>
        <w:tc>
          <w:tcPr>
            <w:tcW w:w="1146" w:type="dxa"/>
            <w:noWrap/>
          </w:tcPr>
          <w:p w14:paraId="2AF7631A" w14:textId="77777777" w:rsidR="00E47AB8" w:rsidRPr="008B2F8A" w:rsidRDefault="00E47AB8" w:rsidP="00422306">
            <w:pPr>
              <w:pStyle w:val="TableText0"/>
              <w:keepNext w:val="0"/>
              <w:spacing w:before="40" w:after="80" w:line="276" w:lineRule="auto"/>
              <w:jc w:val="right"/>
            </w:pPr>
            <w:r w:rsidRPr="008B2F8A">
              <w:t xml:space="preserve"> $23,778,625 </w:t>
            </w:r>
          </w:p>
        </w:tc>
      </w:tr>
    </w:tbl>
    <w:p w14:paraId="43743A0E" w14:textId="2B748CE6" w:rsidR="00E47AB8" w:rsidRPr="008B2F8A" w:rsidRDefault="00E47AB8" w:rsidP="004E7861">
      <w:pPr>
        <w:pStyle w:val="TableNotesLast"/>
      </w:pPr>
      <w:r w:rsidRPr="008B2F8A">
        <w:t>DCIS = ductal carcinoma in situ; FY = financial year; LCIS = lobular carcinoma in situ.</w:t>
      </w:r>
      <w:r>
        <w:t xml:space="preserve"> </w:t>
      </w:r>
      <w:r w:rsidRPr="008B2F8A">
        <w:t>Note: Rounding has been applied</w:t>
      </w:r>
      <w:r>
        <w:t>.</w:t>
      </w:r>
    </w:p>
    <w:p w14:paraId="5CE3F138" w14:textId="77777777" w:rsidR="00E47AB8" w:rsidRPr="008B2F8A" w:rsidRDefault="00E47AB8" w:rsidP="00E47AB8">
      <w:pPr>
        <w:pStyle w:val="Heading3"/>
        <w:numPr>
          <w:ilvl w:val="2"/>
          <w:numId w:val="42"/>
        </w:numPr>
      </w:pPr>
      <w:bookmarkStart w:id="1440" w:name="_Toc383424544"/>
      <w:bookmarkEnd w:id="1435"/>
      <w:r w:rsidRPr="008B2F8A">
        <w:t>Summary</w:t>
      </w:r>
      <w:bookmarkEnd w:id="1440"/>
    </w:p>
    <w:p w14:paraId="2FA9CBC9" w14:textId="1E64368C" w:rsidR="00E47AB8" w:rsidRPr="008B2F8A" w:rsidRDefault="00E47AB8" w:rsidP="00422306">
      <w:r w:rsidRPr="008B2F8A">
        <w:t>The financial impact calculations for the proposed listing are most sensitive to changes in the numbers of women screened with breast MRI. This is because the major contributor to the cost of the requested listing is the cost of performing the breast MRI service, including imaging and specialist attendance costs. Increases in the cost of the breast MRI MBS items due to greater use of bulk billing will increase the cost of the proposed list</w:t>
      </w:r>
      <w:r>
        <w:t>ing</w:t>
      </w:r>
      <w:r w:rsidRPr="008B2F8A">
        <w:t xml:space="preserve"> to the MBS, although the extent of the increase would be modest. Changes to the diagnostic accuracy of mammography and MRI and changes to the risk of breast cancer result in only moderate changes to the financial impact. This is because changes to these variables alter the number of women who receive biopsy and treatment, which accounts for a small proportion of the total cost of the proposed listing.</w:t>
      </w:r>
    </w:p>
    <w:p w14:paraId="1FFB9AB7" w14:textId="77777777" w:rsidR="00E47AB8" w:rsidRPr="008B2F8A" w:rsidRDefault="00E47AB8" w:rsidP="00422306">
      <w:r w:rsidRPr="008B2F8A">
        <w:lastRenderedPageBreak/>
        <w:br w:type="page"/>
      </w:r>
    </w:p>
    <w:p w14:paraId="126B16E8" w14:textId="77777777" w:rsidR="00E47AB8" w:rsidRPr="008B2F8A" w:rsidRDefault="00E47AB8" w:rsidP="00422306">
      <w:pPr>
        <w:pStyle w:val="Heading1"/>
        <w:numPr>
          <w:ilvl w:val="0"/>
          <w:numId w:val="0"/>
        </w:numPr>
        <w:rPr>
          <w:rFonts w:ascii="Calibri" w:hAnsi="Calibri"/>
          <w:sz w:val="24"/>
          <w:szCs w:val="24"/>
        </w:rPr>
      </w:pPr>
      <w:bookmarkStart w:id="1441" w:name="_Toc383424545"/>
      <w:r w:rsidRPr="008B2F8A">
        <w:lastRenderedPageBreak/>
        <w:t xml:space="preserve">Appendix </w:t>
      </w:r>
      <w:fldSimple w:instr=" SEQ Appendix \* ARABIC ">
        <w:r w:rsidR="00B81273">
          <w:rPr>
            <w:noProof/>
          </w:rPr>
          <w:t>1</w:t>
        </w:r>
      </w:fldSimple>
      <w:r w:rsidRPr="008B2F8A">
        <w:t>: Health Expert Standing Panel and Assessment Group</w:t>
      </w:r>
      <w:bookmarkEnd w:id="1441"/>
    </w:p>
    <w:p w14:paraId="7519D405" w14:textId="058D63F1" w:rsidR="00E47AB8" w:rsidRPr="008B2F8A" w:rsidRDefault="00E47AB8" w:rsidP="004E7861">
      <w:pPr>
        <w:pStyle w:val="AppendixHeading2"/>
      </w:pPr>
      <w:bookmarkStart w:id="1442" w:name="_Toc214339197"/>
      <w:r w:rsidRPr="008B2F8A">
        <w:t xml:space="preserve">Health Expert Standing Panel—Application Name No. </w:t>
      </w:r>
      <w:bookmarkEnd w:id="1442"/>
      <w:r w:rsidRPr="008B2F8A">
        <w:t>1098.1</w:t>
      </w:r>
    </w:p>
    <w:tbl>
      <w:tblPr>
        <w:tblW w:w="9070" w:type="dxa"/>
        <w:tblCellMar>
          <w:left w:w="28" w:type="dxa"/>
          <w:right w:w="28" w:type="dxa"/>
        </w:tblCellMar>
        <w:tblLook w:val="0000" w:firstRow="0" w:lastRow="0" w:firstColumn="0" w:lastColumn="0" w:noHBand="0" w:noVBand="0"/>
      </w:tblPr>
      <w:tblGrid>
        <w:gridCol w:w="3536"/>
        <w:gridCol w:w="5534"/>
      </w:tblGrid>
      <w:tr w:rsidR="00E47AB8" w:rsidRPr="008B2F8A" w14:paraId="1F948077" w14:textId="77777777" w:rsidTr="00422306">
        <w:trPr>
          <w:cantSplit/>
          <w:tblHeader/>
        </w:trPr>
        <w:tc>
          <w:tcPr>
            <w:tcW w:w="3261" w:type="dxa"/>
            <w:tcBorders>
              <w:top w:val="single" w:sz="4" w:space="0" w:color="auto"/>
            </w:tcBorders>
            <w:vAlign w:val="center"/>
          </w:tcPr>
          <w:p w14:paraId="7AE7AAC4" w14:textId="77777777" w:rsidR="00E47AB8" w:rsidRPr="008B2F8A" w:rsidRDefault="00E47AB8" w:rsidP="00422306">
            <w:pPr>
              <w:autoSpaceDE w:val="0"/>
              <w:autoSpaceDN w:val="0"/>
              <w:adjustRightInd w:val="0"/>
              <w:spacing w:before="40" w:after="80"/>
              <w:ind w:left="11" w:hanging="11"/>
              <w:rPr>
                <w:rFonts w:ascii="Arial Narrow" w:eastAsia="Times New Roman" w:hAnsi="Arial Narrow"/>
                <w:b/>
                <w:lang w:eastAsia="en-AU"/>
              </w:rPr>
            </w:pPr>
            <w:r w:rsidRPr="008B2F8A">
              <w:rPr>
                <w:rFonts w:ascii="Arial Narrow" w:eastAsia="Times New Roman" w:hAnsi="Arial Narrow"/>
                <w:b/>
                <w:lang w:eastAsia="en-AU"/>
              </w:rPr>
              <w:t>Member</w:t>
            </w:r>
          </w:p>
        </w:tc>
        <w:tc>
          <w:tcPr>
            <w:tcW w:w="5103" w:type="dxa"/>
            <w:tcBorders>
              <w:top w:val="single" w:sz="4" w:space="0" w:color="auto"/>
            </w:tcBorders>
            <w:vAlign w:val="center"/>
          </w:tcPr>
          <w:p w14:paraId="248F1139" w14:textId="77777777" w:rsidR="00E47AB8" w:rsidRPr="008B2F8A" w:rsidRDefault="00E47AB8" w:rsidP="00422306">
            <w:pPr>
              <w:autoSpaceDE w:val="0"/>
              <w:autoSpaceDN w:val="0"/>
              <w:adjustRightInd w:val="0"/>
              <w:spacing w:before="40" w:after="80"/>
              <w:ind w:left="11" w:hanging="11"/>
              <w:rPr>
                <w:rFonts w:ascii="Arial Narrow" w:eastAsia="Times New Roman" w:hAnsi="Arial Narrow"/>
                <w:b/>
                <w:lang w:eastAsia="en-AU"/>
              </w:rPr>
            </w:pPr>
            <w:r w:rsidRPr="008B2F8A">
              <w:rPr>
                <w:rFonts w:ascii="Arial Narrow" w:eastAsia="Times New Roman" w:hAnsi="Arial Narrow"/>
                <w:b/>
                <w:lang w:eastAsia="en-AU"/>
              </w:rPr>
              <w:t>Expertise or affiliation</w:t>
            </w:r>
          </w:p>
        </w:tc>
      </w:tr>
      <w:tr w:rsidR="00E47AB8" w:rsidRPr="008B2F8A" w14:paraId="1C36051B" w14:textId="77777777" w:rsidTr="00422306">
        <w:trPr>
          <w:cantSplit/>
        </w:trPr>
        <w:tc>
          <w:tcPr>
            <w:tcW w:w="3261" w:type="dxa"/>
            <w:tcBorders>
              <w:top w:val="single" w:sz="4" w:space="0" w:color="auto"/>
              <w:bottom w:val="single" w:sz="4" w:space="0" w:color="auto"/>
            </w:tcBorders>
            <w:vAlign w:val="center"/>
          </w:tcPr>
          <w:p w14:paraId="1F111705"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A/Prof Jennifer Cawson</w:t>
            </w:r>
          </w:p>
        </w:tc>
        <w:tc>
          <w:tcPr>
            <w:tcW w:w="5103" w:type="dxa"/>
            <w:tcBorders>
              <w:top w:val="single" w:sz="4" w:space="0" w:color="auto"/>
              <w:bottom w:val="single" w:sz="4" w:space="0" w:color="auto"/>
            </w:tcBorders>
            <w:vAlign w:val="center"/>
          </w:tcPr>
          <w:p w14:paraId="6DACE0B9"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St. Vincent’s Hospital Melbourne</w:t>
            </w:r>
          </w:p>
        </w:tc>
      </w:tr>
      <w:tr w:rsidR="00E47AB8" w:rsidRPr="008B2F8A" w14:paraId="06D7DBB4" w14:textId="77777777" w:rsidTr="00422306">
        <w:trPr>
          <w:cantSplit/>
        </w:trPr>
        <w:tc>
          <w:tcPr>
            <w:tcW w:w="3261" w:type="dxa"/>
            <w:tcBorders>
              <w:top w:val="single" w:sz="4" w:space="0" w:color="auto"/>
              <w:bottom w:val="single" w:sz="4" w:space="0" w:color="auto"/>
            </w:tcBorders>
            <w:vAlign w:val="center"/>
          </w:tcPr>
          <w:p w14:paraId="5F6EA5DD"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Dr Gillian Mitchell</w:t>
            </w:r>
          </w:p>
        </w:tc>
        <w:tc>
          <w:tcPr>
            <w:tcW w:w="5103" w:type="dxa"/>
            <w:tcBorders>
              <w:top w:val="single" w:sz="4" w:space="0" w:color="auto"/>
              <w:bottom w:val="single" w:sz="4" w:space="0" w:color="auto"/>
            </w:tcBorders>
            <w:vAlign w:val="center"/>
          </w:tcPr>
          <w:p w14:paraId="32DDECF2"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bookmarkStart w:id="1443" w:name="OLE_LINK206"/>
            <w:bookmarkStart w:id="1444" w:name="OLE_LINK207"/>
            <w:r w:rsidRPr="008B2F8A">
              <w:rPr>
                <w:rFonts w:ascii="Arial Narrow" w:eastAsia="Times New Roman" w:hAnsi="Arial Narrow"/>
                <w:lang w:eastAsia="en-AU"/>
              </w:rPr>
              <w:t>Peter MacCallum Cancer Centre</w:t>
            </w:r>
            <w:bookmarkEnd w:id="1443"/>
            <w:bookmarkEnd w:id="1444"/>
          </w:p>
        </w:tc>
      </w:tr>
      <w:tr w:rsidR="00E47AB8" w:rsidRPr="008B2F8A" w14:paraId="6C1F9BDB" w14:textId="77777777" w:rsidTr="00422306">
        <w:trPr>
          <w:cantSplit/>
        </w:trPr>
        <w:tc>
          <w:tcPr>
            <w:tcW w:w="3261" w:type="dxa"/>
            <w:tcBorders>
              <w:top w:val="single" w:sz="4" w:space="0" w:color="auto"/>
              <w:bottom w:val="single" w:sz="4" w:space="0" w:color="auto"/>
            </w:tcBorders>
            <w:vAlign w:val="center"/>
          </w:tcPr>
          <w:p w14:paraId="22144F6D"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Mr Ian Morris</w:t>
            </w:r>
          </w:p>
        </w:tc>
        <w:tc>
          <w:tcPr>
            <w:tcW w:w="5103" w:type="dxa"/>
            <w:tcBorders>
              <w:top w:val="single" w:sz="4" w:space="0" w:color="auto"/>
              <w:bottom w:val="single" w:sz="4" w:space="0" w:color="auto"/>
            </w:tcBorders>
            <w:vAlign w:val="center"/>
          </w:tcPr>
          <w:p w14:paraId="0037C392"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Princess Margaret Hospital for Children and</w:t>
            </w:r>
          </w:p>
          <w:p w14:paraId="765669A3"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King Edward Memorial Hospital for Women</w:t>
            </w:r>
          </w:p>
        </w:tc>
      </w:tr>
      <w:tr w:rsidR="00E47AB8" w:rsidRPr="008B2F8A" w14:paraId="1207DE03" w14:textId="77777777" w:rsidTr="00422306">
        <w:trPr>
          <w:cantSplit/>
        </w:trPr>
        <w:tc>
          <w:tcPr>
            <w:tcW w:w="3261" w:type="dxa"/>
            <w:tcBorders>
              <w:top w:val="single" w:sz="4" w:space="0" w:color="auto"/>
              <w:bottom w:val="single" w:sz="4" w:space="0" w:color="auto"/>
            </w:tcBorders>
            <w:vAlign w:val="center"/>
          </w:tcPr>
          <w:p w14:paraId="13AB22B6"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Prof Christobel Saunders</w:t>
            </w:r>
          </w:p>
        </w:tc>
        <w:tc>
          <w:tcPr>
            <w:tcW w:w="5103" w:type="dxa"/>
            <w:tcBorders>
              <w:top w:val="single" w:sz="4" w:space="0" w:color="auto"/>
              <w:bottom w:val="single" w:sz="4" w:space="0" w:color="auto"/>
            </w:tcBorders>
            <w:vAlign w:val="center"/>
          </w:tcPr>
          <w:p w14:paraId="275F673A"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Royal Perth Hospital</w:t>
            </w:r>
          </w:p>
        </w:tc>
      </w:tr>
    </w:tbl>
    <w:p w14:paraId="7ABAB2B1" w14:textId="77777777" w:rsidR="00E47AB8" w:rsidRPr="008B2F8A" w:rsidRDefault="00E47AB8" w:rsidP="00422306">
      <w:pPr>
        <w:spacing w:after="240"/>
        <w:ind w:left="720"/>
        <w:rPr>
          <w:rFonts w:eastAsia="Times New Roman"/>
          <w:sz w:val="24"/>
          <w:szCs w:val="20"/>
          <w:lang w:eastAsia="en-AU"/>
        </w:rPr>
      </w:pPr>
    </w:p>
    <w:p w14:paraId="67662077" w14:textId="77777777" w:rsidR="00E47AB8" w:rsidRPr="008B2F8A" w:rsidRDefault="00E47AB8" w:rsidP="00422306">
      <w:pPr>
        <w:pStyle w:val="AppendixHeading2"/>
      </w:pPr>
      <w:bookmarkStart w:id="1445" w:name="_Toc214339198"/>
      <w:r w:rsidRPr="008B2F8A">
        <w:t>Evaluators</w:t>
      </w:r>
      <w:bookmarkEnd w:id="1445"/>
    </w:p>
    <w:tbl>
      <w:tblPr>
        <w:tblW w:w="9070" w:type="dxa"/>
        <w:tblCellMar>
          <w:left w:w="28" w:type="dxa"/>
          <w:right w:w="28" w:type="dxa"/>
        </w:tblCellMar>
        <w:tblLook w:val="0000" w:firstRow="0" w:lastRow="0" w:firstColumn="0" w:lastColumn="0" w:noHBand="0" w:noVBand="0"/>
      </w:tblPr>
      <w:tblGrid>
        <w:gridCol w:w="3536"/>
        <w:gridCol w:w="5534"/>
      </w:tblGrid>
      <w:tr w:rsidR="00E47AB8" w:rsidRPr="008B2F8A" w14:paraId="63DF549E" w14:textId="77777777" w:rsidTr="00422306">
        <w:trPr>
          <w:cantSplit/>
          <w:tblHeader/>
        </w:trPr>
        <w:tc>
          <w:tcPr>
            <w:tcW w:w="3536" w:type="dxa"/>
            <w:tcBorders>
              <w:top w:val="single" w:sz="4" w:space="0" w:color="auto"/>
            </w:tcBorders>
            <w:vAlign w:val="center"/>
          </w:tcPr>
          <w:p w14:paraId="53F87249" w14:textId="77777777" w:rsidR="00E47AB8" w:rsidRPr="008B2F8A" w:rsidRDefault="00E47AB8" w:rsidP="00422306">
            <w:pPr>
              <w:autoSpaceDE w:val="0"/>
              <w:autoSpaceDN w:val="0"/>
              <w:adjustRightInd w:val="0"/>
              <w:spacing w:before="40" w:after="80"/>
              <w:ind w:left="11" w:hanging="11"/>
              <w:rPr>
                <w:rFonts w:ascii="Arial Narrow" w:eastAsia="Times New Roman" w:hAnsi="Arial Narrow"/>
                <w:b/>
                <w:lang w:eastAsia="en-AU"/>
              </w:rPr>
            </w:pPr>
            <w:r w:rsidRPr="008B2F8A">
              <w:rPr>
                <w:rFonts w:ascii="Arial Narrow" w:eastAsia="Times New Roman" w:hAnsi="Arial Narrow"/>
                <w:b/>
                <w:lang w:eastAsia="en-AU"/>
              </w:rPr>
              <w:t>Name</w:t>
            </w:r>
          </w:p>
        </w:tc>
        <w:tc>
          <w:tcPr>
            <w:tcW w:w="5534" w:type="dxa"/>
            <w:tcBorders>
              <w:top w:val="single" w:sz="4" w:space="0" w:color="auto"/>
            </w:tcBorders>
            <w:vAlign w:val="center"/>
          </w:tcPr>
          <w:p w14:paraId="7D453A6D" w14:textId="77777777" w:rsidR="00E47AB8" w:rsidRPr="008B2F8A" w:rsidRDefault="00E47AB8" w:rsidP="00422306">
            <w:pPr>
              <w:autoSpaceDE w:val="0"/>
              <w:autoSpaceDN w:val="0"/>
              <w:adjustRightInd w:val="0"/>
              <w:spacing w:before="40" w:after="80"/>
              <w:ind w:left="11" w:hanging="11"/>
              <w:rPr>
                <w:rFonts w:ascii="Arial Narrow" w:eastAsia="Times New Roman" w:hAnsi="Arial Narrow"/>
                <w:b/>
                <w:lang w:eastAsia="en-AU"/>
              </w:rPr>
            </w:pPr>
            <w:r w:rsidRPr="008B2F8A">
              <w:rPr>
                <w:rFonts w:ascii="Arial Narrow" w:eastAsia="Times New Roman" w:hAnsi="Arial Narrow"/>
                <w:b/>
                <w:lang w:eastAsia="en-AU"/>
              </w:rPr>
              <w:t>Organisation</w:t>
            </w:r>
          </w:p>
        </w:tc>
      </w:tr>
      <w:tr w:rsidR="00E47AB8" w:rsidRPr="008B2F8A" w14:paraId="1E8FA097" w14:textId="77777777" w:rsidTr="00422306">
        <w:trPr>
          <w:cantSplit/>
        </w:trPr>
        <w:tc>
          <w:tcPr>
            <w:tcW w:w="3536" w:type="dxa"/>
            <w:tcBorders>
              <w:top w:val="single" w:sz="4" w:space="0" w:color="auto"/>
              <w:bottom w:val="single" w:sz="4" w:space="0" w:color="auto"/>
            </w:tcBorders>
            <w:vAlign w:val="center"/>
          </w:tcPr>
          <w:p w14:paraId="09BE1655"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Dr Briony Jack</w:t>
            </w:r>
          </w:p>
        </w:tc>
        <w:tc>
          <w:tcPr>
            <w:tcW w:w="5534" w:type="dxa"/>
            <w:tcBorders>
              <w:top w:val="single" w:sz="4" w:space="0" w:color="auto"/>
              <w:bottom w:val="single" w:sz="4" w:space="0" w:color="auto"/>
            </w:tcBorders>
            <w:vAlign w:val="center"/>
          </w:tcPr>
          <w:p w14:paraId="5C6B61B1"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NHMRC Clinical Trials Centre</w:t>
            </w:r>
          </w:p>
        </w:tc>
      </w:tr>
      <w:tr w:rsidR="00E47AB8" w:rsidRPr="008B2F8A" w14:paraId="6E21D6A1" w14:textId="77777777" w:rsidTr="00422306">
        <w:trPr>
          <w:cantSplit/>
        </w:trPr>
        <w:tc>
          <w:tcPr>
            <w:tcW w:w="3536" w:type="dxa"/>
            <w:tcBorders>
              <w:top w:val="single" w:sz="4" w:space="0" w:color="auto"/>
              <w:bottom w:val="single" w:sz="4" w:space="0" w:color="auto"/>
            </w:tcBorders>
            <w:vAlign w:val="center"/>
          </w:tcPr>
          <w:p w14:paraId="071079CE"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Dr Samara Lewis</w:t>
            </w:r>
          </w:p>
        </w:tc>
        <w:tc>
          <w:tcPr>
            <w:tcW w:w="5534" w:type="dxa"/>
            <w:tcBorders>
              <w:top w:val="single" w:sz="4" w:space="0" w:color="auto"/>
              <w:bottom w:val="single" w:sz="4" w:space="0" w:color="auto"/>
            </w:tcBorders>
            <w:vAlign w:val="center"/>
          </w:tcPr>
          <w:p w14:paraId="1E1D891D"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NHMRC Clinical Trials Centre</w:t>
            </w:r>
          </w:p>
        </w:tc>
      </w:tr>
      <w:tr w:rsidR="00E47AB8" w:rsidRPr="008B2F8A" w14:paraId="48F807BD" w14:textId="77777777" w:rsidTr="00422306">
        <w:trPr>
          <w:cantSplit/>
        </w:trPr>
        <w:tc>
          <w:tcPr>
            <w:tcW w:w="3536" w:type="dxa"/>
            <w:tcBorders>
              <w:top w:val="single" w:sz="4" w:space="0" w:color="auto"/>
              <w:bottom w:val="single" w:sz="4" w:space="0" w:color="auto"/>
            </w:tcBorders>
            <w:vAlign w:val="center"/>
          </w:tcPr>
          <w:p w14:paraId="2333C810"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Dr Anna Stoklosa</w:t>
            </w:r>
          </w:p>
        </w:tc>
        <w:tc>
          <w:tcPr>
            <w:tcW w:w="5534" w:type="dxa"/>
            <w:tcBorders>
              <w:top w:val="single" w:sz="4" w:space="0" w:color="auto"/>
              <w:bottom w:val="single" w:sz="4" w:space="0" w:color="auto"/>
            </w:tcBorders>
            <w:vAlign w:val="center"/>
          </w:tcPr>
          <w:p w14:paraId="148EE51B"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NHMRC Clinical Trials Centre</w:t>
            </w:r>
          </w:p>
        </w:tc>
      </w:tr>
      <w:tr w:rsidR="00E47AB8" w:rsidRPr="008B2F8A" w14:paraId="773704A3" w14:textId="77777777" w:rsidTr="00422306">
        <w:trPr>
          <w:cantSplit/>
        </w:trPr>
        <w:tc>
          <w:tcPr>
            <w:tcW w:w="3536" w:type="dxa"/>
            <w:tcBorders>
              <w:top w:val="single" w:sz="4" w:space="0" w:color="auto"/>
              <w:bottom w:val="single" w:sz="4" w:space="0" w:color="auto"/>
            </w:tcBorders>
            <w:vAlign w:val="center"/>
          </w:tcPr>
          <w:p w14:paraId="6E4DA9B6"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Dr Melina Willson</w:t>
            </w:r>
          </w:p>
        </w:tc>
        <w:tc>
          <w:tcPr>
            <w:tcW w:w="5534" w:type="dxa"/>
            <w:tcBorders>
              <w:top w:val="single" w:sz="4" w:space="0" w:color="auto"/>
              <w:bottom w:val="single" w:sz="4" w:space="0" w:color="auto"/>
            </w:tcBorders>
            <w:vAlign w:val="center"/>
          </w:tcPr>
          <w:p w14:paraId="347492F8"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NHMRC Clinical Trials Centre</w:t>
            </w:r>
          </w:p>
        </w:tc>
      </w:tr>
      <w:tr w:rsidR="00E47AB8" w:rsidRPr="008B2F8A" w14:paraId="442F1FDE" w14:textId="77777777" w:rsidTr="00422306">
        <w:trPr>
          <w:cantSplit/>
        </w:trPr>
        <w:tc>
          <w:tcPr>
            <w:tcW w:w="3536" w:type="dxa"/>
            <w:tcBorders>
              <w:top w:val="single" w:sz="4" w:space="0" w:color="auto"/>
              <w:bottom w:val="single" w:sz="4" w:space="0" w:color="auto"/>
            </w:tcBorders>
            <w:vAlign w:val="center"/>
          </w:tcPr>
          <w:p w14:paraId="14B9EB89"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Ms Sally Wortley</w:t>
            </w:r>
          </w:p>
        </w:tc>
        <w:tc>
          <w:tcPr>
            <w:tcW w:w="5534" w:type="dxa"/>
            <w:tcBorders>
              <w:top w:val="single" w:sz="4" w:space="0" w:color="auto"/>
              <w:bottom w:val="single" w:sz="4" w:space="0" w:color="auto"/>
            </w:tcBorders>
            <w:vAlign w:val="center"/>
          </w:tcPr>
          <w:p w14:paraId="3B8DA63C"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NHMRC Clinical Trials Centre</w:t>
            </w:r>
          </w:p>
        </w:tc>
      </w:tr>
      <w:tr w:rsidR="00E47AB8" w:rsidRPr="008B2F8A" w14:paraId="2BE5302C" w14:textId="77777777" w:rsidTr="00422306">
        <w:trPr>
          <w:cantSplit/>
        </w:trPr>
        <w:tc>
          <w:tcPr>
            <w:tcW w:w="3536" w:type="dxa"/>
            <w:tcBorders>
              <w:top w:val="single" w:sz="4" w:space="0" w:color="auto"/>
              <w:bottom w:val="single" w:sz="4" w:space="0" w:color="auto"/>
            </w:tcBorders>
            <w:vAlign w:val="center"/>
          </w:tcPr>
          <w:p w14:paraId="5EE659D8"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Ms Nimita Arora</w:t>
            </w:r>
          </w:p>
        </w:tc>
        <w:tc>
          <w:tcPr>
            <w:tcW w:w="5534" w:type="dxa"/>
            <w:tcBorders>
              <w:top w:val="single" w:sz="4" w:space="0" w:color="auto"/>
              <w:bottom w:val="single" w:sz="4" w:space="0" w:color="auto"/>
            </w:tcBorders>
            <w:vAlign w:val="center"/>
          </w:tcPr>
          <w:p w14:paraId="46119746"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THEMA Consulting</w:t>
            </w:r>
          </w:p>
        </w:tc>
      </w:tr>
      <w:tr w:rsidR="00E47AB8" w:rsidRPr="008B2F8A" w14:paraId="0F735946" w14:textId="77777777" w:rsidTr="00422306">
        <w:trPr>
          <w:cantSplit/>
        </w:trPr>
        <w:tc>
          <w:tcPr>
            <w:tcW w:w="3536" w:type="dxa"/>
            <w:tcBorders>
              <w:top w:val="single" w:sz="4" w:space="0" w:color="auto"/>
              <w:bottom w:val="single" w:sz="4" w:space="0" w:color="auto"/>
            </w:tcBorders>
            <w:vAlign w:val="center"/>
          </w:tcPr>
          <w:p w14:paraId="1275D65D"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Mr Dan Jackson</w:t>
            </w:r>
          </w:p>
        </w:tc>
        <w:tc>
          <w:tcPr>
            <w:tcW w:w="5534" w:type="dxa"/>
            <w:tcBorders>
              <w:top w:val="single" w:sz="4" w:space="0" w:color="auto"/>
              <w:bottom w:val="single" w:sz="4" w:space="0" w:color="auto"/>
            </w:tcBorders>
            <w:vAlign w:val="center"/>
          </w:tcPr>
          <w:p w14:paraId="4DAD611C"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THEMA Consulting</w:t>
            </w:r>
          </w:p>
        </w:tc>
      </w:tr>
      <w:tr w:rsidR="00E47AB8" w:rsidRPr="008B2F8A" w14:paraId="51A0FCA9" w14:textId="77777777" w:rsidTr="00422306">
        <w:trPr>
          <w:cantSplit/>
        </w:trPr>
        <w:tc>
          <w:tcPr>
            <w:tcW w:w="3536" w:type="dxa"/>
            <w:tcBorders>
              <w:top w:val="single" w:sz="4" w:space="0" w:color="auto"/>
              <w:bottom w:val="single" w:sz="4" w:space="0" w:color="auto"/>
            </w:tcBorders>
            <w:vAlign w:val="center"/>
          </w:tcPr>
          <w:p w14:paraId="57348DB2"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Mr Dominic Tilden</w:t>
            </w:r>
          </w:p>
        </w:tc>
        <w:tc>
          <w:tcPr>
            <w:tcW w:w="5534" w:type="dxa"/>
            <w:tcBorders>
              <w:top w:val="single" w:sz="4" w:space="0" w:color="auto"/>
              <w:bottom w:val="single" w:sz="4" w:space="0" w:color="auto"/>
            </w:tcBorders>
            <w:vAlign w:val="center"/>
          </w:tcPr>
          <w:p w14:paraId="162CD982" w14:textId="77777777" w:rsidR="00E47AB8" w:rsidRPr="008B2F8A" w:rsidRDefault="00E47AB8" w:rsidP="00422306">
            <w:pPr>
              <w:autoSpaceDE w:val="0"/>
              <w:autoSpaceDN w:val="0"/>
              <w:adjustRightInd w:val="0"/>
              <w:spacing w:before="40" w:after="80"/>
              <w:ind w:left="34" w:hanging="34"/>
              <w:rPr>
                <w:rFonts w:ascii="Arial Narrow" w:eastAsia="Times New Roman" w:hAnsi="Arial Narrow"/>
                <w:lang w:eastAsia="en-AU"/>
              </w:rPr>
            </w:pPr>
            <w:r w:rsidRPr="008B2F8A">
              <w:rPr>
                <w:rFonts w:ascii="Arial Narrow" w:eastAsia="Times New Roman" w:hAnsi="Arial Narrow"/>
                <w:lang w:eastAsia="en-AU"/>
              </w:rPr>
              <w:t>THEMA Consulting</w:t>
            </w:r>
          </w:p>
        </w:tc>
      </w:tr>
    </w:tbl>
    <w:p w14:paraId="166D777C" w14:textId="77777777" w:rsidR="00E47AB8" w:rsidRPr="008B2F8A" w:rsidRDefault="00E47AB8" w:rsidP="00422306">
      <w:pPr>
        <w:rPr>
          <w:color w:val="000000"/>
          <w:sz w:val="24"/>
          <w:szCs w:val="24"/>
        </w:rPr>
      </w:pPr>
    </w:p>
    <w:p w14:paraId="008D7B0F" w14:textId="77777777" w:rsidR="00E47AB8" w:rsidRPr="008B2F8A" w:rsidRDefault="00E47AB8" w:rsidP="00422306">
      <w:pPr>
        <w:pStyle w:val="Heading1"/>
        <w:numPr>
          <w:ilvl w:val="0"/>
          <w:numId w:val="0"/>
        </w:numPr>
        <w:rPr>
          <w:lang w:eastAsia="en-AU"/>
        </w:rPr>
      </w:pPr>
      <w:r w:rsidRPr="008B2F8A">
        <w:br w:type="page"/>
      </w:r>
      <w:bookmarkStart w:id="1446" w:name="_Ref373401753"/>
      <w:bookmarkStart w:id="1447" w:name="_Toc214339199"/>
      <w:bookmarkStart w:id="1448" w:name="_Ref373413938"/>
      <w:bookmarkStart w:id="1449" w:name="_Toc383424546"/>
      <w:r w:rsidRPr="008B2F8A">
        <w:lastRenderedPageBreak/>
        <w:t xml:space="preserve">Appendix </w:t>
      </w:r>
      <w:fldSimple w:instr=" SEQ Appendix \* ARABIC ">
        <w:r w:rsidR="00B81273">
          <w:rPr>
            <w:noProof/>
          </w:rPr>
          <w:t>2</w:t>
        </w:r>
      </w:fldSimple>
      <w:bookmarkEnd w:id="1446"/>
      <w:r w:rsidRPr="008B2F8A">
        <w:t>:</w:t>
      </w:r>
      <w:bookmarkEnd w:id="1447"/>
      <w:bookmarkEnd w:id="1448"/>
      <w:r w:rsidRPr="008B2F8A">
        <w:rPr>
          <w:lang w:eastAsia="en-AU"/>
        </w:rPr>
        <w:t xml:space="preserve"> Search strategies</w:t>
      </w:r>
      <w:bookmarkEnd w:id="1449"/>
    </w:p>
    <w:p w14:paraId="4EB6ABF7" w14:textId="77777777" w:rsidR="00E47AB8" w:rsidRPr="008B2F8A" w:rsidRDefault="00E47AB8" w:rsidP="00422306">
      <w:pPr>
        <w:pStyle w:val="AppendixHeading2"/>
      </w:pPr>
      <w:r w:rsidRPr="008B2F8A">
        <w:t>Search strategies for asymptomatic high-risk women</w:t>
      </w:r>
    </w:p>
    <w:p w14:paraId="50F00171" w14:textId="77777777" w:rsidR="00E47AB8" w:rsidRPr="008B2F8A" w:rsidRDefault="00E47AB8" w:rsidP="00422306">
      <w:pPr>
        <w:pStyle w:val="Caption"/>
      </w:pPr>
      <w:r w:rsidRPr="008B2F8A">
        <w:t>EMBASE.com search strategy.</w:t>
      </w:r>
    </w:p>
    <w:tbl>
      <w:tblPr>
        <w:tblStyle w:val="TableGrid"/>
        <w:tblW w:w="6134" w:type="dxa"/>
        <w:tblCellMar>
          <w:left w:w="28" w:type="dxa"/>
          <w:right w:w="28" w:type="dxa"/>
        </w:tblCellMar>
        <w:tblLook w:val="04A0" w:firstRow="1" w:lastRow="0" w:firstColumn="1" w:lastColumn="0" w:noHBand="0" w:noVBand="1"/>
        <w:tblCaption w:val="EMBASE.com search strategy."/>
      </w:tblPr>
      <w:tblGrid>
        <w:gridCol w:w="880"/>
        <w:gridCol w:w="5254"/>
      </w:tblGrid>
      <w:tr w:rsidR="00E47AB8" w:rsidRPr="008B2F8A" w14:paraId="2AFAE0E8" w14:textId="77777777" w:rsidTr="004E7861">
        <w:trPr>
          <w:tblHeader/>
        </w:trPr>
        <w:tc>
          <w:tcPr>
            <w:tcW w:w="880" w:type="dxa"/>
          </w:tcPr>
          <w:p w14:paraId="227421C5" w14:textId="77777777" w:rsidR="00E47AB8" w:rsidRPr="008B2F8A" w:rsidRDefault="00E47AB8" w:rsidP="00422306">
            <w:pPr>
              <w:pStyle w:val="Tableheaderrow"/>
              <w:autoSpaceDE w:val="0"/>
              <w:autoSpaceDN w:val="0"/>
              <w:adjustRightInd w:val="0"/>
              <w:spacing w:before="40" w:after="80" w:line="276" w:lineRule="auto"/>
            </w:pPr>
            <w:r w:rsidRPr="008B2F8A">
              <w:t>Number</w:t>
            </w:r>
          </w:p>
        </w:tc>
        <w:tc>
          <w:tcPr>
            <w:tcW w:w="5254" w:type="dxa"/>
          </w:tcPr>
          <w:p w14:paraId="5C40549D" w14:textId="77777777" w:rsidR="00E47AB8" w:rsidRPr="008B2F8A" w:rsidRDefault="00E47AB8" w:rsidP="00422306">
            <w:pPr>
              <w:pStyle w:val="Tableheaderrow"/>
              <w:autoSpaceDE w:val="0"/>
              <w:autoSpaceDN w:val="0"/>
              <w:adjustRightInd w:val="0"/>
              <w:spacing w:before="40" w:after="80" w:line="276" w:lineRule="auto"/>
            </w:pPr>
            <w:r w:rsidRPr="008B2F8A">
              <w:t>Search strategy</w:t>
            </w:r>
          </w:p>
        </w:tc>
      </w:tr>
      <w:tr w:rsidR="00E47AB8" w:rsidRPr="008B2F8A" w14:paraId="25B6193B" w14:textId="77777777" w:rsidTr="004E7861">
        <w:tc>
          <w:tcPr>
            <w:tcW w:w="880" w:type="dxa"/>
          </w:tcPr>
          <w:p w14:paraId="7592DDE6" w14:textId="77777777" w:rsidR="00E47AB8" w:rsidRPr="008B2F8A" w:rsidRDefault="00E47AB8" w:rsidP="00422306">
            <w:pPr>
              <w:pStyle w:val="Tabletext"/>
              <w:autoSpaceDE w:val="0"/>
              <w:autoSpaceDN w:val="0"/>
              <w:adjustRightInd w:val="0"/>
              <w:spacing w:before="40" w:after="80" w:line="276" w:lineRule="auto"/>
            </w:pPr>
            <w:r w:rsidRPr="008B2F8A">
              <w:t>#1</w:t>
            </w:r>
          </w:p>
        </w:tc>
        <w:tc>
          <w:tcPr>
            <w:tcW w:w="5254" w:type="dxa"/>
          </w:tcPr>
          <w:p w14:paraId="1E57B48C"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‘magnetic resonance imaging’/exp</w:t>
            </w:r>
          </w:p>
        </w:tc>
      </w:tr>
      <w:tr w:rsidR="00E47AB8" w:rsidRPr="008B2F8A" w14:paraId="255D99F0" w14:textId="77777777" w:rsidTr="004E7861">
        <w:tc>
          <w:tcPr>
            <w:tcW w:w="880" w:type="dxa"/>
          </w:tcPr>
          <w:p w14:paraId="55F2B304" w14:textId="77777777" w:rsidR="00E47AB8" w:rsidRPr="008B2F8A" w:rsidRDefault="00E47AB8" w:rsidP="00422306">
            <w:pPr>
              <w:pStyle w:val="Tabletext"/>
              <w:autoSpaceDE w:val="0"/>
              <w:autoSpaceDN w:val="0"/>
              <w:adjustRightInd w:val="0"/>
              <w:spacing w:before="40" w:after="80" w:line="276" w:lineRule="auto"/>
            </w:pPr>
            <w:r w:rsidRPr="008B2F8A">
              <w:t>#2</w:t>
            </w:r>
          </w:p>
        </w:tc>
        <w:tc>
          <w:tcPr>
            <w:tcW w:w="5254" w:type="dxa"/>
          </w:tcPr>
          <w:p w14:paraId="5ACA7E56"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‘mri’/mj</w:t>
            </w:r>
          </w:p>
        </w:tc>
      </w:tr>
      <w:tr w:rsidR="00E47AB8" w:rsidRPr="008B2F8A" w14:paraId="13A3C0DB" w14:textId="77777777" w:rsidTr="004E7861">
        <w:tc>
          <w:tcPr>
            <w:tcW w:w="880" w:type="dxa"/>
          </w:tcPr>
          <w:p w14:paraId="12E746DC" w14:textId="77777777" w:rsidR="00E47AB8" w:rsidRPr="008B2F8A" w:rsidRDefault="00E47AB8" w:rsidP="00422306">
            <w:pPr>
              <w:pStyle w:val="Tabletext"/>
              <w:autoSpaceDE w:val="0"/>
              <w:autoSpaceDN w:val="0"/>
              <w:adjustRightInd w:val="0"/>
              <w:spacing w:before="40" w:after="80" w:line="276" w:lineRule="auto"/>
            </w:pPr>
            <w:r w:rsidRPr="008B2F8A">
              <w:t>#3</w:t>
            </w:r>
          </w:p>
        </w:tc>
        <w:tc>
          <w:tcPr>
            <w:tcW w:w="5254" w:type="dxa"/>
          </w:tcPr>
          <w:p w14:paraId="4D962204"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‘mri scan’</w:t>
            </w:r>
          </w:p>
        </w:tc>
      </w:tr>
      <w:tr w:rsidR="00E47AB8" w:rsidRPr="008B2F8A" w14:paraId="4617D468" w14:textId="77777777" w:rsidTr="004E7861">
        <w:tc>
          <w:tcPr>
            <w:tcW w:w="880" w:type="dxa"/>
          </w:tcPr>
          <w:p w14:paraId="0C2A5D64" w14:textId="77777777" w:rsidR="00E47AB8" w:rsidRPr="008B2F8A" w:rsidRDefault="00E47AB8" w:rsidP="00422306">
            <w:pPr>
              <w:pStyle w:val="Tabletext"/>
              <w:autoSpaceDE w:val="0"/>
              <w:autoSpaceDN w:val="0"/>
              <w:adjustRightInd w:val="0"/>
              <w:spacing w:before="40" w:after="80" w:line="276" w:lineRule="auto"/>
            </w:pPr>
            <w:r w:rsidRPr="008B2F8A">
              <w:t>#4</w:t>
            </w:r>
          </w:p>
        </w:tc>
        <w:tc>
          <w:tcPr>
            <w:tcW w:w="5254" w:type="dxa"/>
          </w:tcPr>
          <w:p w14:paraId="504D71E9"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mri’</w:t>
            </w:r>
          </w:p>
        </w:tc>
      </w:tr>
      <w:tr w:rsidR="00E47AB8" w:rsidRPr="008B2F8A" w14:paraId="4A216AEE" w14:textId="77777777" w:rsidTr="004E7861">
        <w:tc>
          <w:tcPr>
            <w:tcW w:w="880" w:type="dxa"/>
          </w:tcPr>
          <w:p w14:paraId="1B3C6EAD" w14:textId="77777777" w:rsidR="00E47AB8" w:rsidRPr="008B2F8A" w:rsidRDefault="00E47AB8" w:rsidP="00422306">
            <w:pPr>
              <w:pStyle w:val="Tabletext"/>
              <w:autoSpaceDE w:val="0"/>
              <w:autoSpaceDN w:val="0"/>
              <w:adjustRightInd w:val="0"/>
              <w:spacing w:before="40" w:after="80" w:line="276" w:lineRule="auto"/>
            </w:pPr>
            <w:r w:rsidRPr="008B2F8A">
              <w:t xml:space="preserve">#5 </w:t>
            </w:r>
          </w:p>
        </w:tc>
        <w:tc>
          <w:tcPr>
            <w:tcW w:w="5254" w:type="dxa"/>
          </w:tcPr>
          <w:p w14:paraId="786EB4F7"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#1 OR #2 OR #3 OR #4</w:t>
            </w:r>
          </w:p>
        </w:tc>
      </w:tr>
      <w:tr w:rsidR="00E47AB8" w:rsidRPr="008B2F8A" w14:paraId="3236ED6C" w14:textId="77777777" w:rsidTr="004E7861">
        <w:tc>
          <w:tcPr>
            <w:tcW w:w="880" w:type="dxa"/>
          </w:tcPr>
          <w:p w14:paraId="7F100865" w14:textId="77777777" w:rsidR="00E47AB8" w:rsidRPr="008B2F8A" w:rsidRDefault="00E47AB8" w:rsidP="00422306">
            <w:pPr>
              <w:pStyle w:val="Tabletext"/>
              <w:autoSpaceDE w:val="0"/>
              <w:autoSpaceDN w:val="0"/>
              <w:adjustRightInd w:val="0"/>
              <w:spacing w:before="40" w:after="80" w:line="276" w:lineRule="auto"/>
            </w:pPr>
            <w:r w:rsidRPr="008B2F8A">
              <w:t xml:space="preserve">#6 </w:t>
            </w:r>
          </w:p>
        </w:tc>
        <w:tc>
          <w:tcPr>
            <w:tcW w:w="5254" w:type="dxa"/>
          </w:tcPr>
          <w:p w14:paraId="251F0606"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cancer’/exp</w:t>
            </w:r>
          </w:p>
        </w:tc>
      </w:tr>
      <w:tr w:rsidR="00E47AB8" w:rsidRPr="008B2F8A" w14:paraId="0AF04815" w14:textId="77777777" w:rsidTr="004E7861">
        <w:tc>
          <w:tcPr>
            <w:tcW w:w="880" w:type="dxa"/>
          </w:tcPr>
          <w:p w14:paraId="003F0887" w14:textId="77777777" w:rsidR="00E47AB8" w:rsidRPr="008B2F8A" w:rsidRDefault="00E47AB8" w:rsidP="00422306">
            <w:pPr>
              <w:pStyle w:val="Tabletext"/>
              <w:autoSpaceDE w:val="0"/>
              <w:autoSpaceDN w:val="0"/>
              <w:adjustRightInd w:val="0"/>
              <w:spacing w:before="40" w:after="80" w:line="276" w:lineRule="auto"/>
            </w:pPr>
            <w:r w:rsidRPr="008B2F8A">
              <w:t>#7</w:t>
            </w:r>
          </w:p>
        </w:tc>
        <w:tc>
          <w:tcPr>
            <w:tcW w:w="5254" w:type="dxa"/>
          </w:tcPr>
          <w:p w14:paraId="0D36D0AD"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tumour’</w:t>
            </w:r>
          </w:p>
        </w:tc>
      </w:tr>
      <w:tr w:rsidR="00E47AB8" w:rsidRPr="008B2F8A" w14:paraId="278DF348" w14:textId="77777777" w:rsidTr="004E7861">
        <w:tc>
          <w:tcPr>
            <w:tcW w:w="880" w:type="dxa"/>
          </w:tcPr>
          <w:p w14:paraId="3F09F735" w14:textId="77777777" w:rsidR="00E47AB8" w:rsidRPr="008B2F8A" w:rsidRDefault="00E47AB8" w:rsidP="00422306">
            <w:pPr>
              <w:pStyle w:val="Tabletext"/>
              <w:autoSpaceDE w:val="0"/>
              <w:autoSpaceDN w:val="0"/>
              <w:adjustRightInd w:val="0"/>
              <w:spacing w:before="40" w:after="80" w:line="276" w:lineRule="auto"/>
            </w:pPr>
            <w:r w:rsidRPr="008B2F8A">
              <w:t xml:space="preserve">#8 </w:t>
            </w:r>
          </w:p>
        </w:tc>
        <w:tc>
          <w:tcPr>
            <w:tcW w:w="5254" w:type="dxa"/>
          </w:tcPr>
          <w:p w14:paraId="7C5D6F90"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carcinoma’/mj</w:t>
            </w:r>
          </w:p>
        </w:tc>
      </w:tr>
      <w:tr w:rsidR="00E47AB8" w:rsidRPr="008B2F8A" w14:paraId="006B1104" w14:textId="77777777" w:rsidTr="004E7861">
        <w:tc>
          <w:tcPr>
            <w:tcW w:w="880" w:type="dxa"/>
          </w:tcPr>
          <w:p w14:paraId="0BBAD053" w14:textId="77777777" w:rsidR="00E47AB8" w:rsidRPr="008B2F8A" w:rsidRDefault="00E47AB8" w:rsidP="00422306">
            <w:pPr>
              <w:pStyle w:val="Tabletext"/>
              <w:autoSpaceDE w:val="0"/>
              <w:autoSpaceDN w:val="0"/>
              <w:adjustRightInd w:val="0"/>
              <w:spacing w:before="40" w:after="80" w:line="276" w:lineRule="auto"/>
            </w:pPr>
            <w:r w:rsidRPr="008B2F8A">
              <w:t xml:space="preserve">#9 </w:t>
            </w:r>
          </w:p>
        </w:tc>
        <w:tc>
          <w:tcPr>
            <w:tcW w:w="5254" w:type="dxa"/>
          </w:tcPr>
          <w:p w14:paraId="18D6B85A"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screening’</w:t>
            </w:r>
          </w:p>
        </w:tc>
      </w:tr>
      <w:tr w:rsidR="00E47AB8" w:rsidRPr="008B2F8A" w14:paraId="4817C7E3" w14:textId="77777777" w:rsidTr="004E7861">
        <w:tc>
          <w:tcPr>
            <w:tcW w:w="880" w:type="dxa"/>
          </w:tcPr>
          <w:p w14:paraId="26788266" w14:textId="77777777" w:rsidR="00E47AB8" w:rsidRPr="008B2F8A" w:rsidRDefault="00E47AB8" w:rsidP="00422306">
            <w:pPr>
              <w:pStyle w:val="Tabletext"/>
              <w:autoSpaceDE w:val="0"/>
              <w:autoSpaceDN w:val="0"/>
              <w:adjustRightInd w:val="0"/>
              <w:spacing w:before="40" w:after="80" w:line="276" w:lineRule="auto"/>
            </w:pPr>
            <w:r w:rsidRPr="008B2F8A">
              <w:t xml:space="preserve">#10 </w:t>
            </w:r>
          </w:p>
        </w:tc>
        <w:tc>
          <w:tcPr>
            <w:tcW w:w="5254" w:type="dxa"/>
          </w:tcPr>
          <w:p w14:paraId="782F4284"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#6 OR #7 OR #8 OR #9</w:t>
            </w:r>
          </w:p>
        </w:tc>
      </w:tr>
      <w:tr w:rsidR="00E47AB8" w:rsidRPr="008B2F8A" w14:paraId="28BC72D7" w14:textId="77777777" w:rsidTr="004E7861">
        <w:tc>
          <w:tcPr>
            <w:tcW w:w="880" w:type="dxa"/>
          </w:tcPr>
          <w:p w14:paraId="535C3059" w14:textId="77777777" w:rsidR="00E47AB8" w:rsidRPr="008B2F8A" w:rsidRDefault="00E47AB8" w:rsidP="00422306">
            <w:pPr>
              <w:pStyle w:val="Tabletext"/>
              <w:autoSpaceDE w:val="0"/>
              <w:autoSpaceDN w:val="0"/>
              <w:adjustRightInd w:val="0"/>
              <w:spacing w:before="40" w:after="80" w:line="276" w:lineRule="auto"/>
            </w:pPr>
            <w:r w:rsidRPr="008B2F8A">
              <w:t xml:space="preserve">#11 </w:t>
            </w:r>
          </w:p>
        </w:tc>
        <w:tc>
          <w:tcPr>
            <w:tcW w:w="5254" w:type="dxa"/>
          </w:tcPr>
          <w:p w14:paraId="12B79ADB"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#5 AND #10</w:t>
            </w:r>
          </w:p>
        </w:tc>
      </w:tr>
      <w:tr w:rsidR="00E47AB8" w:rsidRPr="008B2F8A" w14:paraId="2E940B6C" w14:textId="77777777" w:rsidTr="004E7861">
        <w:tc>
          <w:tcPr>
            <w:tcW w:w="880" w:type="dxa"/>
          </w:tcPr>
          <w:p w14:paraId="608E6D2F" w14:textId="77777777" w:rsidR="00E47AB8" w:rsidRPr="008B2F8A" w:rsidRDefault="00E47AB8" w:rsidP="00422306">
            <w:pPr>
              <w:pStyle w:val="Tabletext"/>
              <w:autoSpaceDE w:val="0"/>
              <w:autoSpaceDN w:val="0"/>
              <w:adjustRightInd w:val="0"/>
              <w:spacing w:before="40" w:after="80" w:line="276" w:lineRule="auto"/>
            </w:pPr>
            <w:r w:rsidRPr="008B2F8A">
              <w:t xml:space="preserve">#12 </w:t>
            </w:r>
          </w:p>
        </w:tc>
        <w:tc>
          <w:tcPr>
            <w:tcW w:w="5254" w:type="dxa"/>
          </w:tcPr>
          <w:p w14:paraId="52FF7E10"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#11 AND [english]/lim AND [female]/lim</w:t>
            </w:r>
          </w:p>
        </w:tc>
      </w:tr>
      <w:tr w:rsidR="00E47AB8" w:rsidRPr="008B2F8A" w14:paraId="5E14EF79" w14:textId="77777777" w:rsidTr="004E7861">
        <w:tc>
          <w:tcPr>
            <w:tcW w:w="880" w:type="dxa"/>
          </w:tcPr>
          <w:p w14:paraId="0086FF63" w14:textId="77777777" w:rsidR="00E47AB8" w:rsidRPr="008B2F8A" w:rsidRDefault="00E47AB8" w:rsidP="00422306">
            <w:pPr>
              <w:pStyle w:val="Tabletext"/>
              <w:autoSpaceDE w:val="0"/>
              <w:autoSpaceDN w:val="0"/>
              <w:adjustRightInd w:val="0"/>
              <w:spacing w:before="40" w:after="80" w:line="276" w:lineRule="auto"/>
            </w:pPr>
            <w:r w:rsidRPr="008B2F8A">
              <w:t xml:space="preserve">#13 </w:t>
            </w:r>
          </w:p>
        </w:tc>
        <w:tc>
          <w:tcPr>
            <w:tcW w:w="5254" w:type="dxa"/>
          </w:tcPr>
          <w:p w14:paraId="56002193"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#12 AND [2006–2013]/py</w:t>
            </w:r>
          </w:p>
        </w:tc>
      </w:tr>
    </w:tbl>
    <w:p w14:paraId="6433EFEA" w14:textId="77777777" w:rsidR="00E47AB8" w:rsidRPr="008B2F8A" w:rsidRDefault="00E47AB8" w:rsidP="00422306">
      <w:pPr>
        <w:spacing w:after="0"/>
        <w:rPr>
          <w:rFonts w:eastAsia="Times New Roman"/>
          <w:sz w:val="24"/>
          <w:szCs w:val="24"/>
        </w:rPr>
      </w:pPr>
    </w:p>
    <w:p w14:paraId="3787C09F" w14:textId="1C3FC82E" w:rsidR="00E47AB8" w:rsidRPr="008B2F8A" w:rsidRDefault="00E47AB8" w:rsidP="00422306">
      <w:pPr>
        <w:pStyle w:val="Caption"/>
      </w:pPr>
      <w:r w:rsidRPr="008B2F8A">
        <w:t>PreMEDLINE search strategy.</w:t>
      </w:r>
    </w:p>
    <w:tbl>
      <w:tblPr>
        <w:tblStyle w:val="TableGrid"/>
        <w:tblW w:w="6134" w:type="dxa"/>
        <w:tblCellMar>
          <w:left w:w="28" w:type="dxa"/>
          <w:right w:w="28" w:type="dxa"/>
        </w:tblCellMar>
        <w:tblLook w:val="04A0" w:firstRow="1" w:lastRow="0" w:firstColumn="1" w:lastColumn="0" w:noHBand="0" w:noVBand="1"/>
        <w:tblCaption w:val="PreMEDLINE search strategy."/>
      </w:tblPr>
      <w:tblGrid>
        <w:gridCol w:w="880"/>
        <w:gridCol w:w="5254"/>
      </w:tblGrid>
      <w:tr w:rsidR="00E47AB8" w:rsidRPr="008B2F8A" w14:paraId="1808107E" w14:textId="77777777" w:rsidTr="00422306">
        <w:trPr>
          <w:tblHeader/>
        </w:trPr>
        <w:tc>
          <w:tcPr>
            <w:tcW w:w="880" w:type="dxa"/>
          </w:tcPr>
          <w:p w14:paraId="6DF55AB7" w14:textId="77777777" w:rsidR="00E47AB8" w:rsidRPr="008B2F8A" w:rsidRDefault="00E47AB8" w:rsidP="00422306">
            <w:pPr>
              <w:pStyle w:val="Tableheaderrow"/>
              <w:autoSpaceDE w:val="0"/>
              <w:autoSpaceDN w:val="0"/>
              <w:adjustRightInd w:val="0"/>
              <w:spacing w:before="40" w:after="80" w:line="276" w:lineRule="auto"/>
            </w:pPr>
            <w:r w:rsidRPr="008B2F8A">
              <w:t>Number</w:t>
            </w:r>
          </w:p>
        </w:tc>
        <w:tc>
          <w:tcPr>
            <w:tcW w:w="5254" w:type="dxa"/>
          </w:tcPr>
          <w:p w14:paraId="78A61F34" w14:textId="77777777" w:rsidR="00E47AB8" w:rsidRPr="008B2F8A" w:rsidRDefault="00E47AB8" w:rsidP="00422306">
            <w:pPr>
              <w:pStyle w:val="Tableheaderrow"/>
              <w:autoSpaceDE w:val="0"/>
              <w:autoSpaceDN w:val="0"/>
              <w:adjustRightInd w:val="0"/>
              <w:spacing w:before="40" w:after="80" w:line="276" w:lineRule="auto"/>
              <w:rPr>
                <w:rFonts w:eastAsia="Times New Roman"/>
              </w:rPr>
            </w:pPr>
            <w:r w:rsidRPr="008B2F8A">
              <w:rPr>
                <w:rFonts w:eastAsia="Times New Roman"/>
              </w:rPr>
              <w:t>Search strategy</w:t>
            </w:r>
          </w:p>
        </w:tc>
      </w:tr>
      <w:tr w:rsidR="00E47AB8" w:rsidRPr="008B2F8A" w14:paraId="2EF0B273" w14:textId="77777777" w:rsidTr="00422306">
        <w:tc>
          <w:tcPr>
            <w:tcW w:w="880" w:type="dxa"/>
          </w:tcPr>
          <w:p w14:paraId="086D7C55" w14:textId="77777777" w:rsidR="00E47AB8" w:rsidRPr="008B2F8A" w:rsidRDefault="00E47AB8" w:rsidP="00422306">
            <w:pPr>
              <w:pStyle w:val="Tabletext"/>
              <w:autoSpaceDE w:val="0"/>
              <w:autoSpaceDN w:val="0"/>
              <w:adjustRightInd w:val="0"/>
              <w:spacing w:before="40" w:after="80" w:line="276" w:lineRule="auto"/>
            </w:pPr>
            <w:r w:rsidRPr="008B2F8A">
              <w:t>1</w:t>
            </w:r>
          </w:p>
        </w:tc>
        <w:tc>
          <w:tcPr>
            <w:tcW w:w="5254" w:type="dxa"/>
          </w:tcPr>
          <w:p w14:paraId="6B477216"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magnetic resonance imaging.mp. or exp Magnetic Resonance Imaging/</w:t>
            </w:r>
          </w:p>
        </w:tc>
      </w:tr>
      <w:tr w:rsidR="00E47AB8" w:rsidRPr="008B2F8A" w14:paraId="1BCC9A55" w14:textId="77777777" w:rsidTr="00422306">
        <w:tc>
          <w:tcPr>
            <w:tcW w:w="880" w:type="dxa"/>
          </w:tcPr>
          <w:p w14:paraId="62FAB460" w14:textId="77777777" w:rsidR="00E47AB8" w:rsidRPr="008B2F8A" w:rsidRDefault="00E47AB8" w:rsidP="00422306">
            <w:pPr>
              <w:pStyle w:val="Tabletext"/>
              <w:autoSpaceDE w:val="0"/>
              <w:autoSpaceDN w:val="0"/>
              <w:adjustRightInd w:val="0"/>
              <w:spacing w:before="40" w:after="80" w:line="276" w:lineRule="auto"/>
            </w:pPr>
            <w:r w:rsidRPr="008B2F8A">
              <w:t>2</w:t>
            </w:r>
          </w:p>
        </w:tc>
        <w:tc>
          <w:tcPr>
            <w:tcW w:w="5254" w:type="dxa"/>
          </w:tcPr>
          <w:p w14:paraId="46E6B578"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MRI.ti,ab,kw.</w:t>
            </w:r>
          </w:p>
        </w:tc>
      </w:tr>
      <w:tr w:rsidR="00E47AB8" w:rsidRPr="008B2F8A" w14:paraId="13B02E51" w14:textId="77777777" w:rsidTr="00422306">
        <w:tc>
          <w:tcPr>
            <w:tcW w:w="880" w:type="dxa"/>
          </w:tcPr>
          <w:p w14:paraId="13496B46" w14:textId="77777777" w:rsidR="00E47AB8" w:rsidRPr="008B2F8A" w:rsidRDefault="00E47AB8" w:rsidP="00422306">
            <w:pPr>
              <w:pStyle w:val="Tabletext"/>
              <w:autoSpaceDE w:val="0"/>
              <w:autoSpaceDN w:val="0"/>
              <w:adjustRightInd w:val="0"/>
              <w:spacing w:before="40" w:after="80" w:line="276" w:lineRule="auto"/>
            </w:pPr>
            <w:r w:rsidRPr="008B2F8A">
              <w:t>3</w:t>
            </w:r>
          </w:p>
        </w:tc>
        <w:tc>
          <w:tcPr>
            <w:tcW w:w="5254" w:type="dxa"/>
          </w:tcPr>
          <w:p w14:paraId="02A51F58"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MRI scan.ti,ab,kw.</w:t>
            </w:r>
          </w:p>
        </w:tc>
      </w:tr>
      <w:tr w:rsidR="00E47AB8" w:rsidRPr="008B2F8A" w14:paraId="3C5C696A" w14:textId="77777777" w:rsidTr="00422306">
        <w:tc>
          <w:tcPr>
            <w:tcW w:w="880" w:type="dxa"/>
          </w:tcPr>
          <w:p w14:paraId="68ED8782" w14:textId="77777777" w:rsidR="00E47AB8" w:rsidRPr="008B2F8A" w:rsidRDefault="00E47AB8" w:rsidP="00422306">
            <w:pPr>
              <w:pStyle w:val="Tabletext"/>
              <w:autoSpaceDE w:val="0"/>
              <w:autoSpaceDN w:val="0"/>
              <w:adjustRightInd w:val="0"/>
              <w:spacing w:before="40" w:after="80" w:line="276" w:lineRule="auto"/>
            </w:pPr>
            <w:r w:rsidRPr="008B2F8A">
              <w:t>4</w:t>
            </w:r>
          </w:p>
        </w:tc>
        <w:tc>
          <w:tcPr>
            <w:tcW w:w="5254" w:type="dxa"/>
          </w:tcPr>
          <w:p w14:paraId="7B746BE7"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breast MRI.ti,ab,kw.</w:t>
            </w:r>
          </w:p>
        </w:tc>
      </w:tr>
      <w:tr w:rsidR="00E47AB8" w:rsidRPr="008B2F8A" w14:paraId="76E27FE0" w14:textId="77777777" w:rsidTr="00422306">
        <w:tc>
          <w:tcPr>
            <w:tcW w:w="880" w:type="dxa"/>
          </w:tcPr>
          <w:p w14:paraId="4044E1F2" w14:textId="77777777" w:rsidR="00E47AB8" w:rsidRPr="008B2F8A" w:rsidRDefault="00E47AB8" w:rsidP="00422306">
            <w:pPr>
              <w:pStyle w:val="Tabletext"/>
              <w:autoSpaceDE w:val="0"/>
              <w:autoSpaceDN w:val="0"/>
              <w:adjustRightInd w:val="0"/>
              <w:spacing w:before="40" w:after="80" w:line="276" w:lineRule="auto"/>
            </w:pPr>
            <w:r w:rsidRPr="008B2F8A">
              <w:t>5</w:t>
            </w:r>
          </w:p>
        </w:tc>
        <w:tc>
          <w:tcPr>
            <w:tcW w:w="5254" w:type="dxa"/>
          </w:tcPr>
          <w:p w14:paraId="2D9CE3F9"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1 or 2 or 3 or 4</w:t>
            </w:r>
          </w:p>
        </w:tc>
      </w:tr>
      <w:tr w:rsidR="00E47AB8" w:rsidRPr="008B2F8A" w14:paraId="794E07A6" w14:textId="77777777" w:rsidTr="00422306">
        <w:tc>
          <w:tcPr>
            <w:tcW w:w="880" w:type="dxa"/>
          </w:tcPr>
          <w:p w14:paraId="6A50ABF5" w14:textId="77777777" w:rsidR="00E47AB8" w:rsidRPr="008B2F8A" w:rsidRDefault="00E47AB8" w:rsidP="00422306">
            <w:pPr>
              <w:pStyle w:val="Tabletext"/>
              <w:autoSpaceDE w:val="0"/>
              <w:autoSpaceDN w:val="0"/>
              <w:adjustRightInd w:val="0"/>
              <w:spacing w:before="40" w:after="80" w:line="276" w:lineRule="auto"/>
            </w:pPr>
            <w:r w:rsidRPr="008B2F8A">
              <w:t>6</w:t>
            </w:r>
          </w:p>
        </w:tc>
        <w:tc>
          <w:tcPr>
            <w:tcW w:w="5254" w:type="dxa"/>
          </w:tcPr>
          <w:p w14:paraId="33E1D250"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breast cancer.mp. or exp Breast Neoplasms/</w:t>
            </w:r>
          </w:p>
        </w:tc>
      </w:tr>
      <w:tr w:rsidR="00E47AB8" w:rsidRPr="008B2F8A" w14:paraId="595AA3A6" w14:textId="77777777" w:rsidTr="00422306">
        <w:tc>
          <w:tcPr>
            <w:tcW w:w="880" w:type="dxa"/>
          </w:tcPr>
          <w:p w14:paraId="41885B2C" w14:textId="77777777" w:rsidR="00E47AB8" w:rsidRPr="008B2F8A" w:rsidRDefault="00E47AB8" w:rsidP="00422306">
            <w:pPr>
              <w:pStyle w:val="Tabletext"/>
              <w:autoSpaceDE w:val="0"/>
              <w:autoSpaceDN w:val="0"/>
              <w:adjustRightInd w:val="0"/>
              <w:spacing w:before="40" w:after="80" w:line="276" w:lineRule="auto"/>
            </w:pPr>
            <w:r w:rsidRPr="008B2F8A">
              <w:t>7</w:t>
            </w:r>
          </w:p>
        </w:tc>
        <w:tc>
          <w:tcPr>
            <w:tcW w:w="5254" w:type="dxa"/>
          </w:tcPr>
          <w:p w14:paraId="271E882B"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breast tumour.ti,ab,kw.</w:t>
            </w:r>
          </w:p>
        </w:tc>
      </w:tr>
      <w:tr w:rsidR="00E47AB8" w:rsidRPr="008B2F8A" w14:paraId="2B82D21F" w14:textId="77777777" w:rsidTr="00422306">
        <w:tc>
          <w:tcPr>
            <w:tcW w:w="880" w:type="dxa"/>
          </w:tcPr>
          <w:p w14:paraId="054502D5" w14:textId="77777777" w:rsidR="00E47AB8" w:rsidRPr="008B2F8A" w:rsidRDefault="00E47AB8" w:rsidP="00422306">
            <w:pPr>
              <w:pStyle w:val="Tabletext"/>
              <w:autoSpaceDE w:val="0"/>
              <w:autoSpaceDN w:val="0"/>
              <w:adjustRightInd w:val="0"/>
              <w:spacing w:before="40" w:after="80" w:line="276" w:lineRule="auto"/>
            </w:pPr>
            <w:r w:rsidRPr="008B2F8A">
              <w:t>8</w:t>
            </w:r>
          </w:p>
        </w:tc>
        <w:tc>
          <w:tcPr>
            <w:tcW w:w="5254" w:type="dxa"/>
          </w:tcPr>
          <w:p w14:paraId="438A4B98"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breast carcinoma.ti,ab,kw.</w:t>
            </w:r>
          </w:p>
        </w:tc>
      </w:tr>
      <w:tr w:rsidR="00E47AB8" w:rsidRPr="008B2F8A" w14:paraId="69B20E2D" w14:textId="77777777" w:rsidTr="00422306">
        <w:tc>
          <w:tcPr>
            <w:tcW w:w="880" w:type="dxa"/>
          </w:tcPr>
          <w:p w14:paraId="54C3C92D" w14:textId="77777777" w:rsidR="00E47AB8" w:rsidRPr="008B2F8A" w:rsidRDefault="00E47AB8" w:rsidP="00422306">
            <w:pPr>
              <w:pStyle w:val="Tabletext"/>
              <w:autoSpaceDE w:val="0"/>
              <w:autoSpaceDN w:val="0"/>
              <w:adjustRightInd w:val="0"/>
              <w:spacing w:before="40" w:after="80" w:line="276" w:lineRule="auto"/>
            </w:pPr>
            <w:r w:rsidRPr="008B2F8A">
              <w:t>9</w:t>
            </w:r>
          </w:p>
        </w:tc>
        <w:tc>
          <w:tcPr>
            <w:tcW w:w="5254" w:type="dxa"/>
          </w:tcPr>
          <w:p w14:paraId="76099BFC"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breast screening.ti,ab,kw.</w:t>
            </w:r>
          </w:p>
        </w:tc>
      </w:tr>
      <w:tr w:rsidR="00E47AB8" w:rsidRPr="008B2F8A" w14:paraId="0CEB50EA" w14:textId="77777777" w:rsidTr="00422306">
        <w:tc>
          <w:tcPr>
            <w:tcW w:w="880" w:type="dxa"/>
          </w:tcPr>
          <w:p w14:paraId="6ED6C975" w14:textId="77777777" w:rsidR="00E47AB8" w:rsidRPr="008B2F8A" w:rsidRDefault="00E47AB8" w:rsidP="00422306">
            <w:pPr>
              <w:pStyle w:val="Tabletext"/>
              <w:autoSpaceDE w:val="0"/>
              <w:autoSpaceDN w:val="0"/>
              <w:adjustRightInd w:val="0"/>
              <w:spacing w:before="40" w:after="80" w:line="276" w:lineRule="auto"/>
            </w:pPr>
            <w:r w:rsidRPr="008B2F8A">
              <w:t>10</w:t>
            </w:r>
          </w:p>
        </w:tc>
        <w:tc>
          <w:tcPr>
            <w:tcW w:w="5254" w:type="dxa"/>
          </w:tcPr>
          <w:p w14:paraId="40FB8A09"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6 or 7 or 8 or 9</w:t>
            </w:r>
          </w:p>
        </w:tc>
      </w:tr>
      <w:tr w:rsidR="00E47AB8" w:rsidRPr="008B2F8A" w14:paraId="2EA639CB" w14:textId="77777777" w:rsidTr="00422306">
        <w:tc>
          <w:tcPr>
            <w:tcW w:w="880" w:type="dxa"/>
          </w:tcPr>
          <w:p w14:paraId="3A8BEC16" w14:textId="77777777" w:rsidR="00E47AB8" w:rsidRPr="008B2F8A" w:rsidRDefault="00E47AB8" w:rsidP="00422306">
            <w:pPr>
              <w:pStyle w:val="Tabletext"/>
              <w:autoSpaceDE w:val="0"/>
              <w:autoSpaceDN w:val="0"/>
              <w:adjustRightInd w:val="0"/>
              <w:spacing w:before="40" w:after="80" w:line="276" w:lineRule="auto"/>
            </w:pPr>
            <w:r w:rsidRPr="008B2F8A">
              <w:t>11</w:t>
            </w:r>
          </w:p>
        </w:tc>
        <w:tc>
          <w:tcPr>
            <w:tcW w:w="5254" w:type="dxa"/>
          </w:tcPr>
          <w:p w14:paraId="24ECE1FC"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5 and 10</w:t>
            </w:r>
          </w:p>
        </w:tc>
      </w:tr>
      <w:tr w:rsidR="00E47AB8" w:rsidRPr="008B2F8A" w14:paraId="3EF70F55" w14:textId="77777777" w:rsidTr="00422306">
        <w:tc>
          <w:tcPr>
            <w:tcW w:w="880" w:type="dxa"/>
          </w:tcPr>
          <w:p w14:paraId="3A03F1E5" w14:textId="77777777" w:rsidR="00E47AB8" w:rsidRPr="008B2F8A" w:rsidRDefault="00E47AB8" w:rsidP="00422306">
            <w:pPr>
              <w:pStyle w:val="Tabletext"/>
              <w:autoSpaceDE w:val="0"/>
              <w:autoSpaceDN w:val="0"/>
              <w:adjustRightInd w:val="0"/>
              <w:spacing w:before="40" w:after="80" w:line="276" w:lineRule="auto"/>
            </w:pPr>
            <w:r w:rsidRPr="008B2F8A">
              <w:t>12</w:t>
            </w:r>
          </w:p>
        </w:tc>
        <w:tc>
          <w:tcPr>
            <w:tcW w:w="5254" w:type="dxa"/>
          </w:tcPr>
          <w:p w14:paraId="4463AD2A" w14:textId="77777777" w:rsidR="00E47AB8" w:rsidRPr="008B2F8A" w:rsidRDefault="00E47AB8" w:rsidP="00422306">
            <w:pPr>
              <w:pStyle w:val="Tabletext"/>
              <w:autoSpaceDE w:val="0"/>
              <w:autoSpaceDN w:val="0"/>
              <w:adjustRightInd w:val="0"/>
              <w:spacing w:before="40" w:after="80" w:line="276" w:lineRule="auto"/>
              <w:rPr>
                <w:noProof/>
              </w:rPr>
            </w:pPr>
            <w:r w:rsidRPr="008B2F8A">
              <w:rPr>
                <w:rFonts w:eastAsia="Times New Roman"/>
                <w:noProof/>
              </w:rPr>
              <w:t>limit 11 to english language</w:t>
            </w:r>
          </w:p>
        </w:tc>
      </w:tr>
    </w:tbl>
    <w:p w14:paraId="2713F903" w14:textId="77777777" w:rsidR="00E47AB8" w:rsidRPr="008B2F8A" w:rsidRDefault="00E47AB8" w:rsidP="00422306">
      <w:pPr>
        <w:rPr>
          <w:color w:val="000000"/>
          <w:sz w:val="24"/>
          <w:szCs w:val="24"/>
        </w:rPr>
      </w:pPr>
    </w:p>
    <w:p w14:paraId="4444A65B" w14:textId="55EF45F5" w:rsidR="00E47AB8" w:rsidRPr="008B2F8A" w:rsidRDefault="00E47AB8" w:rsidP="00422306">
      <w:pPr>
        <w:pStyle w:val="Caption"/>
      </w:pPr>
      <w:r w:rsidRPr="008B2F8A">
        <w:lastRenderedPageBreak/>
        <w:t>Cochrane Library search strategy.</w:t>
      </w:r>
    </w:p>
    <w:tbl>
      <w:tblPr>
        <w:tblStyle w:val="TableGrid"/>
        <w:tblW w:w="6134" w:type="dxa"/>
        <w:tblCellMar>
          <w:left w:w="28" w:type="dxa"/>
          <w:right w:w="28" w:type="dxa"/>
        </w:tblCellMar>
        <w:tblLook w:val="04A0" w:firstRow="1" w:lastRow="0" w:firstColumn="1" w:lastColumn="0" w:noHBand="0" w:noVBand="1"/>
        <w:tblCaption w:val="Cochrane Library search strategy."/>
      </w:tblPr>
      <w:tblGrid>
        <w:gridCol w:w="880"/>
        <w:gridCol w:w="5254"/>
      </w:tblGrid>
      <w:tr w:rsidR="00E47AB8" w:rsidRPr="008B2F8A" w14:paraId="247DAAA2" w14:textId="77777777" w:rsidTr="00422306">
        <w:trPr>
          <w:tblHeader/>
        </w:trPr>
        <w:tc>
          <w:tcPr>
            <w:tcW w:w="880" w:type="dxa"/>
          </w:tcPr>
          <w:p w14:paraId="18AEC8BA" w14:textId="77777777" w:rsidR="00E47AB8" w:rsidRPr="008B2F8A" w:rsidRDefault="00E47AB8" w:rsidP="00422306">
            <w:pPr>
              <w:pStyle w:val="Tableheaderrow"/>
              <w:autoSpaceDE w:val="0"/>
              <w:autoSpaceDN w:val="0"/>
              <w:adjustRightInd w:val="0"/>
              <w:spacing w:before="40" w:after="80" w:line="276" w:lineRule="auto"/>
            </w:pPr>
            <w:r w:rsidRPr="008B2F8A">
              <w:t>Number</w:t>
            </w:r>
          </w:p>
        </w:tc>
        <w:tc>
          <w:tcPr>
            <w:tcW w:w="5254" w:type="dxa"/>
          </w:tcPr>
          <w:p w14:paraId="04574EFB" w14:textId="77777777" w:rsidR="00E47AB8" w:rsidRPr="008B2F8A" w:rsidRDefault="00E47AB8" w:rsidP="00422306">
            <w:pPr>
              <w:pStyle w:val="Tableheaderrow"/>
              <w:autoSpaceDE w:val="0"/>
              <w:autoSpaceDN w:val="0"/>
              <w:adjustRightInd w:val="0"/>
              <w:spacing w:before="40" w:after="80" w:line="276" w:lineRule="auto"/>
            </w:pPr>
            <w:r w:rsidRPr="008B2F8A">
              <w:t>Search strategy</w:t>
            </w:r>
          </w:p>
        </w:tc>
      </w:tr>
      <w:tr w:rsidR="00E47AB8" w:rsidRPr="008B2F8A" w14:paraId="2EED1FA6" w14:textId="77777777" w:rsidTr="00422306">
        <w:tc>
          <w:tcPr>
            <w:tcW w:w="880" w:type="dxa"/>
          </w:tcPr>
          <w:p w14:paraId="0407CC37" w14:textId="77777777" w:rsidR="00E47AB8" w:rsidRPr="008B2F8A" w:rsidRDefault="00E47AB8" w:rsidP="00422306">
            <w:pPr>
              <w:pStyle w:val="Tabletext"/>
              <w:autoSpaceDE w:val="0"/>
              <w:autoSpaceDN w:val="0"/>
              <w:adjustRightInd w:val="0"/>
              <w:spacing w:before="40" w:after="80" w:line="276" w:lineRule="auto"/>
            </w:pPr>
            <w:r w:rsidRPr="008B2F8A">
              <w:t xml:space="preserve">1 </w:t>
            </w:r>
          </w:p>
        </w:tc>
        <w:tc>
          <w:tcPr>
            <w:tcW w:w="5254" w:type="dxa"/>
          </w:tcPr>
          <w:p w14:paraId="3A3218C5"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MeSH descriptor: [Magnetic Resonance Imaging] explode all trees</w:t>
            </w:r>
          </w:p>
        </w:tc>
      </w:tr>
      <w:tr w:rsidR="00E47AB8" w:rsidRPr="008B2F8A" w14:paraId="109A66F0" w14:textId="77777777" w:rsidTr="00422306">
        <w:tc>
          <w:tcPr>
            <w:tcW w:w="880" w:type="dxa"/>
          </w:tcPr>
          <w:p w14:paraId="59E3F43A" w14:textId="77777777" w:rsidR="00E47AB8" w:rsidRPr="008B2F8A" w:rsidRDefault="00E47AB8" w:rsidP="00422306">
            <w:pPr>
              <w:pStyle w:val="Tabletext"/>
              <w:autoSpaceDE w:val="0"/>
              <w:autoSpaceDN w:val="0"/>
              <w:adjustRightInd w:val="0"/>
              <w:spacing w:before="40" w:after="80" w:line="276" w:lineRule="auto"/>
            </w:pPr>
            <w:r w:rsidRPr="008B2F8A">
              <w:t>2</w:t>
            </w:r>
          </w:p>
        </w:tc>
        <w:tc>
          <w:tcPr>
            <w:tcW w:w="5254" w:type="dxa"/>
          </w:tcPr>
          <w:p w14:paraId="191D3581"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“magnetic resonance imaging” (Word variations have been searched)</w:t>
            </w:r>
          </w:p>
        </w:tc>
      </w:tr>
      <w:tr w:rsidR="00E47AB8" w:rsidRPr="008B2F8A" w14:paraId="4FF16264" w14:textId="77777777" w:rsidTr="00422306">
        <w:tc>
          <w:tcPr>
            <w:tcW w:w="880" w:type="dxa"/>
          </w:tcPr>
          <w:p w14:paraId="0E6BCD32" w14:textId="77777777" w:rsidR="00E47AB8" w:rsidRPr="008B2F8A" w:rsidRDefault="00E47AB8" w:rsidP="00422306">
            <w:pPr>
              <w:pStyle w:val="Tabletext"/>
              <w:autoSpaceDE w:val="0"/>
              <w:autoSpaceDN w:val="0"/>
              <w:adjustRightInd w:val="0"/>
              <w:spacing w:before="40" w:after="80" w:line="276" w:lineRule="auto"/>
            </w:pPr>
            <w:r w:rsidRPr="008B2F8A">
              <w:t>3</w:t>
            </w:r>
          </w:p>
        </w:tc>
        <w:tc>
          <w:tcPr>
            <w:tcW w:w="5254" w:type="dxa"/>
          </w:tcPr>
          <w:p w14:paraId="58ABBFFE"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Magnetic resonance imag* (Word variations have been searched)</w:t>
            </w:r>
          </w:p>
        </w:tc>
      </w:tr>
      <w:tr w:rsidR="00E47AB8" w:rsidRPr="008B2F8A" w14:paraId="7DB25ED3" w14:textId="77777777" w:rsidTr="00422306">
        <w:tc>
          <w:tcPr>
            <w:tcW w:w="880" w:type="dxa"/>
          </w:tcPr>
          <w:p w14:paraId="7A587E7A" w14:textId="77777777" w:rsidR="00E47AB8" w:rsidRPr="008B2F8A" w:rsidRDefault="00E47AB8" w:rsidP="00422306">
            <w:pPr>
              <w:pStyle w:val="Tabletext"/>
              <w:autoSpaceDE w:val="0"/>
              <w:autoSpaceDN w:val="0"/>
              <w:adjustRightInd w:val="0"/>
              <w:spacing w:before="40" w:after="80" w:line="276" w:lineRule="auto"/>
            </w:pPr>
            <w:r w:rsidRPr="008B2F8A">
              <w:t>4</w:t>
            </w:r>
          </w:p>
        </w:tc>
        <w:tc>
          <w:tcPr>
            <w:tcW w:w="5254" w:type="dxa"/>
          </w:tcPr>
          <w:p w14:paraId="2FF8FA98"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“MRI” (Word variations have been searched)</w:t>
            </w:r>
          </w:p>
        </w:tc>
      </w:tr>
      <w:tr w:rsidR="00E47AB8" w:rsidRPr="008B2F8A" w14:paraId="436D9C25" w14:textId="77777777" w:rsidTr="00422306">
        <w:tc>
          <w:tcPr>
            <w:tcW w:w="880" w:type="dxa"/>
          </w:tcPr>
          <w:p w14:paraId="3EECBB0A" w14:textId="77777777" w:rsidR="00E47AB8" w:rsidRPr="008B2F8A" w:rsidRDefault="00E47AB8" w:rsidP="00422306">
            <w:pPr>
              <w:pStyle w:val="Tabletext"/>
              <w:autoSpaceDE w:val="0"/>
              <w:autoSpaceDN w:val="0"/>
              <w:adjustRightInd w:val="0"/>
              <w:spacing w:before="40" w:after="80" w:line="276" w:lineRule="auto"/>
            </w:pPr>
            <w:r w:rsidRPr="008B2F8A">
              <w:t>5</w:t>
            </w:r>
          </w:p>
        </w:tc>
        <w:tc>
          <w:tcPr>
            <w:tcW w:w="5254" w:type="dxa"/>
          </w:tcPr>
          <w:p w14:paraId="1AD0482D"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“MRI scan” (Word variations have been searched)</w:t>
            </w:r>
          </w:p>
        </w:tc>
      </w:tr>
      <w:tr w:rsidR="00E47AB8" w:rsidRPr="008B2F8A" w14:paraId="5AA4CB01" w14:textId="77777777" w:rsidTr="00422306">
        <w:tc>
          <w:tcPr>
            <w:tcW w:w="880" w:type="dxa"/>
          </w:tcPr>
          <w:p w14:paraId="5F0C2150" w14:textId="77777777" w:rsidR="00E47AB8" w:rsidRPr="008B2F8A" w:rsidRDefault="00E47AB8" w:rsidP="00422306">
            <w:pPr>
              <w:pStyle w:val="Tabletext"/>
              <w:autoSpaceDE w:val="0"/>
              <w:autoSpaceDN w:val="0"/>
              <w:adjustRightInd w:val="0"/>
              <w:spacing w:before="40" w:after="80" w:line="276" w:lineRule="auto"/>
            </w:pPr>
            <w:r w:rsidRPr="008B2F8A">
              <w:t>6</w:t>
            </w:r>
          </w:p>
        </w:tc>
        <w:tc>
          <w:tcPr>
            <w:tcW w:w="5254" w:type="dxa"/>
          </w:tcPr>
          <w:p w14:paraId="6F66ED26"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MR imag* (Word variations have been searched)</w:t>
            </w:r>
          </w:p>
        </w:tc>
      </w:tr>
      <w:tr w:rsidR="00E47AB8" w:rsidRPr="008B2F8A" w14:paraId="32EB2CAE" w14:textId="77777777" w:rsidTr="00422306">
        <w:tc>
          <w:tcPr>
            <w:tcW w:w="880" w:type="dxa"/>
          </w:tcPr>
          <w:p w14:paraId="7F0CDD78" w14:textId="77777777" w:rsidR="00E47AB8" w:rsidRPr="008B2F8A" w:rsidRDefault="00E47AB8" w:rsidP="00422306">
            <w:pPr>
              <w:pStyle w:val="Tabletext"/>
              <w:autoSpaceDE w:val="0"/>
              <w:autoSpaceDN w:val="0"/>
              <w:adjustRightInd w:val="0"/>
              <w:spacing w:before="40" w:after="80" w:line="276" w:lineRule="auto"/>
            </w:pPr>
            <w:r w:rsidRPr="008B2F8A">
              <w:t>7</w:t>
            </w:r>
          </w:p>
        </w:tc>
        <w:tc>
          <w:tcPr>
            <w:tcW w:w="5254" w:type="dxa"/>
          </w:tcPr>
          <w:p w14:paraId="2B994B51"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#1 or #2 or #3 or #4 or #5 or #6</w:t>
            </w:r>
          </w:p>
        </w:tc>
      </w:tr>
      <w:tr w:rsidR="00E47AB8" w:rsidRPr="008B2F8A" w14:paraId="49E55EC1" w14:textId="77777777" w:rsidTr="00422306">
        <w:tc>
          <w:tcPr>
            <w:tcW w:w="880" w:type="dxa"/>
          </w:tcPr>
          <w:p w14:paraId="031DE947" w14:textId="77777777" w:rsidR="00E47AB8" w:rsidRPr="008B2F8A" w:rsidRDefault="00E47AB8" w:rsidP="00422306">
            <w:pPr>
              <w:pStyle w:val="Tabletext"/>
              <w:autoSpaceDE w:val="0"/>
              <w:autoSpaceDN w:val="0"/>
              <w:adjustRightInd w:val="0"/>
              <w:spacing w:before="40" w:after="80" w:line="276" w:lineRule="auto"/>
            </w:pPr>
            <w:r w:rsidRPr="008B2F8A">
              <w:t>8</w:t>
            </w:r>
          </w:p>
        </w:tc>
        <w:tc>
          <w:tcPr>
            <w:tcW w:w="5254" w:type="dxa"/>
          </w:tcPr>
          <w:p w14:paraId="2D8B0902"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MeSH descriptor: [Breast Neoplasms] explode all trees</w:t>
            </w:r>
          </w:p>
        </w:tc>
      </w:tr>
      <w:tr w:rsidR="00E47AB8" w:rsidRPr="008B2F8A" w14:paraId="02AC0746" w14:textId="77777777" w:rsidTr="00422306">
        <w:tc>
          <w:tcPr>
            <w:tcW w:w="880" w:type="dxa"/>
          </w:tcPr>
          <w:p w14:paraId="7F70F876" w14:textId="77777777" w:rsidR="00E47AB8" w:rsidRPr="008B2F8A" w:rsidRDefault="00E47AB8" w:rsidP="00422306">
            <w:pPr>
              <w:pStyle w:val="Tabletext"/>
              <w:autoSpaceDE w:val="0"/>
              <w:autoSpaceDN w:val="0"/>
              <w:adjustRightInd w:val="0"/>
              <w:spacing w:before="40" w:after="80" w:line="276" w:lineRule="auto"/>
            </w:pPr>
            <w:r w:rsidRPr="008B2F8A">
              <w:t>9</w:t>
            </w:r>
          </w:p>
        </w:tc>
        <w:tc>
          <w:tcPr>
            <w:tcW w:w="5254" w:type="dxa"/>
          </w:tcPr>
          <w:p w14:paraId="2BF8CBB7"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cancer”:ti,ab,kw (Word variations have been searched)</w:t>
            </w:r>
          </w:p>
        </w:tc>
      </w:tr>
      <w:tr w:rsidR="00E47AB8" w:rsidRPr="008B2F8A" w14:paraId="5807A27A" w14:textId="77777777" w:rsidTr="00422306">
        <w:tc>
          <w:tcPr>
            <w:tcW w:w="880" w:type="dxa"/>
          </w:tcPr>
          <w:p w14:paraId="1C9FA91A" w14:textId="77777777" w:rsidR="00E47AB8" w:rsidRPr="008B2F8A" w:rsidRDefault="00E47AB8" w:rsidP="00422306">
            <w:pPr>
              <w:pStyle w:val="Tabletext"/>
              <w:autoSpaceDE w:val="0"/>
              <w:autoSpaceDN w:val="0"/>
              <w:adjustRightInd w:val="0"/>
              <w:spacing w:before="40" w:after="80" w:line="276" w:lineRule="auto"/>
            </w:pPr>
            <w:r w:rsidRPr="008B2F8A">
              <w:t>10</w:t>
            </w:r>
          </w:p>
        </w:tc>
        <w:tc>
          <w:tcPr>
            <w:tcW w:w="5254" w:type="dxa"/>
          </w:tcPr>
          <w:p w14:paraId="3427056B"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carcinoma”:ti,ab,kw (Word variations have been searched)</w:t>
            </w:r>
          </w:p>
        </w:tc>
      </w:tr>
      <w:tr w:rsidR="00E47AB8" w:rsidRPr="008B2F8A" w14:paraId="432BDF85" w14:textId="77777777" w:rsidTr="00422306">
        <w:tc>
          <w:tcPr>
            <w:tcW w:w="880" w:type="dxa"/>
          </w:tcPr>
          <w:p w14:paraId="37F0FC89" w14:textId="77777777" w:rsidR="00E47AB8" w:rsidRPr="008B2F8A" w:rsidRDefault="00E47AB8" w:rsidP="00422306">
            <w:pPr>
              <w:pStyle w:val="Tabletext"/>
              <w:autoSpaceDE w:val="0"/>
              <w:autoSpaceDN w:val="0"/>
              <w:adjustRightInd w:val="0"/>
              <w:spacing w:before="40" w:after="80" w:line="276" w:lineRule="auto"/>
            </w:pPr>
            <w:r w:rsidRPr="008B2F8A">
              <w:t>11</w:t>
            </w:r>
          </w:p>
        </w:tc>
        <w:tc>
          <w:tcPr>
            <w:tcW w:w="5254" w:type="dxa"/>
          </w:tcPr>
          <w:p w14:paraId="3314E1EC"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tumour”:ti,ab,kw (Word variations have been searched)</w:t>
            </w:r>
          </w:p>
        </w:tc>
      </w:tr>
      <w:tr w:rsidR="00E47AB8" w:rsidRPr="008B2F8A" w14:paraId="5780D17E" w14:textId="77777777" w:rsidTr="00422306">
        <w:tc>
          <w:tcPr>
            <w:tcW w:w="880" w:type="dxa"/>
          </w:tcPr>
          <w:p w14:paraId="052AC16B" w14:textId="77777777" w:rsidR="00E47AB8" w:rsidRPr="008B2F8A" w:rsidRDefault="00E47AB8" w:rsidP="00422306">
            <w:pPr>
              <w:pStyle w:val="Tabletext"/>
              <w:autoSpaceDE w:val="0"/>
              <w:autoSpaceDN w:val="0"/>
              <w:adjustRightInd w:val="0"/>
              <w:spacing w:before="40" w:after="80" w:line="276" w:lineRule="auto"/>
            </w:pPr>
            <w:r w:rsidRPr="008B2F8A">
              <w:t>12</w:t>
            </w:r>
          </w:p>
        </w:tc>
        <w:tc>
          <w:tcPr>
            <w:tcW w:w="5254" w:type="dxa"/>
          </w:tcPr>
          <w:p w14:paraId="544AE004"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tumours”:ti,ab,kw (Word variations have been searched)</w:t>
            </w:r>
          </w:p>
        </w:tc>
      </w:tr>
      <w:tr w:rsidR="00E47AB8" w:rsidRPr="008B2F8A" w14:paraId="0C6D6F34" w14:textId="77777777" w:rsidTr="00422306">
        <w:tc>
          <w:tcPr>
            <w:tcW w:w="880" w:type="dxa"/>
          </w:tcPr>
          <w:p w14:paraId="03F1B907" w14:textId="77777777" w:rsidR="00E47AB8" w:rsidRPr="008B2F8A" w:rsidRDefault="00E47AB8" w:rsidP="00422306">
            <w:pPr>
              <w:pStyle w:val="Tabletext"/>
              <w:autoSpaceDE w:val="0"/>
              <w:autoSpaceDN w:val="0"/>
              <w:adjustRightInd w:val="0"/>
              <w:spacing w:before="40" w:after="80" w:line="276" w:lineRule="auto"/>
            </w:pPr>
            <w:r w:rsidRPr="008B2F8A">
              <w:t>13</w:t>
            </w:r>
          </w:p>
        </w:tc>
        <w:tc>
          <w:tcPr>
            <w:tcW w:w="5254" w:type="dxa"/>
          </w:tcPr>
          <w:p w14:paraId="6B53E462"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mammogram*:ti,ab,kw (Word variations have been searched)</w:t>
            </w:r>
          </w:p>
        </w:tc>
      </w:tr>
      <w:tr w:rsidR="00E47AB8" w:rsidRPr="008B2F8A" w14:paraId="631996DC" w14:textId="77777777" w:rsidTr="00422306">
        <w:tc>
          <w:tcPr>
            <w:tcW w:w="880" w:type="dxa"/>
          </w:tcPr>
          <w:p w14:paraId="5D4FCB12" w14:textId="77777777" w:rsidR="00E47AB8" w:rsidRPr="008B2F8A" w:rsidRDefault="00E47AB8" w:rsidP="00422306">
            <w:pPr>
              <w:pStyle w:val="Tabletext"/>
              <w:autoSpaceDE w:val="0"/>
              <w:autoSpaceDN w:val="0"/>
              <w:adjustRightInd w:val="0"/>
              <w:spacing w:before="40" w:after="80" w:line="276" w:lineRule="auto"/>
            </w:pPr>
            <w:r w:rsidRPr="008B2F8A">
              <w:t>14</w:t>
            </w:r>
          </w:p>
        </w:tc>
        <w:tc>
          <w:tcPr>
            <w:tcW w:w="5254" w:type="dxa"/>
          </w:tcPr>
          <w:p w14:paraId="592E5FAF"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 xml:space="preserve">breast screening:ti,ab,kw (Word variations have been searched) </w:t>
            </w:r>
          </w:p>
        </w:tc>
      </w:tr>
      <w:tr w:rsidR="00E47AB8" w:rsidRPr="008B2F8A" w14:paraId="4857DCE3" w14:textId="77777777" w:rsidTr="00422306">
        <w:tc>
          <w:tcPr>
            <w:tcW w:w="880" w:type="dxa"/>
          </w:tcPr>
          <w:p w14:paraId="67BD7167" w14:textId="77777777" w:rsidR="00E47AB8" w:rsidRPr="008B2F8A" w:rsidRDefault="00E47AB8" w:rsidP="00422306">
            <w:pPr>
              <w:pStyle w:val="Tabletext"/>
              <w:autoSpaceDE w:val="0"/>
              <w:autoSpaceDN w:val="0"/>
              <w:adjustRightInd w:val="0"/>
              <w:spacing w:before="40" w:after="80" w:line="276" w:lineRule="auto"/>
            </w:pPr>
            <w:r w:rsidRPr="008B2F8A">
              <w:t>15</w:t>
            </w:r>
          </w:p>
        </w:tc>
        <w:tc>
          <w:tcPr>
            <w:tcW w:w="5254" w:type="dxa"/>
          </w:tcPr>
          <w:p w14:paraId="69B46371"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#8 or #9 or #10 or #11 or #12 or #13 or #14</w:t>
            </w:r>
          </w:p>
        </w:tc>
      </w:tr>
      <w:tr w:rsidR="00E47AB8" w:rsidRPr="008B2F8A" w14:paraId="23175987" w14:textId="77777777" w:rsidTr="00422306">
        <w:tc>
          <w:tcPr>
            <w:tcW w:w="880" w:type="dxa"/>
          </w:tcPr>
          <w:p w14:paraId="6DC1CD73" w14:textId="77777777" w:rsidR="00E47AB8" w:rsidRPr="008B2F8A" w:rsidRDefault="00E47AB8" w:rsidP="00422306">
            <w:pPr>
              <w:pStyle w:val="Tabletext"/>
              <w:autoSpaceDE w:val="0"/>
              <w:autoSpaceDN w:val="0"/>
              <w:adjustRightInd w:val="0"/>
              <w:spacing w:before="40" w:after="80" w:line="276" w:lineRule="auto"/>
            </w:pPr>
            <w:r w:rsidRPr="008B2F8A">
              <w:t>16</w:t>
            </w:r>
          </w:p>
        </w:tc>
        <w:tc>
          <w:tcPr>
            <w:tcW w:w="5254" w:type="dxa"/>
          </w:tcPr>
          <w:p w14:paraId="3EF39E94"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#7 and #15</w:t>
            </w:r>
          </w:p>
        </w:tc>
      </w:tr>
    </w:tbl>
    <w:p w14:paraId="51D247A4" w14:textId="77777777" w:rsidR="00E47AB8" w:rsidRPr="008B2F8A" w:rsidRDefault="00E47AB8" w:rsidP="00422306">
      <w:pPr>
        <w:rPr>
          <w:color w:val="000000"/>
          <w:sz w:val="24"/>
          <w:szCs w:val="24"/>
        </w:rPr>
      </w:pPr>
    </w:p>
    <w:p w14:paraId="0B132FE1" w14:textId="575B9926" w:rsidR="00E47AB8" w:rsidRPr="008B2F8A" w:rsidRDefault="00E47AB8" w:rsidP="00422306">
      <w:pPr>
        <w:pStyle w:val="Caption"/>
      </w:pPr>
      <w:r w:rsidRPr="008B2F8A">
        <w:t>WHO International Clinical Trials Registry Platform search strategy.</w:t>
      </w:r>
    </w:p>
    <w:tbl>
      <w:tblPr>
        <w:tblStyle w:val="TableGrid"/>
        <w:tblW w:w="9070" w:type="dxa"/>
        <w:tblCellMar>
          <w:left w:w="28" w:type="dxa"/>
          <w:right w:w="28" w:type="dxa"/>
        </w:tblCellMar>
        <w:tblLook w:val="04A0" w:firstRow="1" w:lastRow="0" w:firstColumn="1" w:lastColumn="0" w:noHBand="0" w:noVBand="1"/>
        <w:tblCaption w:val="WHO International Clinical Trials Registry Platform search strategy."/>
      </w:tblPr>
      <w:tblGrid>
        <w:gridCol w:w="3305"/>
        <w:gridCol w:w="5765"/>
      </w:tblGrid>
      <w:tr w:rsidR="00E47AB8" w:rsidRPr="008B2F8A" w14:paraId="1DD636A7" w14:textId="77777777" w:rsidTr="00422306">
        <w:trPr>
          <w:tblHeader/>
        </w:trPr>
        <w:tc>
          <w:tcPr>
            <w:tcW w:w="0" w:type="auto"/>
          </w:tcPr>
          <w:p w14:paraId="7A208148" w14:textId="77777777" w:rsidR="00E47AB8" w:rsidRPr="008B2F8A" w:rsidRDefault="00E47AB8" w:rsidP="00422306">
            <w:pPr>
              <w:pStyle w:val="Tableheaderrow"/>
              <w:autoSpaceDE w:val="0"/>
              <w:autoSpaceDN w:val="0"/>
              <w:adjustRightInd w:val="0"/>
              <w:spacing w:before="40" w:after="80" w:line="276" w:lineRule="auto"/>
            </w:pPr>
            <w:r w:rsidRPr="008B2F8A">
              <w:t>No. of search</w:t>
            </w:r>
          </w:p>
        </w:tc>
        <w:tc>
          <w:tcPr>
            <w:tcW w:w="0" w:type="auto"/>
          </w:tcPr>
          <w:p w14:paraId="4C0CB059" w14:textId="77777777" w:rsidR="00E47AB8" w:rsidRPr="008B2F8A" w:rsidRDefault="00E47AB8" w:rsidP="00422306">
            <w:pPr>
              <w:pStyle w:val="Tableheaderrow"/>
              <w:autoSpaceDE w:val="0"/>
              <w:autoSpaceDN w:val="0"/>
              <w:adjustRightInd w:val="0"/>
              <w:spacing w:before="40" w:after="80" w:line="276" w:lineRule="auto"/>
            </w:pPr>
            <w:r w:rsidRPr="008B2F8A">
              <w:t>Search terms</w:t>
            </w:r>
          </w:p>
        </w:tc>
      </w:tr>
      <w:tr w:rsidR="00E47AB8" w:rsidRPr="008B2F8A" w14:paraId="2312A952" w14:textId="77777777" w:rsidTr="00422306">
        <w:tc>
          <w:tcPr>
            <w:tcW w:w="0" w:type="auto"/>
          </w:tcPr>
          <w:p w14:paraId="3DFB62DC" w14:textId="77777777" w:rsidR="00E47AB8" w:rsidRPr="008B2F8A" w:rsidRDefault="00E47AB8" w:rsidP="00422306">
            <w:pPr>
              <w:pStyle w:val="Tabletext"/>
              <w:autoSpaceDE w:val="0"/>
              <w:autoSpaceDN w:val="0"/>
              <w:adjustRightInd w:val="0"/>
              <w:spacing w:before="40" w:after="80" w:line="276" w:lineRule="auto"/>
            </w:pPr>
            <w:r w:rsidRPr="008B2F8A">
              <w:t>1—Advanced search function</w:t>
            </w:r>
          </w:p>
        </w:tc>
        <w:tc>
          <w:tcPr>
            <w:tcW w:w="0" w:type="auto"/>
          </w:tcPr>
          <w:p w14:paraId="700C629E" w14:textId="77777777" w:rsidR="00E47AB8" w:rsidRPr="008B2F8A" w:rsidRDefault="00E47AB8" w:rsidP="00422306">
            <w:pPr>
              <w:pStyle w:val="Tabletext"/>
              <w:autoSpaceDE w:val="0"/>
              <w:autoSpaceDN w:val="0"/>
              <w:adjustRightInd w:val="0"/>
              <w:spacing w:before="40" w:after="80" w:line="276" w:lineRule="auto"/>
            </w:pPr>
            <w:r w:rsidRPr="008B2F8A">
              <w:t>Condition = breast cancer</w:t>
            </w:r>
            <w:r w:rsidRPr="008B2F8A">
              <w:br/>
              <w:t xml:space="preserve">AND </w:t>
            </w:r>
            <w:r w:rsidRPr="008B2F8A">
              <w:br/>
              <w:t>Intervention = magnetic resonance imaging OR MRI</w:t>
            </w:r>
          </w:p>
          <w:p w14:paraId="2630394B" w14:textId="77777777" w:rsidR="00E47AB8" w:rsidRPr="008B2F8A" w:rsidRDefault="00E47AB8" w:rsidP="00422306">
            <w:pPr>
              <w:pStyle w:val="Tabletext"/>
              <w:autoSpaceDE w:val="0"/>
              <w:autoSpaceDN w:val="0"/>
              <w:adjustRightInd w:val="0"/>
              <w:spacing w:before="40" w:after="80" w:line="276" w:lineRule="auto"/>
            </w:pPr>
            <w:r w:rsidRPr="008B2F8A">
              <w:t>Recruitment status = ALL</w:t>
            </w:r>
          </w:p>
        </w:tc>
      </w:tr>
      <w:tr w:rsidR="00E47AB8" w:rsidRPr="008B2F8A" w14:paraId="6D036B71" w14:textId="77777777" w:rsidTr="00422306">
        <w:tc>
          <w:tcPr>
            <w:tcW w:w="0" w:type="auto"/>
          </w:tcPr>
          <w:p w14:paraId="1DF675AC" w14:textId="77777777" w:rsidR="00E47AB8" w:rsidRPr="008B2F8A" w:rsidRDefault="00E47AB8" w:rsidP="00422306">
            <w:pPr>
              <w:pStyle w:val="Tabletext"/>
              <w:autoSpaceDE w:val="0"/>
              <w:autoSpaceDN w:val="0"/>
              <w:adjustRightInd w:val="0"/>
              <w:spacing w:before="40" w:after="80" w:line="276" w:lineRule="auto"/>
            </w:pPr>
            <w:r w:rsidRPr="008B2F8A">
              <w:t>2—Advanced search function</w:t>
            </w:r>
          </w:p>
        </w:tc>
        <w:tc>
          <w:tcPr>
            <w:tcW w:w="0" w:type="auto"/>
          </w:tcPr>
          <w:p w14:paraId="130D1AE2" w14:textId="77777777" w:rsidR="00E47AB8" w:rsidRPr="008B2F8A" w:rsidRDefault="00E47AB8" w:rsidP="00422306">
            <w:pPr>
              <w:pStyle w:val="Tabletext"/>
              <w:autoSpaceDE w:val="0"/>
              <w:autoSpaceDN w:val="0"/>
              <w:adjustRightInd w:val="0"/>
              <w:spacing w:before="40" w:after="80" w:line="276" w:lineRule="auto"/>
            </w:pPr>
            <w:r w:rsidRPr="008B2F8A">
              <w:t>Title = high risk</w:t>
            </w:r>
            <w:r w:rsidRPr="008B2F8A">
              <w:br/>
              <w:t>Condition = breast cancer</w:t>
            </w:r>
          </w:p>
          <w:p w14:paraId="78CD09F1" w14:textId="77777777" w:rsidR="00E47AB8" w:rsidRPr="008B2F8A" w:rsidRDefault="00E47AB8" w:rsidP="00422306">
            <w:pPr>
              <w:pStyle w:val="Tabletext"/>
              <w:autoSpaceDE w:val="0"/>
              <w:autoSpaceDN w:val="0"/>
              <w:adjustRightInd w:val="0"/>
              <w:spacing w:before="40" w:after="80" w:line="276" w:lineRule="auto"/>
            </w:pPr>
            <w:r w:rsidRPr="008B2F8A">
              <w:t>Intervention = MRI</w:t>
            </w:r>
            <w:r w:rsidRPr="008B2F8A">
              <w:br/>
              <w:t>Recruiting status = ALL</w:t>
            </w:r>
          </w:p>
        </w:tc>
      </w:tr>
      <w:tr w:rsidR="00E47AB8" w:rsidRPr="008B2F8A" w14:paraId="7A5592A6" w14:textId="77777777" w:rsidTr="00422306">
        <w:tc>
          <w:tcPr>
            <w:tcW w:w="0" w:type="auto"/>
          </w:tcPr>
          <w:p w14:paraId="373DC8DC" w14:textId="77777777" w:rsidR="00E47AB8" w:rsidRPr="008B2F8A" w:rsidRDefault="00E47AB8" w:rsidP="00422306">
            <w:pPr>
              <w:pStyle w:val="Tabletext"/>
              <w:autoSpaceDE w:val="0"/>
              <w:autoSpaceDN w:val="0"/>
              <w:adjustRightInd w:val="0"/>
              <w:spacing w:before="40" w:after="80" w:line="276" w:lineRule="auto"/>
            </w:pPr>
            <w:r w:rsidRPr="008B2F8A">
              <w:t>3—Basic search function</w:t>
            </w:r>
          </w:p>
        </w:tc>
        <w:tc>
          <w:tcPr>
            <w:tcW w:w="0" w:type="auto"/>
          </w:tcPr>
          <w:p w14:paraId="584F6EAC" w14:textId="77777777" w:rsidR="00E47AB8" w:rsidRPr="008B2F8A" w:rsidRDefault="00E47AB8" w:rsidP="00422306">
            <w:pPr>
              <w:pStyle w:val="Tabletext"/>
              <w:autoSpaceDE w:val="0"/>
              <w:autoSpaceDN w:val="0"/>
              <w:adjustRightInd w:val="0"/>
              <w:spacing w:before="40" w:after="80" w:line="276" w:lineRule="auto"/>
            </w:pPr>
            <w:r w:rsidRPr="008B2F8A">
              <w:t>Title = increased risk for breast cancer</w:t>
            </w:r>
          </w:p>
        </w:tc>
      </w:tr>
    </w:tbl>
    <w:p w14:paraId="3FE7E629" w14:textId="77777777" w:rsidR="00E47AB8" w:rsidRPr="008B2F8A" w:rsidRDefault="00E47AB8" w:rsidP="004E7861"/>
    <w:p w14:paraId="3E75967A" w14:textId="700F3C24" w:rsidR="00E47AB8" w:rsidRPr="008B2F8A" w:rsidRDefault="00E47AB8" w:rsidP="00422306">
      <w:pPr>
        <w:pStyle w:val="Caption"/>
      </w:pPr>
      <w:r w:rsidRPr="008B2F8A">
        <w:t>Excluded health technology assessments</w:t>
      </w:r>
      <w:r w:rsidRPr="008B2F8A" w:rsidDel="00455348">
        <w:t xml:space="preserve"> </w:t>
      </w:r>
      <w:r w:rsidRPr="008B2F8A">
        <w:t>and systematic reviews for the assessment of asymptomatic, high-risk women.</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Excluded health technology assessments and systematic reviews for the assessment of asymptomatic, high-risk women."/>
      </w:tblPr>
      <w:tblGrid>
        <w:gridCol w:w="8122"/>
        <w:gridCol w:w="948"/>
      </w:tblGrid>
      <w:tr w:rsidR="00E47AB8" w:rsidRPr="008B2F8A" w14:paraId="602095A1" w14:textId="77777777" w:rsidTr="004E7861">
        <w:trPr>
          <w:cantSplit/>
          <w:tblHeader/>
        </w:trPr>
        <w:tc>
          <w:tcPr>
            <w:tcW w:w="8122" w:type="dxa"/>
          </w:tcPr>
          <w:p w14:paraId="401A8928" w14:textId="77777777" w:rsidR="00E47AB8" w:rsidRPr="008B2F8A" w:rsidRDefault="00E47AB8" w:rsidP="00422306">
            <w:pPr>
              <w:pStyle w:val="TableHeading"/>
              <w:keepNext w:val="0"/>
              <w:autoSpaceDE w:val="0"/>
              <w:autoSpaceDN w:val="0"/>
              <w:adjustRightInd w:val="0"/>
              <w:spacing w:before="40" w:after="80" w:line="276" w:lineRule="auto"/>
            </w:pPr>
            <w:r w:rsidRPr="008B2F8A">
              <w:t>Citation</w:t>
            </w:r>
          </w:p>
        </w:tc>
        <w:tc>
          <w:tcPr>
            <w:tcW w:w="948" w:type="dxa"/>
          </w:tcPr>
          <w:p w14:paraId="550C9E45" w14:textId="77777777" w:rsidR="00E47AB8" w:rsidRPr="008B2F8A" w:rsidRDefault="00E47AB8" w:rsidP="00422306">
            <w:pPr>
              <w:pStyle w:val="TableHeading"/>
              <w:keepNext w:val="0"/>
              <w:autoSpaceDE w:val="0"/>
              <w:autoSpaceDN w:val="0"/>
              <w:adjustRightInd w:val="0"/>
              <w:spacing w:before="40" w:after="80" w:line="276" w:lineRule="auto"/>
            </w:pPr>
            <w:r w:rsidRPr="008B2F8A">
              <w:t>Reason for exclusion</w:t>
            </w:r>
          </w:p>
        </w:tc>
      </w:tr>
      <w:tr w:rsidR="00E47AB8" w:rsidRPr="008B2F8A" w14:paraId="35DC1AAF" w14:textId="77777777" w:rsidTr="004E7861">
        <w:trPr>
          <w:cantSplit/>
        </w:trPr>
        <w:tc>
          <w:tcPr>
            <w:tcW w:w="8122" w:type="dxa"/>
          </w:tcPr>
          <w:p w14:paraId="5D193626" w14:textId="3662A11C" w:rsidR="00E47AB8" w:rsidRPr="008B2F8A" w:rsidRDefault="00E47AB8" w:rsidP="00422306">
            <w:pPr>
              <w:pStyle w:val="TableText0"/>
              <w:keepNext w:val="0"/>
              <w:autoSpaceDE w:val="0"/>
              <w:autoSpaceDN w:val="0"/>
              <w:adjustRightInd w:val="0"/>
              <w:spacing w:before="40" w:after="80" w:line="276" w:lineRule="auto"/>
              <w:rPr>
                <w:szCs w:val="20"/>
              </w:rPr>
            </w:pPr>
            <w:r w:rsidRPr="008B2F8A">
              <w:rPr>
                <w:rFonts w:cs="Calibri"/>
                <w:szCs w:val="20"/>
              </w:rPr>
              <w:t xml:space="preserve">Bermejo-Perez MJ, Marquez CS, Llanos MA (2008) Cancer surveillance based on imaging techniques in carriers of </w:t>
            </w:r>
            <w:r w:rsidRPr="008B2F8A">
              <w:rPr>
                <w:rFonts w:cs="Calibri"/>
                <w:i/>
                <w:szCs w:val="20"/>
              </w:rPr>
              <w:t>BRCA1/2</w:t>
            </w:r>
            <w:r w:rsidRPr="008B2F8A">
              <w:rPr>
                <w:rFonts w:cs="Calibri"/>
                <w:szCs w:val="20"/>
              </w:rPr>
              <w:t xml:space="preserve"> gene mutations: a systematic review (Structured abstract). Br J Radiol 81:172–179.</w:t>
            </w:r>
          </w:p>
        </w:tc>
        <w:tc>
          <w:tcPr>
            <w:tcW w:w="948" w:type="dxa"/>
          </w:tcPr>
          <w:p w14:paraId="2B3F48E4" w14:textId="77777777" w:rsidR="00E47AB8" w:rsidRPr="008B2F8A" w:rsidRDefault="00E47AB8" w:rsidP="00422306">
            <w:pPr>
              <w:pStyle w:val="TableText0"/>
              <w:keepNext w:val="0"/>
              <w:autoSpaceDE w:val="0"/>
              <w:autoSpaceDN w:val="0"/>
              <w:adjustRightInd w:val="0"/>
              <w:spacing w:before="40" w:after="80" w:line="276" w:lineRule="auto"/>
              <w:rPr>
                <w:rFonts w:cs="Calibri"/>
                <w:szCs w:val="20"/>
              </w:rPr>
            </w:pPr>
            <w:r w:rsidRPr="008B2F8A">
              <w:rPr>
                <w:szCs w:val="20"/>
              </w:rPr>
              <w:t>Superseded</w:t>
            </w:r>
          </w:p>
        </w:tc>
      </w:tr>
      <w:tr w:rsidR="00E47AB8" w:rsidRPr="008B2F8A" w14:paraId="23C58247" w14:textId="77777777" w:rsidTr="004E7861">
        <w:trPr>
          <w:cantSplit/>
        </w:trPr>
        <w:tc>
          <w:tcPr>
            <w:tcW w:w="8122" w:type="dxa"/>
            <w:tcBorders>
              <w:top w:val="single" w:sz="4" w:space="0" w:color="auto"/>
              <w:left w:val="single" w:sz="4" w:space="0" w:color="auto"/>
              <w:bottom w:val="single" w:sz="4" w:space="0" w:color="auto"/>
              <w:right w:val="single" w:sz="4" w:space="0" w:color="auto"/>
            </w:tcBorders>
          </w:tcPr>
          <w:p w14:paraId="57F88CD4"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lastRenderedPageBreak/>
              <w:t>Davidson E, Hancock S (2007) Surveillance of women at high risk of breast cancer: a tech brief (Structured abstract). No. 3, 309 New Zealand Health Technology Assessment (NZHTA).</w:t>
            </w:r>
          </w:p>
        </w:tc>
        <w:tc>
          <w:tcPr>
            <w:tcW w:w="948" w:type="dxa"/>
            <w:tcBorders>
              <w:top w:val="single" w:sz="4" w:space="0" w:color="auto"/>
              <w:left w:val="single" w:sz="4" w:space="0" w:color="auto"/>
              <w:bottom w:val="single" w:sz="4" w:space="0" w:color="auto"/>
              <w:right w:val="single" w:sz="4" w:space="0" w:color="auto"/>
            </w:tcBorders>
          </w:tcPr>
          <w:p w14:paraId="753F9860"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Superseded</w:t>
            </w:r>
          </w:p>
        </w:tc>
      </w:tr>
      <w:tr w:rsidR="00E47AB8" w:rsidRPr="008B2F8A" w14:paraId="68013006" w14:textId="77777777" w:rsidTr="004E7861">
        <w:trPr>
          <w:cantSplit/>
        </w:trPr>
        <w:tc>
          <w:tcPr>
            <w:tcW w:w="8122" w:type="dxa"/>
            <w:tcBorders>
              <w:top w:val="single" w:sz="4" w:space="0" w:color="auto"/>
              <w:left w:val="single" w:sz="4" w:space="0" w:color="auto"/>
              <w:bottom w:val="single" w:sz="4" w:space="0" w:color="auto"/>
              <w:right w:val="single" w:sz="4" w:space="0" w:color="auto"/>
            </w:tcBorders>
          </w:tcPr>
          <w:p w14:paraId="6B23AABE" w14:textId="00CB82B9"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Dunfield L, Severn M (2007) Effectiveness of magnetic resonance imaging (MRI) screening for women at high risk of breast cancer (Structured abstract). No. 3, 20. Canadian Agency for Drugs and Technologies in Health.</w:t>
            </w:r>
          </w:p>
        </w:tc>
        <w:tc>
          <w:tcPr>
            <w:tcW w:w="948" w:type="dxa"/>
            <w:tcBorders>
              <w:top w:val="single" w:sz="4" w:space="0" w:color="auto"/>
              <w:left w:val="single" w:sz="4" w:space="0" w:color="auto"/>
              <w:bottom w:val="single" w:sz="4" w:space="0" w:color="auto"/>
              <w:right w:val="single" w:sz="4" w:space="0" w:color="auto"/>
            </w:tcBorders>
          </w:tcPr>
          <w:p w14:paraId="525A29C4"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Superseded</w:t>
            </w:r>
          </w:p>
        </w:tc>
      </w:tr>
      <w:tr w:rsidR="00E47AB8" w:rsidRPr="008B2F8A" w14:paraId="1C479A7B" w14:textId="77777777" w:rsidTr="004E7861">
        <w:trPr>
          <w:cantSplit/>
        </w:trPr>
        <w:tc>
          <w:tcPr>
            <w:tcW w:w="8122" w:type="dxa"/>
          </w:tcPr>
          <w:p w14:paraId="109C3EA2" w14:textId="52EC986A" w:rsidR="00E47AB8" w:rsidRPr="008B2F8A" w:rsidRDefault="00E47AB8" w:rsidP="00422306">
            <w:pPr>
              <w:autoSpaceDE w:val="0"/>
              <w:autoSpaceDN w:val="0"/>
              <w:adjustRightInd w:val="0"/>
              <w:spacing w:before="40" w:after="80"/>
              <w:rPr>
                <w:rFonts w:ascii="Arial Narrow" w:hAnsi="Arial Narrow"/>
                <w:sz w:val="20"/>
                <w:szCs w:val="20"/>
              </w:rPr>
            </w:pPr>
            <w:bookmarkStart w:id="1450" w:name="OLE_LINK156"/>
            <w:r w:rsidRPr="008B2F8A">
              <w:rPr>
                <w:rFonts w:ascii="Arial Narrow" w:hAnsi="Arial Narrow" w:cs="Calibri"/>
                <w:sz w:val="20"/>
                <w:szCs w:val="20"/>
              </w:rPr>
              <w:t xml:space="preserve">Granader </w:t>
            </w:r>
            <w:bookmarkEnd w:id="1450"/>
            <w:r w:rsidRPr="008B2F8A">
              <w:rPr>
                <w:rFonts w:ascii="Arial Narrow" w:hAnsi="Arial Narrow" w:cs="Calibri"/>
                <w:sz w:val="20"/>
                <w:szCs w:val="20"/>
              </w:rPr>
              <w:t xml:space="preserve">EJ, </w:t>
            </w:r>
            <w:bookmarkStart w:id="1451" w:name="OLE_LINK157"/>
            <w:bookmarkStart w:id="1452" w:name="OLE_LINK158"/>
            <w:r w:rsidRPr="008B2F8A">
              <w:rPr>
                <w:rFonts w:ascii="Arial Narrow" w:hAnsi="Arial Narrow" w:cs="Calibri"/>
                <w:sz w:val="20"/>
                <w:szCs w:val="20"/>
              </w:rPr>
              <w:t xml:space="preserve">Dwamena </w:t>
            </w:r>
            <w:bookmarkEnd w:id="1451"/>
            <w:bookmarkEnd w:id="1452"/>
            <w:r w:rsidRPr="008B2F8A">
              <w:rPr>
                <w:rFonts w:ascii="Arial Narrow" w:hAnsi="Arial Narrow" w:cs="Calibri"/>
                <w:sz w:val="20"/>
                <w:szCs w:val="20"/>
              </w:rPr>
              <w:t>B, Carlos RC (2008) MRI and mammography surveillance of women at increased risk for breast cancer: recommendations using an evidence-based approach (Structured abstract). Acad Radiol 15:1590–1595.</w:t>
            </w:r>
          </w:p>
        </w:tc>
        <w:tc>
          <w:tcPr>
            <w:tcW w:w="948" w:type="dxa"/>
          </w:tcPr>
          <w:p w14:paraId="551B8845" w14:textId="77777777" w:rsidR="00E47AB8" w:rsidRPr="008B2F8A" w:rsidRDefault="00E47AB8" w:rsidP="00422306">
            <w:pPr>
              <w:autoSpaceDE w:val="0"/>
              <w:autoSpaceDN w:val="0"/>
              <w:adjustRightInd w:val="0"/>
              <w:spacing w:before="40" w:after="80"/>
              <w:rPr>
                <w:rFonts w:ascii="Arial Narrow" w:hAnsi="Arial Narrow" w:cs="Calibri"/>
                <w:sz w:val="20"/>
                <w:szCs w:val="20"/>
              </w:rPr>
            </w:pPr>
            <w:r w:rsidRPr="008B2F8A">
              <w:rPr>
                <w:rFonts w:ascii="Arial Narrow" w:hAnsi="Arial Narrow"/>
                <w:sz w:val="20"/>
                <w:szCs w:val="20"/>
              </w:rPr>
              <w:t>Superseded</w:t>
            </w:r>
          </w:p>
        </w:tc>
      </w:tr>
      <w:tr w:rsidR="00E47AB8" w:rsidRPr="008B2F8A" w14:paraId="7F830C63" w14:textId="77777777" w:rsidTr="004E7861">
        <w:trPr>
          <w:cantSplit/>
        </w:trPr>
        <w:tc>
          <w:tcPr>
            <w:tcW w:w="8122" w:type="dxa"/>
            <w:tcBorders>
              <w:top w:val="single" w:sz="4" w:space="0" w:color="auto"/>
              <w:left w:val="single" w:sz="4" w:space="0" w:color="auto"/>
              <w:bottom w:val="single" w:sz="4" w:space="0" w:color="auto"/>
              <w:right w:val="single" w:sz="4" w:space="0" w:color="auto"/>
            </w:tcBorders>
          </w:tcPr>
          <w:p w14:paraId="01FE2B3E"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Health QO (2010) Cancer screening with digital mammography for women at average risk for breast cancer, magnetic resonance imaging (MRI) for women at high risk: an evidence-based analysis. pp 1–55.</w:t>
            </w:r>
          </w:p>
        </w:tc>
        <w:tc>
          <w:tcPr>
            <w:tcW w:w="948" w:type="dxa"/>
            <w:tcBorders>
              <w:top w:val="single" w:sz="4" w:space="0" w:color="auto"/>
              <w:left w:val="single" w:sz="4" w:space="0" w:color="auto"/>
              <w:bottom w:val="single" w:sz="4" w:space="0" w:color="auto"/>
              <w:right w:val="single" w:sz="4" w:space="0" w:color="auto"/>
            </w:tcBorders>
          </w:tcPr>
          <w:p w14:paraId="0ECD92BD"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Superseded</w:t>
            </w:r>
          </w:p>
        </w:tc>
      </w:tr>
      <w:tr w:rsidR="00E47AB8" w:rsidRPr="008B2F8A" w14:paraId="42BD1673" w14:textId="77777777" w:rsidTr="004E7861">
        <w:trPr>
          <w:cantSplit/>
        </w:trPr>
        <w:tc>
          <w:tcPr>
            <w:tcW w:w="8122" w:type="dxa"/>
          </w:tcPr>
          <w:p w14:paraId="617F3DDB" w14:textId="6971F056" w:rsidR="00E47AB8" w:rsidRPr="008B2F8A" w:rsidRDefault="00E47AB8" w:rsidP="00422306">
            <w:pPr>
              <w:autoSpaceDE w:val="0"/>
              <w:autoSpaceDN w:val="0"/>
              <w:adjustRightInd w:val="0"/>
              <w:spacing w:before="40" w:after="80"/>
              <w:rPr>
                <w:rFonts w:ascii="Arial Narrow" w:hAnsi="Arial Narrow" w:cs="Calibri"/>
                <w:sz w:val="20"/>
                <w:szCs w:val="20"/>
              </w:rPr>
            </w:pPr>
            <w:r w:rsidRPr="008B2F8A">
              <w:rPr>
                <w:rFonts w:ascii="Arial Narrow" w:hAnsi="Arial Narrow" w:cs="Calibri"/>
                <w:sz w:val="20"/>
                <w:szCs w:val="20"/>
              </w:rPr>
              <w:t>Lee JM, Halpern EF, Rafferty EA, Gazelle GS (2009) Evaluating the Correlation between Film Mammography and MRI for Screening Women with Increased Breast Cancer Risk. Acad Radiol 16:1323–1328.</w:t>
            </w:r>
          </w:p>
        </w:tc>
        <w:tc>
          <w:tcPr>
            <w:tcW w:w="948" w:type="dxa"/>
          </w:tcPr>
          <w:p w14:paraId="6974D931" w14:textId="77777777" w:rsidR="00E47AB8" w:rsidRPr="008B2F8A" w:rsidRDefault="00E47AB8" w:rsidP="00422306">
            <w:pPr>
              <w:autoSpaceDE w:val="0"/>
              <w:autoSpaceDN w:val="0"/>
              <w:adjustRightInd w:val="0"/>
              <w:spacing w:before="40" w:after="80"/>
              <w:rPr>
                <w:rFonts w:ascii="Arial Narrow" w:hAnsi="Arial Narrow" w:cs="Calibri"/>
                <w:sz w:val="20"/>
                <w:szCs w:val="20"/>
              </w:rPr>
            </w:pPr>
            <w:r w:rsidRPr="008B2F8A">
              <w:rPr>
                <w:rFonts w:ascii="Arial Narrow" w:hAnsi="Arial Narrow"/>
                <w:sz w:val="20"/>
                <w:szCs w:val="20"/>
              </w:rPr>
              <w:t>Superseded</w:t>
            </w:r>
          </w:p>
        </w:tc>
      </w:tr>
      <w:tr w:rsidR="00E47AB8" w:rsidRPr="008B2F8A" w14:paraId="32209797" w14:textId="77777777" w:rsidTr="004E7861">
        <w:trPr>
          <w:cantSplit/>
        </w:trPr>
        <w:tc>
          <w:tcPr>
            <w:tcW w:w="8122" w:type="dxa"/>
          </w:tcPr>
          <w:p w14:paraId="6B1317F6" w14:textId="402B18A2" w:rsidR="00E47AB8" w:rsidRPr="008B2F8A" w:rsidRDefault="00E47AB8" w:rsidP="00422306">
            <w:pPr>
              <w:autoSpaceDE w:val="0"/>
              <w:autoSpaceDN w:val="0"/>
              <w:adjustRightInd w:val="0"/>
              <w:spacing w:before="40" w:after="80"/>
              <w:rPr>
                <w:rFonts w:ascii="Arial Narrow" w:hAnsi="Arial Narrow"/>
                <w:sz w:val="20"/>
                <w:szCs w:val="20"/>
              </w:rPr>
            </w:pPr>
            <w:r w:rsidRPr="008B2F8A">
              <w:rPr>
                <w:rFonts w:ascii="Arial Narrow" w:hAnsi="Arial Narrow" w:cs="Calibri"/>
                <w:sz w:val="20"/>
                <w:szCs w:val="20"/>
              </w:rPr>
              <w:t xml:space="preserve">Lord SJ, Lei W, Craft P, Cawson JN, Morris I, </w:t>
            </w:r>
            <w:bookmarkStart w:id="1453" w:name="OLE_LINK159"/>
            <w:r w:rsidRPr="008B2F8A">
              <w:rPr>
                <w:rFonts w:ascii="Arial Narrow" w:hAnsi="Arial Narrow" w:cs="Calibri"/>
                <w:sz w:val="20"/>
                <w:szCs w:val="20"/>
              </w:rPr>
              <w:t xml:space="preserve">Walleser </w:t>
            </w:r>
            <w:bookmarkEnd w:id="1453"/>
            <w:r w:rsidRPr="008B2F8A">
              <w:rPr>
                <w:rFonts w:ascii="Arial Narrow" w:hAnsi="Arial Narrow" w:cs="Calibri"/>
                <w:sz w:val="20"/>
                <w:szCs w:val="20"/>
              </w:rPr>
              <w:t>S, Griffiths A, Parker S, Houssami N (2007) A systematic review of the effectiveness of magnetic resonance imaging (MRI) as an addition to mammography and ultrasound in screening young women at high risk of breast cancer (Structured abstract). Eur J Cancer 43:1905–1917.</w:t>
            </w:r>
          </w:p>
        </w:tc>
        <w:tc>
          <w:tcPr>
            <w:tcW w:w="948" w:type="dxa"/>
          </w:tcPr>
          <w:p w14:paraId="568B1E91" w14:textId="77777777" w:rsidR="00E47AB8" w:rsidRPr="008B2F8A" w:rsidRDefault="00E47AB8" w:rsidP="00422306">
            <w:pPr>
              <w:autoSpaceDE w:val="0"/>
              <w:autoSpaceDN w:val="0"/>
              <w:adjustRightInd w:val="0"/>
              <w:spacing w:before="40" w:after="80"/>
              <w:rPr>
                <w:rFonts w:ascii="Arial Narrow" w:hAnsi="Arial Narrow" w:cs="Calibri"/>
                <w:sz w:val="20"/>
                <w:szCs w:val="20"/>
              </w:rPr>
            </w:pPr>
            <w:r w:rsidRPr="008B2F8A">
              <w:rPr>
                <w:rFonts w:ascii="Arial Narrow" w:hAnsi="Arial Narrow"/>
                <w:sz w:val="20"/>
                <w:szCs w:val="20"/>
              </w:rPr>
              <w:t>Superseded</w:t>
            </w:r>
          </w:p>
        </w:tc>
      </w:tr>
      <w:tr w:rsidR="00E47AB8" w:rsidRPr="008B2F8A" w14:paraId="5AFC4EDA" w14:textId="77777777" w:rsidTr="004E7861">
        <w:trPr>
          <w:cantSplit/>
        </w:trPr>
        <w:tc>
          <w:tcPr>
            <w:tcW w:w="8122" w:type="dxa"/>
          </w:tcPr>
          <w:p w14:paraId="27643973"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rFonts w:cs="Calibri"/>
                <w:szCs w:val="20"/>
              </w:rPr>
              <w:t>Morrow M, Waters J, Morris E (2011) MRI for breast cancer screening, diagnosis and treatment. Lancet 378(9805): 1804–11.</w:t>
            </w:r>
          </w:p>
        </w:tc>
        <w:tc>
          <w:tcPr>
            <w:tcW w:w="948" w:type="dxa"/>
          </w:tcPr>
          <w:p w14:paraId="4AFCB017" w14:textId="77777777" w:rsidR="00E47AB8" w:rsidRPr="008B2F8A" w:rsidRDefault="00E47AB8" w:rsidP="00422306">
            <w:pPr>
              <w:pStyle w:val="TableText0"/>
              <w:keepNext w:val="0"/>
              <w:autoSpaceDE w:val="0"/>
              <w:autoSpaceDN w:val="0"/>
              <w:adjustRightInd w:val="0"/>
              <w:spacing w:before="40" w:after="80" w:line="276" w:lineRule="auto"/>
              <w:rPr>
                <w:rFonts w:cs="Calibri"/>
                <w:szCs w:val="20"/>
              </w:rPr>
            </w:pPr>
            <w:r w:rsidRPr="008B2F8A">
              <w:rPr>
                <w:szCs w:val="20"/>
              </w:rPr>
              <w:t>Superseded</w:t>
            </w:r>
          </w:p>
        </w:tc>
      </w:tr>
      <w:tr w:rsidR="00E47AB8" w:rsidRPr="008B2F8A" w14:paraId="56917B11" w14:textId="77777777" w:rsidTr="004E7861">
        <w:trPr>
          <w:cantSplit/>
        </w:trPr>
        <w:tc>
          <w:tcPr>
            <w:tcW w:w="8122" w:type="dxa"/>
          </w:tcPr>
          <w:p w14:paraId="1C69DBA3" w14:textId="048BB154" w:rsidR="00E47AB8" w:rsidRPr="008B2F8A" w:rsidRDefault="00E47AB8" w:rsidP="00422306">
            <w:pPr>
              <w:pStyle w:val="TableText0"/>
              <w:keepNext w:val="0"/>
              <w:autoSpaceDE w:val="0"/>
              <w:autoSpaceDN w:val="0"/>
              <w:adjustRightInd w:val="0"/>
              <w:spacing w:before="40" w:after="80" w:line="276" w:lineRule="auto"/>
              <w:rPr>
                <w:szCs w:val="20"/>
              </w:rPr>
            </w:pPr>
            <w:r w:rsidRPr="008B2F8A">
              <w:rPr>
                <w:rFonts w:cs="Calibri"/>
                <w:szCs w:val="20"/>
              </w:rPr>
              <w:t xml:space="preserve">Warner E, </w:t>
            </w:r>
            <w:bookmarkStart w:id="1454" w:name="OLE_LINK160"/>
            <w:bookmarkStart w:id="1455" w:name="OLE_LINK161"/>
            <w:r w:rsidRPr="008B2F8A">
              <w:rPr>
                <w:rFonts w:cs="Calibri"/>
                <w:szCs w:val="20"/>
              </w:rPr>
              <w:t xml:space="preserve">Messersmith </w:t>
            </w:r>
            <w:bookmarkEnd w:id="1454"/>
            <w:bookmarkEnd w:id="1455"/>
            <w:r w:rsidRPr="008B2F8A">
              <w:rPr>
                <w:rFonts w:cs="Calibri"/>
                <w:szCs w:val="20"/>
              </w:rPr>
              <w:t xml:space="preserve">H, Causer P, Eisen A, </w:t>
            </w:r>
            <w:bookmarkStart w:id="1456" w:name="OLE_LINK162"/>
            <w:bookmarkStart w:id="1457" w:name="OLE_LINK163"/>
            <w:r w:rsidRPr="008B2F8A">
              <w:rPr>
                <w:rFonts w:cs="Calibri"/>
                <w:szCs w:val="20"/>
              </w:rPr>
              <w:t xml:space="preserve">Shumak </w:t>
            </w:r>
            <w:bookmarkEnd w:id="1456"/>
            <w:bookmarkEnd w:id="1457"/>
            <w:r w:rsidRPr="008B2F8A">
              <w:rPr>
                <w:rFonts w:cs="Calibri"/>
                <w:szCs w:val="20"/>
              </w:rPr>
              <w:t>R, Plewes D (2008) Systematic review: using magnetic resonance imaging to screen women at high risk for breast cancer (Structured abstract). Ann Intern Med 148:671–679.</w:t>
            </w:r>
          </w:p>
        </w:tc>
        <w:tc>
          <w:tcPr>
            <w:tcW w:w="948" w:type="dxa"/>
          </w:tcPr>
          <w:p w14:paraId="241BB8E9" w14:textId="77777777" w:rsidR="00E47AB8" w:rsidRPr="008B2F8A" w:rsidRDefault="00E47AB8" w:rsidP="00422306">
            <w:pPr>
              <w:pStyle w:val="TableText0"/>
              <w:keepNext w:val="0"/>
              <w:autoSpaceDE w:val="0"/>
              <w:autoSpaceDN w:val="0"/>
              <w:adjustRightInd w:val="0"/>
              <w:spacing w:before="40" w:after="80" w:line="276" w:lineRule="auto"/>
              <w:rPr>
                <w:rFonts w:cs="Calibri"/>
                <w:szCs w:val="20"/>
              </w:rPr>
            </w:pPr>
            <w:r w:rsidRPr="008B2F8A">
              <w:rPr>
                <w:szCs w:val="20"/>
              </w:rPr>
              <w:t>Superseded</w:t>
            </w:r>
          </w:p>
        </w:tc>
      </w:tr>
    </w:tbl>
    <w:p w14:paraId="262B0C66" w14:textId="77777777" w:rsidR="00E47AB8" w:rsidRPr="008B2F8A" w:rsidRDefault="00E47AB8" w:rsidP="00422306"/>
    <w:p w14:paraId="5C877AFF" w14:textId="77777777" w:rsidR="00E47AB8" w:rsidRPr="008B2F8A" w:rsidRDefault="00E47AB8" w:rsidP="00422306">
      <w:pPr>
        <w:pStyle w:val="Caption"/>
      </w:pPr>
      <w:r w:rsidRPr="008B2F8A">
        <w:t>Excluded primary studies for the assessment of asymptomatic, high-risk women.</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xcluded primary studies for the assessment of asymptomatic, high-risk women."/>
      </w:tblPr>
      <w:tblGrid>
        <w:gridCol w:w="1470"/>
        <w:gridCol w:w="5516"/>
        <w:gridCol w:w="2084"/>
      </w:tblGrid>
      <w:tr w:rsidR="00E47AB8" w:rsidRPr="008B2F8A" w14:paraId="1D754B78" w14:textId="77777777" w:rsidTr="004B524B">
        <w:trPr>
          <w:tblHeader/>
        </w:trPr>
        <w:tc>
          <w:tcPr>
            <w:tcW w:w="1470" w:type="dxa"/>
          </w:tcPr>
          <w:p w14:paraId="54866F96" w14:textId="77777777" w:rsidR="00E47AB8" w:rsidRPr="008B2F8A" w:rsidRDefault="00E47AB8" w:rsidP="00422306">
            <w:pPr>
              <w:pStyle w:val="TableHeading"/>
              <w:keepNext w:val="0"/>
              <w:autoSpaceDE w:val="0"/>
              <w:autoSpaceDN w:val="0"/>
              <w:adjustRightInd w:val="0"/>
              <w:spacing w:before="40" w:after="80" w:line="276" w:lineRule="auto"/>
            </w:pPr>
            <w:r w:rsidRPr="008B2F8A">
              <w:t>Trial ID</w:t>
            </w:r>
          </w:p>
        </w:tc>
        <w:tc>
          <w:tcPr>
            <w:tcW w:w="5516" w:type="dxa"/>
          </w:tcPr>
          <w:p w14:paraId="4473BD5C" w14:textId="77777777" w:rsidR="00E47AB8" w:rsidRPr="008B2F8A" w:rsidRDefault="00E47AB8" w:rsidP="00422306">
            <w:pPr>
              <w:pStyle w:val="TableHeading"/>
              <w:keepNext w:val="0"/>
              <w:autoSpaceDE w:val="0"/>
              <w:autoSpaceDN w:val="0"/>
              <w:adjustRightInd w:val="0"/>
              <w:spacing w:before="40" w:after="80" w:line="276" w:lineRule="auto"/>
            </w:pPr>
            <w:r w:rsidRPr="008B2F8A">
              <w:t>Citation</w:t>
            </w:r>
          </w:p>
        </w:tc>
        <w:tc>
          <w:tcPr>
            <w:tcW w:w="2084" w:type="dxa"/>
          </w:tcPr>
          <w:p w14:paraId="27345388" w14:textId="77777777" w:rsidR="00E47AB8" w:rsidRPr="008B2F8A" w:rsidRDefault="00E47AB8" w:rsidP="00422306">
            <w:pPr>
              <w:pStyle w:val="TableHeading"/>
              <w:keepNext w:val="0"/>
              <w:autoSpaceDE w:val="0"/>
              <w:autoSpaceDN w:val="0"/>
              <w:adjustRightInd w:val="0"/>
              <w:spacing w:before="40" w:after="80" w:line="276" w:lineRule="auto"/>
            </w:pPr>
            <w:r w:rsidRPr="008B2F8A">
              <w:t>Reason for exclusion</w:t>
            </w:r>
          </w:p>
        </w:tc>
      </w:tr>
      <w:tr w:rsidR="00E47AB8" w:rsidRPr="008B2F8A" w14:paraId="34EA7494" w14:textId="77777777" w:rsidTr="004B524B">
        <w:tc>
          <w:tcPr>
            <w:tcW w:w="9070" w:type="dxa"/>
            <w:gridSpan w:val="3"/>
          </w:tcPr>
          <w:p w14:paraId="37DD03E0" w14:textId="77777777" w:rsidR="00E47AB8" w:rsidRPr="008B2F8A" w:rsidRDefault="00E47AB8" w:rsidP="00422306">
            <w:pPr>
              <w:pStyle w:val="TableHeading"/>
              <w:keepNext w:val="0"/>
              <w:autoSpaceDE w:val="0"/>
              <w:autoSpaceDN w:val="0"/>
              <w:adjustRightInd w:val="0"/>
              <w:spacing w:before="40" w:after="80" w:line="276" w:lineRule="auto"/>
              <w:rPr>
                <w:szCs w:val="20"/>
              </w:rPr>
            </w:pPr>
            <w:r w:rsidRPr="008B2F8A">
              <w:rPr>
                <w:szCs w:val="20"/>
              </w:rPr>
              <w:t>Study type</w:t>
            </w:r>
          </w:p>
        </w:tc>
      </w:tr>
      <w:tr w:rsidR="00E47AB8" w:rsidRPr="008B2F8A" w14:paraId="11C554F4" w14:textId="77777777" w:rsidTr="004B524B">
        <w:tc>
          <w:tcPr>
            <w:tcW w:w="1470" w:type="dxa"/>
          </w:tcPr>
          <w:p w14:paraId="21872131" w14:textId="7E1E9B8F" w:rsidR="00E47AB8" w:rsidRPr="008B2F8A" w:rsidRDefault="00E47AB8" w:rsidP="00422306">
            <w:pPr>
              <w:pStyle w:val="Tabletext"/>
              <w:autoSpaceDE w:val="0"/>
              <w:autoSpaceDN w:val="0"/>
              <w:adjustRightInd w:val="0"/>
              <w:spacing w:before="40" w:after="80" w:line="276" w:lineRule="auto"/>
              <w:rPr>
                <w:szCs w:val="20"/>
              </w:rPr>
            </w:pPr>
            <w:bookmarkStart w:id="1458" w:name="OLE_LINK263"/>
            <w:bookmarkStart w:id="1459" w:name="OLE_LINK264"/>
            <w:bookmarkStart w:id="1460" w:name="OLE_LINK265"/>
            <w:r>
              <w:rPr>
                <w:szCs w:val="20"/>
              </w:rPr>
              <w:t>Hoogerbrugge et al, 2008</w:t>
            </w:r>
            <w:r w:rsidRPr="008B2F8A">
              <w:rPr>
                <w:szCs w:val="20"/>
              </w:rPr>
              <w:t xml:space="preserve"> </w:t>
            </w:r>
            <w:bookmarkEnd w:id="1458"/>
            <w:bookmarkEnd w:id="1459"/>
            <w:bookmarkEnd w:id="1460"/>
          </w:p>
        </w:tc>
        <w:tc>
          <w:tcPr>
            <w:tcW w:w="5516" w:type="dxa"/>
          </w:tcPr>
          <w:p w14:paraId="58111CF5"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rFonts w:cs="Calibri"/>
                <w:szCs w:val="20"/>
              </w:rPr>
              <w:t xml:space="preserve">Hoogerbrugge N, </w:t>
            </w:r>
            <w:bookmarkStart w:id="1461" w:name="OLE_LINK164"/>
            <w:r w:rsidRPr="008B2F8A">
              <w:rPr>
                <w:rFonts w:cs="Calibri"/>
                <w:szCs w:val="20"/>
              </w:rPr>
              <w:t xml:space="preserve">Kamm </w:t>
            </w:r>
            <w:bookmarkEnd w:id="1461"/>
            <w:r w:rsidRPr="008B2F8A">
              <w:rPr>
                <w:rFonts w:cs="Calibri"/>
                <w:szCs w:val="20"/>
              </w:rPr>
              <w:t xml:space="preserve">YJL, </w:t>
            </w:r>
            <w:bookmarkStart w:id="1462" w:name="OLE_LINK165"/>
            <w:r w:rsidRPr="008B2F8A">
              <w:rPr>
                <w:rFonts w:cs="Calibri"/>
                <w:szCs w:val="20"/>
              </w:rPr>
              <w:t xml:space="preserve">Bult </w:t>
            </w:r>
            <w:bookmarkEnd w:id="1462"/>
            <w:r w:rsidRPr="008B2F8A">
              <w:rPr>
                <w:rFonts w:cs="Calibri"/>
                <w:szCs w:val="20"/>
              </w:rPr>
              <w:t xml:space="preserve">P, </w:t>
            </w:r>
            <w:bookmarkStart w:id="1463" w:name="OLE_LINK166"/>
            <w:r w:rsidRPr="008B2F8A">
              <w:rPr>
                <w:rFonts w:cs="Calibri"/>
                <w:szCs w:val="20"/>
              </w:rPr>
              <w:t xml:space="preserve">Landsbergen </w:t>
            </w:r>
            <w:bookmarkEnd w:id="1463"/>
            <w:r w:rsidRPr="008B2F8A">
              <w:rPr>
                <w:rFonts w:cs="Calibri"/>
                <w:szCs w:val="20"/>
              </w:rPr>
              <w:t xml:space="preserve">KM, </w:t>
            </w:r>
            <w:bookmarkStart w:id="1464" w:name="OLE_LINK167"/>
            <w:bookmarkStart w:id="1465" w:name="OLE_LINK168"/>
            <w:r w:rsidRPr="008B2F8A">
              <w:rPr>
                <w:rFonts w:cs="Calibri"/>
                <w:szCs w:val="20"/>
              </w:rPr>
              <w:t xml:space="preserve">Bongers </w:t>
            </w:r>
            <w:bookmarkEnd w:id="1464"/>
            <w:bookmarkEnd w:id="1465"/>
            <w:r w:rsidRPr="008B2F8A">
              <w:rPr>
                <w:rFonts w:cs="Calibri"/>
                <w:szCs w:val="20"/>
              </w:rPr>
              <w:t xml:space="preserve">EMHF, Brunner HG, </w:t>
            </w:r>
            <w:bookmarkStart w:id="1466" w:name="OLE_LINK169"/>
            <w:bookmarkStart w:id="1467" w:name="OLE_LINK170"/>
            <w:r w:rsidRPr="008B2F8A">
              <w:rPr>
                <w:rFonts w:cs="Calibri"/>
                <w:szCs w:val="20"/>
              </w:rPr>
              <w:t xml:space="preserve">Bonenkamp </w:t>
            </w:r>
            <w:bookmarkEnd w:id="1466"/>
            <w:bookmarkEnd w:id="1467"/>
            <w:r w:rsidRPr="008B2F8A">
              <w:rPr>
                <w:rFonts w:cs="Calibri"/>
                <w:szCs w:val="20"/>
              </w:rPr>
              <w:t xml:space="preserve">HJ, de </w:t>
            </w:r>
            <w:bookmarkStart w:id="1468" w:name="OLE_LINK171"/>
            <w:bookmarkStart w:id="1469" w:name="OLE_LINK172"/>
            <w:r w:rsidRPr="008B2F8A">
              <w:rPr>
                <w:rFonts w:cs="Calibri"/>
                <w:szCs w:val="20"/>
              </w:rPr>
              <w:t xml:space="preserve">Hullu </w:t>
            </w:r>
            <w:bookmarkEnd w:id="1468"/>
            <w:bookmarkEnd w:id="1469"/>
            <w:r w:rsidRPr="008B2F8A">
              <w:rPr>
                <w:rFonts w:cs="Calibri"/>
                <w:szCs w:val="20"/>
              </w:rPr>
              <w:t xml:space="preserve">JA, </w:t>
            </w:r>
            <w:bookmarkStart w:id="1470" w:name="OLE_LINK173"/>
            <w:bookmarkStart w:id="1471" w:name="OLE_LINK174"/>
            <w:r w:rsidRPr="008B2F8A">
              <w:rPr>
                <w:rFonts w:cs="Calibri"/>
                <w:szCs w:val="20"/>
              </w:rPr>
              <w:t xml:space="preserve">Ligtenberg </w:t>
            </w:r>
            <w:bookmarkEnd w:id="1470"/>
            <w:bookmarkEnd w:id="1471"/>
            <w:r w:rsidRPr="008B2F8A">
              <w:rPr>
                <w:rFonts w:cs="Calibri"/>
                <w:szCs w:val="20"/>
              </w:rPr>
              <w:t xml:space="preserve">MJL, </w:t>
            </w:r>
            <w:bookmarkStart w:id="1472" w:name="OLE_LINK175"/>
            <w:bookmarkStart w:id="1473" w:name="OLE_LINK176"/>
            <w:r w:rsidRPr="008B2F8A">
              <w:rPr>
                <w:rFonts w:cs="Calibri"/>
                <w:szCs w:val="20"/>
              </w:rPr>
              <w:t xml:space="preserve">Boetes </w:t>
            </w:r>
            <w:bookmarkEnd w:id="1472"/>
            <w:bookmarkEnd w:id="1473"/>
            <w:r w:rsidRPr="008B2F8A">
              <w:rPr>
                <w:rFonts w:cs="Calibri"/>
                <w:szCs w:val="20"/>
              </w:rPr>
              <w:t xml:space="preserve">C (2008) The impact of a false-positive MRI on the choice for mastectomy in </w:t>
            </w:r>
            <w:r w:rsidRPr="008B2F8A">
              <w:rPr>
                <w:rFonts w:cs="Calibri"/>
                <w:i/>
                <w:szCs w:val="20"/>
              </w:rPr>
              <w:t>BRCA</w:t>
            </w:r>
            <w:r w:rsidRPr="008B2F8A">
              <w:rPr>
                <w:rFonts w:cs="Calibri"/>
                <w:szCs w:val="20"/>
              </w:rPr>
              <w:t xml:space="preserve"> mutation carriers is limited. Ann Oncol 19:655–659.</w:t>
            </w:r>
          </w:p>
        </w:tc>
        <w:tc>
          <w:tcPr>
            <w:tcW w:w="2084" w:type="dxa"/>
          </w:tcPr>
          <w:p w14:paraId="2390B9C6" w14:textId="7742B80E"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Non-comparative</w:t>
            </w:r>
          </w:p>
          <w:p w14:paraId="0233A172" w14:textId="57489AE0"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 xml:space="preserve">Excluded from </w:t>
            </w:r>
            <w:r>
              <w:rPr>
                <w:szCs w:val="20"/>
              </w:rPr>
              <w:t>NICE, 2013</w:t>
            </w:r>
          </w:p>
        </w:tc>
      </w:tr>
      <w:tr w:rsidR="00E47AB8" w:rsidRPr="008B2F8A" w14:paraId="02BB2F72" w14:textId="77777777" w:rsidTr="004B524B">
        <w:tc>
          <w:tcPr>
            <w:tcW w:w="1470" w:type="dxa"/>
          </w:tcPr>
          <w:p w14:paraId="5A58D382" w14:textId="176A6156" w:rsidR="00E47AB8" w:rsidRPr="008B2F8A" w:rsidRDefault="00E47AB8" w:rsidP="00422306">
            <w:pPr>
              <w:pStyle w:val="Tabletext"/>
              <w:autoSpaceDE w:val="0"/>
              <w:autoSpaceDN w:val="0"/>
              <w:adjustRightInd w:val="0"/>
              <w:spacing w:before="40" w:after="80" w:line="276" w:lineRule="auto"/>
            </w:pPr>
            <w:bookmarkStart w:id="1474" w:name="OLE_LINK266"/>
            <w:bookmarkStart w:id="1475" w:name="OLE_LINK267"/>
            <w:r w:rsidRPr="008B2F8A">
              <w:t>Patrick-</w:t>
            </w:r>
            <w:bookmarkEnd w:id="1474"/>
            <w:bookmarkEnd w:id="1475"/>
            <w:r>
              <w:t>Miller et al, 2011</w:t>
            </w:r>
          </w:p>
        </w:tc>
        <w:tc>
          <w:tcPr>
            <w:tcW w:w="5516" w:type="dxa"/>
          </w:tcPr>
          <w:p w14:paraId="1CB6FBEB" w14:textId="253C4153" w:rsidR="00E47AB8" w:rsidRPr="008B2F8A" w:rsidRDefault="00E47AB8" w:rsidP="00422306">
            <w:pPr>
              <w:pStyle w:val="Tabletext"/>
              <w:autoSpaceDE w:val="0"/>
              <w:autoSpaceDN w:val="0"/>
              <w:adjustRightInd w:val="0"/>
              <w:spacing w:before="40" w:after="80" w:line="276" w:lineRule="auto"/>
              <w:rPr>
                <w:szCs w:val="20"/>
              </w:rPr>
            </w:pPr>
            <w:r w:rsidRPr="008B2F8A">
              <w:rPr>
                <w:rFonts w:cs="Calibri"/>
                <w:szCs w:val="20"/>
              </w:rPr>
              <w:t>Patrick-Miller LJ, Bradbury AR, Pius R, Wroblewski K, Verp MS, Jackson S, Gulden C, Newstead G, Abe H, Olopade OI (2011) Results from a longitudinal breast MRI surveillance study: Psychological impact for high-risk women. J Clin Oncol 29</w:t>
            </w:r>
            <w:r>
              <w:rPr>
                <w:rFonts w:cs="Calibri"/>
                <w:szCs w:val="20"/>
              </w:rPr>
              <w:t>:</w:t>
            </w:r>
            <w:r w:rsidR="00F56FD1">
              <w:t xml:space="preserve"> </w:t>
            </w:r>
            <w:r w:rsidR="00F56FD1" w:rsidRPr="00F56FD1">
              <w:rPr>
                <w:rFonts w:cs="Calibri"/>
                <w:szCs w:val="20"/>
              </w:rPr>
              <w:t>(suppl; abstr 1563)</w:t>
            </w:r>
            <w:r w:rsidRPr="008B2F8A">
              <w:rPr>
                <w:rFonts w:cs="Calibri"/>
                <w:szCs w:val="20"/>
              </w:rPr>
              <w:t>.</w:t>
            </w:r>
          </w:p>
        </w:tc>
        <w:tc>
          <w:tcPr>
            <w:tcW w:w="2084" w:type="dxa"/>
          </w:tcPr>
          <w:p w14:paraId="32EB2A1B"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rFonts w:cs="Calibri"/>
                <w:szCs w:val="20"/>
              </w:rPr>
              <w:t>Abstract only</w:t>
            </w:r>
          </w:p>
        </w:tc>
      </w:tr>
      <w:tr w:rsidR="00E47AB8" w:rsidRPr="008B2F8A" w14:paraId="168DBC64" w14:textId="77777777" w:rsidTr="004B524B">
        <w:tc>
          <w:tcPr>
            <w:tcW w:w="1470" w:type="dxa"/>
          </w:tcPr>
          <w:p w14:paraId="6217CF86" w14:textId="6099CEE5" w:rsidR="00E47AB8" w:rsidRPr="008B2F8A" w:rsidRDefault="00E47AB8" w:rsidP="00422306">
            <w:pPr>
              <w:pStyle w:val="Tabletext"/>
              <w:autoSpaceDE w:val="0"/>
              <w:autoSpaceDN w:val="0"/>
              <w:adjustRightInd w:val="0"/>
              <w:spacing w:before="40" w:after="80" w:line="276" w:lineRule="auto"/>
            </w:pPr>
            <w:r>
              <w:t>Shah et al, 2009</w:t>
            </w:r>
          </w:p>
        </w:tc>
        <w:tc>
          <w:tcPr>
            <w:tcW w:w="5516" w:type="dxa"/>
          </w:tcPr>
          <w:p w14:paraId="468140D7" w14:textId="13FB321E" w:rsidR="00E47AB8" w:rsidRPr="008B2F8A" w:rsidRDefault="00E47AB8" w:rsidP="00422306">
            <w:pPr>
              <w:pStyle w:val="TableHeading"/>
              <w:keepNext w:val="0"/>
              <w:autoSpaceDE w:val="0"/>
              <w:autoSpaceDN w:val="0"/>
              <w:adjustRightInd w:val="0"/>
              <w:spacing w:before="40" w:after="80" w:line="276" w:lineRule="auto"/>
              <w:rPr>
                <w:b w:val="0"/>
                <w:szCs w:val="20"/>
              </w:rPr>
            </w:pPr>
            <w:r w:rsidRPr="008B2F8A">
              <w:rPr>
                <w:rFonts w:cs="Calibri"/>
                <w:b w:val="0"/>
                <w:szCs w:val="20"/>
              </w:rPr>
              <w:t xml:space="preserve">Shah P, Rosen M, </w:t>
            </w:r>
            <w:bookmarkStart w:id="1476" w:name="OLE_LINK177"/>
            <w:r w:rsidRPr="008B2F8A">
              <w:rPr>
                <w:rFonts w:cs="Calibri"/>
                <w:b w:val="0"/>
                <w:szCs w:val="20"/>
              </w:rPr>
              <w:t xml:space="preserve">Stopfer </w:t>
            </w:r>
            <w:bookmarkEnd w:id="1476"/>
            <w:r w:rsidRPr="008B2F8A">
              <w:rPr>
                <w:rFonts w:cs="Calibri"/>
                <w:b w:val="0"/>
                <w:szCs w:val="20"/>
              </w:rPr>
              <w:t xml:space="preserve">J, Siegfried J, </w:t>
            </w:r>
            <w:bookmarkStart w:id="1477" w:name="OLE_LINK178"/>
            <w:r w:rsidRPr="008B2F8A">
              <w:rPr>
                <w:rFonts w:cs="Calibri"/>
                <w:b w:val="0"/>
                <w:szCs w:val="20"/>
              </w:rPr>
              <w:t xml:space="preserve">Kaltman </w:t>
            </w:r>
            <w:bookmarkEnd w:id="1477"/>
            <w:r w:rsidRPr="008B2F8A">
              <w:rPr>
                <w:rFonts w:cs="Calibri"/>
                <w:b w:val="0"/>
                <w:szCs w:val="20"/>
              </w:rPr>
              <w:t xml:space="preserve">R, Mason B, Armstrong K, Nathanson KL, Schnall M, Domchek SM (2009) Prospective study of breast MRI in </w:t>
            </w:r>
            <w:r w:rsidRPr="008B2F8A">
              <w:rPr>
                <w:rFonts w:cs="Calibri"/>
                <w:b w:val="0"/>
                <w:i/>
                <w:szCs w:val="20"/>
              </w:rPr>
              <w:t>BRCA1</w:t>
            </w:r>
            <w:r w:rsidRPr="008B2F8A">
              <w:rPr>
                <w:rFonts w:cs="Calibri"/>
                <w:b w:val="0"/>
                <w:szCs w:val="20"/>
              </w:rPr>
              <w:t xml:space="preserve"> and </w:t>
            </w:r>
            <w:r w:rsidRPr="008B2F8A">
              <w:rPr>
                <w:rFonts w:cs="Calibri"/>
                <w:b w:val="0"/>
                <w:i/>
                <w:szCs w:val="20"/>
              </w:rPr>
              <w:t>BRCA2</w:t>
            </w:r>
            <w:r w:rsidRPr="008B2F8A">
              <w:rPr>
                <w:rFonts w:cs="Calibri"/>
                <w:b w:val="0"/>
                <w:szCs w:val="20"/>
              </w:rPr>
              <w:t xml:space="preserve"> mutation carriers: Effect of mutation status on cancer incidence. Breast Cancer Res Treat 118:539–546.</w:t>
            </w:r>
          </w:p>
        </w:tc>
        <w:tc>
          <w:tcPr>
            <w:tcW w:w="2084" w:type="dxa"/>
          </w:tcPr>
          <w:p w14:paraId="67A15DEE" w14:textId="26BE6AFD" w:rsidR="00E47AB8" w:rsidRPr="008B2F8A" w:rsidRDefault="00E47AB8" w:rsidP="00422306">
            <w:pPr>
              <w:pStyle w:val="TableHeading"/>
              <w:keepNext w:val="0"/>
              <w:autoSpaceDE w:val="0"/>
              <w:autoSpaceDN w:val="0"/>
              <w:adjustRightInd w:val="0"/>
              <w:spacing w:before="40" w:after="80" w:line="276" w:lineRule="auto"/>
              <w:rPr>
                <w:b w:val="0"/>
                <w:szCs w:val="20"/>
              </w:rPr>
            </w:pPr>
            <w:r w:rsidRPr="008B2F8A">
              <w:rPr>
                <w:b w:val="0"/>
                <w:szCs w:val="20"/>
              </w:rPr>
              <w:t>Non-comparative</w:t>
            </w:r>
          </w:p>
          <w:p w14:paraId="349D6DE5" w14:textId="16C09CEE" w:rsidR="00E47AB8" w:rsidRPr="008B2F8A" w:rsidRDefault="00E47AB8" w:rsidP="00422306">
            <w:pPr>
              <w:pStyle w:val="TableHeading"/>
              <w:keepNext w:val="0"/>
              <w:autoSpaceDE w:val="0"/>
              <w:autoSpaceDN w:val="0"/>
              <w:adjustRightInd w:val="0"/>
              <w:spacing w:before="40" w:after="80" w:line="276" w:lineRule="auto"/>
              <w:rPr>
                <w:b w:val="0"/>
                <w:szCs w:val="20"/>
              </w:rPr>
            </w:pPr>
            <w:r w:rsidRPr="008B2F8A">
              <w:rPr>
                <w:b w:val="0"/>
                <w:szCs w:val="20"/>
              </w:rPr>
              <w:t xml:space="preserve">Excluded from </w:t>
            </w:r>
            <w:r>
              <w:rPr>
                <w:b w:val="0"/>
                <w:szCs w:val="20"/>
              </w:rPr>
              <w:t>NICE, 2013</w:t>
            </w:r>
          </w:p>
        </w:tc>
      </w:tr>
      <w:tr w:rsidR="00E47AB8" w:rsidRPr="008B2F8A" w14:paraId="34DAC198" w14:textId="77777777" w:rsidTr="004B524B">
        <w:tc>
          <w:tcPr>
            <w:tcW w:w="1470" w:type="dxa"/>
          </w:tcPr>
          <w:p w14:paraId="568105C5" w14:textId="76512103" w:rsidR="00E47AB8" w:rsidRPr="008B2F8A" w:rsidRDefault="00E47AB8" w:rsidP="00422306">
            <w:pPr>
              <w:pStyle w:val="TableText0"/>
              <w:keepNext w:val="0"/>
              <w:autoSpaceDE w:val="0"/>
              <w:autoSpaceDN w:val="0"/>
              <w:adjustRightInd w:val="0"/>
              <w:spacing w:before="40" w:after="80" w:line="276" w:lineRule="auto"/>
              <w:rPr>
                <w:szCs w:val="20"/>
              </w:rPr>
            </w:pPr>
            <w:r>
              <w:rPr>
                <w:szCs w:val="20"/>
              </w:rPr>
              <w:t>O’Neill et al, 2009</w:t>
            </w:r>
          </w:p>
        </w:tc>
        <w:tc>
          <w:tcPr>
            <w:tcW w:w="5516" w:type="dxa"/>
          </w:tcPr>
          <w:p w14:paraId="2EC72E4F" w14:textId="5692F0A2"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O’Neill SM, Rubinstein WS, Sener SF, Weissman SM, Newlin AC, West DK, Ecanow DB, Rademaker AW, Edelman RR (2009) Psychological impact of recall in high-risk breast MRI screening. Breast Cancer Res Treat 115:365–371.</w:t>
            </w:r>
          </w:p>
        </w:tc>
        <w:tc>
          <w:tcPr>
            <w:tcW w:w="2084" w:type="dxa"/>
          </w:tcPr>
          <w:p w14:paraId="2A485B13"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Non-comparative</w:t>
            </w:r>
          </w:p>
        </w:tc>
      </w:tr>
      <w:tr w:rsidR="00E47AB8" w:rsidRPr="008B2F8A" w14:paraId="245E3E14" w14:textId="77777777" w:rsidTr="004B524B">
        <w:tc>
          <w:tcPr>
            <w:tcW w:w="1470" w:type="dxa"/>
          </w:tcPr>
          <w:p w14:paraId="4741A7F4" w14:textId="5E266BBD" w:rsidR="00E47AB8" w:rsidRPr="008B2F8A" w:rsidRDefault="00E47AB8" w:rsidP="00422306">
            <w:pPr>
              <w:pStyle w:val="TableText0"/>
              <w:keepNext w:val="0"/>
              <w:autoSpaceDE w:val="0"/>
              <w:autoSpaceDN w:val="0"/>
              <w:adjustRightInd w:val="0"/>
              <w:spacing w:before="40" w:after="80" w:line="276" w:lineRule="auto"/>
              <w:rPr>
                <w:szCs w:val="20"/>
              </w:rPr>
            </w:pPr>
            <w:r>
              <w:rPr>
                <w:szCs w:val="20"/>
              </w:rPr>
              <w:t>Møller et al, 2013</w:t>
            </w:r>
          </w:p>
        </w:tc>
        <w:tc>
          <w:tcPr>
            <w:tcW w:w="5516" w:type="dxa"/>
          </w:tcPr>
          <w:p w14:paraId="3CD51D46" w14:textId="10773043" w:rsidR="00E47AB8" w:rsidRPr="008B2F8A" w:rsidRDefault="00E47AB8" w:rsidP="00422306">
            <w:pPr>
              <w:pStyle w:val="TableText0"/>
              <w:keepNext w:val="0"/>
              <w:autoSpaceDE w:val="0"/>
              <w:autoSpaceDN w:val="0"/>
              <w:adjustRightInd w:val="0"/>
              <w:spacing w:before="40" w:after="80" w:line="276" w:lineRule="auto"/>
              <w:rPr>
                <w:szCs w:val="20"/>
              </w:rPr>
            </w:pPr>
            <w:r>
              <w:rPr>
                <w:rFonts w:cs="Calibri"/>
                <w:szCs w:val="20"/>
              </w:rPr>
              <w:t>Møller</w:t>
            </w:r>
            <w:r w:rsidRPr="008B2F8A">
              <w:rPr>
                <w:rFonts w:cs="Calibri"/>
                <w:szCs w:val="20"/>
              </w:rPr>
              <w:t xml:space="preserve"> P, Stormorken A, Jonsrud C, Holmen MM, Hagen AI, Clark N, Vabo A, Sun P, Narod SA, Maehle L (2013) Survival of patients with </w:t>
            </w:r>
            <w:r w:rsidRPr="008B2F8A">
              <w:rPr>
                <w:rFonts w:cs="Calibri"/>
                <w:i/>
                <w:szCs w:val="20"/>
              </w:rPr>
              <w:t>BRCA1</w:t>
            </w:r>
            <w:r w:rsidRPr="008B2F8A">
              <w:rPr>
                <w:rFonts w:cs="Calibri"/>
                <w:szCs w:val="20"/>
              </w:rPr>
              <w:t>-</w:t>
            </w:r>
            <w:r w:rsidRPr="008B2F8A">
              <w:rPr>
                <w:rFonts w:cs="Calibri"/>
                <w:szCs w:val="20"/>
              </w:rPr>
              <w:lastRenderedPageBreak/>
              <w:t>associated breast cancer diagnosed in an MRI-based surveillance program. Breast Cancer Res Treat 139:155–161.</w:t>
            </w:r>
          </w:p>
        </w:tc>
        <w:tc>
          <w:tcPr>
            <w:tcW w:w="2084" w:type="dxa"/>
          </w:tcPr>
          <w:p w14:paraId="56D0D3E8"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lastRenderedPageBreak/>
              <w:t>Non-comparative</w:t>
            </w:r>
          </w:p>
        </w:tc>
      </w:tr>
      <w:tr w:rsidR="00E47AB8" w:rsidRPr="008B2F8A" w14:paraId="2C26D37E" w14:textId="77777777" w:rsidTr="004B524B">
        <w:tc>
          <w:tcPr>
            <w:tcW w:w="9070" w:type="dxa"/>
            <w:gridSpan w:val="3"/>
          </w:tcPr>
          <w:p w14:paraId="4E805417" w14:textId="77777777" w:rsidR="00E47AB8" w:rsidRPr="008B2F8A" w:rsidRDefault="00E47AB8" w:rsidP="00422306">
            <w:pPr>
              <w:pStyle w:val="TableHeading"/>
              <w:keepNext w:val="0"/>
              <w:autoSpaceDE w:val="0"/>
              <w:autoSpaceDN w:val="0"/>
              <w:adjustRightInd w:val="0"/>
              <w:spacing w:before="40" w:after="80" w:line="276" w:lineRule="auto"/>
              <w:rPr>
                <w:szCs w:val="20"/>
              </w:rPr>
            </w:pPr>
            <w:r w:rsidRPr="008B2F8A">
              <w:rPr>
                <w:szCs w:val="20"/>
              </w:rPr>
              <w:lastRenderedPageBreak/>
              <w:t xml:space="preserve">Patient characteristics </w:t>
            </w:r>
          </w:p>
        </w:tc>
      </w:tr>
      <w:tr w:rsidR="00E47AB8" w:rsidRPr="008B2F8A" w14:paraId="63BEEB2D" w14:textId="77777777" w:rsidTr="004B524B">
        <w:tblPrEx>
          <w:tblLook w:val="0000" w:firstRow="0" w:lastRow="0" w:firstColumn="0" w:lastColumn="0" w:noHBand="0" w:noVBand="0"/>
        </w:tblPrEx>
        <w:tc>
          <w:tcPr>
            <w:tcW w:w="1470" w:type="dxa"/>
          </w:tcPr>
          <w:p w14:paraId="688C5A25" w14:textId="47833169" w:rsidR="00E47AB8" w:rsidRPr="008B2F8A" w:rsidRDefault="00E47AB8" w:rsidP="004E7861">
            <w:pPr>
              <w:pStyle w:val="Tabletext"/>
              <w:autoSpaceDE w:val="0"/>
              <w:autoSpaceDN w:val="0"/>
              <w:adjustRightInd w:val="0"/>
              <w:spacing w:before="40" w:after="80" w:line="276" w:lineRule="auto"/>
              <w:rPr>
                <w:szCs w:val="20"/>
              </w:rPr>
            </w:pPr>
            <w:r w:rsidRPr="008B2F8A">
              <w:rPr>
                <w:szCs w:val="20"/>
              </w:rPr>
              <w:t>US study</w:t>
            </w:r>
          </w:p>
        </w:tc>
        <w:tc>
          <w:tcPr>
            <w:tcW w:w="5516" w:type="dxa"/>
          </w:tcPr>
          <w:p w14:paraId="6B6B2152" w14:textId="31F5D6CB" w:rsidR="00E47AB8" w:rsidRPr="008B2F8A" w:rsidRDefault="005839BC" w:rsidP="00422306">
            <w:pPr>
              <w:pStyle w:val="Tabletext"/>
              <w:autoSpaceDE w:val="0"/>
              <w:autoSpaceDN w:val="0"/>
              <w:adjustRightInd w:val="0"/>
              <w:spacing w:before="40" w:after="80" w:line="276" w:lineRule="auto"/>
              <w:rPr>
                <w:szCs w:val="20"/>
              </w:rPr>
            </w:pPr>
            <w:hyperlink r:id="rId59" w:history="1">
              <w:r w:rsidR="00E47AB8" w:rsidRPr="008B2F8A">
                <w:rPr>
                  <w:rFonts w:eastAsia="Times New Roman" w:cs="Arial"/>
                  <w:szCs w:val="20"/>
                  <w:lang w:eastAsia="en-AU"/>
                </w:rPr>
                <w:t>Lehman CD</w:t>
              </w:r>
            </w:hyperlink>
            <w:r w:rsidR="00E47AB8" w:rsidRPr="008B2F8A">
              <w:rPr>
                <w:rFonts w:eastAsia="Times New Roman" w:cs="Arial"/>
                <w:szCs w:val="20"/>
                <w:lang w:eastAsia="en-AU"/>
              </w:rPr>
              <w:t xml:space="preserve">, </w:t>
            </w:r>
            <w:hyperlink r:id="rId60" w:history="1">
              <w:r w:rsidR="00E47AB8" w:rsidRPr="008B2F8A">
                <w:rPr>
                  <w:rFonts w:eastAsia="Times New Roman" w:cs="Arial"/>
                  <w:szCs w:val="20"/>
                  <w:lang w:eastAsia="en-AU"/>
                </w:rPr>
                <w:t>Blume JD</w:t>
              </w:r>
            </w:hyperlink>
            <w:r w:rsidR="00E47AB8" w:rsidRPr="008B2F8A">
              <w:rPr>
                <w:rFonts w:eastAsia="Times New Roman" w:cs="Arial"/>
                <w:szCs w:val="20"/>
                <w:lang w:eastAsia="en-AU"/>
              </w:rPr>
              <w:t xml:space="preserve">, </w:t>
            </w:r>
            <w:hyperlink r:id="rId61" w:history="1">
              <w:r w:rsidR="00E47AB8" w:rsidRPr="008B2F8A">
                <w:rPr>
                  <w:rFonts w:eastAsia="Times New Roman" w:cs="Arial"/>
                  <w:szCs w:val="20"/>
                  <w:lang w:eastAsia="en-AU"/>
                </w:rPr>
                <w:t>Weatherall P</w:t>
              </w:r>
            </w:hyperlink>
            <w:r w:rsidR="00E47AB8" w:rsidRPr="008B2F8A">
              <w:rPr>
                <w:rFonts w:eastAsia="Times New Roman" w:cs="Arial"/>
                <w:szCs w:val="20"/>
                <w:lang w:eastAsia="en-AU"/>
              </w:rPr>
              <w:t xml:space="preserve">, </w:t>
            </w:r>
            <w:hyperlink r:id="rId62" w:history="1">
              <w:r w:rsidR="00E47AB8" w:rsidRPr="008B2F8A">
                <w:rPr>
                  <w:rFonts w:eastAsia="Times New Roman" w:cs="Arial"/>
                  <w:szCs w:val="20"/>
                  <w:lang w:eastAsia="en-AU"/>
                </w:rPr>
                <w:t>Thickman D</w:t>
              </w:r>
            </w:hyperlink>
            <w:r w:rsidR="00E47AB8" w:rsidRPr="008B2F8A">
              <w:rPr>
                <w:rFonts w:eastAsia="Times New Roman" w:cs="Arial"/>
                <w:szCs w:val="20"/>
                <w:lang w:eastAsia="en-AU"/>
              </w:rPr>
              <w:t xml:space="preserve">, </w:t>
            </w:r>
            <w:hyperlink r:id="rId63" w:history="1">
              <w:r w:rsidR="00E47AB8" w:rsidRPr="008B2F8A">
                <w:rPr>
                  <w:rFonts w:eastAsia="Times New Roman" w:cs="Arial"/>
                  <w:szCs w:val="20"/>
                  <w:lang w:eastAsia="en-AU"/>
                </w:rPr>
                <w:t>Hylton N</w:t>
              </w:r>
            </w:hyperlink>
            <w:r w:rsidR="00E47AB8" w:rsidRPr="008B2F8A">
              <w:rPr>
                <w:rFonts w:eastAsia="Times New Roman" w:cs="Arial"/>
                <w:szCs w:val="20"/>
                <w:lang w:eastAsia="en-AU"/>
              </w:rPr>
              <w:t xml:space="preserve">, </w:t>
            </w:r>
            <w:hyperlink r:id="rId64" w:history="1">
              <w:r w:rsidR="00E47AB8" w:rsidRPr="008B2F8A">
                <w:rPr>
                  <w:rFonts w:eastAsia="Times New Roman" w:cs="Arial"/>
                  <w:szCs w:val="20"/>
                  <w:lang w:eastAsia="en-AU"/>
                </w:rPr>
                <w:t>Warner E</w:t>
              </w:r>
            </w:hyperlink>
            <w:r w:rsidR="00E47AB8" w:rsidRPr="008B2F8A">
              <w:rPr>
                <w:rFonts w:eastAsia="Times New Roman" w:cs="Arial"/>
                <w:szCs w:val="20"/>
                <w:lang w:eastAsia="en-AU"/>
              </w:rPr>
              <w:t xml:space="preserve">, </w:t>
            </w:r>
            <w:hyperlink r:id="rId65" w:history="1">
              <w:r w:rsidR="00E47AB8" w:rsidRPr="008B2F8A">
                <w:rPr>
                  <w:rFonts w:eastAsia="Times New Roman" w:cs="Arial"/>
                  <w:szCs w:val="20"/>
                  <w:lang w:eastAsia="en-AU"/>
                </w:rPr>
                <w:t>Pisano E</w:t>
              </w:r>
            </w:hyperlink>
            <w:r w:rsidR="00E47AB8" w:rsidRPr="008B2F8A">
              <w:rPr>
                <w:rFonts w:eastAsia="Times New Roman" w:cs="Arial"/>
                <w:szCs w:val="20"/>
                <w:lang w:eastAsia="en-AU"/>
              </w:rPr>
              <w:t xml:space="preserve">, </w:t>
            </w:r>
            <w:hyperlink r:id="rId66" w:history="1">
              <w:r w:rsidR="00E47AB8" w:rsidRPr="008B2F8A">
                <w:rPr>
                  <w:rFonts w:eastAsia="Times New Roman" w:cs="Arial"/>
                  <w:szCs w:val="20"/>
                  <w:lang w:eastAsia="en-AU"/>
                </w:rPr>
                <w:t>Schnitt SJ</w:t>
              </w:r>
            </w:hyperlink>
            <w:r w:rsidR="00E47AB8" w:rsidRPr="008B2F8A">
              <w:rPr>
                <w:rFonts w:eastAsia="Times New Roman" w:cs="Arial"/>
                <w:szCs w:val="20"/>
                <w:lang w:eastAsia="en-AU"/>
              </w:rPr>
              <w:t xml:space="preserve">, </w:t>
            </w:r>
            <w:hyperlink r:id="rId67" w:history="1">
              <w:r w:rsidR="00E47AB8" w:rsidRPr="008B2F8A">
                <w:rPr>
                  <w:rFonts w:eastAsia="Times New Roman" w:cs="Arial"/>
                  <w:szCs w:val="20"/>
                  <w:lang w:eastAsia="en-AU"/>
                </w:rPr>
                <w:t>Gatsonis C</w:t>
              </w:r>
            </w:hyperlink>
            <w:r w:rsidR="00E47AB8" w:rsidRPr="008B2F8A">
              <w:rPr>
                <w:rFonts w:eastAsia="Times New Roman" w:cs="Arial"/>
                <w:szCs w:val="20"/>
                <w:lang w:eastAsia="en-AU"/>
              </w:rPr>
              <w:t xml:space="preserve">, </w:t>
            </w:r>
            <w:hyperlink r:id="rId68" w:history="1">
              <w:r w:rsidR="00E47AB8" w:rsidRPr="008B2F8A">
                <w:rPr>
                  <w:rFonts w:eastAsia="Times New Roman" w:cs="Arial"/>
                  <w:szCs w:val="20"/>
                  <w:lang w:eastAsia="en-AU"/>
                </w:rPr>
                <w:t>Schnall M</w:t>
              </w:r>
            </w:hyperlink>
            <w:r w:rsidR="00E47AB8" w:rsidRPr="008B2F8A">
              <w:rPr>
                <w:rFonts w:eastAsia="Times New Roman" w:cs="Arial"/>
                <w:szCs w:val="20"/>
                <w:lang w:eastAsia="en-AU"/>
              </w:rPr>
              <w:t xml:space="preserve">, </w:t>
            </w:r>
            <w:hyperlink r:id="rId69" w:history="1">
              <w:r w:rsidR="00E47AB8" w:rsidRPr="008B2F8A">
                <w:rPr>
                  <w:rFonts w:eastAsia="Times New Roman" w:cs="Arial"/>
                  <w:szCs w:val="20"/>
                  <w:lang w:eastAsia="en-AU"/>
                </w:rPr>
                <w:t>DeAngelis GA</w:t>
              </w:r>
            </w:hyperlink>
            <w:r w:rsidR="00E47AB8" w:rsidRPr="008B2F8A">
              <w:rPr>
                <w:rFonts w:eastAsia="Times New Roman" w:cs="Arial"/>
                <w:szCs w:val="20"/>
                <w:lang w:eastAsia="en-AU"/>
              </w:rPr>
              <w:t xml:space="preserve">, </w:t>
            </w:r>
            <w:hyperlink r:id="rId70" w:history="1">
              <w:r w:rsidR="00E47AB8" w:rsidRPr="008B2F8A">
                <w:rPr>
                  <w:rFonts w:eastAsia="Times New Roman" w:cs="Arial"/>
                  <w:szCs w:val="20"/>
                  <w:lang w:eastAsia="en-AU"/>
                </w:rPr>
                <w:t>Stomper P</w:t>
              </w:r>
            </w:hyperlink>
            <w:r w:rsidR="00E47AB8" w:rsidRPr="008B2F8A">
              <w:rPr>
                <w:rFonts w:eastAsia="Times New Roman" w:cs="Arial"/>
                <w:szCs w:val="20"/>
                <w:lang w:eastAsia="en-AU"/>
              </w:rPr>
              <w:t xml:space="preserve">, </w:t>
            </w:r>
            <w:hyperlink r:id="rId71" w:history="1">
              <w:r w:rsidR="00E47AB8" w:rsidRPr="008B2F8A">
                <w:rPr>
                  <w:rFonts w:eastAsia="Times New Roman" w:cs="Arial"/>
                  <w:szCs w:val="20"/>
                  <w:lang w:eastAsia="en-AU"/>
                </w:rPr>
                <w:t>Rosen EL</w:t>
              </w:r>
            </w:hyperlink>
            <w:r w:rsidR="00E47AB8" w:rsidRPr="008B2F8A">
              <w:rPr>
                <w:rFonts w:eastAsia="Times New Roman" w:cs="Arial"/>
                <w:szCs w:val="20"/>
                <w:lang w:eastAsia="en-AU"/>
              </w:rPr>
              <w:t xml:space="preserve">, </w:t>
            </w:r>
            <w:hyperlink r:id="rId72" w:history="1">
              <w:r w:rsidR="00E47AB8" w:rsidRPr="008B2F8A">
                <w:rPr>
                  <w:rFonts w:eastAsia="Times New Roman" w:cs="Arial"/>
                  <w:szCs w:val="20"/>
                  <w:lang w:eastAsia="en-AU"/>
                </w:rPr>
                <w:t>O’Loughlin M</w:t>
              </w:r>
            </w:hyperlink>
            <w:r w:rsidR="00E47AB8" w:rsidRPr="008B2F8A">
              <w:rPr>
                <w:rFonts w:eastAsia="Times New Roman" w:cs="Arial"/>
                <w:szCs w:val="20"/>
                <w:lang w:eastAsia="en-AU"/>
              </w:rPr>
              <w:t xml:space="preserve">, </w:t>
            </w:r>
            <w:hyperlink r:id="rId73" w:history="1">
              <w:r w:rsidR="00E47AB8" w:rsidRPr="008B2F8A">
                <w:rPr>
                  <w:rFonts w:eastAsia="Times New Roman" w:cs="Arial"/>
                  <w:szCs w:val="20"/>
                  <w:lang w:eastAsia="en-AU"/>
                </w:rPr>
                <w:t>Harms S</w:t>
              </w:r>
            </w:hyperlink>
            <w:r w:rsidR="00E47AB8" w:rsidRPr="008B2F8A">
              <w:rPr>
                <w:rFonts w:eastAsia="Times New Roman" w:cs="Arial"/>
                <w:szCs w:val="20"/>
                <w:lang w:eastAsia="en-AU"/>
              </w:rPr>
              <w:t xml:space="preserve">, </w:t>
            </w:r>
            <w:hyperlink r:id="rId74" w:history="1">
              <w:r w:rsidR="00E47AB8" w:rsidRPr="008B2F8A">
                <w:rPr>
                  <w:rFonts w:eastAsia="Times New Roman" w:cs="Arial"/>
                  <w:szCs w:val="20"/>
                  <w:lang w:eastAsia="en-AU"/>
                </w:rPr>
                <w:t>Bluemke DA</w:t>
              </w:r>
            </w:hyperlink>
            <w:r w:rsidR="00E47AB8" w:rsidRPr="008B2F8A">
              <w:rPr>
                <w:rFonts w:eastAsia="Times New Roman" w:cs="Arial"/>
                <w:szCs w:val="20"/>
                <w:lang w:eastAsia="en-AU"/>
              </w:rPr>
              <w:t xml:space="preserve">; </w:t>
            </w:r>
            <w:hyperlink r:id="rId75" w:history="1">
              <w:r w:rsidR="00E47AB8" w:rsidRPr="008B2F8A">
                <w:rPr>
                  <w:rFonts w:eastAsia="Times New Roman" w:cs="Arial"/>
                  <w:szCs w:val="20"/>
                  <w:lang w:eastAsia="en-AU"/>
                </w:rPr>
                <w:t>International Breast MRI Consortium Working Group</w:t>
              </w:r>
            </w:hyperlink>
            <w:r w:rsidR="00E47AB8" w:rsidRPr="008B2F8A">
              <w:rPr>
                <w:rFonts w:eastAsia="Times New Roman" w:cs="Arial"/>
                <w:szCs w:val="20"/>
                <w:lang w:eastAsia="en-AU"/>
              </w:rPr>
              <w:t xml:space="preserve"> (2005) </w:t>
            </w:r>
            <w:r w:rsidR="00E47AB8" w:rsidRPr="008B2F8A">
              <w:rPr>
                <w:rFonts w:eastAsia="Times New Roman" w:cs="Arial"/>
                <w:bCs/>
                <w:kern w:val="36"/>
                <w:szCs w:val="20"/>
                <w:lang w:eastAsia="en-AU"/>
              </w:rPr>
              <w:t xml:space="preserve">Screening women at high risk for breast cancer with mammography and magnetic resonance imaging. </w:t>
            </w:r>
            <w:r w:rsidR="00F56FD1">
              <w:rPr>
                <w:rFonts w:eastAsia="Times New Roman" w:cs="Arial"/>
                <w:bCs/>
                <w:kern w:val="36"/>
                <w:szCs w:val="20"/>
                <w:lang w:eastAsia="en-AU"/>
              </w:rPr>
              <w:t xml:space="preserve">Cancer </w:t>
            </w:r>
            <w:r w:rsidR="00E47AB8" w:rsidRPr="00C95D2B">
              <w:rPr>
                <w:rFonts w:eastAsia="Times New Roman" w:cs="Arial"/>
                <w:szCs w:val="20"/>
                <w:lang w:eastAsia="en-AU"/>
              </w:rPr>
              <w:t>May</w:t>
            </w:r>
            <w:r w:rsidR="00E47AB8" w:rsidRPr="008B2F8A">
              <w:rPr>
                <w:rFonts w:eastAsia="Times New Roman" w:cs="Arial"/>
                <w:szCs w:val="20"/>
                <w:lang w:eastAsia="en-AU"/>
              </w:rPr>
              <w:t xml:space="preserve"> 1;103(9):1898–905.</w:t>
            </w:r>
          </w:p>
        </w:tc>
        <w:tc>
          <w:tcPr>
            <w:tcW w:w="2084" w:type="dxa"/>
          </w:tcPr>
          <w:p w14:paraId="07EA2581" w14:textId="77777777" w:rsidR="00E47AB8" w:rsidRDefault="00E47AB8" w:rsidP="00422306">
            <w:pPr>
              <w:pStyle w:val="Tabletext"/>
              <w:autoSpaceDE w:val="0"/>
              <w:autoSpaceDN w:val="0"/>
              <w:adjustRightInd w:val="0"/>
              <w:spacing w:before="40" w:after="80" w:line="276" w:lineRule="auto"/>
              <w:rPr>
                <w:szCs w:val="20"/>
              </w:rPr>
            </w:pPr>
            <w:r w:rsidRPr="008B2F8A">
              <w:rPr>
                <w:szCs w:val="20"/>
              </w:rPr>
              <w:t>Age: range NR (mean age 45</w:t>
            </w:r>
            <w:r>
              <w:rPr>
                <w:szCs w:val="20"/>
              </w:rPr>
              <w:t xml:space="preserve"> years</w:t>
            </w:r>
            <w:r w:rsidRPr="008B2F8A">
              <w:rPr>
                <w:szCs w:val="20"/>
              </w:rPr>
              <w:t>, SD ± 9.7)</w:t>
            </w:r>
          </w:p>
          <w:p w14:paraId="3CAD69C1" w14:textId="45C9ADB9"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Included women ≥25</w:t>
            </w:r>
            <w:r>
              <w:rPr>
                <w:szCs w:val="20"/>
              </w:rPr>
              <w:t xml:space="preserve"> years</w:t>
            </w:r>
          </w:p>
        </w:tc>
      </w:tr>
      <w:tr w:rsidR="00E47AB8" w:rsidRPr="008B2F8A" w14:paraId="2C1CD216" w14:textId="77777777" w:rsidTr="004B524B">
        <w:tblPrEx>
          <w:tblLook w:val="0000" w:firstRow="0" w:lastRow="0" w:firstColumn="0" w:lastColumn="0" w:noHBand="0" w:noVBand="0"/>
        </w:tblPrEx>
        <w:tc>
          <w:tcPr>
            <w:tcW w:w="1470" w:type="dxa"/>
          </w:tcPr>
          <w:p w14:paraId="2E5103ED" w14:textId="42A42F0A" w:rsidR="00E47AB8" w:rsidRPr="008B2F8A" w:rsidRDefault="00E47AB8" w:rsidP="00422306">
            <w:pPr>
              <w:pStyle w:val="Tabletext"/>
              <w:autoSpaceDE w:val="0"/>
              <w:autoSpaceDN w:val="0"/>
              <w:adjustRightInd w:val="0"/>
              <w:spacing w:before="40" w:after="80" w:line="276" w:lineRule="auto"/>
            </w:pPr>
            <w:r>
              <w:t>Zakaria et al, 2009</w:t>
            </w:r>
          </w:p>
        </w:tc>
        <w:tc>
          <w:tcPr>
            <w:tcW w:w="5516" w:type="dxa"/>
          </w:tcPr>
          <w:p w14:paraId="7510681F"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Zakaria S, Brandt KR, Degnim AC, Thomsen KM. Patients’ perceptions of breast MRI: A single-center study. Am J Roentgenol 2009; 192(4):1149–1154.</w:t>
            </w:r>
          </w:p>
        </w:tc>
        <w:tc>
          <w:tcPr>
            <w:tcW w:w="2084" w:type="dxa"/>
          </w:tcPr>
          <w:p w14:paraId="117762FA" w14:textId="77777777" w:rsidR="00E47AB8" w:rsidRPr="008B2F8A" w:rsidRDefault="00E47AB8" w:rsidP="00422306">
            <w:pPr>
              <w:pStyle w:val="Tabletext"/>
              <w:autoSpaceDE w:val="0"/>
              <w:autoSpaceDN w:val="0"/>
              <w:adjustRightInd w:val="0"/>
              <w:spacing w:before="40" w:after="80" w:line="276" w:lineRule="auto"/>
              <w:rPr>
                <w:szCs w:val="20"/>
              </w:rPr>
            </w:pPr>
            <w:r w:rsidRPr="008B2F8A">
              <w:t>Includes women having MRI for staging</w:t>
            </w:r>
          </w:p>
        </w:tc>
      </w:tr>
      <w:tr w:rsidR="00E47AB8" w:rsidRPr="008B2F8A" w14:paraId="154D9627" w14:textId="77777777" w:rsidTr="004B524B">
        <w:tc>
          <w:tcPr>
            <w:tcW w:w="1470" w:type="dxa"/>
          </w:tcPr>
          <w:p w14:paraId="68B4517C" w14:textId="2FAD6701" w:rsidR="00E47AB8" w:rsidRPr="008B2F8A" w:rsidRDefault="00E47AB8" w:rsidP="00422306">
            <w:pPr>
              <w:pStyle w:val="Tabletext"/>
              <w:autoSpaceDE w:val="0"/>
              <w:autoSpaceDN w:val="0"/>
              <w:adjustRightInd w:val="0"/>
              <w:spacing w:before="40" w:after="80" w:line="276" w:lineRule="auto"/>
              <w:rPr>
                <w:szCs w:val="20"/>
              </w:rPr>
            </w:pPr>
            <w:bookmarkStart w:id="1478" w:name="OLE_LINK273"/>
            <w:bookmarkStart w:id="1479" w:name="OLE_LINK387"/>
            <w:r>
              <w:rPr>
                <w:szCs w:val="20"/>
              </w:rPr>
              <w:t>Berg et al, 2012</w:t>
            </w:r>
            <w:r w:rsidRPr="008B2F8A">
              <w:rPr>
                <w:szCs w:val="20"/>
              </w:rPr>
              <w:t xml:space="preserve"> </w:t>
            </w:r>
            <w:bookmarkEnd w:id="1478"/>
            <w:bookmarkEnd w:id="1479"/>
          </w:p>
        </w:tc>
        <w:tc>
          <w:tcPr>
            <w:tcW w:w="5516" w:type="dxa"/>
          </w:tcPr>
          <w:p w14:paraId="68A6E46D"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Berg WA, Zhang Z, Lehrer D, Jong RA, Pisano ED, Barr RG et al. Detection of breast cancer with addition of annual screening ultrasound or a single screening MRI to mammography in women with elevated breast cancer risk. J Am Med Assoc 2012; 307(13):1394–1404.</w:t>
            </w:r>
          </w:p>
        </w:tc>
        <w:tc>
          <w:tcPr>
            <w:tcW w:w="2084" w:type="dxa"/>
          </w:tcPr>
          <w:p w14:paraId="65961664"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Age: 21% of participants &lt;50 years</w:t>
            </w:r>
          </w:p>
          <w:p w14:paraId="49E5F0A4" w14:textId="2A555912"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 xml:space="preserve">NB: Excluded from </w:t>
            </w:r>
            <w:r>
              <w:rPr>
                <w:szCs w:val="20"/>
              </w:rPr>
              <w:t>HIQA, 2013</w:t>
            </w:r>
          </w:p>
        </w:tc>
      </w:tr>
      <w:tr w:rsidR="00E47AB8" w:rsidRPr="008B2F8A" w14:paraId="50CBEB23" w14:textId="77777777" w:rsidTr="004B524B">
        <w:tc>
          <w:tcPr>
            <w:tcW w:w="1470" w:type="dxa"/>
          </w:tcPr>
          <w:p w14:paraId="5C861016" w14:textId="2746DADC" w:rsidR="00E47AB8" w:rsidRPr="008B2F8A" w:rsidRDefault="00E47AB8" w:rsidP="00422306">
            <w:pPr>
              <w:pStyle w:val="Tabletext"/>
              <w:autoSpaceDE w:val="0"/>
              <w:autoSpaceDN w:val="0"/>
              <w:adjustRightInd w:val="0"/>
              <w:spacing w:before="40" w:after="80" w:line="276" w:lineRule="auto"/>
            </w:pPr>
            <w:r>
              <w:t>Trecate et al, 2006</w:t>
            </w:r>
          </w:p>
        </w:tc>
        <w:tc>
          <w:tcPr>
            <w:tcW w:w="5516" w:type="dxa"/>
          </w:tcPr>
          <w:p w14:paraId="1E24057E"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Trecate G, Vergnaghi D, Manoukian S, Bergonzi S, Scaperrotta G, Marchesini M et al. MRI in the early detection of breast cancer in women with high genetic risk. Tumori 2006; 92(6):517–523.</w:t>
            </w:r>
          </w:p>
          <w:p w14:paraId="66F38305"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rFonts w:cs="Calibri"/>
                <w:szCs w:val="20"/>
              </w:rPr>
              <w:t>Trecate G, Manoukian S, Suman L, Vergnaghi D, Marchesini M, Agresti R, Ferraris C, Peissel B, Scaramuzza D, Bergonzi S (2010) Is there a specific magnetic resonance phenotype characteristic of hereditary breast cancer? Tumori 96:363–384.</w:t>
            </w:r>
          </w:p>
        </w:tc>
        <w:tc>
          <w:tcPr>
            <w:tcW w:w="2084" w:type="dxa"/>
          </w:tcPr>
          <w:p w14:paraId="26F64543" w14:textId="77777777" w:rsidR="00E47AB8" w:rsidRPr="008B2F8A" w:rsidRDefault="00E47AB8" w:rsidP="00422306">
            <w:pPr>
              <w:pStyle w:val="Tabletext"/>
              <w:autoSpaceDE w:val="0"/>
              <w:autoSpaceDN w:val="0"/>
              <w:adjustRightInd w:val="0"/>
              <w:spacing w:before="40" w:after="80" w:line="276" w:lineRule="auto"/>
            </w:pPr>
            <w:r w:rsidRPr="008B2F8A">
              <w:t>Age: range 23–81</w:t>
            </w:r>
            <w:r>
              <w:rPr>
                <w:szCs w:val="20"/>
              </w:rPr>
              <w:t xml:space="preserve"> years</w:t>
            </w:r>
          </w:p>
        </w:tc>
      </w:tr>
      <w:tr w:rsidR="00E47AB8" w:rsidRPr="008B2F8A" w14:paraId="5FFE72DE" w14:textId="77777777" w:rsidTr="004B524B">
        <w:tc>
          <w:tcPr>
            <w:tcW w:w="1470" w:type="dxa"/>
          </w:tcPr>
          <w:p w14:paraId="3A0888B7" w14:textId="64470329" w:rsidR="00E47AB8" w:rsidRPr="008B2F8A" w:rsidRDefault="00E47AB8" w:rsidP="00422306">
            <w:pPr>
              <w:pStyle w:val="Tabletext"/>
              <w:autoSpaceDE w:val="0"/>
              <w:autoSpaceDN w:val="0"/>
              <w:adjustRightInd w:val="0"/>
              <w:spacing w:before="40" w:after="80" w:line="276" w:lineRule="auto"/>
              <w:rPr>
                <w:szCs w:val="20"/>
              </w:rPr>
            </w:pPr>
            <w:r>
              <w:rPr>
                <w:szCs w:val="20"/>
              </w:rPr>
              <w:t>Hagen et al, 2007</w:t>
            </w:r>
          </w:p>
        </w:tc>
        <w:tc>
          <w:tcPr>
            <w:tcW w:w="5516" w:type="dxa"/>
          </w:tcPr>
          <w:p w14:paraId="44ACFA54" w14:textId="4AF66155" w:rsidR="00E47AB8" w:rsidRPr="008B2F8A" w:rsidRDefault="00E47AB8" w:rsidP="00422306">
            <w:pPr>
              <w:pStyle w:val="Tabletext"/>
              <w:autoSpaceDE w:val="0"/>
              <w:autoSpaceDN w:val="0"/>
              <w:adjustRightInd w:val="0"/>
              <w:spacing w:before="40" w:after="80" w:line="276" w:lineRule="auto"/>
              <w:rPr>
                <w:rFonts w:cs="Calibri"/>
                <w:szCs w:val="20"/>
              </w:rPr>
            </w:pPr>
            <w:r w:rsidRPr="008B2F8A">
              <w:rPr>
                <w:rFonts w:cs="Calibri"/>
                <w:szCs w:val="20"/>
              </w:rPr>
              <w:t>Hagen AI, Kvistad KA, Maehle L, Holmen MM, Aase H, Styr B et al. Sensitivity of MRI versus conventional screening in the diagnosis of BRCA-associated breast cancer in a national prospective series. Breast 2007; 16(4):367–374.</w:t>
            </w:r>
          </w:p>
        </w:tc>
        <w:tc>
          <w:tcPr>
            <w:tcW w:w="2084" w:type="dxa"/>
          </w:tcPr>
          <w:p w14:paraId="3B0C3FF5"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Age: range 18–79</w:t>
            </w:r>
            <w:r>
              <w:rPr>
                <w:szCs w:val="20"/>
              </w:rPr>
              <w:t xml:space="preserve"> years</w:t>
            </w:r>
          </w:p>
        </w:tc>
      </w:tr>
      <w:tr w:rsidR="00E47AB8" w:rsidRPr="008B2F8A" w14:paraId="009E6E58" w14:textId="77777777" w:rsidTr="004B524B">
        <w:tblPrEx>
          <w:tblLook w:val="0000" w:firstRow="0" w:lastRow="0" w:firstColumn="0" w:lastColumn="0" w:noHBand="0" w:noVBand="0"/>
        </w:tblPrEx>
        <w:tc>
          <w:tcPr>
            <w:tcW w:w="1470" w:type="dxa"/>
          </w:tcPr>
          <w:p w14:paraId="3F8998D2" w14:textId="77777777" w:rsidR="00E47AB8" w:rsidRPr="008B2F8A" w:rsidRDefault="00E47AB8" w:rsidP="00422306">
            <w:pPr>
              <w:pStyle w:val="Tabletext"/>
              <w:autoSpaceDE w:val="0"/>
              <w:autoSpaceDN w:val="0"/>
              <w:adjustRightInd w:val="0"/>
              <w:spacing w:before="40" w:after="80" w:line="276" w:lineRule="auto"/>
              <w:rPr>
                <w:szCs w:val="20"/>
              </w:rPr>
            </w:pPr>
            <w:bookmarkStart w:id="1480" w:name="OLE_LINK469"/>
            <w:r w:rsidRPr="008B2F8A">
              <w:rPr>
                <w:szCs w:val="20"/>
              </w:rPr>
              <w:t>EVA trial</w:t>
            </w:r>
          </w:p>
          <w:p w14:paraId="1CB898E4" w14:textId="1351228D" w:rsidR="00E47AB8" w:rsidRPr="008B2F8A" w:rsidRDefault="00E47AB8" w:rsidP="00422306">
            <w:pPr>
              <w:pStyle w:val="Tabletext"/>
              <w:autoSpaceDE w:val="0"/>
              <w:autoSpaceDN w:val="0"/>
              <w:adjustRightInd w:val="0"/>
              <w:spacing w:before="40" w:after="80" w:line="276" w:lineRule="auto"/>
              <w:rPr>
                <w:szCs w:val="20"/>
              </w:rPr>
            </w:pPr>
            <w:r>
              <w:rPr>
                <w:szCs w:val="20"/>
              </w:rPr>
              <w:t>Kuhl et al, 2010</w:t>
            </w:r>
          </w:p>
        </w:tc>
        <w:tc>
          <w:tcPr>
            <w:tcW w:w="5516" w:type="dxa"/>
          </w:tcPr>
          <w:p w14:paraId="70CE2C2E" w14:textId="7DAB1AF1"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Kuhl C, Weigel S, Schrading S, Arand B, Bieling H, Konig R et al. Prospective multicenter cohort study to refine management recommendations for women at elevated familial risk of breast cancer: The EVA trial. J Clin Oncol 2010; 28(9):1450–1457.</w:t>
            </w:r>
          </w:p>
        </w:tc>
        <w:tc>
          <w:tcPr>
            <w:tcW w:w="2084" w:type="dxa"/>
          </w:tcPr>
          <w:p w14:paraId="3081DA3F"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 xml:space="preserve">Age: range 25–71 </w:t>
            </w:r>
            <w:r>
              <w:rPr>
                <w:szCs w:val="20"/>
              </w:rPr>
              <w:t xml:space="preserve">years </w:t>
            </w:r>
            <w:r w:rsidRPr="008B2F8A">
              <w:rPr>
                <w:szCs w:val="20"/>
              </w:rPr>
              <w:t>(mean 44.6)</w:t>
            </w:r>
          </w:p>
        </w:tc>
      </w:tr>
      <w:tr w:rsidR="00E47AB8" w:rsidRPr="008B2F8A" w14:paraId="533D3DEA" w14:textId="77777777" w:rsidTr="004B524B">
        <w:tc>
          <w:tcPr>
            <w:tcW w:w="1470" w:type="dxa"/>
          </w:tcPr>
          <w:p w14:paraId="58FBD612" w14:textId="28358D48" w:rsidR="00E47AB8" w:rsidRPr="008B2F8A" w:rsidRDefault="00E47AB8" w:rsidP="00422306">
            <w:pPr>
              <w:pStyle w:val="Tabletext"/>
              <w:autoSpaceDE w:val="0"/>
              <w:autoSpaceDN w:val="0"/>
              <w:adjustRightInd w:val="0"/>
              <w:spacing w:before="40" w:after="80" w:line="276" w:lineRule="auto"/>
            </w:pPr>
            <w:r>
              <w:t>Lehman et al, 2007</w:t>
            </w:r>
          </w:p>
        </w:tc>
        <w:tc>
          <w:tcPr>
            <w:tcW w:w="5516" w:type="dxa"/>
          </w:tcPr>
          <w:p w14:paraId="505061E8" w14:textId="77777777" w:rsidR="00E47AB8" w:rsidRPr="008B2F8A" w:rsidRDefault="00E47AB8" w:rsidP="00422306">
            <w:pPr>
              <w:pStyle w:val="Tabletext"/>
              <w:autoSpaceDE w:val="0"/>
              <w:autoSpaceDN w:val="0"/>
              <w:adjustRightInd w:val="0"/>
              <w:spacing w:before="40" w:after="80" w:line="276" w:lineRule="auto"/>
              <w:rPr>
                <w:rFonts w:cs="Calibri"/>
                <w:szCs w:val="20"/>
              </w:rPr>
            </w:pPr>
            <w:r w:rsidRPr="008B2F8A">
              <w:rPr>
                <w:rFonts w:cs="Calibri"/>
                <w:szCs w:val="20"/>
              </w:rPr>
              <w:t>Lehman CD, Isaacs C, Schnall MD, Pisano ED, Ascher SM, Weatherall PT et al. Cancer yield of mammography, MR, and U/S in high-risk women: Prospective multi-institution breast cancer screening study. Radiology 2007; 244(2):381–388.</w:t>
            </w:r>
          </w:p>
        </w:tc>
        <w:tc>
          <w:tcPr>
            <w:tcW w:w="2084" w:type="dxa"/>
          </w:tcPr>
          <w:p w14:paraId="36C8DFC4" w14:textId="41EF4204" w:rsidR="00E47AB8" w:rsidRPr="008B2F8A" w:rsidRDefault="00E47AB8" w:rsidP="00422306">
            <w:pPr>
              <w:pStyle w:val="Tabletext"/>
              <w:autoSpaceDE w:val="0"/>
              <w:autoSpaceDN w:val="0"/>
              <w:adjustRightInd w:val="0"/>
              <w:spacing w:before="40" w:after="80" w:line="276" w:lineRule="auto"/>
            </w:pPr>
            <w:r w:rsidRPr="008B2F8A">
              <w:t>Age: range NR (mean 45.4 years). Included women age ≥25 years</w:t>
            </w:r>
          </w:p>
        </w:tc>
      </w:tr>
      <w:bookmarkEnd w:id="1480"/>
      <w:tr w:rsidR="00E47AB8" w:rsidRPr="008B2F8A" w14:paraId="2E5227C7" w14:textId="77777777" w:rsidTr="004B524B">
        <w:tc>
          <w:tcPr>
            <w:tcW w:w="9070" w:type="dxa"/>
            <w:gridSpan w:val="3"/>
          </w:tcPr>
          <w:p w14:paraId="6F7D206F" w14:textId="77777777" w:rsidR="00E47AB8" w:rsidRPr="008B2F8A" w:rsidRDefault="00E47AB8" w:rsidP="00422306">
            <w:pPr>
              <w:pStyle w:val="TableHeading"/>
              <w:keepNext w:val="0"/>
              <w:autoSpaceDE w:val="0"/>
              <w:autoSpaceDN w:val="0"/>
              <w:adjustRightInd w:val="0"/>
              <w:spacing w:before="40" w:after="80" w:line="276" w:lineRule="auto"/>
              <w:rPr>
                <w:szCs w:val="20"/>
              </w:rPr>
            </w:pPr>
            <w:r w:rsidRPr="008B2F8A">
              <w:rPr>
                <w:szCs w:val="20"/>
              </w:rPr>
              <w:t>Outcomes reported in the trial</w:t>
            </w:r>
          </w:p>
        </w:tc>
      </w:tr>
      <w:tr w:rsidR="00E47AB8" w:rsidRPr="008B2F8A" w14:paraId="0EED39AA" w14:textId="77777777" w:rsidTr="004B524B">
        <w:tc>
          <w:tcPr>
            <w:tcW w:w="1470" w:type="dxa"/>
          </w:tcPr>
          <w:p w14:paraId="20CCD509" w14:textId="12C47BAE" w:rsidR="00E47AB8" w:rsidRPr="008B2F8A" w:rsidRDefault="00E47AB8" w:rsidP="00422306">
            <w:pPr>
              <w:pStyle w:val="Tabletext"/>
              <w:autoSpaceDE w:val="0"/>
              <w:autoSpaceDN w:val="0"/>
              <w:adjustRightInd w:val="0"/>
              <w:spacing w:before="40" w:after="80" w:line="276" w:lineRule="auto"/>
            </w:pPr>
            <w:r>
              <w:t>Schrading et al, 2008</w:t>
            </w:r>
          </w:p>
        </w:tc>
        <w:tc>
          <w:tcPr>
            <w:tcW w:w="5516" w:type="dxa"/>
          </w:tcPr>
          <w:p w14:paraId="6D1588A4" w14:textId="77777777" w:rsidR="00E47AB8" w:rsidRPr="008B2F8A" w:rsidRDefault="00E47AB8" w:rsidP="00422306">
            <w:pPr>
              <w:pStyle w:val="Tabletext"/>
              <w:autoSpaceDE w:val="0"/>
              <w:autoSpaceDN w:val="0"/>
              <w:adjustRightInd w:val="0"/>
              <w:spacing w:before="40" w:after="80" w:line="276" w:lineRule="auto"/>
            </w:pPr>
            <w:r w:rsidRPr="008B2F8A">
              <w:t>Schrading S, Kuhl CK. Mammographic, U/S, and MR imaging phenotypes of familial breast cancer. Radiology 2008; 246(1):58–70.</w:t>
            </w:r>
          </w:p>
        </w:tc>
        <w:tc>
          <w:tcPr>
            <w:tcW w:w="2084" w:type="dxa"/>
          </w:tcPr>
          <w:p w14:paraId="6E27FBA1" w14:textId="77777777" w:rsidR="00E47AB8" w:rsidRPr="008B2F8A" w:rsidRDefault="00E47AB8" w:rsidP="00422306">
            <w:pPr>
              <w:pStyle w:val="Tabletext"/>
              <w:autoSpaceDE w:val="0"/>
              <w:autoSpaceDN w:val="0"/>
              <w:adjustRightInd w:val="0"/>
              <w:spacing w:before="40" w:after="80" w:line="276" w:lineRule="auto"/>
            </w:pPr>
            <w:r w:rsidRPr="008B2F8A">
              <w:rPr>
                <w:szCs w:val="20"/>
              </w:rPr>
              <w:t>No relevant outcomes reported</w:t>
            </w:r>
          </w:p>
        </w:tc>
      </w:tr>
      <w:tr w:rsidR="00E47AB8" w:rsidRPr="008B2F8A" w14:paraId="18578EEC" w14:textId="77777777" w:rsidTr="004B524B">
        <w:tc>
          <w:tcPr>
            <w:tcW w:w="1470" w:type="dxa"/>
          </w:tcPr>
          <w:p w14:paraId="3DC9F112" w14:textId="4D8326C4" w:rsidR="00E47AB8" w:rsidRPr="008B2F8A" w:rsidRDefault="00E47AB8" w:rsidP="00422306">
            <w:pPr>
              <w:pStyle w:val="TableText0"/>
              <w:keepNext w:val="0"/>
              <w:autoSpaceDE w:val="0"/>
              <w:autoSpaceDN w:val="0"/>
              <w:adjustRightInd w:val="0"/>
              <w:spacing w:before="40" w:after="80" w:line="276" w:lineRule="auto"/>
              <w:rPr>
                <w:szCs w:val="20"/>
              </w:rPr>
            </w:pPr>
            <w:r>
              <w:rPr>
                <w:rFonts w:cs="Calibri"/>
                <w:szCs w:val="20"/>
              </w:rPr>
              <w:t>Peters et al, 2008</w:t>
            </w:r>
          </w:p>
        </w:tc>
        <w:tc>
          <w:tcPr>
            <w:tcW w:w="5516" w:type="dxa"/>
          </w:tcPr>
          <w:p w14:paraId="07320FDE"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Outcome data not presented</w:t>
            </w:r>
          </w:p>
        </w:tc>
        <w:tc>
          <w:tcPr>
            <w:tcW w:w="2084" w:type="dxa"/>
          </w:tcPr>
          <w:p w14:paraId="26976056"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No specific data comparing mammography and MRI</w:t>
            </w:r>
          </w:p>
        </w:tc>
      </w:tr>
      <w:tr w:rsidR="00E47AB8" w:rsidRPr="008B2F8A" w14:paraId="639A6820" w14:textId="77777777" w:rsidTr="004B524B">
        <w:tblPrEx>
          <w:tblLook w:val="0000" w:firstRow="0" w:lastRow="0" w:firstColumn="0" w:lastColumn="0" w:noHBand="0" w:noVBand="0"/>
        </w:tblPrEx>
        <w:tc>
          <w:tcPr>
            <w:tcW w:w="1470" w:type="dxa"/>
          </w:tcPr>
          <w:p w14:paraId="7212B8BE" w14:textId="77777777" w:rsidR="00E47AB8" w:rsidRPr="008B2F8A" w:rsidRDefault="00E47AB8" w:rsidP="00422306">
            <w:pPr>
              <w:pStyle w:val="Tabletext"/>
              <w:autoSpaceDE w:val="0"/>
              <w:autoSpaceDN w:val="0"/>
              <w:adjustRightInd w:val="0"/>
              <w:spacing w:before="40" w:after="80" w:line="276" w:lineRule="auto"/>
            </w:pPr>
            <w:bookmarkStart w:id="1481" w:name="OLE_LINK508"/>
            <w:bookmarkStart w:id="1482" w:name="OLE_LINK509"/>
            <w:r w:rsidRPr="008B2F8A">
              <w:t>Tilanus-Linthorst</w:t>
            </w:r>
            <w:r>
              <w:t>,</w:t>
            </w:r>
            <w:r w:rsidRPr="008B2F8A">
              <w:t xml:space="preserve"> 2000a, 2000b</w:t>
            </w:r>
            <w:bookmarkEnd w:id="1481"/>
            <w:bookmarkEnd w:id="1482"/>
          </w:p>
        </w:tc>
        <w:tc>
          <w:tcPr>
            <w:tcW w:w="5516" w:type="dxa"/>
          </w:tcPr>
          <w:p w14:paraId="53463607" w14:textId="4A2C3CC6"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Tilanus-Linthorst MMA, Bartels CCM, Obdeijn AIM, Oudkerk M. Earlier detection of breast cancer by surveillance of women at familial risk. Eur J Cancer 2000; 36(4):514–519.</w:t>
            </w:r>
          </w:p>
          <w:p w14:paraId="47937EB0" w14:textId="7608FACB"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 xml:space="preserve">Tilanus-Linthorst MMA, Obdeijn IMM, Bartels KCM, de Koning HJ, </w:t>
            </w:r>
            <w:r w:rsidRPr="008B2F8A">
              <w:rPr>
                <w:szCs w:val="20"/>
              </w:rPr>
              <w:lastRenderedPageBreak/>
              <w:t>Oudkerk M. First experiences screening women at high risk for breast cancer with MR imaging. Breast Cancer Res Treat 2000; 63(1):53–60.</w:t>
            </w:r>
          </w:p>
        </w:tc>
        <w:tc>
          <w:tcPr>
            <w:tcW w:w="2084" w:type="dxa"/>
          </w:tcPr>
          <w:p w14:paraId="006FFF1B" w14:textId="77777777" w:rsidR="00E47AB8" w:rsidRPr="008B2F8A" w:rsidRDefault="00E47AB8" w:rsidP="00422306">
            <w:pPr>
              <w:pStyle w:val="Tabletext"/>
              <w:autoSpaceDE w:val="0"/>
              <w:autoSpaceDN w:val="0"/>
              <w:adjustRightInd w:val="0"/>
              <w:spacing w:before="40" w:after="80" w:line="276" w:lineRule="auto"/>
              <w:rPr>
                <w:szCs w:val="20"/>
              </w:rPr>
            </w:pPr>
            <w:r w:rsidRPr="008B2F8A">
              <w:lastRenderedPageBreak/>
              <w:t>Wrong outcomes</w:t>
            </w:r>
          </w:p>
        </w:tc>
      </w:tr>
      <w:tr w:rsidR="00E47AB8" w:rsidRPr="008B2F8A" w14:paraId="41A0D359" w14:textId="77777777" w:rsidTr="004B524B">
        <w:tblPrEx>
          <w:tblLook w:val="0000" w:firstRow="0" w:lastRow="0" w:firstColumn="0" w:lastColumn="0" w:noHBand="0" w:noVBand="0"/>
        </w:tblPrEx>
        <w:tc>
          <w:tcPr>
            <w:tcW w:w="1470" w:type="dxa"/>
          </w:tcPr>
          <w:p w14:paraId="3599921B" w14:textId="518A21C6" w:rsidR="00E47AB8" w:rsidRPr="008B2F8A" w:rsidRDefault="00E47AB8" w:rsidP="00422306">
            <w:pPr>
              <w:pStyle w:val="Tabletext"/>
              <w:autoSpaceDE w:val="0"/>
              <w:autoSpaceDN w:val="0"/>
              <w:adjustRightInd w:val="0"/>
              <w:spacing w:before="40" w:after="80" w:line="276" w:lineRule="auto"/>
              <w:rPr>
                <w:szCs w:val="20"/>
              </w:rPr>
            </w:pPr>
            <w:r>
              <w:rPr>
                <w:szCs w:val="20"/>
              </w:rPr>
              <w:lastRenderedPageBreak/>
              <w:t>Saunders et al, 2009</w:t>
            </w:r>
          </w:p>
        </w:tc>
        <w:tc>
          <w:tcPr>
            <w:tcW w:w="5516" w:type="dxa"/>
          </w:tcPr>
          <w:p w14:paraId="5F86EC20"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Saunders CM, Peters G, Longman G, Thomson J, Taylor D, Hua J et al. A pilot study of trimodality breast imaging surveillance in young women at high risk of breast cancer in Western Australia. Med J Aust 2009; 191(6):330–333.</w:t>
            </w:r>
          </w:p>
        </w:tc>
        <w:tc>
          <w:tcPr>
            <w:tcW w:w="2084" w:type="dxa"/>
          </w:tcPr>
          <w:p w14:paraId="561D6B0E" w14:textId="3B3E95A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Insufficient data for accuracy outcomes</w:t>
            </w:r>
          </w:p>
        </w:tc>
      </w:tr>
      <w:tr w:rsidR="00E47AB8" w:rsidRPr="008B2F8A" w14:paraId="53260832" w14:textId="77777777" w:rsidTr="004B524B">
        <w:tc>
          <w:tcPr>
            <w:tcW w:w="1470" w:type="dxa"/>
          </w:tcPr>
          <w:p w14:paraId="51D8E050" w14:textId="6AFFF0A5" w:rsidR="00E47AB8" w:rsidRPr="008B2F8A" w:rsidRDefault="00E47AB8" w:rsidP="00422306">
            <w:pPr>
              <w:pStyle w:val="TableText0"/>
              <w:keepNext w:val="0"/>
              <w:autoSpaceDE w:val="0"/>
              <w:autoSpaceDN w:val="0"/>
              <w:adjustRightInd w:val="0"/>
              <w:spacing w:before="40" w:after="80" w:line="276" w:lineRule="auto"/>
              <w:rPr>
                <w:rFonts w:cs="Calibri"/>
                <w:szCs w:val="20"/>
              </w:rPr>
            </w:pPr>
            <w:r>
              <w:t>Popiela et al, 2013</w:t>
            </w:r>
          </w:p>
        </w:tc>
        <w:tc>
          <w:tcPr>
            <w:tcW w:w="5516" w:type="dxa"/>
          </w:tcPr>
          <w:p w14:paraId="082234E2"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 xml:space="preserve">Popiela TJ, Kibil W, Herman-Sucharska I, Urbanik A. The use of magnetic resonance mammography in women at increased risk for developing breast cancer. </w:t>
            </w:r>
            <w:bookmarkStart w:id="1483" w:name="OLE_LINK208"/>
            <w:bookmarkStart w:id="1484" w:name="OLE_LINK209"/>
            <w:r w:rsidRPr="008B2F8A">
              <w:rPr>
                <w:szCs w:val="20"/>
              </w:rPr>
              <w:t>Wideochir Inne Tech Ma</w:t>
            </w:r>
            <w:r w:rsidRPr="008B2F8A">
              <w:rPr>
                <w:rFonts w:ascii="Times New Roman" w:hAnsi="Times New Roman"/>
                <w:szCs w:val="20"/>
              </w:rPr>
              <w:t>ł</w:t>
            </w:r>
            <w:r w:rsidRPr="008B2F8A">
              <w:rPr>
                <w:szCs w:val="20"/>
              </w:rPr>
              <w:t xml:space="preserve">oinwazyjne </w:t>
            </w:r>
            <w:bookmarkEnd w:id="1483"/>
            <w:bookmarkEnd w:id="1484"/>
            <w:r w:rsidRPr="008B2F8A">
              <w:rPr>
                <w:szCs w:val="20"/>
              </w:rPr>
              <w:t>2013; 8(1):55–62.</w:t>
            </w:r>
          </w:p>
        </w:tc>
        <w:tc>
          <w:tcPr>
            <w:tcW w:w="2084" w:type="dxa"/>
          </w:tcPr>
          <w:p w14:paraId="23537115"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Analysis limited to MRI detected lesions that were not visualised in U/S or mammography</w:t>
            </w:r>
          </w:p>
        </w:tc>
      </w:tr>
      <w:tr w:rsidR="00E47AB8" w:rsidRPr="008B2F8A" w14:paraId="6298D0A2" w14:textId="77777777" w:rsidTr="004B524B">
        <w:tc>
          <w:tcPr>
            <w:tcW w:w="1470" w:type="dxa"/>
          </w:tcPr>
          <w:p w14:paraId="751550A2" w14:textId="77BFE6FE" w:rsidR="00E47AB8" w:rsidRPr="008B2F8A" w:rsidRDefault="00E47AB8" w:rsidP="00422306">
            <w:pPr>
              <w:pStyle w:val="Tabletext"/>
              <w:autoSpaceDE w:val="0"/>
              <w:autoSpaceDN w:val="0"/>
              <w:adjustRightInd w:val="0"/>
              <w:spacing w:before="40" w:after="80" w:line="276" w:lineRule="auto"/>
              <w:rPr>
                <w:szCs w:val="20"/>
              </w:rPr>
            </w:pPr>
            <w:r>
              <w:rPr>
                <w:szCs w:val="20"/>
              </w:rPr>
              <w:t>Riedl et al, 2007</w:t>
            </w:r>
          </w:p>
        </w:tc>
        <w:tc>
          <w:tcPr>
            <w:tcW w:w="5516" w:type="dxa"/>
          </w:tcPr>
          <w:p w14:paraId="4DC35B53"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rFonts w:cs="Calibri"/>
                <w:szCs w:val="20"/>
              </w:rPr>
              <w:t>Riedl CC, Ponhold L, Flory D, Weber M, Kroiss R, Wagner T et al. Magnetic resonance imaging of the breast improves detection of invasive cancer, preinvasive cancer, and premalignant lesions during surveillance of women at high risk for breast cancer. Clin Cancer Res 2007; 13(20):6144–6152.</w:t>
            </w:r>
          </w:p>
        </w:tc>
        <w:tc>
          <w:tcPr>
            <w:tcW w:w="2084" w:type="dxa"/>
          </w:tcPr>
          <w:p w14:paraId="5A935E63"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 xml:space="preserve">Data not reported for MRI as an </w:t>
            </w:r>
            <w:r w:rsidRPr="008B2F8A">
              <w:rPr>
                <w:i/>
                <w:szCs w:val="20"/>
              </w:rPr>
              <w:t>additional</w:t>
            </w:r>
            <w:r w:rsidRPr="008B2F8A">
              <w:rPr>
                <w:szCs w:val="20"/>
              </w:rPr>
              <w:t xml:space="preserve"> test to mammography</w:t>
            </w:r>
          </w:p>
        </w:tc>
      </w:tr>
      <w:tr w:rsidR="00E47AB8" w:rsidRPr="008B2F8A" w14:paraId="4486B16B" w14:textId="77777777" w:rsidTr="004B524B">
        <w:tc>
          <w:tcPr>
            <w:tcW w:w="1470" w:type="dxa"/>
          </w:tcPr>
          <w:p w14:paraId="1B88BA6F" w14:textId="180DA49F" w:rsidR="00E47AB8" w:rsidRPr="008B2F8A" w:rsidRDefault="00E47AB8" w:rsidP="00422306">
            <w:pPr>
              <w:pStyle w:val="Tabletext"/>
              <w:autoSpaceDE w:val="0"/>
              <w:autoSpaceDN w:val="0"/>
              <w:adjustRightInd w:val="0"/>
              <w:spacing w:before="40" w:after="80" w:line="276" w:lineRule="auto"/>
            </w:pPr>
            <w:r>
              <w:t>Trop et al, 2010</w:t>
            </w:r>
          </w:p>
        </w:tc>
        <w:tc>
          <w:tcPr>
            <w:tcW w:w="5516" w:type="dxa"/>
          </w:tcPr>
          <w:p w14:paraId="6764F728"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rFonts w:cs="Calibri"/>
                <w:szCs w:val="20"/>
              </w:rPr>
              <w:t>Trop I, Lalonde L, Mayrand MH, David J, Larouche N, Provencher D. Multimodality breast cancer screening in women with a familial or genetic predisposition. Curr Oncol 2010; 17(3):28–36.</w:t>
            </w:r>
          </w:p>
        </w:tc>
        <w:tc>
          <w:tcPr>
            <w:tcW w:w="2084" w:type="dxa"/>
          </w:tcPr>
          <w:p w14:paraId="276ABAA2"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 xml:space="preserve">Data not reported for MRI as an </w:t>
            </w:r>
            <w:r w:rsidRPr="008B2F8A">
              <w:rPr>
                <w:i/>
                <w:szCs w:val="20"/>
              </w:rPr>
              <w:t>additional</w:t>
            </w:r>
            <w:r w:rsidRPr="008B2F8A">
              <w:rPr>
                <w:szCs w:val="20"/>
              </w:rPr>
              <w:t xml:space="preserve"> test to mammography</w:t>
            </w:r>
          </w:p>
        </w:tc>
      </w:tr>
    </w:tbl>
    <w:p w14:paraId="7E51242B" w14:textId="77777777" w:rsidR="00E47AB8" w:rsidRPr="008B2F8A" w:rsidRDefault="00E47AB8" w:rsidP="004E7861">
      <w:pPr>
        <w:pStyle w:val="TableNotesLast"/>
      </w:pPr>
      <w:r w:rsidRPr="008B2F8A">
        <w:t>NR = not reported.</w:t>
      </w:r>
    </w:p>
    <w:p w14:paraId="09E57EB5" w14:textId="77777777" w:rsidR="00E47AB8" w:rsidRPr="008B2F8A" w:rsidRDefault="00E47AB8" w:rsidP="00422306">
      <w:pPr>
        <w:pStyle w:val="Caption"/>
      </w:pPr>
      <w:r w:rsidRPr="008B2F8A">
        <w:t>Identified ongoing studies.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Identified ongoing studies."/>
      </w:tblPr>
      <w:tblGrid>
        <w:gridCol w:w="1238"/>
        <w:gridCol w:w="7832"/>
      </w:tblGrid>
      <w:tr w:rsidR="00E47AB8" w:rsidRPr="008B2F8A" w14:paraId="4FCCED75" w14:textId="77777777" w:rsidTr="00422306">
        <w:trPr>
          <w:cantSplit/>
          <w:tblHeader/>
        </w:trPr>
        <w:tc>
          <w:tcPr>
            <w:tcW w:w="1255" w:type="dxa"/>
          </w:tcPr>
          <w:p w14:paraId="443AAD9C" w14:textId="77777777" w:rsidR="00E47AB8" w:rsidRPr="008B2F8A" w:rsidRDefault="00E47AB8" w:rsidP="00422306">
            <w:pPr>
              <w:pStyle w:val="TableHeading"/>
              <w:spacing w:line="276" w:lineRule="auto"/>
            </w:pPr>
            <w:r w:rsidRPr="008B2F8A">
              <w:t>Trial</w:t>
            </w:r>
          </w:p>
        </w:tc>
        <w:tc>
          <w:tcPr>
            <w:tcW w:w="8045" w:type="dxa"/>
          </w:tcPr>
          <w:p w14:paraId="1A231AEE" w14:textId="77777777" w:rsidR="00E47AB8" w:rsidRPr="008B2F8A" w:rsidRDefault="00E47AB8" w:rsidP="00422306">
            <w:pPr>
              <w:pStyle w:val="TableHeading"/>
              <w:spacing w:line="276" w:lineRule="auto"/>
            </w:pPr>
            <w:r w:rsidRPr="008B2F8A">
              <w:t>Citation</w:t>
            </w:r>
          </w:p>
        </w:tc>
      </w:tr>
      <w:tr w:rsidR="00E47AB8" w:rsidRPr="008B2F8A" w14:paraId="1DE43B2E" w14:textId="77777777" w:rsidTr="00422306">
        <w:trPr>
          <w:cantSplit/>
        </w:trPr>
        <w:tc>
          <w:tcPr>
            <w:tcW w:w="1255" w:type="dxa"/>
          </w:tcPr>
          <w:p w14:paraId="03BE88E9" w14:textId="77777777" w:rsidR="00E47AB8" w:rsidRPr="008B2F8A" w:rsidRDefault="00E47AB8" w:rsidP="00422306">
            <w:pPr>
              <w:pStyle w:val="TableText0"/>
              <w:spacing w:line="276" w:lineRule="auto"/>
              <w:rPr>
                <w:szCs w:val="20"/>
              </w:rPr>
            </w:pPr>
            <w:r w:rsidRPr="008B2F8A">
              <w:rPr>
                <w:rFonts w:cs="Calibri"/>
                <w:szCs w:val="20"/>
              </w:rPr>
              <w:t>FaMRIsc</w:t>
            </w:r>
          </w:p>
        </w:tc>
        <w:tc>
          <w:tcPr>
            <w:tcW w:w="8045" w:type="dxa"/>
          </w:tcPr>
          <w:p w14:paraId="3F96F93C" w14:textId="77777777" w:rsidR="00E47AB8" w:rsidRPr="008B2F8A" w:rsidRDefault="00E47AB8" w:rsidP="00422306">
            <w:pPr>
              <w:pStyle w:val="TableText0"/>
              <w:spacing w:line="276" w:lineRule="auto"/>
              <w:rPr>
                <w:szCs w:val="20"/>
              </w:rPr>
            </w:pPr>
            <w:r w:rsidRPr="008B2F8A">
              <w:rPr>
                <w:rFonts w:cs="Calibri"/>
                <w:szCs w:val="20"/>
              </w:rPr>
              <w:t>Saadatmand S, Rutgers EJT, Tollenaar R, Zonderland HM, Ausems M, Keymeulen K, Schlooz-Vries MS, Koppert LB, Heijnsdijk EAM, Seynaeve C, Verhoef C, Oosterwijk JC, Obdeijn IM, de Koning HJ, Tilanus-Linthorst MMA (2012) Breast density as indicator for the use of mammography or MRI to screen women with familial risk for breast cancer (FaMRIsc): A multicentre randomized controlled trial. BMC Cancer 12.</w:t>
            </w:r>
          </w:p>
        </w:tc>
      </w:tr>
    </w:tbl>
    <w:p w14:paraId="57BF1905" w14:textId="77777777" w:rsidR="00E47AB8" w:rsidRPr="008B2F8A" w:rsidRDefault="00E47AB8" w:rsidP="00422306"/>
    <w:p w14:paraId="592FAF54" w14:textId="5E713576" w:rsidR="00E47AB8" w:rsidRPr="008B2F8A" w:rsidRDefault="00E47AB8" w:rsidP="00422306">
      <w:pPr>
        <w:pStyle w:val="AppendixHeading2"/>
      </w:pPr>
      <w:r w:rsidRPr="008B2F8A">
        <w:t>Search strategies for additional high-risk groups</w:t>
      </w:r>
    </w:p>
    <w:p w14:paraId="1566138B" w14:textId="77777777" w:rsidR="00E47AB8" w:rsidRPr="008B2F8A" w:rsidRDefault="00E47AB8" w:rsidP="00422306">
      <w:pPr>
        <w:pStyle w:val="Caption"/>
      </w:pPr>
      <w:r w:rsidRPr="008B2F8A">
        <w:t>EMBASE.com search strategy.</w:t>
      </w:r>
    </w:p>
    <w:tbl>
      <w:tblPr>
        <w:tblStyle w:val="TableGrid"/>
        <w:tblW w:w="6986" w:type="dxa"/>
        <w:tblCellMar>
          <w:left w:w="28" w:type="dxa"/>
          <w:right w:w="28" w:type="dxa"/>
        </w:tblCellMar>
        <w:tblLook w:val="04A0" w:firstRow="1" w:lastRow="0" w:firstColumn="1" w:lastColumn="0" w:noHBand="0" w:noVBand="1"/>
        <w:tblCaption w:val="EMBASE.com search strategy."/>
      </w:tblPr>
      <w:tblGrid>
        <w:gridCol w:w="880"/>
        <w:gridCol w:w="6106"/>
      </w:tblGrid>
      <w:tr w:rsidR="00E47AB8" w:rsidRPr="008B2F8A" w14:paraId="442F102D" w14:textId="77777777" w:rsidTr="00422306">
        <w:trPr>
          <w:tblHeader/>
        </w:trPr>
        <w:tc>
          <w:tcPr>
            <w:tcW w:w="880" w:type="dxa"/>
          </w:tcPr>
          <w:p w14:paraId="08086FCD" w14:textId="77777777" w:rsidR="00E47AB8" w:rsidRPr="008B2F8A" w:rsidRDefault="00E47AB8" w:rsidP="00422306">
            <w:pPr>
              <w:pStyle w:val="Tableheaderrow"/>
              <w:autoSpaceDE w:val="0"/>
              <w:autoSpaceDN w:val="0"/>
              <w:adjustRightInd w:val="0"/>
              <w:spacing w:before="40" w:after="80" w:line="276" w:lineRule="auto"/>
            </w:pPr>
            <w:r w:rsidRPr="008B2F8A">
              <w:t>Number</w:t>
            </w:r>
          </w:p>
        </w:tc>
        <w:tc>
          <w:tcPr>
            <w:tcW w:w="6106" w:type="dxa"/>
          </w:tcPr>
          <w:p w14:paraId="46B5B6B5" w14:textId="77777777" w:rsidR="00E47AB8" w:rsidRPr="008B2F8A" w:rsidRDefault="00E47AB8" w:rsidP="00422306">
            <w:pPr>
              <w:pStyle w:val="Tableheaderrow"/>
              <w:autoSpaceDE w:val="0"/>
              <w:autoSpaceDN w:val="0"/>
              <w:adjustRightInd w:val="0"/>
              <w:spacing w:before="40" w:after="80" w:line="276" w:lineRule="auto"/>
            </w:pPr>
            <w:r w:rsidRPr="008B2F8A">
              <w:t>Search strategy</w:t>
            </w:r>
          </w:p>
        </w:tc>
      </w:tr>
      <w:tr w:rsidR="00E47AB8" w:rsidRPr="008B2F8A" w14:paraId="414C6D7F" w14:textId="77777777" w:rsidTr="00422306">
        <w:tc>
          <w:tcPr>
            <w:tcW w:w="880" w:type="dxa"/>
          </w:tcPr>
          <w:p w14:paraId="5C8C60B1"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w:t>
            </w:r>
          </w:p>
        </w:tc>
        <w:tc>
          <w:tcPr>
            <w:tcW w:w="6106" w:type="dxa"/>
          </w:tcPr>
          <w:p w14:paraId="1066580C"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‘magnetic resonance imaging’/exp OR ‘magnetic resonance imaging’</w:t>
            </w:r>
          </w:p>
        </w:tc>
      </w:tr>
      <w:tr w:rsidR="00E47AB8" w:rsidRPr="008B2F8A" w14:paraId="608986CC" w14:textId="77777777" w:rsidTr="00422306">
        <w:tc>
          <w:tcPr>
            <w:tcW w:w="880" w:type="dxa"/>
          </w:tcPr>
          <w:p w14:paraId="2C117043" w14:textId="77777777" w:rsidR="00E47AB8" w:rsidRPr="008B2F8A" w:rsidRDefault="00E47AB8" w:rsidP="00422306">
            <w:pPr>
              <w:pStyle w:val="Tabletext"/>
              <w:autoSpaceDE w:val="0"/>
              <w:autoSpaceDN w:val="0"/>
              <w:adjustRightInd w:val="0"/>
              <w:spacing w:before="40" w:after="80" w:line="276" w:lineRule="auto"/>
              <w:rPr>
                <w:b/>
              </w:rPr>
            </w:pPr>
            <w:r w:rsidRPr="008B2F8A">
              <w:rPr>
                <w:b/>
              </w:rPr>
              <w:t>#2</w:t>
            </w:r>
          </w:p>
        </w:tc>
        <w:tc>
          <w:tcPr>
            <w:tcW w:w="6106" w:type="dxa"/>
          </w:tcPr>
          <w:p w14:paraId="340C8CFD"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‘mri’/exp OR ‘mri’</w:t>
            </w:r>
          </w:p>
        </w:tc>
      </w:tr>
      <w:tr w:rsidR="00E47AB8" w:rsidRPr="008B2F8A" w14:paraId="1EA706D5" w14:textId="77777777" w:rsidTr="00422306">
        <w:tc>
          <w:tcPr>
            <w:tcW w:w="880" w:type="dxa"/>
          </w:tcPr>
          <w:p w14:paraId="1705257D"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#3</w:t>
            </w:r>
          </w:p>
        </w:tc>
        <w:tc>
          <w:tcPr>
            <w:tcW w:w="6106" w:type="dxa"/>
          </w:tcPr>
          <w:p w14:paraId="3B7BFD09"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‘mri scan’</w:t>
            </w:r>
          </w:p>
        </w:tc>
      </w:tr>
      <w:tr w:rsidR="00E47AB8" w:rsidRPr="008B2F8A" w14:paraId="4FD1AE90" w14:textId="77777777" w:rsidTr="00422306">
        <w:tc>
          <w:tcPr>
            <w:tcW w:w="880" w:type="dxa"/>
          </w:tcPr>
          <w:p w14:paraId="08BDD493"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#4</w:t>
            </w:r>
          </w:p>
        </w:tc>
        <w:tc>
          <w:tcPr>
            <w:tcW w:w="6106" w:type="dxa"/>
          </w:tcPr>
          <w:p w14:paraId="7590D1E8"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‘breast mri’</w:t>
            </w:r>
          </w:p>
        </w:tc>
      </w:tr>
      <w:tr w:rsidR="00E47AB8" w:rsidRPr="008B2F8A" w14:paraId="50825B1D" w14:textId="77777777" w:rsidTr="00422306">
        <w:tc>
          <w:tcPr>
            <w:tcW w:w="880" w:type="dxa"/>
          </w:tcPr>
          <w:p w14:paraId="3A2298C3" w14:textId="77777777" w:rsidR="00E47AB8" w:rsidRPr="008B2F8A" w:rsidRDefault="00E47AB8" w:rsidP="00422306">
            <w:pPr>
              <w:pStyle w:val="Tabletext"/>
              <w:autoSpaceDE w:val="0"/>
              <w:autoSpaceDN w:val="0"/>
              <w:adjustRightInd w:val="0"/>
              <w:spacing w:before="40" w:after="80" w:line="276" w:lineRule="auto"/>
              <w:rPr>
                <w:b/>
              </w:rPr>
            </w:pPr>
            <w:r w:rsidRPr="008B2F8A">
              <w:rPr>
                <w:b/>
              </w:rPr>
              <w:t>#5</w:t>
            </w:r>
          </w:p>
        </w:tc>
        <w:tc>
          <w:tcPr>
            <w:tcW w:w="6106" w:type="dxa"/>
          </w:tcPr>
          <w:p w14:paraId="5C4B517F"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#1 OR #2 OR #3 OR #4</w:t>
            </w:r>
          </w:p>
        </w:tc>
      </w:tr>
      <w:tr w:rsidR="00E47AB8" w:rsidRPr="008B2F8A" w14:paraId="1CC4D755" w14:textId="77777777" w:rsidTr="00422306">
        <w:tc>
          <w:tcPr>
            <w:tcW w:w="880" w:type="dxa"/>
          </w:tcPr>
          <w:p w14:paraId="33EE498B"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#6</w:t>
            </w:r>
          </w:p>
        </w:tc>
        <w:tc>
          <w:tcPr>
            <w:tcW w:w="6106" w:type="dxa"/>
          </w:tcPr>
          <w:p w14:paraId="57882373"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‘screening’/exp OR ‘screening’</w:t>
            </w:r>
          </w:p>
        </w:tc>
      </w:tr>
      <w:tr w:rsidR="00E47AB8" w:rsidRPr="008B2F8A" w14:paraId="0BBB77AF" w14:textId="77777777" w:rsidTr="00422306">
        <w:tc>
          <w:tcPr>
            <w:tcW w:w="880" w:type="dxa"/>
          </w:tcPr>
          <w:p w14:paraId="4685A894" w14:textId="77777777" w:rsidR="00E47AB8" w:rsidRPr="008B2F8A" w:rsidRDefault="00E47AB8" w:rsidP="00422306">
            <w:pPr>
              <w:pStyle w:val="Tabletext"/>
              <w:autoSpaceDE w:val="0"/>
              <w:autoSpaceDN w:val="0"/>
              <w:adjustRightInd w:val="0"/>
              <w:spacing w:before="40" w:after="80" w:line="276" w:lineRule="auto"/>
              <w:rPr>
                <w:b/>
              </w:rPr>
            </w:pPr>
            <w:r w:rsidRPr="008B2F8A">
              <w:rPr>
                <w:b/>
              </w:rPr>
              <w:t>#7</w:t>
            </w:r>
          </w:p>
        </w:tc>
        <w:tc>
          <w:tcPr>
            <w:tcW w:w="6106" w:type="dxa"/>
          </w:tcPr>
          <w:p w14:paraId="10A1014C"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‘surveillance’</w:t>
            </w:r>
          </w:p>
        </w:tc>
      </w:tr>
      <w:tr w:rsidR="00E47AB8" w:rsidRPr="008B2F8A" w14:paraId="57F8B9C3" w14:textId="77777777" w:rsidTr="00422306">
        <w:tc>
          <w:tcPr>
            <w:tcW w:w="880" w:type="dxa"/>
          </w:tcPr>
          <w:p w14:paraId="31EB3B75"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#8</w:t>
            </w:r>
          </w:p>
        </w:tc>
        <w:tc>
          <w:tcPr>
            <w:tcW w:w="6106" w:type="dxa"/>
          </w:tcPr>
          <w:p w14:paraId="2854CAE7"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#6 OR #7</w:t>
            </w:r>
          </w:p>
        </w:tc>
      </w:tr>
      <w:tr w:rsidR="00E47AB8" w:rsidRPr="008B2F8A" w14:paraId="0AC545F6" w14:textId="77777777" w:rsidTr="00422306">
        <w:tc>
          <w:tcPr>
            <w:tcW w:w="880" w:type="dxa"/>
          </w:tcPr>
          <w:p w14:paraId="7BFB505E"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#9</w:t>
            </w:r>
          </w:p>
        </w:tc>
        <w:tc>
          <w:tcPr>
            <w:tcW w:w="6106" w:type="dxa"/>
          </w:tcPr>
          <w:p w14:paraId="734720E1"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‘breast cancer’/exp</w:t>
            </w:r>
          </w:p>
        </w:tc>
      </w:tr>
      <w:tr w:rsidR="00E47AB8" w:rsidRPr="008B2F8A" w14:paraId="571A7488" w14:textId="77777777" w:rsidTr="00422306">
        <w:tc>
          <w:tcPr>
            <w:tcW w:w="880" w:type="dxa"/>
          </w:tcPr>
          <w:p w14:paraId="4D19A956"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#10</w:t>
            </w:r>
          </w:p>
        </w:tc>
        <w:tc>
          <w:tcPr>
            <w:tcW w:w="6106" w:type="dxa"/>
          </w:tcPr>
          <w:p w14:paraId="6C822035"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‘breast tumour’</w:t>
            </w:r>
          </w:p>
        </w:tc>
      </w:tr>
      <w:tr w:rsidR="00E47AB8" w:rsidRPr="008B2F8A" w14:paraId="1FF9F683" w14:textId="77777777" w:rsidTr="00422306">
        <w:tc>
          <w:tcPr>
            <w:tcW w:w="880" w:type="dxa"/>
          </w:tcPr>
          <w:p w14:paraId="2CF5792C"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lastRenderedPageBreak/>
              <w:t>#11</w:t>
            </w:r>
          </w:p>
        </w:tc>
        <w:tc>
          <w:tcPr>
            <w:tcW w:w="6106" w:type="dxa"/>
          </w:tcPr>
          <w:p w14:paraId="603658CF"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‘breast carcinoma’/exp</w:t>
            </w:r>
          </w:p>
        </w:tc>
      </w:tr>
      <w:tr w:rsidR="00E47AB8" w:rsidRPr="008B2F8A" w14:paraId="447FD3F5" w14:textId="77777777" w:rsidTr="00422306">
        <w:tc>
          <w:tcPr>
            <w:tcW w:w="880" w:type="dxa"/>
          </w:tcPr>
          <w:p w14:paraId="5372B5FD"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#12</w:t>
            </w:r>
          </w:p>
        </w:tc>
        <w:tc>
          <w:tcPr>
            <w:tcW w:w="6106" w:type="dxa"/>
          </w:tcPr>
          <w:p w14:paraId="72BC7FCD"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‘invasive carcinoma’/exp</w:t>
            </w:r>
          </w:p>
        </w:tc>
      </w:tr>
      <w:tr w:rsidR="00E47AB8" w:rsidRPr="008B2F8A" w14:paraId="682E693E" w14:textId="77777777" w:rsidTr="00422306">
        <w:tc>
          <w:tcPr>
            <w:tcW w:w="880" w:type="dxa"/>
          </w:tcPr>
          <w:p w14:paraId="76F33AD6"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#13</w:t>
            </w:r>
          </w:p>
        </w:tc>
        <w:tc>
          <w:tcPr>
            <w:tcW w:w="6106" w:type="dxa"/>
          </w:tcPr>
          <w:p w14:paraId="6C2525F7"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‘intraductal carcinoma’/exp</w:t>
            </w:r>
          </w:p>
        </w:tc>
      </w:tr>
      <w:tr w:rsidR="00E47AB8" w:rsidRPr="008B2F8A" w14:paraId="2B32C687" w14:textId="77777777" w:rsidTr="00422306">
        <w:tc>
          <w:tcPr>
            <w:tcW w:w="880" w:type="dxa"/>
          </w:tcPr>
          <w:p w14:paraId="57885ABF"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#14</w:t>
            </w:r>
          </w:p>
        </w:tc>
        <w:tc>
          <w:tcPr>
            <w:tcW w:w="6106" w:type="dxa"/>
          </w:tcPr>
          <w:p w14:paraId="250E2875"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‘dcis’/exp</w:t>
            </w:r>
          </w:p>
        </w:tc>
      </w:tr>
      <w:tr w:rsidR="00E47AB8" w:rsidRPr="008B2F8A" w14:paraId="134ACE66" w14:textId="77777777" w:rsidTr="00422306">
        <w:tc>
          <w:tcPr>
            <w:tcW w:w="880" w:type="dxa"/>
          </w:tcPr>
          <w:p w14:paraId="55F70175"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#15</w:t>
            </w:r>
          </w:p>
        </w:tc>
        <w:tc>
          <w:tcPr>
            <w:tcW w:w="6106" w:type="dxa"/>
          </w:tcPr>
          <w:p w14:paraId="7FFFCC3A"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‘ductal carcinoma in situ’/exp</w:t>
            </w:r>
          </w:p>
        </w:tc>
      </w:tr>
      <w:tr w:rsidR="00E47AB8" w:rsidRPr="008B2F8A" w14:paraId="2DB974CB" w14:textId="77777777" w:rsidTr="00422306">
        <w:tc>
          <w:tcPr>
            <w:tcW w:w="880" w:type="dxa"/>
          </w:tcPr>
          <w:p w14:paraId="37DCE650"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#16</w:t>
            </w:r>
          </w:p>
        </w:tc>
        <w:tc>
          <w:tcPr>
            <w:tcW w:w="6106" w:type="dxa"/>
          </w:tcPr>
          <w:p w14:paraId="307C5AF0"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‘lobular carcinoma in situ’</w:t>
            </w:r>
          </w:p>
        </w:tc>
      </w:tr>
      <w:tr w:rsidR="00E47AB8" w:rsidRPr="008B2F8A" w14:paraId="094BBC37" w14:textId="77777777" w:rsidTr="00422306">
        <w:tc>
          <w:tcPr>
            <w:tcW w:w="880" w:type="dxa"/>
          </w:tcPr>
          <w:p w14:paraId="3EC24DCA"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#17</w:t>
            </w:r>
          </w:p>
        </w:tc>
        <w:tc>
          <w:tcPr>
            <w:tcW w:w="6106" w:type="dxa"/>
          </w:tcPr>
          <w:p w14:paraId="3F2F0125"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‘lcis’</w:t>
            </w:r>
          </w:p>
        </w:tc>
      </w:tr>
      <w:tr w:rsidR="00E47AB8" w:rsidRPr="008B2F8A" w14:paraId="2AA2E695" w14:textId="77777777" w:rsidTr="00422306">
        <w:tc>
          <w:tcPr>
            <w:tcW w:w="880" w:type="dxa"/>
          </w:tcPr>
          <w:p w14:paraId="3980404E"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#18</w:t>
            </w:r>
          </w:p>
        </w:tc>
        <w:tc>
          <w:tcPr>
            <w:tcW w:w="6106" w:type="dxa"/>
          </w:tcPr>
          <w:p w14:paraId="082FBE44"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‘chest irradiation’</w:t>
            </w:r>
          </w:p>
        </w:tc>
      </w:tr>
      <w:tr w:rsidR="00E47AB8" w:rsidRPr="008B2F8A" w14:paraId="7FEAB4C3" w14:textId="77777777" w:rsidTr="00422306">
        <w:tc>
          <w:tcPr>
            <w:tcW w:w="880" w:type="dxa"/>
          </w:tcPr>
          <w:p w14:paraId="4674BE97"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#19</w:t>
            </w:r>
          </w:p>
        </w:tc>
        <w:tc>
          <w:tcPr>
            <w:tcW w:w="6106" w:type="dxa"/>
          </w:tcPr>
          <w:p w14:paraId="07C0863E"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‘chest radiation’</w:t>
            </w:r>
          </w:p>
        </w:tc>
      </w:tr>
      <w:tr w:rsidR="00E47AB8" w:rsidRPr="008B2F8A" w14:paraId="72061F31" w14:textId="77777777" w:rsidTr="00422306">
        <w:tc>
          <w:tcPr>
            <w:tcW w:w="880" w:type="dxa"/>
          </w:tcPr>
          <w:p w14:paraId="6A259E8A"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#20</w:t>
            </w:r>
          </w:p>
        </w:tc>
        <w:tc>
          <w:tcPr>
            <w:tcW w:w="6106" w:type="dxa"/>
          </w:tcPr>
          <w:p w14:paraId="403FFE28"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‘hodgkins lymphoma’</w:t>
            </w:r>
          </w:p>
        </w:tc>
      </w:tr>
      <w:tr w:rsidR="00E47AB8" w:rsidRPr="008B2F8A" w14:paraId="481DDE14" w14:textId="77777777" w:rsidTr="00422306">
        <w:tc>
          <w:tcPr>
            <w:tcW w:w="880" w:type="dxa"/>
          </w:tcPr>
          <w:p w14:paraId="21F61557" w14:textId="381CD792"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#21</w:t>
            </w:r>
          </w:p>
        </w:tc>
        <w:tc>
          <w:tcPr>
            <w:tcW w:w="6106" w:type="dxa"/>
          </w:tcPr>
          <w:p w14:paraId="789D5DA1"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#9 OR #10 OR #11 OR #12 OR #13 OR #14 OR #15 OR #16 OR #17 OR #18 OR #19 OR #20</w:t>
            </w:r>
          </w:p>
        </w:tc>
      </w:tr>
      <w:tr w:rsidR="00E47AB8" w:rsidRPr="008B2F8A" w14:paraId="070384A2" w14:textId="77777777" w:rsidTr="00422306">
        <w:tc>
          <w:tcPr>
            <w:tcW w:w="880" w:type="dxa"/>
          </w:tcPr>
          <w:p w14:paraId="3CDD7105"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#22</w:t>
            </w:r>
          </w:p>
        </w:tc>
        <w:tc>
          <w:tcPr>
            <w:tcW w:w="6106" w:type="dxa"/>
          </w:tcPr>
          <w:p w14:paraId="164598CC"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#5 AND #8 AND #21</w:t>
            </w:r>
          </w:p>
        </w:tc>
      </w:tr>
      <w:tr w:rsidR="00E47AB8" w:rsidRPr="008B2F8A" w14:paraId="74035296" w14:textId="77777777" w:rsidTr="00422306">
        <w:tc>
          <w:tcPr>
            <w:tcW w:w="880" w:type="dxa"/>
          </w:tcPr>
          <w:p w14:paraId="2D03E902" w14:textId="77777777" w:rsidR="00E47AB8" w:rsidRPr="008B2F8A" w:rsidRDefault="00E47AB8" w:rsidP="00422306">
            <w:pPr>
              <w:pStyle w:val="Tabletext"/>
              <w:autoSpaceDE w:val="0"/>
              <w:autoSpaceDN w:val="0"/>
              <w:adjustRightInd w:val="0"/>
              <w:spacing w:before="40" w:after="80" w:line="276" w:lineRule="auto"/>
              <w:rPr>
                <w:b/>
              </w:rPr>
            </w:pPr>
            <w:r w:rsidRPr="008B2F8A">
              <w:rPr>
                <w:rFonts w:eastAsia="Times New Roman"/>
              </w:rPr>
              <w:t>#23</w:t>
            </w:r>
          </w:p>
        </w:tc>
        <w:tc>
          <w:tcPr>
            <w:tcW w:w="6106" w:type="dxa"/>
          </w:tcPr>
          <w:p w14:paraId="0A0EC760" w14:textId="77777777" w:rsidR="00E47AB8" w:rsidRPr="008B2F8A" w:rsidRDefault="00E47AB8" w:rsidP="00422306">
            <w:pPr>
              <w:pStyle w:val="Tabletext"/>
              <w:autoSpaceDE w:val="0"/>
              <w:autoSpaceDN w:val="0"/>
              <w:adjustRightInd w:val="0"/>
              <w:spacing w:before="40" w:after="80" w:line="276" w:lineRule="auto"/>
              <w:rPr>
                <w:b/>
                <w:noProof/>
              </w:rPr>
            </w:pPr>
            <w:r w:rsidRPr="008B2F8A">
              <w:rPr>
                <w:rFonts w:eastAsia="Times New Roman"/>
                <w:noProof/>
              </w:rPr>
              <w:t>#22 AND [female]/lim AND [humans]/lim AND [english]/lim</w:t>
            </w:r>
          </w:p>
        </w:tc>
      </w:tr>
    </w:tbl>
    <w:p w14:paraId="3E8444D8" w14:textId="77777777" w:rsidR="00E47AB8" w:rsidRPr="008B2F8A" w:rsidRDefault="00E47AB8" w:rsidP="004E7861"/>
    <w:p w14:paraId="7351F226" w14:textId="4586BE80" w:rsidR="00E47AB8" w:rsidRPr="008B2F8A" w:rsidRDefault="00E47AB8" w:rsidP="00422306">
      <w:pPr>
        <w:pStyle w:val="Caption"/>
      </w:pPr>
      <w:r w:rsidRPr="008B2F8A">
        <w:t>PreMEDLINE search strategy.</w:t>
      </w:r>
    </w:p>
    <w:tbl>
      <w:tblPr>
        <w:tblStyle w:val="TableGrid"/>
        <w:tblW w:w="6986" w:type="dxa"/>
        <w:tblCellMar>
          <w:left w:w="28" w:type="dxa"/>
          <w:right w:w="28" w:type="dxa"/>
        </w:tblCellMar>
        <w:tblLook w:val="04A0" w:firstRow="1" w:lastRow="0" w:firstColumn="1" w:lastColumn="0" w:noHBand="0" w:noVBand="1"/>
        <w:tblCaption w:val="PreMEDLINE search strategy"/>
      </w:tblPr>
      <w:tblGrid>
        <w:gridCol w:w="880"/>
        <w:gridCol w:w="6106"/>
      </w:tblGrid>
      <w:tr w:rsidR="00E47AB8" w:rsidRPr="008B2F8A" w14:paraId="11C200F6" w14:textId="77777777" w:rsidTr="00422306">
        <w:trPr>
          <w:tblHeader/>
        </w:trPr>
        <w:tc>
          <w:tcPr>
            <w:tcW w:w="880" w:type="dxa"/>
          </w:tcPr>
          <w:p w14:paraId="29C39A49" w14:textId="77777777" w:rsidR="00E47AB8" w:rsidRPr="008B2F8A" w:rsidRDefault="00E47AB8" w:rsidP="00422306">
            <w:pPr>
              <w:pStyle w:val="Tableheaderrow"/>
              <w:autoSpaceDE w:val="0"/>
              <w:autoSpaceDN w:val="0"/>
              <w:adjustRightInd w:val="0"/>
              <w:spacing w:before="40" w:after="80" w:line="276" w:lineRule="auto"/>
            </w:pPr>
            <w:r w:rsidRPr="008B2F8A">
              <w:t>Number</w:t>
            </w:r>
          </w:p>
        </w:tc>
        <w:tc>
          <w:tcPr>
            <w:tcW w:w="6106" w:type="dxa"/>
          </w:tcPr>
          <w:p w14:paraId="5002AD5F" w14:textId="77777777" w:rsidR="00E47AB8" w:rsidRPr="008B2F8A" w:rsidRDefault="00E47AB8" w:rsidP="00422306">
            <w:pPr>
              <w:pStyle w:val="Tableheaderrow"/>
              <w:autoSpaceDE w:val="0"/>
              <w:autoSpaceDN w:val="0"/>
              <w:adjustRightInd w:val="0"/>
              <w:spacing w:before="40" w:after="80" w:line="276" w:lineRule="auto"/>
            </w:pPr>
            <w:r w:rsidRPr="008B2F8A">
              <w:t>Search strategy</w:t>
            </w:r>
          </w:p>
        </w:tc>
      </w:tr>
      <w:tr w:rsidR="00E47AB8" w:rsidRPr="008B2F8A" w14:paraId="3830D802" w14:textId="77777777" w:rsidTr="00422306">
        <w:tc>
          <w:tcPr>
            <w:tcW w:w="880" w:type="dxa"/>
          </w:tcPr>
          <w:p w14:paraId="5AABA2F9" w14:textId="77777777" w:rsidR="00E47AB8" w:rsidRPr="008B2F8A" w:rsidRDefault="00E47AB8" w:rsidP="00422306">
            <w:pPr>
              <w:pStyle w:val="Tabletext"/>
              <w:autoSpaceDE w:val="0"/>
              <w:autoSpaceDN w:val="0"/>
              <w:adjustRightInd w:val="0"/>
              <w:spacing w:before="40" w:after="80" w:line="276" w:lineRule="auto"/>
            </w:pPr>
            <w:r w:rsidRPr="008B2F8A">
              <w:t>1</w:t>
            </w:r>
          </w:p>
        </w:tc>
        <w:tc>
          <w:tcPr>
            <w:tcW w:w="6106" w:type="dxa"/>
          </w:tcPr>
          <w:p w14:paraId="059820D9"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magnetic resonance imaging.mp. or exp Magnetic Resonance Imaging/</w:t>
            </w:r>
          </w:p>
        </w:tc>
      </w:tr>
      <w:tr w:rsidR="00E47AB8" w:rsidRPr="008B2F8A" w14:paraId="080AEC56" w14:textId="77777777" w:rsidTr="00422306">
        <w:tc>
          <w:tcPr>
            <w:tcW w:w="880" w:type="dxa"/>
          </w:tcPr>
          <w:p w14:paraId="44DBA0E3" w14:textId="77777777" w:rsidR="00E47AB8" w:rsidRPr="008B2F8A" w:rsidRDefault="00E47AB8" w:rsidP="00422306">
            <w:pPr>
              <w:pStyle w:val="Tabletext"/>
              <w:autoSpaceDE w:val="0"/>
              <w:autoSpaceDN w:val="0"/>
              <w:adjustRightInd w:val="0"/>
              <w:spacing w:before="40" w:after="80" w:line="276" w:lineRule="auto"/>
            </w:pPr>
            <w:r w:rsidRPr="008B2F8A">
              <w:t>2</w:t>
            </w:r>
          </w:p>
        </w:tc>
        <w:tc>
          <w:tcPr>
            <w:tcW w:w="6106" w:type="dxa"/>
          </w:tcPr>
          <w:p w14:paraId="38B80E57"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MRI.ti,ab,kw.</w:t>
            </w:r>
          </w:p>
        </w:tc>
      </w:tr>
      <w:tr w:rsidR="00E47AB8" w:rsidRPr="008B2F8A" w14:paraId="41105758" w14:textId="77777777" w:rsidTr="00422306">
        <w:tc>
          <w:tcPr>
            <w:tcW w:w="880" w:type="dxa"/>
          </w:tcPr>
          <w:p w14:paraId="261952B8" w14:textId="77777777" w:rsidR="00E47AB8" w:rsidRPr="008B2F8A" w:rsidRDefault="00E47AB8" w:rsidP="00422306">
            <w:pPr>
              <w:pStyle w:val="Tabletext"/>
              <w:autoSpaceDE w:val="0"/>
              <w:autoSpaceDN w:val="0"/>
              <w:adjustRightInd w:val="0"/>
              <w:spacing w:before="40" w:after="80" w:line="276" w:lineRule="auto"/>
            </w:pPr>
            <w:r w:rsidRPr="008B2F8A">
              <w:t>3</w:t>
            </w:r>
          </w:p>
        </w:tc>
        <w:tc>
          <w:tcPr>
            <w:tcW w:w="6106" w:type="dxa"/>
          </w:tcPr>
          <w:p w14:paraId="34872E84"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MRI scan.ti,ab,kw.</w:t>
            </w:r>
          </w:p>
        </w:tc>
      </w:tr>
      <w:tr w:rsidR="00E47AB8" w:rsidRPr="008B2F8A" w14:paraId="2C9CA95A" w14:textId="77777777" w:rsidTr="00422306">
        <w:tc>
          <w:tcPr>
            <w:tcW w:w="880" w:type="dxa"/>
          </w:tcPr>
          <w:p w14:paraId="2AF39932" w14:textId="77777777" w:rsidR="00E47AB8" w:rsidRPr="008B2F8A" w:rsidRDefault="00E47AB8" w:rsidP="00422306">
            <w:pPr>
              <w:pStyle w:val="Tabletext"/>
              <w:autoSpaceDE w:val="0"/>
              <w:autoSpaceDN w:val="0"/>
              <w:adjustRightInd w:val="0"/>
              <w:spacing w:before="40" w:after="80" w:line="276" w:lineRule="auto"/>
            </w:pPr>
            <w:r w:rsidRPr="008B2F8A">
              <w:t>4</w:t>
            </w:r>
          </w:p>
        </w:tc>
        <w:tc>
          <w:tcPr>
            <w:tcW w:w="6106" w:type="dxa"/>
          </w:tcPr>
          <w:p w14:paraId="5E48DEEA"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breast MRI.ti,ab,kw.</w:t>
            </w:r>
          </w:p>
        </w:tc>
      </w:tr>
      <w:tr w:rsidR="00E47AB8" w:rsidRPr="008B2F8A" w14:paraId="4BBB0A25" w14:textId="77777777" w:rsidTr="00422306">
        <w:tc>
          <w:tcPr>
            <w:tcW w:w="880" w:type="dxa"/>
          </w:tcPr>
          <w:p w14:paraId="11199C38" w14:textId="77777777" w:rsidR="00E47AB8" w:rsidRPr="008B2F8A" w:rsidRDefault="00E47AB8" w:rsidP="00422306">
            <w:pPr>
              <w:pStyle w:val="Tabletext"/>
              <w:autoSpaceDE w:val="0"/>
              <w:autoSpaceDN w:val="0"/>
              <w:adjustRightInd w:val="0"/>
              <w:spacing w:before="40" w:after="80" w:line="276" w:lineRule="auto"/>
            </w:pPr>
            <w:r w:rsidRPr="008B2F8A">
              <w:t>5</w:t>
            </w:r>
          </w:p>
        </w:tc>
        <w:tc>
          <w:tcPr>
            <w:tcW w:w="6106" w:type="dxa"/>
          </w:tcPr>
          <w:p w14:paraId="1E8ABE80"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1 or 2 or 3 or 4</w:t>
            </w:r>
          </w:p>
        </w:tc>
      </w:tr>
      <w:tr w:rsidR="00E47AB8" w:rsidRPr="008B2F8A" w14:paraId="210BEFF2" w14:textId="77777777" w:rsidTr="00422306">
        <w:tc>
          <w:tcPr>
            <w:tcW w:w="880" w:type="dxa"/>
          </w:tcPr>
          <w:p w14:paraId="6180F885" w14:textId="77777777" w:rsidR="00E47AB8" w:rsidRPr="008B2F8A" w:rsidRDefault="00E47AB8" w:rsidP="00422306">
            <w:pPr>
              <w:pStyle w:val="Tabletext"/>
              <w:autoSpaceDE w:val="0"/>
              <w:autoSpaceDN w:val="0"/>
              <w:adjustRightInd w:val="0"/>
              <w:spacing w:before="40" w:after="80" w:line="276" w:lineRule="auto"/>
            </w:pPr>
            <w:r w:rsidRPr="008B2F8A">
              <w:t>6</w:t>
            </w:r>
          </w:p>
        </w:tc>
        <w:tc>
          <w:tcPr>
            <w:tcW w:w="6106" w:type="dxa"/>
          </w:tcPr>
          <w:p w14:paraId="2BCAE04F"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screening.ti,ab,kw.</w:t>
            </w:r>
          </w:p>
        </w:tc>
      </w:tr>
      <w:tr w:rsidR="00E47AB8" w:rsidRPr="008B2F8A" w14:paraId="67671617" w14:textId="77777777" w:rsidTr="00422306">
        <w:tc>
          <w:tcPr>
            <w:tcW w:w="880" w:type="dxa"/>
          </w:tcPr>
          <w:p w14:paraId="6200E80F" w14:textId="77777777" w:rsidR="00E47AB8" w:rsidRPr="008B2F8A" w:rsidRDefault="00E47AB8" w:rsidP="00422306">
            <w:pPr>
              <w:pStyle w:val="Tabletext"/>
              <w:autoSpaceDE w:val="0"/>
              <w:autoSpaceDN w:val="0"/>
              <w:adjustRightInd w:val="0"/>
              <w:spacing w:before="40" w:after="80" w:line="276" w:lineRule="auto"/>
            </w:pPr>
            <w:r w:rsidRPr="008B2F8A">
              <w:t>7</w:t>
            </w:r>
          </w:p>
        </w:tc>
        <w:tc>
          <w:tcPr>
            <w:tcW w:w="6106" w:type="dxa"/>
          </w:tcPr>
          <w:p w14:paraId="57D37CC9"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surveillance.ti,ab,kw.</w:t>
            </w:r>
          </w:p>
        </w:tc>
      </w:tr>
      <w:tr w:rsidR="00E47AB8" w:rsidRPr="008B2F8A" w14:paraId="1EE0429C" w14:textId="77777777" w:rsidTr="00422306">
        <w:tc>
          <w:tcPr>
            <w:tcW w:w="880" w:type="dxa"/>
          </w:tcPr>
          <w:p w14:paraId="78C75FD8" w14:textId="77777777" w:rsidR="00E47AB8" w:rsidRPr="008B2F8A" w:rsidRDefault="00E47AB8" w:rsidP="00422306">
            <w:pPr>
              <w:pStyle w:val="Tabletext"/>
              <w:autoSpaceDE w:val="0"/>
              <w:autoSpaceDN w:val="0"/>
              <w:adjustRightInd w:val="0"/>
              <w:spacing w:before="40" w:after="80" w:line="276" w:lineRule="auto"/>
            </w:pPr>
            <w:r w:rsidRPr="008B2F8A">
              <w:t>8</w:t>
            </w:r>
          </w:p>
        </w:tc>
        <w:tc>
          <w:tcPr>
            <w:tcW w:w="6106" w:type="dxa"/>
          </w:tcPr>
          <w:p w14:paraId="13B4EC77"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6 or 7</w:t>
            </w:r>
          </w:p>
        </w:tc>
      </w:tr>
      <w:tr w:rsidR="00E47AB8" w:rsidRPr="008B2F8A" w14:paraId="67123575" w14:textId="77777777" w:rsidTr="00422306">
        <w:tc>
          <w:tcPr>
            <w:tcW w:w="880" w:type="dxa"/>
          </w:tcPr>
          <w:p w14:paraId="1C68290D" w14:textId="77777777" w:rsidR="00E47AB8" w:rsidRPr="008B2F8A" w:rsidRDefault="00E47AB8" w:rsidP="00422306">
            <w:pPr>
              <w:pStyle w:val="Tabletext"/>
              <w:autoSpaceDE w:val="0"/>
              <w:autoSpaceDN w:val="0"/>
              <w:adjustRightInd w:val="0"/>
              <w:spacing w:before="40" w:after="80" w:line="276" w:lineRule="auto"/>
            </w:pPr>
            <w:r w:rsidRPr="008B2F8A">
              <w:t>9</w:t>
            </w:r>
          </w:p>
        </w:tc>
        <w:tc>
          <w:tcPr>
            <w:tcW w:w="6106" w:type="dxa"/>
          </w:tcPr>
          <w:p w14:paraId="62FB8B0C"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breast cancer.mp. or exp Breast Neoplasms/</w:t>
            </w:r>
          </w:p>
        </w:tc>
      </w:tr>
      <w:tr w:rsidR="00E47AB8" w:rsidRPr="008B2F8A" w14:paraId="5F50C998" w14:textId="77777777" w:rsidTr="00422306">
        <w:tc>
          <w:tcPr>
            <w:tcW w:w="880" w:type="dxa"/>
          </w:tcPr>
          <w:p w14:paraId="4099AB23" w14:textId="77777777" w:rsidR="00E47AB8" w:rsidRPr="008B2F8A" w:rsidRDefault="00E47AB8" w:rsidP="00422306">
            <w:pPr>
              <w:pStyle w:val="Tabletext"/>
              <w:autoSpaceDE w:val="0"/>
              <w:autoSpaceDN w:val="0"/>
              <w:adjustRightInd w:val="0"/>
              <w:spacing w:before="40" w:after="80" w:line="276" w:lineRule="auto"/>
            </w:pPr>
            <w:r w:rsidRPr="008B2F8A">
              <w:t>10</w:t>
            </w:r>
          </w:p>
        </w:tc>
        <w:tc>
          <w:tcPr>
            <w:tcW w:w="6106" w:type="dxa"/>
          </w:tcPr>
          <w:p w14:paraId="62472B30"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breast tumour.ti,ab,kw.</w:t>
            </w:r>
          </w:p>
        </w:tc>
      </w:tr>
      <w:tr w:rsidR="00E47AB8" w:rsidRPr="008B2F8A" w14:paraId="46E7FBBE" w14:textId="77777777" w:rsidTr="00422306">
        <w:tc>
          <w:tcPr>
            <w:tcW w:w="880" w:type="dxa"/>
          </w:tcPr>
          <w:p w14:paraId="3952C168" w14:textId="77777777" w:rsidR="00E47AB8" w:rsidRPr="008B2F8A" w:rsidRDefault="00E47AB8" w:rsidP="00422306">
            <w:pPr>
              <w:pStyle w:val="Tabletext"/>
              <w:autoSpaceDE w:val="0"/>
              <w:autoSpaceDN w:val="0"/>
              <w:adjustRightInd w:val="0"/>
              <w:spacing w:before="40" w:after="80" w:line="276" w:lineRule="auto"/>
            </w:pPr>
            <w:r w:rsidRPr="008B2F8A">
              <w:t>11</w:t>
            </w:r>
          </w:p>
        </w:tc>
        <w:tc>
          <w:tcPr>
            <w:tcW w:w="6106" w:type="dxa"/>
          </w:tcPr>
          <w:p w14:paraId="36D28FEB"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breast carcinoma.ti,ab,kw.</w:t>
            </w:r>
          </w:p>
        </w:tc>
      </w:tr>
      <w:tr w:rsidR="00E47AB8" w:rsidRPr="008B2F8A" w14:paraId="07D219BF" w14:textId="77777777" w:rsidTr="00422306">
        <w:tc>
          <w:tcPr>
            <w:tcW w:w="880" w:type="dxa"/>
          </w:tcPr>
          <w:p w14:paraId="4CB18BE7" w14:textId="77777777" w:rsidR="00E47AB8" w:rsidRPr="008B2F8A" w:rsidRDefault="00E47AB8" w:rsidP="00422306">
            <w:pPr>
              <w:pStyle w:val="Tabletext"/>
              <w:autoSpaceDE w:val="0"/>
              <w:autoSpaceDN w:val="0"/>
              <w:adjustRightInd w:val="0"/>
              <w:spacing w:before="40" w:after="80" w:line="276" w:lineRule="auto"/>
            </w:pPr>
            <w:r w:rsidRPr="008B2F8A">
              <w:t>13</w:t>
            </w:r>
          </w:p>
        </w:tc>
        <w:tc>
          <w:tcPr>
            <w:tcW w:w="6106" w:type="dxa"/>
            <w:vAlign w:val="center"/>
          </w:tcPr>
          <w:p w14:paraId="5250FBA0" w14:textId="77777777" w:rsidR="00E47AB8" w:rsidRPr="008B2F8A" w:rsidRDefault="00E47AB8" w:rsidP="00422306">
            <w:pPr>
              <w:pStyle w:val="Tabletext"/>
              <w:autoSpaceDE w:val="0"/>
              <w:autoSpaceDN w:val="0"/>
              <w:adjustRightInd w:val="0"/>
              <w:spacing w:before="40" w:after="80" w:line="276" w:lineRule="auto"/>
              <w:rPr>
                <w:rFonts w:eastAsia="Times New Roman"/>
                <w:noProof/>
                <w:color w:val="0A0905"/>
              </w:rPr>
            </w:pPr>
            <w:r w:rsidRPr="008B2F8A">
              <w:rPr>
                <w:rFonts w:eastAsia="Times New Roman"/>
                <w:noProof/>
                <w:color w:val="0A0905"/>
              </w:rPr>
              <w:t>ductal carcinoma in situ.mp. or exp Carcinoma, Intraductal, Noninfiltrating/</w:t>
            </w:r>
          </w:p>
        </w:tc>
      </w:tr>
      <w:tr w:rsidR="00E47AB8" w:rsidRPr="008B2F8A" w14:paraId="7FCC8010" w14:textId="77777777" w:rsidTr="00422306">
        <w:tc>
          <w:tcPr>
            <w:tcW w:w="880" w:type="dxa"/>
          </w:tcPr>
          <w:p w14:paraId="22326817" w14:textId="77777777" w:rsidR="00E47AB8" w:rsidRPr="008B2F8A" w:rsidRDefault="00E47AB8" w:rsidP="00422306">
            <w:pPr>
              <w:pStyle w:val="Tabletext"/>
              <w:autoSpaceDE w:val="0"/>
              <w:autoSpaceDN w:val="0"/>
              <w:adjustRightInd w:val="0"/>
              <w:spacing w:before="40" w:after="80" w:line="276" w:lineRule="auto"/>
            </w:pPr>
            <w:r w:rsidRPr="008B2F8A">
              <w:t>14</w:t>
            </w:r>
          </w:p>
        </w:tc>
        <w:tc>
          <w:tcPr>
            <w:tcW w:w="6106" w:type="dxa"/>
          </w:tcPr>
          <w:p w14:paraId="02CFFA93"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DCIS.ti,ab,kw.</w:t>
            </w:r>
          </w:p>
        </w:tc>
      </w:tr>
      <w:tr w:rsidR="00E47AB8" w:rsidRPr="008B2F8A" w14:paraId="1C27A99F" w14:textId="77777777" w:rsidTr="00422306">
        <w:tc>
          <w:tcPr>
            <w:tcW w:w="880" w:type="dxa"/>
          </w:tcPr>
          <w:p w14:paraId="6359DB86" w14:textId="77777777" w:rsidR="00E47AB8" w:rsidRPr="008B2F8A" w:rsidRDefault="00E47AB8" w:rsidP="00422306">
            <w:pPr>
              <w:pStyle w:val="Tabletext"/>
              <w:autoSpaceDE w:val="0"/>
              <w:autoSpaceDN w:val="0"/>
              <w:adjustRightInd w:val="0"/>
              <w:spacing w:before="40" w:after="80" w:line="276" w:lineRule="auto"/>
            </w:pPr>
            <w:r w:rsidRPr="008B2F8A">
              <w:t>15</w:t>
            </w:r>
          </w:p>
        </w:tc>
        <w:tc>
          <w:tcPr>
            <w:tcW w:w="6106" w:type="dxa"/>
          </w:tcPr>
          <w:p w14:paraId="0947A23D"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lobular carcinoma in situ.ti,ab,kw.</w:t>
            </w:r>
          </w:p>
        </w:tc>
      </w:tr>
      <w:tr w:rsidR="00E47AB8" w:rsidRPr="008B2F8A" w14:paraId="122E8617" w14:textId="77777777" w:rsidTr="00422306">
        <w:tc>
          <w:tcPr>
            <w:tcW w:w="880" w:type="dxa"/>
          </w:tcPr>
          <w:p w14:paraId="38A2F9BA" w14:textId="77777777" w:rsidR="00E47AB8" w:rsidRPr="008B2F8A" w:rsidRDefault="00E47AB8" w:rsidP="00422306">
            <w:pPr>
              <w:pStyle w:val="Tabletext"/>
              <w:autoSpaceDE w:val="0"/>
              <w:autoSpaceDN w:val="0"/>
              <w:adjustRightInd w:val="0"/>
              <w:spacing w:before="40" w:after="80" w:line="276" w:lineRule="auto"/>
            </w:pPr>
            <w:r w:rsidRPr="008B2F8A">
              <w:t>16</w:t>
            </w:r>
          </w:p>
        </w:tc>
        <w:tc>
          <w:tcPr>
            <w:tcW w:w="6106" w:type="dxa"/>
          </w:tcPr>
          <w:p w14:paraId="5F531A8D"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LCIS.ti,ab,kw.</w:t>
            </w:r>
          </w:p>
        </w:tc>
      </w:tr>
      <w:tr w:rsidR="00E47AB8" w:rsidRPr="008B2F8A" w14:paraId="680A80A2" w14:textId="77777777" w:rsidTr="00422306">
        <w:tc>
          <w:tcPr>
            <w:tcW w:w="880" w:type="dxa"/>
          </w:tcPr>
          <w:p w14:paraId="1DDAE54B" w14:textId="77777777" w:rsidR="00E47AB8" w:rsidRPr="008B2F8A" w:rsidRDefault="00E47AB8" w:rsidP="00422306">
            <w:pPr>
              <w:pStyle w:val="Tabletext"/>
              <w:autoSpaceDE w:val="0"/>
              <w:autoSpaceDN w:val="0"/>
              <w:adjustRightInd w:val="0"/>
              <w:spacing w:before="40" w:after="80" w:line="276" w:lineRule="auto"/>
            </w:pPr>
            <w:r w:rsidRPr="008B2F8A">
              <w:t>17</w:t>
            </w:r>
          </w:p>
        </w:tc>
        <w:tc>
          <w:tcPr>
            <w:tcW w:w="6106" w:type="dxa"/>
          </w:tcPr>
          <w:p w14:paraId="719B25EA"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chest irradiation.ti,ab,kw.</w:t>
            </w:r>
          </w:p>
        </w:tc>
      </w:tr>
      <w:tr w:rsidR="00E47AB8" w:rsidRPr="008B2F8A" w14:paraId="05E83655" w14:textId="77777777" w:rsidTr="00422306">
        <w:tc>
          <w:tcPr>
            <w:tcW w:w="880" w:type="dxa"/>
          </w:tcPr>
          <w:p w14:paraId="75F5C627" w14:textId="77777777" w:rsidR="00E47AB8" w:rsidRPr="008B2F8A" w:rsidRDefault="00E47AB8" w:rsidP="00422306">
            <w:pPr>
              <w:pStyle w:val="Tabletext"/>
              <w:autoSpaceDE w:val="0"/>
              <w:autoSpaceDN w:val="0"/>
              <w:adjustRightInd w:val="0"/>
              <w:spacing w:before="40" w:after="80" w:line="276" w:lineRule="auto"/>
            </w:pPr>
            <w:r w:rsidRPr="008B2F8A">
              <w:t>18</w:t>
            </w:r>
          </w:p>
        </w:tc>
        <w:tc>
          <w:tcPr>
            <w:tcW w:w="6106" w:type="dxa"/>
          </w:tcPr>
          <w:p w14:paraId="70BFB74F"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chest radiation.ti,ab,kw.</w:t>
            </w:r>
          </w:p>
        </w:tc>
      </w:tr>
      <w:tr w:rsidR="00E47AB8" w:rsidRPr="008B2F8A" w14:paraId="79AB6C62" w14:textId="77777777" w:rsidTr="00422306">
        <w:tc>
          <w:tcPr>
            <w:tcW w:w="880" w:type="dxa"/>
          </w:tcPr>
          <w:p w14:paraId="38790C42" w14:textId="77777777" w:rsidR="00E47AB8" w:rsidRPr="008B2F8A" w:rsidRDefault="00E47AB8" w:rsidP="00422306">
            <w:pPr>
              <w:pStyle w:val="Tabletext"/>
              <w:autoSpaceDE w:val="0"/>
              <w:autoSpaceDN w:val="0"/>
              <w:adjustRightInd w:val="0"/>
              <w:spacing w:before="40" w:after="80" w:line="276" w:lineRule="auto"/>
            </w:pPr>
            <w:r w:rsidRPr="008B2F8A">
              <w:lastRenderedPageBreak/>
              <w:t>19</w:t>
            </w:r>
          </w:p>
        </w:tc>
        <w:tc>
          <w:tcPr>
            <w:tcW w:w="6106" w:type="dxa"/>
          </w:tcPr>
          <w:p w14:paraId="16D80E5B"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Hodgkin’s lymphoma.mp. or exp Hodgkin Disease/</w:t>
            </w:r>
          </w:p>
        </w:tc>
      </w:tr>
      <w:tr w:rsidR="00E47AB8" w:rsidRPr="008B2F8A" w14:paraId="7DA3C1DE" w14:textId="77777777" w:rsidTr="00422306">
        <w:tc>
          <w:tcPr>
            <w:tcW w:w="880" w:type="dxa"/>
          </w:tcPr>
          <w:p w14:paraId="4069D5B3" w14:textId="77777777" w:rsidR="00E47AB8" w:rsidRPr="008B2F8A" w:rsidRDefault="00E47AB8" w:rsidP="00422306">
            <w:pPr>
              <w:pStyle w:val="Tabletext"/>
              <w:autoSpaceDE w:val="0"/>
              <w:autoSpaceDN w:val="0"/>
              <w:adjustRightInd w:val="0"/>
              <w:spacing w:before="40" w:after="80" w:line="276" w:lineRule="auto"/>
            </w:pPr>
            <w:r w:rsidRPr="008B2F8A">
              <w:t>20</w:t>
            </w:r>
          </w:p>
        </w:tc>
        <w:tc>
          <w:tcPr>
            <w:tcW w:w="6106" w:type="dxa"/>
          </w:tcPr>
          <w:p w14:paraId="373815A9"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9 or 10 or 11 or 12 or 13 or 14 or 15 or 16 or 17 or 18 or 19</w:t>
            </w:r>
          </w:p>
        </w:tc>
      </w:tr>
      <w:tr w:rsidR="00E47AB8" w:rsidRPr="008B2F8A" w14:paraId="6EC6512F" w14:textId="77777777" w:rsidTr="00422306">
        <w:tc>
          <w:tcPr>
            <w:tcW w:w="880" w:type="dxa"/>
          </w:tcPr>
          <w:p w14:paraId="0E515AD0" w14:textId="77777777" w:rsidR="00E47AB8" w:rsidRPr="008B2F8A" w:rsidRDefault="00E47AB8" w:rsidP="00422306">
            <w:pPr>
              <w:pStyle w:val="Tabletext"/>
              <w:autoSpaceDE w:val="0"/>
              <w:autoSpaceDN w:val="0"/>
              <w:adjustRightInd w:val="0"/>
              <w:spacing w:before="40" w:after="80" w:line="276" w:lineRule="auto"/>
            </w:pPr>
            <w:r w:rsidRPr="008B2F8A">
              <w:t>21</w:t>
            </w:r>
          </w:p>
        </w:tc>
        <w:tc>
          <w:tcPr>
            <w:tcW w:w="6106" w:type="dxa"/>
          </w:tcPr>
          <w:p w14:paraId="62158619"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color w:val="0A0905"/>
              </w:rPr>
              <w:t>5 and 8 and 20</w:t>
            </w:r>
          </w:p>
        </w:tc>
      </w:tr>
    </w:tbl>
    <w:p w14:paraId="49256BB0" w14:textId="77777777" w:rsidR="00E47AB8" w:rsidRPr="008B2F8A" w:rsidRDefault="00E47AB8" w:rsidP="004E7861"/>
    <w:p w14:paraId="3BA12344" w14:textId="5D4712C2" w:rsidR="00E47AB8" w:rsidRPr="008B2F8A" w:rsidRDefault="00E47AB8" w:rsidP="00422306">
      <w:pPr>
        <w:pStyle w:val="Caption"/>
      </w:pPr>
      <w:r w:rsidRPr="008B2F8A">
        <w:t>Cochrane Library search strategy.</w:t>
      </w:r>
    </w:p>
    <w:tbl>
      <w:tblPr>
        <w:tblStyle w:val="TableGrid"/>
        <w:tblW w:w="6986" w:type="dxa"/>
        <w:tblCellMar>
          <w:left w:w="28" w:type="dxa"/>
          <w:right w:w="28" w:type="dxa"/>
        </w:tblCellMar>
        <w:tblLook w:val="04A0" w:firstRow="1" w:lastRow="0" w:firstColumn="1" w:lastColumn="0" w:noHBand="0" w:noVBand="1"/>
        <w:tblCaption w:val="Cochrane Library search strategy."/>
      </w:tblPr>
      <w:tblGrid>
        <w:gridCol w:w="880"/>
        <w:gridCol w:w="6106"/>
      </w:tblGrid>
      <w:tr w:rsidR="00E47AB8" w:rsidRPr="008B2F8A" w14:paraId="696F0BDF" w14:textId="77777777" w:rsidTr="00422306">
        <w:trPr>
          <w:tblHeader/>
        </w:trPr>
        <w:tc>
          <w:tcPr>
            <w:tcW w:w="880" w:type="dxa"/>
          </w:tcPr>
          <w:p w14:paraId="2FD2C9DC" w14:textId="77777777" w:rsidR="00E47AB8" w:rsidRPr="008B2F8A" w:rsidRDefault="00E47AB8" w:rsidP="00422306">
            <w:pPr>
              <w:pStyle w:val="Tableheaderrow"/>
              <w:autoSpaceDE w:val="0"/>
              <w:autoSpaceDN w:val="0"/>
              <w:adjustRightInd w:val="0"/>
              <w:spacing w:before="40" w:after="80" w:line="276" w:lineRule="auto"/>
            </w:pPr>
            <w:r w:rsidRPr="008B2F8A">
              <w:t>Number</w:t>
            </w:r>
          </w:p>
        </w:tc>
        <w:tc>
          <w:tcPr>
            <w:tcW w:w="6106" w:type="dxa"/>
          </w:tcPr>
          <w:p w14:paraId="4496D4D0" w14:textId="77777777" w:rsidR="00E47AB8" w:rsidRPr="008B2F8A" w:rsidRDefault="00E47AB8" w:rsidP="00422306">
            <w:pPr>
              <w:pStyle w:val="Tableheaderrow"/>
              <w:autoSpaceDE w:val="0"/>
              <w:autoSpaceDN w:val="0"/>
              <w:adjustRightInd w:val="0"/>
              <w:spacing w:before="40" w:after="80" w:line="276" w:lineRule="auto"/>
            </w:pPr>
            <w:r w:rsidRPr="008B2F8A">
              <w:t>Search strategy</w:t>
            </w:r>
          </w:p>
        </w:tc>
      </w:tr>
      <w:tr w:rsidR="00E47AB8" w:rsidRPr="008B2F8A" w14:paraId="256C394E" w14:textId="77777777" w:rsidTr="00422306">
        <w:tc>
          <w:tcPr>
            <w:tcW w:w="880" w:type="dxa"/>
          </w:tcPr>
          <w:p w14:paraId="642761D2" w14:textId="77777777" w:rsidR="00E47AB8" w:rsidRPr="008B2F8A" w:rsidRDefault="00E47AB8" w:rsidP="00422306">
            <w:pPr>
              <w:pStyle w:val="Tabletext"/>
              <w:autoSpaceDE w:val="0"/>
              <w:autoSpaceDN w:val="0"/>
              <w:adjustRightInd w:val="0"/>
              <w:spacing w:before="40" w:after="80" w:line="276" w:lineRule="auto"/>
            </w:pPr>
            <w:r w:rsidRPr="008B2F8A">
              <w:t>#1</w:t>
            </w:r>
          </w:p>
        </w:tc>
        <w:tc>
          <w:tcPr>
            <w:tcW w:w="6106" w:type="dxa"/>
          </w:tcPr>
          <w:p w14:paraId="55E0A023"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MeSH descriptor: [Breast Neoplasms] explode all trees</w:t>
            </w:r>
          </w:p>
        </w:tc>
      </w:tr>
      <w:tr w:rsidR="00E47AB8" w:rsidRPr="008B2F8A" w14:paraId="037E6868" w14:textId="77777777" w:rsidTr="00422306">
        <w:tc>
          <w:tcPr>
            <w:tcW w:w="880" w:type="dxa"/>
          </w:tcPr>
          <w:p w14:paraId="43DF2FF7" w14:textId="77777777" w:rsidR="00E47AB8" w:rsidRPr="008B2F8A" w:rsidRDefault="00E47AB8" w:rsidP="00422306">
            <w:pPr>
              <w:pStyle w:val="Tabletext"/>
              <w:autoSpaceDE w:val="0"/>
              <w:autoSpaceDN w:val="0"/>
              <w:adjustRightInd w:val="0"/>
              <w:spacing w:before="40" w:after="80" w:line="276" w:lineRule="auto"/>
            </w:pPr>
            <w:r w:rsidRPr="008B2F8A">
              <w:t>#2</w:t>
            </w:r>
          </w:p>
        </w:tc>
        <w:tc>
          <w:tcPr>
            <w:tcW w:w="6106" w:type="dxa"/>
          </w:tcPr>
          <w:p w14:paraId="643FED45"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cancer”:ti,ab,kw (Word variations have been searched)</w:t>
            </w:r>
          </w:p>
        </w:tc>
      </w:tr>
      <w:tr w:rsidR="00E47AB8" w:rsidRPr="008B2F8A" w14:paraId="19ED6FA9" w14:textId="77777777" w:rsidTr="00422306">
        <w:tc>
          <w:tcPr>
            <w:tcW w:w="880" w:type="dxa"/>
          </w:tcPr>
          <w:p w14:paraId="23780652" w14:textId="77777777" w:rsidR="00E47AB8" w:rsidRPr="008B2F8A" w:rsidRDefault="00E47AB8" w:rsidP="00422306">
            <w:pPr>
              <w:pStyle w:val="Tabletext"/>
              <w:autoSpaceDE w:val="0"/>
              <w:autoSpaceDN w:val="0"/>
              <w:adjustRightInd w:val="0"/>
              <w:spacing w:before="40" w:after="80" w:line="276" w:lineRule="auto"/>
            </w:pPr>
            <w:r w:rsidRPr="008B2F8A">
              <w:t>#3</w:t>
            </w:r>
          </w:p>
        </w:tc>
        <w:tc>
          <w:tcPr>
            <w:tcW w:w="6106" w:type="dxa"/>
          </w:tcPr>
          <w:p w14:paraId="4E973588"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tumour”:ti,ab,kw (Word variations have been searched)</w:t>
            </w:r>
          </w:p>
        </w:tc>
      </w:tr>
      <w:tr w:rsidR="00E47AB8" w:rsidRPr="008B2F8A" w14:paraId="12BA3EC5" w14:textId="77777777" w:rsidTr="00422306">
        <w:tc>
          <w:tcPr>
            <w:tcW w:w="880" w:type="dxa"/>
          </w:tcPr>
          <w:p w14:paraId="44E16449" w14:textId="77777777" w:rsidR="00E47AB8" w:rsidRPr="008B2F8A" w:rsidRDefault="00E47AB8" w:rsidP="00422306">
            <w:pPr>
              <w:pStyle w:val="Tabletext"/>
              <w:autoSpaceDE w:val="0"/>
              <w:autoSpaceDN w:val="0"/>
              <w:adjustRightInd w:val="0"/>
              <w:spacing w:before="40" w:after="80" w:line="276" w:lineRule="auto"/>
            </w:pPr>
            <w:r w:rsidRPr="008B2F8A">
              <w:t>#4</w:t>
            </w:r>
          </w:p>
        </w:tc>
        <w:tc>
          <w:tcPr>
            <w:tcW w:w="6106" w:type="dxa"/>
          </w:tcPr>
          <w:p w14:paraId="15D11FB6"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tumours”:ti,ab,kw (Word variations have been searched)</w:t>
            </w:r>
          </w:p>
        </w:tc>
      </w:tr>
      <w:tr w:rsidR="00E47AB8" w:rsidRPr="008B2F8A" w14:paraId="24144073" w14:textId="77777777" w:rsidTr="00422306">
        <w:tc>
          <w:tcPr>
            <w:tcW w:w="880" w:type="dxa"/>
          </w:tcPr>
          <w:p w14:paraId="0E06C125" w14:textId="77777777" w:rsidR="00E47AB8" w:rsidRPr="008B2F8A" w:rsidRDefault="00E47AB8" w:rsidP="00422306">
            <w:pPr>
              <w:pStyle w:val="Tabletext"/>
              <w:autoSpaceDE w:val="0"/>
              <w:autoSpaceDN w:val="0"/>
              <w:adjustRightInd w:val="0"/>
              <w:spacing w:before="40" w:after="80" w:line="276" w:lineRule="auto"/>
            </w:pPr>
            <w:r w:rsidRPr="008B2F8A">
              <w:t>#5</w:t>
            </w:r>
          </w:p>
        </w:tc>
        <w:tc>
          <w:tcPr>
            <w:tcW w:w="6106" w:type="dxa"/>
          </w:tcPr>
          <w:p w14:paraId="342C570C"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 carcinoma”:ti,ab,kw (Word variations have been searched)</w:t>
            </w:r>
          </w:p>
        </w:tc>
      </w:tr>
      <w:tr w:rsidR="00E47AB8" w:rsidRPr="008B2F8A" w14:paraId="5D903791" w14:textId="77777777" w:rsidTr="00422306">
        <w:tc>
          <w:tcPr>
            <w:tcW w:w="880" w:type="dxa"/>
          </w:tcPr>
          <w:p w14:paraId="37F9547E" w14:textId="77777777" w:rsidR="00E47AB8" w:rsidRPr="008B2F8A" w:rsidRDefault="00E47AB8" w:rsidP="00422306">
            <w:pPr>
              <w:pStyle w:val="Tabletext"/>
              <w:autoSpaceDE w:val="0"/>
              <w:autoSpaceDN w:val="0"/>
              <w:adjustRightInd w:val="0"/>
              <w:spacing w:before="40" w:after="80" w:line="276" w:lineRule="auto"/>
            </w:pPr>
            <w:r w:rsidRPr="008B2F8A">
              <w:t>#6</w:t>
            </w:r>
          </w:p>
        </w:tc>
        <w:tc>
          <w:tcPr>
            <w:tcW w:w="6106" w:type="dxa"/>
          </w:tcPr>
          <w:p w14:paraId="732B4202"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“breast-cancer screening”:ti,ab,kw (Word variations have been searched)</w:t>
            </w:r>
          </w:p>
        </w:tc>
      </w:tr>
      <w:tr w:rsidR="00E47AB8" w:rsidRPr="008B2F8A" w14:paraId="38032877" w14:textId="77777777" w:rsidTr="00422306">
        <w:tc>
          <w:tcPr>
            <w:tcW w:w="880" w:type="dxa"/>
          </w:tcPr>
          <w:p w14:paraId="00B0A4CC" w14:textId="77777777" w:rsidR="00E47AB8" w:rsidRPr="008B2F8A" w:rsidRDefault="00E47AB8" w:rsidP="00422306">
            <w:pPr>
              <w:pStyle w:val="Tabletext"/>
              <w:autoSpaceDE w:val="0"/>
              <w:autoSpaceDN w:val="0"/>
              <w:adjustRightInd w:val="0"/>
              <w:spacing w:before="40" w:after="80" w:line="276" w:lineRule="auto"/>
            </w:pPr>
            <w:r w:rsidRPr="008B2F8A">
              <w:t>#7</w:t>
            </w:r>
          </w:p>
        </w:tc>
        <w:tc>
          <w:tcPr>
            <w:tcW w:w="6106" w:type="dxa"/>
          </w:tcPr>
          <w:p w14:paraId="13AEE7E6"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invasive carcinoma near/5 breast:ti,ab,kw (Word variations have been searched)</w:t>
            </w:r>
          </w:p>
        </w:tc>
      </w:tr>
      <w:tr w:rsidR="00E47AB8" w:rsidRPr="008B2F8A" w14:paraId="2A970A12" w14:textId="77777777" w:rsidTr="00422306">
        <w:tc>
          <w:tcPr>
            <w:tcW w:w="880" w:type="dxa"/>
          </w:tcPr>
          <w:p w14:paraId="6C342E43" w14:textId="77777777" w:rsidR="00E47AB8" w:rsidRPr="008B2F8A" w:rsidRDefault="00E47AB8" w:rsidP="00422306">
            <w:pPr>
              <w:pStyle w:val="Tabletext"/>
              <w:autoSpaceDE w:val="0"/>
              <w:autoSpaceDN w:val="0"/>
              <w:adjustRightInd w:val="0"/>
              <w:spacing w:before="40" w:after="80" w:line="276" w:lineRule="auto"/>
            </w:pPr>
            <w:r w:rsidRPr="008B2F8A">
              <w:t>#8</w:t>
            </w:r>
          </w:p>
        </w:tc>
        <w:tc>
          <w:tcPr>
            <w:tcW w:w="6106" w:type="dxa"/>
          </w:tcPr>
          <w:p w14:paraId="28DFBE5F"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“ductal carcinoma in situ”:ti,ab,kw (Word variations have been searched)</w:t>
            </w:r>
          </w:p>
        </w:tc>
      </w:tr>
      <w:tr w:rsidR="00E47AB8" w:rsidRPr="008B2F8A" w14:paraId="2AB8A7F6" w14:textId="77777777" w:rsidTr="00422306">
        <w:tc>
          <w:tcPr>
            <w:tcW w:w="880" w:type="dxa"/>
          </w:tcPr>
          <w:p w14:paraId="7F6A19EB" w14:textId="77777777" w:rsidR="00E47AB8" w:rsidRPr="008B2F8A" w:rsidRDefault="00E47AB8" w:rsidP="00422306">
            <w:pPr>
              <w:pStyle w:val="Tabletext"/>
              <w:autoSpaceDE w:val="0"/>
              <w:autoSpaceDN w:val="0"/>
              <w:adjustRightInd w:val="0"/>
              <w:spacing w:before="40" w:after="80" w:line="276" w:lineRule="auto"/>
            </w:pPr>
            <w:r w:rsidRPr="008B2F8A">
              <w:t>#9</w:t>
            </w:r>
          </w:p>
        </w:tc>
        <w:tc>
          <w:tcPr>
            <w:tcW w:w="6106" w:type="dxa"/>
          </w:tcPr>
          <w:p w14:paraId="24715438"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“DCIS”:ti,ab,kw (Word variations have been searched)</w:t>
            </w:r>
          </w:p>
        </w:tc>
      </w:tr>
      <w:tr w:rsidR="00E47AB8" w:rsidRPr="008B2F8A" w14:paraId="41E5178D" w14:textId="77777777" w:rsidTr="00422306">
        <w:tc>
          <w:tcPr>
            <w:tcW w:w="880" w:type="dxa"/>
          </w:tcPr>
          <w:p w14:paraId="09104404" w14:textId="77777777" w:rsidR="00E47AB8" w:rsidRPr="008B2F8A" w:rsidRDefault="00E47AB8" w:rsidP="00422306">
            <w:pPr>
              <w:pStyle w:val="Tabletext"/>
              <w:autoSpaceDE w:val="0"/>
              <w:autoSpaceDN w:val="0"/>
              <w:adjustRightInd w:val="0"/>
              <w:spacing w:before="40" w:after="80" w:line="276" w:lineRule="auto"/>
            </w:pPr>
            <w:r w:rsidRPr="008B2F8A">
              <w:t>#10</w:t>
            </w:r>
          </w:p>
        </w:tc>
        <w:tc>
          <w:tcPr>
            <w:tcW w:w="6106" w:type="dxa"/>
          </w:tcPr>
          <w:p w14:paraId="500DF10B"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“lobular carcinoma in situ”:ti,ab,kw (Word variations have been searched)</w:t>
            </w:r>
          </w:p>
        </w:tc>
      </w:tr>
      <w:tr w:rsidR="00E47AB8" w:rsidRPr="008B2F8A" w14:paraId="05B078C8" w14:textId="77777777" w:rsidTr="00422306">
        <w:tc>
          <w:tcPr>
            <w:tcW w:w="880" w:type="dxa"/>
          </w:tcPr>
          <w:p w14:paraId="0CC54CED" w14:textId="77777777" w:rsidR="00E47AB8" w:rsidRPr="008B2F8A" w:rsidRDefault="00E47AB8" w:rsidP="00422306">
            <w:pPr>
              <w:pStyle w:val="Tabletext"/>
              <w:autoSpaceDE w:val="0"/>
              <w:autoSpaceDN w:val="0"/>
              <w:adjustRightInd w:val="0"/>
              <w:spacing w:before="40" w:after="80" w:line="276" w:lineRule="auto"/>
            </w:pPr>
            <w:r w:rsidRPr="008B2F8A">
              <w:t>#11</w:t>
            </w:r>
          </w:p>
        </w:tc>
        <w:tc>
          <w:tcPr>
            <w:tcW w:w="6106" w:type="dxa"/>
          </w:tcPr>
          <w:p w14:paraId="0824C544"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“LCIS”:ti,ab,kw (Word variations have been searched)</w:t>
            </w:r>
          </w:p>
        </w:tc>
      </w:tr>
      <w:tr w:rsidR="00E47AB8" w:rsidRPr="008B2F8A" w14:paraId="29647F3C" w14:textId="77777777" w:rsidTr="00422306">
        <w:tc>
          <w:tcPr>
            <w:tcW w:w="880" w:type="dxa"/>
          </w:tcPr>
          <w:p w14:paraId="5E16312C" w14:textId="77777777" w:rsidR="00E47AB8" w:rsidRPr="008B2F8A" w:rsidRDefault="00E47AB8" w:rsidP="00422306">
            <w:pPr>
              <w:pStyle w:val="Tabletext"/>
              <w:autoSpaceDE w:val="0"/>
              <w:autoSpaceDN w:val="0"/>
              <w:adjustRightInd w:val="0"/>
              <w:spacing w:before="40" w:after="80" w:line="276" w:lineRule="auto"/>
            </w:pPr>
            <w:r w:rsidRPr="008B2F8A">
              <w:t>#12</w:t>
            </w:r>
          </w:p>
        </w:tc>
        <w:tc>
          <w:tcPr>
            <w:tcW w:w="6106" w:type="dxa"/>
          </w:tcPr>
          <w:p w14:paraId="14695EBF"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“lobular carcinoma”:ti,ab,kw (Word variations have been searched)</w:t>
            </w:r>
          </w:p>
        </w:tc>
      </w:tr>
      <w:tr w:rsidR="00E47AB8" w:rsidRPr="008B2F8A" w14:paraId="360DE127" w14:textId="77777777" w:rsidTr="00422306">
        <w:tc>
          <w:tcPr>
            <w:tcW w:w="880" w:type="dxa"/>
          </w:tcPr>
          <w:p w14:paraId="0F71DCF8" w14:textId="77777777" w:rsidR="00E47AB8" w:rsidRPr="008B2F8A" w:rsidRDefault="00E47AB8" w:rsidP="00422306">
            <w:pPr>
              <w:pStyle w:val="Tabletext"/>
              <w:autoSpaceDE w:val="0"/>
              <w:autoSpaceDN w:val="0"/>
              <w:adjustRightInd w:val="0"/>
              <w:spacing w:before="40" w:after="80" w:line="276" w:lineRule="auto"/>
            </w:pPr>
            <w:r w:rsidRPr="008B2F8A">
              <w:t>#13</w:t>
            </w:r>
          </w:p>
        </w:tc>
        <w:tc>
          <w:tcPr>
            <w:tcW w:w="6106" w:type="dxa"/>
          </w:tcPr>
          <w:p w14:paraId="1E36C41A"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“ductal carcinoma”:ti,ab,kw (Word variations have been searched)</w:t>
            </w:r>
          </w:p>
        </w:tc>
      </w:tr>
      <w:tr w:rsidR="00E47AB8" w:rsidRPr="008B2F8A" w14:paraId="1D8B32F5" w14:textId="77777777" w:rsidTr="00422306">
        <w:tc>
          <w:tcPr>
            <w:tcW w:w="880" w:type="dxa"/>
          </w:tcPr>
          <w:p w14:paraId="4D83687D" w14:textId="77777777" w:rsidR="00E47AB8" w:rsidRPr="008B2F8A" w:rsidRDefault="00E47AB8" w:rsidP="00422306">
            <w:pPr>
              <w:pStyle w:val="Tabletext"/>
              <w:autoSpaceDE w:val="0"/>
              <w:autoSpaceDN w:val="0"/>
              <w:adjustRightInd w:val="0"/>
              <w:spacing w:before="40" w:after="80" w:line="276" w:lineRule="auto"/>
            </w:pPr>
            <w:r w:rsidRPr="008B2F8A">
              <w:t>#14</w:t>
            </w:r>
          </w:p>
        </w:tc>
        <w:tc>
          <w:tcPr>
            <w:tcW w:w="6106" w:type="dxa"/>
          </w:tcPr>
          <w:p w14:paraId="454C5CA6"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invasive breast carcinoma:ti,ab,kw (Word variations have been searched)</w:t>
            </w:r>
          </w:p>
        </w:tc>
      </w:tr>
      <w:tr w:rsidR="00E47AB8" w:rsidRPr="008B2F8A" w14:paraId="002A7500" w14:textId="77777777" w:rsidTr="00422306">
        <w:tc>
          <w:tcPr>
            <w:tcW w:w="880" w:type="dxa"/>
          </w:tcPr>
          <w:p w14:paraId="002EB501" w14:textId="77777777" w:rsidR="00E47AB8" w:rsidRPr="008B2F8A" w:rsidRDefault="00E47AB8" w:rsidP="00422306">
            <w:pPr>
              <w:pStyle w:val="Tabletext"/>
              <w:autoSpaceDE w:val="0"/>
              <w:autoSpaceDN w:val="0"/>
              <w:adjustRightInd w:val="0"/>
              <w:spacing w:before="40" w:after="80" w:line="276" w:lineRule="auto"/>
            </w:pPr>
            <w:r w:rsidRPr="008B2F8A">
              <w:t>#15</w:t>
            </w:r>
          </w:p>
        </w:tc>
        <w:tc>
          <w:tcPr>
            <w:tcW w:w="6106" w:type="dxa"/>
          </w:tcPr>
          <w:p w14:paraId="1AE28C3B"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chest radiation:ti,ab,kw (Word variations have been searched)</w:t>
            </w:r>
          </w:p>
        </w:tc>
      </w:tr>
      <w:tr w:rsidR="00E47AB8" w:rsidRPr="008B2F8A" w14:paraId="564CA5BD" w14:textId="77777777" w:rsidTr="00422306">
        <w:tc>
          <w:tcPr>
            <w:tcW w:w="880" w:type="dxa"/>
          </w:tcPr>
          <w:p w14:paraId="77D74063" w14:textId="77777777" w:rsidR="00E47AB8" w:rsidRPr="008B2F8A" w:rsidRDefault="00E47AB8" w:rsidP="00422306">
            <w:pPr>
              <w:pStyle w:val="Tabletext"/>
              <w:autoSpaceDE w:val="0"/>
              <w:autoSpaceDN w:val="0"/>
              <w:adjustRightInd w:val="0"/>
              <w:spacing w:before="40" w:after="80" w:line="276" w:lineRule="auto"/>
            </w:pPr>
            <w:r w:rsidRPr="008B2F8A">
              <w:t>#16</w:t>
            </w:r>
          </w:p>
        </w:tc>
        <w:tc>
          <w:tcPr>
            <w:tcW w:w="6106" w:type="dxa"/>
          </w:tcPr>
          <w:p w14:paraId="17CE096F"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chest irradiation:ti,ab,kw (Word variations have been searched)</w:t>
            </w:r>
          </w:p>
        </w:tc>
      </w:tr>
      <w:tr w:rsidR="00E47AB8" w:rsidRPr="008B2F8A" w14:paraId="73192735" w14:textId="77777777" w:rsidTr="00422306">
        <w:tc>
          <w:tcPr>
            <w:tcW w:w="880" w:type="dxa"/>
          </w:tcPr>
          <w:p w14:paraId="557F2943" w14:textId="77777777" w:rsidR="00E47AB8" w:rsidRPr="008B2F8A" w:rsidRDefault="00E47AB8" w:rsidP="00422306">
            <w:pPr>
              <w:pStyle w:val="Tabletext"/>
              <w:autoSpaceDE w:val="0"/>
              <w:autoSpaceDN w:val="0"/>
              <w:adjustRightInd w:val="0"/>
              <w:spacing w:before="40" w:after="80" w:line="276" w:lineRule="auto"/>
            </w:pPr>
            <w:r w:rsidRPr="008B2F8A">
              <w:t>#17</w:t>
            </w:r>
          </w:p>
        </w:tc>
        <w:tc>
          <w:tcPr>
            <w:tcW w:w="6106" w:type="dxa"/>
          </w:tcPr>
          <w:p w14:paraId="0A5ED4DF"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“Hodgkin’s lymphoma”:ti,ab,kw (Word variations have been searched)</w:t>
            </w:r>
          </w:p>
        </w:tc>
      </w:tr>
      <w:tr w:rsidR="00E47AB8" w:rsidRPr="008B2F8A" w14:paraId="516E2CB0" w14:textId="77777777" w:rsidTr="00422306">
        <w:tc>
          <w:tcPr>
            <w:tcW w:w="880" w:type="dxa"/>
          </w:tcPr>
          <w:p w14:paraId="2701FEF0" w14:textId="77777777" w:rsidR="00E47AB8" w:rsidRPr="008B2F8A" w:rsidRDefault="00E47AB8" w:rsidP="00422306">
            <w:pPr>
              <w:pStyle w:val="Tabletext"/>
              <w:autoSpaceDE w:val="0"/>
              <w:autoSpaceDN w:val="0"/>
              <w:adjustRightInd w:val="0"/>
              <w:spacing w:before="40" w:after="80" w:line="276" w:lineRule="auto"/>
            </w:pPr>
            <w:r w:rsidRPr="008B2F8A">
              <w:t>#18</w:t>
            </w:r>
          </w:p>
        </w:tc>
        <w:tc>
          <w:tcPr>
            <w:tcW w:w="6106" w:type="dxa"/>
          </w:tcPr>
          <w:p w14:paraId="129DF935"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“Hodgkins lymphoma”:ti,ab,kw (Word variations have been searched)</w:t>
            </w:r>
          </w:p>
        </w:tc>
      </w:tr>
      <w:tr w:rsidR="00E47AB8" w:rsidRPr="008B2F8A" w14:paraId="2CFA178E" w14:textId="77777777" w:rsidTr="00422306">
        <w:tc>
          <w:tcPr>
            <w:tcW w:w="880" w:type="dxa"/>
          </w:tcPr>
          <w:p w14:paraId="0AB52BE4" w14:textId="77777777" w:rsidR="00E47AB8" w:rsidRPr="008B2F8A" w:rsidRDefault="00E47AB8" w:rsidP="00422306">
            <w:pPr>
              <w:pStyle w:val="Tabletext"/>
              <w:autoSpaceDE w:val="0"/>
              <w:autoSpaceDN w:val="0"/>
              <w:adjustRightInd w:val="0"/>
              <w:spacing w:before="40" w:after="80" w:line="276" w:lineRule="auto"/>
            </w:pPr>
            <w:r w:rsidRPr="008B2F8A">
              <w:t>#19</w:t>
            </w:r>
          </w:p>
        </w:tc>
        <w:tc>
          <w:tcPr>
            <w:tcW w:w="6106" w:type="dxa"/>
          </w:tcPr>
          <w:p w14:paraId="63617609"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“Hodgkins lymphomas”:ti,ab,kw (Word variations have been searched)</w:t>
            </w:r>
          </w:p>
        </w:tc>
      </w:tr>
      <w:tr w:rsidR="00E47AB8" w:rsidRPr="008B2F8A" w14:paraId="1A246296" w14:textId="77777777" w:rsidTr="00422306">
        <w:tc>
          <w:tcPr>
            <w:tcW w:w="880" w:type="dxa"/>
          </w:tcPr>
          <w:p w14:paraId="116665BA" w14:textId="77777777" w:rsidR="00E47AB8" w:rsidRPr="008B2F8A" w:rsidRDefault="00E47AB8" w:rsidP="00422306">
            <w:pPr>
              <w:pStyle w:val="Tabletext"/>
              <w:autoSpaceDE w:val="0"/>
              <w:autoSpaceDN w:val="0"/>
              <w:adjustRightInd w:val="0"/>
              <w:spacing w:before="40" w:after="80" w:line="276" w:lineRule="auto"/>
            </w:pPr>
            <w:r w:rsidRPr="008B2F8A">
              <w:t>#20</w:t>
            </w:r>
          </w:p>
        </w:tc>
        <w:tc>
          <w:tcPr>
            <w:tcW w:w="6106" w:type="dxa"/>
          </w:tcPr>
          <w:p w14:paraId="20593A75"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#1 or #2 or #3 or #4 or #5 or #6 or #7 or #8 or #9 or #10 or #11 or #12 or #13 or #14 or #15 or #16 or #17 or #18 or #19</w:t>
            </w:r>
          </w:p>
        </w:tc>
      </w:tr>
      <w:tr w:rsidR="00E47AB8" w:rsidRPr="008B2F8A" w14:paraId="4AAA0144" w14:textId="77777777" w:rsidTr="00422306">
        <w:tc>
          <w:tcPr>
            <w:tcW w:w="880" w:type="dxa"/>
          </w:tcPr>
          <w:p w14:paraId="00E6E44C" w14:textId="77777777" w:rsidR="00E47AB8" w:rsidRPr="008B2F8A" w:rsidRDefault="00E47AB8" w:rsidP="00422306">
            <w:pPr>
              <w:pStyle w:val="Tabletext"/>
              <w:autoSpaceDE w:val="0"/>
              <w:autoSpaceDN w:val="0"/>
              <w:adjustRightInd w:val="0"/>
              <w:spacing w:before="40" w:after="80" w:line="276" w:lineRule="auto"/>
            </w:pPr>
            <w:r w:rsidRPr="008B2F8A">
              <w:t>#21</w:t>
            </w:r>
          </w:p>
        </w:tc>
        <w:tc>
          <w:tcPr>
            <w:tcW w:w="6106" w:type="dxa"/>
          </w:tcPr>
          <w:p w14:paraId="34D0D5E2"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MeSH descriptor: [Magnetic Resonance Imaging] explode all trees</w:t>
            </w:r>
          </w:p>
        </w:tc>
      </w:tr>
      <w:tr w:rsidR="00E47AB8" w:rsidRPr="008B2F8A" w14:paraId="16A30E84" w14:textId="77777777" w:rsidTr="00422306">
        <w:tc>
          <w:tcPr>
            <w:tcW w:w="880" w:type="dxa"/>
          </w:tcPr>
          <w:p w14:paraId="76FF5B97" w14:textId="77777777" w:rsidR="00E47AB8" w:rsidRPr="008B2F8A" w:rsidRDefault="00E47AB8" w:rsidP="00422306">
            <w:pPr>
              <w:pStyle w:val="Tabletext"/>
              <w:autoSpaceDE w:val="0"/>
              <w:autoSpaceDN w:val="0"/>
              <w:adjustRightInd w:val="0"/>
              <w:spacing w:before="40" w:after="80" w:line="276" w:lineRule="auto"/>
            </w:pPr>
            <w:r w:rsidRPr="008B2F8A">
              <w:t>#22</w:t>
            </w:r>
          </w:p>
        </w:tc>
        <w:tc>
          <w:tcPr>
            <w:tcW w:w="6106" w:type="dxa"/>
          </w:tcPr>
          <w:p w14:paraId="3D6995C2"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“magnetic resonance imaging”:ti,ab,kw (Word variations have been searched)</w:t>
            </w:r>
          </w:p>
        </w:tc>
      </w:tr>
      <w:tr w:rsidR="00E47AB8" w:rsidRPr="008B2F8A" w14:paraId="244BC96E" w14:textId="77777777" w:rsidTr="00422306">
        <w:tc>
          <w:tcPr>
            <w:tcW w:w="880" w:type="dxa"/>
          </w:tcPr>
          <w:p w14:paraId="0870AC08" w14:textId="77777777" w:rsidR="00E47AB8" w:rsidRPr="008B2F8A" w:rsidRDefault="00E47AB8" w:rsidP="00422306">
            <w:pPr>
              <w:pStyle w:val="Tabletext"/>
              <w:autoSpaceDE w:val="0"/>
              <w:autoSpaceDN w:val="0"/>
              <w:adjustRightInd w:val="0"/>
              <w:spacing w:before="40" w:after="80" w:line="276" w:lineRule="auto"/>
            </w:pPr>
            <w:r w:rsidRPr="008B2F8A">
              <w:t>#23</w:t>
            </w:r>
          </w:p>
        </w:tc>
        <w:tc>
          <w:tcPr>
            <w:tcW w:w="6106" w:type="dxa"/>
          </w:tcPr>
          <w:p w14:paraId="65846CB8"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magnetic resonance imag*:ti,ab,kw (Word variations have been searched)</w:t>
            </w:r>
          </w:p>
        </w:tc>
      </w:tr>
      <w:tr w:rsidR="00E47AB8" w:rsidRPr="008B2F8A" w14:paraId="04F227A2" w14:textId="77777777" w:rsidTr="00422306">
        <w:tc>
          <w:tcPr>
            <w:tcW w:w="880" w:type="dxa"/>
          </w:tcPr>
          <w:p w14:paraId="0A7B3ABC" w14:textId="77777777" w:rsidR="00E47AB8" w:rsidRPr="008B2F8A" w:rsidRDefault="00E47AB8" w:rsidP="00422306">
            <w:pPr>
              <w:pStyle w:val="Tabletext"/>
              <w:autoSpaceDE w:val="0"/>
              <w:autoSpaceDN w:val="0"/>
              <w:adjustRightInd w:val="0"/>
              <w:spacing w:before="40" w:after="80" w:line="276" w:lineRule="auto"/>
            </w:pPr>
            <w:r w:rsidRPr="008B2F8A">
              <w:t>#24</w:t>
            </w:r>
          </w:p>
        </w:tc>
        <w:tc>
          <w:tcPr>
            <w:tcW w:w="6106" w:type="dxa"/>
          </w:tcPr>
          <w:p w14:paraId="3488F37F"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“MRI”:ti,ab,kw (Word variations have been searched)</w:t>
            </w:r>
          </w:p>
        </w:tc>
      </w:tr>
      <w:tr w:rsidR="00E47AB8" w:rsidRPr="008B2F8A" w14:paraId="619BB4D5" w14:textId="77777777" w:rsidTr="00422306">
        <w:tc>
          <w:tcPr>
            <w:tcW w:w="880" w:type="dxa"/>
          </w:tcPr>
          <w:p w14:paraId="58E712D2" w14:textId="77777777" w:rsidR="00E47AB8" w:rsidRPr="008B2F8A" w:rsidRDefault="00E47AB8" w:rsidP="00422306">
            <w:pPr>
              <w:pStyle w:val="Tabletext"/>
              <w:autoSpaceDE w:val="0"/>
              <w:autoSpaceDN w:val="0"/>
              <w:adjustRightInd w:val="0"/>
              <w:spacing w:before="40" w:after="80" w:line="276" w:lineRule="auto"/>
            </w:pPr>
            <w:r w:rsidRPr="008B2F8A">
              <w:t>#25</w:t>
            </w:r>
          </w:p>
        </w:tc>
        <w:tc>
          <w:tcPr>
            <w:tcW w:w="6106" w:type="dxa"/>
          </w:tcPr>
          <w:p w14:paraId="33C9D922"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“MRI scan”:ti,ab,kw (Word variations have been searched)</w:t>
            </w:r>
          </w:p>
        </w:tc>
      </w:tr>
      <w:tr w:rsidR="00E47AB8" w:rsidRPr="008B2F8A" w14:paraId="4330A5E1" w14:textId="77777777" w:rsidTr="00422306">
        <w:tc>
          <w:tcPr>
            <w:tcW w:w="880" w:type="dxa"/>
          </w:tcPr>
          <w:p w14:paraId="2D753429" w14:textId="77777777" w:rsidR="00E47AB8" w:rsidRPr="008B2F8A" w:rsidRDefault="00E47AB8" w:rsidP="00422306">
            <w:pPr>
              <w:pStyle w:val="Tabletext"/>
              <w:autoSpaceDE w:val="0"/>
              <w:autoSpaceDN w:val="0"/>
              <w:adjustRightInd w:val="0"/>
              <w:spacing w:before="40" w:after="80" w:line="276" w:lineRule="auto"/>
            </w:pPr>
            <w:r w:rsidRPr="008B2F8A">
              <w:t>#26</w:t>
            </w:r>
          </w:p>
        </w:tc>
        <w:tc>
          <w:tcPr>
            <w:tcW w:w="6106" w:type="dxa"/>
          </w:tcPr>
          <w:p w14:paraId="045EC823"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MRI imag*:ti,ab,kw (Word variations have been searched)</w:t>
            </w:r>
          </w:p>
        </w:tc>
      </w:tr>
      <w:tr w:rsidR="00E47AB8" w:rsidRPr="008B2F8A" w14:paraId="037A6631" w14:textId="77777777" w:rsidTr="00422306">
        <w:tc>
          <w:tcPr>
            <w:tcW w:w="880" w:type="dxa"/>
          </w:tcPr>
          <w:p w14:paraId="3C58874C" w14:textId="77777777" w:rsidR="00E47AB8" w:rsidRPr="008B2F8A" w:rsidRDefault="00E47AB8" w:rsidP="00422306">
            <w:pPr>
              <w:pStyle w:val="Tabletext"/>
              <w:autoSpaceDE w:val="0"/>
              <w:autoSpaceDN w:val="0"/>
              <w:adjustRightInd w:val="0"/>
              <w:spacing w:before="40" w:after="80" w:line="276" w:lineRule="auto"/>
            </w:pPr>
            <w:r w:rsidRPr="008B2F8A">
              <w:t>#27</w:t>
            </w:r>
          </w:p>
        </w:tc>
        <w:tc>
          <w:tcPr>
            <w:tcW w:w="6106" w:type="dxa"/>
          </w:tcPr>
          <w:p w14:paraId="2B4B514B"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#21 or #22 or #23 or #24 or #25 or #26</w:t>
            </w:r>
          </w:p>
        </w:tc>
      </w:tr>
      <w:tr w:rsidR="00E47AB8" w:rsidRPr="008B2F8A" w14:paraId="60F3FF20" w14:textId="77777777" w:rsidTr="00422306">
        <w:tc>
          <w:tcPr>
            <w:tcW w:w="880" w:type="dxa"/>
          </w:tcPr>
          <w:p w14:paraId="09AF2545" w14:textId="77777777" w:rsidR="00E47AB8" w:rsidRPr="008B2F8A" w:rsidRDefault="00E47AB8" w:rsidP="00422306">
            <w:pPr>
              <w:pStyle w:val="Tabletext"/>
              <w:autoSpaceDE w:val="0"/>
              <w:autoSpaceDN w:val="0"/>
              <w:adjustRightInd w:val="0"/>
              <w:spacing w:before="40" w:after="80" w:line="276" w:lineRule="auto"/>
            </w:pPr>
            <w:r w:rsidRPr="008B2F8A">
              <w:lastRenderedPageBreak/>
              <w:t>#28</w:t>
            </w:r>
          </w:p>
        </w:tc>
        <w:tc>
          <w:tcPr>
            <w:tcW w:w="6106" w:type="dxa"/>
          </w:tcPr>
          <w:p w14:paraId="1F3575C6" w14:textId="77777777" w:rsidR="00E47AB8" w:rsidRPr="008B2F8A" w:rsidRDefault="00E47AB8" w:rsidP="00422306">
            <w:pPr>
              <w:pStyle w:val="Tabletext"/>
              <w:autoSpaceDE w:val="0"/>
              <w:autoSpaceDN w:val="0"/>
              <w:adjustRightInd w:val="0"/>
              <w:spacing w:before="40" w:after="80" w:line="276" w:lineRule="auto"/>
              <w:rPr>
                <w:noProof/>
              </w:rPr>
            </w:pPr>
            <w:r w:rsidRPr="008B2F8A">
              <w:rPr>
                <w:noProof/>
              </w:rPr>
              <w:t>#20 and #27</w:t>
            </w:r>
          </w:p>
        </w:tc>
      </w:tr>
    </w:tbl>
    <w:p w14:paraId="0B8F526F" w14:textId="77777777" w:rsidR="00E47AB8" w:rsidRPr="008B2F8A" w:rsidRDefault="00E47AB8" w:rsidP="00422306"/>
    <w:p w14:paraId="145A1DB4" w14:textId="0AA789A7" w:rsidR="00E47AB8" w:rsidRPr="008B2F8A" w:rsidRDefault="00E47AB8" w:rsidP="00422306">
      <w:pPr>
        <w:pStyle w:val="Caption"/>
      </w:pPr>
      <w:r w:rsidRPr="008B2F8A">
        <w:t>WHO International Clinical Trials Registry Platform.</w:t>
      </w:r>
    </w:p>
    <w:tbl>
      <w:tblPr>
        <w:tblStyle w:val="TableGrid"/>
        <w:tblW w:w="6986" w:type="dxa"/>
        <w:tblCellMar>
          <w:left w:w="28" w:type="dxa"/>
          <w:right w:w="28" w:type="dxa"/>
        </w:tblCellMar>
        <w:tblLook w:val="04A0" w:firstRow="1" w:lastRow="0" w:firstColumn="1" w:lastColumn="0" w:noHBand="0" w:noVBand="1"/>
        <w:tblCaption w:val="WHO International Clinical Trials Registry Platform."/>
      </w:tblPr>
      <w:tblGrid>
        <w:gridCol w:w="2442"/>
        <w:gridCol w:w="4544"/>
      </w:tblGrid>
      <w:tr w:rsidR="00E47AB8" w:rsidRPr="008B2F8A" w14:paraId="1A663CEE" w14:textId="77777777" w:rsidTr="00422306">
        <w:trPr>
          <w:tblHeader/>
        </w:trPr>
        <w:tc>
          <w:tcPr>
            <w:tcW w:w="2442" w:type="dxa"/>
          </w:tcPr>
          <w:p w14:paraId="603250C4" w14:textId="77777777" w:rsidR="00E47AB8" w:rsidRPr="008B2F8A" w:rsidRDefault="00E47AB8" w:rsidP="00422306">
            <w:pPr>
              <w:pStyle w:val="Tableheaderrow"/>
              <w:autoSpaceDE w:val="0"/>
              <w:autoSpaceDN w:val="0"/>
              <w:adjustRightInd w:val="0"/>
              <w:spacing w:before="40" w:after="80" w:line="276" w:lineRule="auto"/>
            </w:pPr>
            <w:r w:rsidRPr="008B2F8A">
              <w:t>No. of search</w:t>
            </w:r>
          </w:p>
        </w:tc>
        <w:tc>
          <w:tcPr>
            <w:tcW w:w="4544" w:type="dxa"/>
          </w:tcPr>
          <w:p w14:paraId="055148E5" w14:textId="77777777" w:rsidR="00E47AB8" w:rsidRPr="008B2F8A" w:rsidRDefault="00E47AB8" w:rsidP="00422306">
            <w:pPr>
              <w:pStyle w:val="Tableheaderrow"/>
              <w:autoSpaceDE w:val="0"/>
              <w:autoSpaceDN w:val="0"/>
              <w:adjustRightInd w:val="0"/>
              <w:spacing w:before="40" w:after="80" w:line="276" w:lineRule="auto"/>
            </w:pPr>
            <w:r w:rsidRPr="008B2F8A">
              <w:t>Search terms</w:t>
            </w:r>
          </w:p>
        </w:tc>
      </w:tr>
      <w:tr w:rsidR="00E47AB8" w:rsidRPr="008B2F8A" w14:paraId="5AEE2260" w14:textId="77777777" w:rsidTr="00422306">
        <w:tc>
          <w:tcPr>
            <w:tcW w:w="2442" w:type="dxa"/>
          </w:tcPr>
          <w:p w14:paraId="5F3C31BA" w14:textId="77777777" w:rsidR="00E47AB8" w:rsidRPr="008B2F8A" w:rsidRDefault="00E47AB8" w:rsidP="00422306">
            <w:pPr>
              <w:pStyle w:val="Tabletext"/>
              <w:autoSpaceDE w:val="0"/>
              <w:autoSpaceDN w:val="0"/>
              <w:adjustRightInd w:val="0"/>
              <w:spacing w:before="40" w:after="80" w:line="276" w:lineRule="auto"/>
            </w:pPr>
            <w:r w:rsidRPr="008B2F8A">
              <w:t>1—Advanced search function</w:t>
            </w:r>
          </w:p>
        </w:tc>
        <w:tc>
          <w:tcPr>
            <w:tcW w:w="4544" w:type="dxa"/>
          </w:tcPr>
          <w:p w14:paraId="234CA069" w14:textId="77777777" w:rsidR="00E47AB8" w:rsidRPr="008B2F8A" w:rsidRDefault="00E47AB8" w:rsidP="00422306">
            <w:pPr>
              <w:pStyle w:val="Tabletext"/>
              <w:autoSpaceDE w:val="0"/>
              <w:autoSpaceDN w:val="0"/>
              <w:adjustRightInd w:val="0"/>
              <w:spacing w:before="40" w:after="80" w:line="276" w:lineRule="auto"/>
            </w:pPr>
            <w:r w:rsidRPr="008B2F8A">
              <w:t>Condition = breast cancer</w:t>
            </w:r>
            <w:r w:rsidRPr="008B2F8A">
              <w:br/>
              <w:t xml:space="preserve">AND </w:t>
            </w:r>
            <w:r w:rsidRPr="008B2F8A">
              <w:br/>
              <w:t>Intervention = magnetic resonance imaging OR MRI</w:t>
            </w:r>
          </w:p>
          <w:p w14:paraId="4DB2AEF1" w14:textId="77777777" w:rsidR="00E47AB8" w:rsidRPr="008B2F8A" w:rsidRDefault="00E47AB8" w:rsidP="00422306">
            <w:pPr>
              <w:pStyle w:val="Tabletext"/>
              <w:autoSpaceDE w:val="0"/>
              <w:autoSpaceDN w:val="0"/>
              <w:adjustRightInd w:val="0"/>
              <w:spacing w:before="40" w:after="80" w:line="276" w:lineRule="auto"/>
            </w:pPr>
            <w:r w:rsidRPr="008B2F8A">
              <w:t>Recruitment status = ALL</w:t>
            </w:r>
          </w:p>
        </w:tc>
      </w:tr>
      <w:tr w:rsidR="00E47AB8" w:rsidRPr="008B2F8A" w14:paraId="2134ADD7" w14:textId="77777777" w:rsidTr="00422306">
        <w:tc>
          <w:tcPr>
            <w:tcW w:w="2442" w:type="dxa"/>
          </w:tcPr>
          <w:p w14:paraId="7CA99A02" w14:textId="77777777" w:rsidR="00E47AB8" w:rsidRPr="008B2F8A" w:rsidRDefault="00E47AB8" w:rsidP="00422306">
            <w:pPr>
              <w:pStyle w:val="Tabletext"/>
              <w:autoSpaceDE w:val="0"/>
              <w:autoSpaceDN w:val="0"/>
              <w:adjustRightInd w:val="0"/>
              <w:spacing w:before="40" w:after="80" w:line="276" w:lineRule="auto"/>
            </w:pPr>
            <w:r w:rsidRPr="008B2F8A">
              <w:t>2—Advanced search function</w:t>
            </w:r>
          </w:p>
        </w:tc>
        <w:tc>
          <w:tcPr>
            <w:tcW w:w="4544" w:type="dxa"/>
          </w:tcPr>
          <w:p w14:paraId="11863677" w14:textId="77777777" w:rsidR="00E47AB8" w:rsidRPr="008B2F8A" w:rsidRDefault="00E47AB8" w:rsidP="00422306">
            <w:pPr>
              <w:pStyle w:val="Tabletext"/>
              <w:autoSpaceDE w:val="0"/>
              <w:autoSpaceDN w:val="0"/>
              <w:adjustRightInd w:val="0"/>
              <w:spacing w:before="40" w:after="80" w:line="276" w:lineRule="auto"/>
            </w:pPr>
            <w:r w:rsidRPr="008B2F8A">
              <w:t>Title = high risk</w:t>
            </w:r>
            <w:r w:rsidRPr="008B2F8A">
              <w:br/>
              <w:t>Condition = breast cancer</w:t>
            </w:r>
          </w:p>
          <w:p w14:paraId="64E430E5" w14:textId="77777777" w:rsidR="00E47AB8" w:rsidRPr="008B2F8A" w:rsidRDefault="00E47AB8" w:rsidP="00422306">
            <w:pPr>
              <w:pStyle w:val="Tabletext"/>
              <w:autoSpaceDE w:val="0"/>
              <w:autoSpaceDN w:val="0"/>
              <w:adjustRightInd w:val="0"/>
              <w:spacing w:before="40" w:after="80" w:line="276" w:lineRule="auto"/>
            </w:pPr>
            <w:r w:rsidRPr="008B2F8A">
              <w:t>Intervention = MRI</w:t>
            </w:r>
            <w:r w:rsidRPr="008B2F8A">
              <w:br/>
              <w:t>Recruiting status = ALL</w:t>
            </w:r>
          </w:p>
        </w:tc>
      </w:tr>
      <w:tr w:rsidR="00E47AB8" w:rsidRPr="008B2F8A" w14:paraId="78BD25A6" w14:textId="77777777" w:rsidTr="00422306">
        <w:tc>
          <w:tcPr>
            <w:tcW w:w="2442" w:type="dxa"/>
          </w:tcPr>
          <w:p w14:paraId="7CFDD31D" w14:textId="77777777" w:rsidR="00E47AB8" w:rsidRPr="008B2F8A" w:rsidRDefault="00E47AB8" w:rsidP="00422306">
            <w:pPr>
              <w:pStyle w:val="Tabletext"/>
              <w:autoSpaceDE w:val="0"/>
              <w:autoSpaceDN w:val="0"/>
              <w:adjustRightInd w:val="0"/>
              <w:spacing w:before="40" w:after="80" w:line="276" w:lineRule="auto"/>
            </w:pPr>
            <w:r w:rsidRPr="008B2F8A">
              <w:t>3—Basic search function</w:t>
            </w:r>
          </w:p>
        </w:tc>
        <w:tc>
          <w:tcPr>
            <w:tcW w:w="4544" w:type="dxa"/>
          </w:tcPr>
          <w:p w14:paraId="309900B6" w14:textId="77777777" w:rsidR="00E47AB8" w:rsidRPr="008B2F8A" w:rsidRDefault="00E47AB8" w:rsidP="00422306">
            <w:pPr>
              <w:pStyle w:val="Tabletext"/>
              <w:autoSpaceDE w:val="0"/>
              <w:autoSpaceDN w:val="0"/>
              <w:adjustRightInd w:val="0"/>
              <w:spacing w:before="40" w:after="80" w:line="276" w:lineRule="auto"/>
            </w:pPr>
            <w:r w:rsidRPr="008B2F8A">
              <w:t>Title = increased risk for breast cancer</w:t>
            </w:r>
          </w:p>
        </w:tc>
      </w:tr>
    </w:tbl>
    <w:p w14:paraId="0B5A41DA" w14:textId="77777777" w:rsidR="00E47AB8" w:rsidRPr="008B2F8A" w:rsidRDefault="00E47AB8" w:rsidP="004E7861">
      <w:bookmarkStart w:id="1485" w:name="_Ref368058655"/>
      <w:bookmarkStart w:id="1486" w:name="_Ref192056948"/>
      <w:bookmarkStart w:id="1487" w:name="_Ref169423889"/>
    </w:p>
    <w:bookmarkEnd w:id="1485"/>
    <w:p w14:paraId="209CF514" w14:textId="585871BB" w:rsidR="00E47AB8" w:rsidRPr="008B2F8A" w:rsidRDefault="00E47AB8" w:rsidP="00422306">
      <w:pPr>
        <w:pStyle w:val="Caption"/>
        <w:ind w:left="1440" w:hanging="1440"/>
      </w:pPr>
      <w:r w:rsidRPr="008B2F8A">
        <w:t>Excluded health technology assessments</w:t>
      </w:r>
      <w:r w:rsidRPr="008B2F8A" w:rsidDel="00455348">
        <w:t xml:space="preserve"> </w:t>
      </w:r>
      <w:r w:rsidRPr="008B2F8A">
        <w:t>and systematic reviews for the assessment of additional high-risk groups.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Excluded health technology assessments and systematic reviews for the assessment of additional high-risk groups."/>
      </w:tblPr>
      <w:tblGrid>
        <w:gridCol w:w="7985"/>
        <w:gridCol w:w="1085"/>
      </w:tblGrid>
      <w:tr w:rsidR="00E47AB8" w:rsidRPr="008B2F8A" w14:paraId="7A64F41D" w14:textId="77777777" w:rsidTr="004E7861">
        <w:trPr>
          <w:cantSplit/>
          <w:tblHeader/>
        </w:trPr>
        <w:tc>
          <w:tcPr>
            <w:tcW w:w="0" w:type="auto"/>
            <w:vAlign w:val="bottom"/>
          </w:tcPr>
          <w:p w14:paraId="4072D28A" w14:textId="77777777" w:rsidR="00E47AB8" w:rsidRPr="008B2F8A" w:rsidRDefault="00E47AB8" w:rsidP="00422306">
            <w:pPr>
              <w:pStyle w:val="TableHeading"/>
              <w:keepNext w:val="0"/>
              <w:autoSpaceDE w:val="0"/>
              <w:autoSpaceDN w:val="0"/>
              <w:adjustRightInd w:val="0"/>
              <w:spacing w:before="40" w:after="80" w:line="276" w:lineRule="auto"/>
            </w:pPr>
            <w:r w:rsidRPr="008B2F8A">
              <w:t>Citation</w:t>
            </w:r>
          </w:p>
        </w:tc>
        <w:tc>
          <w:tcPr>
            <w:tcW w:w="0" w:type="auto"/>
            <w:vAlign w:val="bottom"/>
          </w:tcPr>
          <w:p w14:paraId="1003BC8C" w14:textId="77777777" w:rsidR="00E47AB8" w:rsidRPr="008B2F8A" w:rsidRDefault="00E47AB8" w:rsidP="00422306">
            <w:pPr>
              <w:pStyle w:val="TableHeading"/>
              <w:keepNext w:val="0"/>
              <w:autoSpaceDE w:val="0"/>
              <w:autoSpaceDN w:val="0"/>
              <w:adjustRightInd w:val="0"/>
              <w:spacing w:before="40" w:after="80" w:line="276" w:lineRule="auto"/>
            </w:pPr>
            <w:r w:rsidRPr="008B2F8A">
              <w:t>Reason for exclusion</w:t>
            </w:r>
          </w:p>
        </w:tc>
      </w:tr>
      <w:tr w:rsidR="00E47AB8" w:rsidRPr="008B2F8A" w14:paraId="68E02E52" w14:textId="77777777" w:rsidTr="004E7861">
        <w:trPr>
          <w:cantSplit/>
        </w:trPr>
        <w:tc>
          <w:tcPr>
            <w:tcW w:w="0" w:type="auto"/>
          </w:tcPr>
          <w:p w14:paraId="0DF5F1A7" w14:textId="77777777" w:rsidR="00E47AB8" w:rsidRPr="008B2F8A" w:rsidRDefault="00E47AB8" w:rsidP="00422306">
            <w:pPr>
              <w:autoSpaceDE w:val="0"/>
              <w:autoSpaceDN w:val="0"/>
              <w:adjustRightInd w:val="0"/>
              <w:spacing w:before="40" w:after="80"/>
              <w:rPr>
                <w:rFonts w:ascii="Arial Narrow" w:hAnsi="Arial Narrow" w:cs="Calibri"/>
                <w:sz w:val="20"/>
                <w:szCs w:val="20"/>
              </w:rPr>
            </w:pPr>
            <w:r w:rsidRPr="008B2F8A">
              <w:rPr>
                <w:rFonts w:ascii="Arial Narrow" w:hAnsi="Arial Narrow"/>
                <w:b/>
                <w:sz w:val="20"/>
                <w:szCs w:val="20"/>
              </w:rPr>
              <w:t>Women with a history of breast cancer</w:t>
            </w:r>
          </w:p>
        </w:tc>
        <w:tc>
          <w:tcPr>
            <w:tcW w:w="0" w:type="auto"/>
          </w:tcPr>
          <w:p w14:paraId="2F44438C" w14:textId="77777777" w:rsidR="00E47AB8" w:rsidRPr="008B2F8A" w:rsidRDefault="00E47AB8" w:rsidP="00422306">
            <w:pPr>
              <w:pStyle w:val="TableText0"/>
              <w:keepNext w:val="0"/>
              <w:autoSpaceDE w:val="0"/>
              <w:autoSpaceDN w:val="0"/>
              <w:adjustRightInd w:val="0"/>
              <w:spacing w:before="40" w:after="80" w:line="276" w:lineRule="auto"/>
              <w:rPr>
                <w:b/>
              </w:rPr>
            </w:pPr>
          </w:p>
        </w:tc>
      </w:tr>
      <w:tr w:rsidR="00E47AB8" w:rsidRPr="008B2F8A" w14:paraId="60A9E531" w14:textId="77777777" w:rsidTr="004E7861">
        <w:trPr>
          <w:cantSplit/>
        </w:trPr>
        <w:tc>
          <w:tcPr>
            <w:tcW w:w="0" w:type="auto"/>
          </w:tcPr>
          <w:p w14:paraId="7B5DDF2B"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cs="Calibri"/>
                <w:sz w:val="20"/>
                <w:szCs w:val="20"/>
              </w:rPr>
              <w:t>Peters NH, Borel R, I, Zuithoff NP, Mali WP, Moons KG, Peeters PH (2008) Meta-analysis of MR imaging in the diagnosis of breast lesions (Structured abstract). Radiology 246:116–124.</w:t>
            </w:r>
          </w:p>
        </w:tc>
        <w:tc>
          <w:tcPr>
            <w:tcW w:w="0" w:type="auto"/>
          </w:tcPr>
          <w:p w14:paraId="5B477D97" w14:textId="77777777" w:rsidR="00E47AB8" w:rsidRPr="008B2F8A" w:rsidRDefault="00E47AB8" w:rsidP="00422306">
            <w:pPr>
              <w:pStyle w:val="TableText0"/>
              <w:keepNext w:val="0"/>
              <w:autoSpaceDE w:val="0"/>
              <w:autoSpaceDN w:val="0"/>
              <w:adjustRightInd w:val="0"/>
              <w:spacing w:before="40" w:after="80" w:line="276" w:lineRule="auto"/>
            </w:pPr>
            <w:r w:rsidRPr="008B2F8A">
              <w:t>Diagnostic population</w:t>
            </w:r>
          </w:p>
        </w:tc>
      </w:tr>
      <w:tr w:rsidR="00E47AB8" w:rsidRPr="008B2F8A" w14:paraId="390E0235" w14:textId="77777777" w:rsidTr="004E7861">
        <w:trPr>
          <w:cantSplit/>
        </w:trPr>
        <w:tc>
          <w:tcPr>
            <w:tcW w:w="0" w:type="auto"/>
          </w:tcPr>
          <w:p w14:paraId="70CA72BF"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t xml:space="preserve">Quinn EM, Coveney AP, Redmond HP (2012) Use of magnetic resonance imaging in detection of breast cancer recurrence: a systematic review. </w:t>
            </w:r>
            <w:r w:rsidRPr="004E7861">
              <w:t>Ann Surg Oncol</w:t>
            </w:r>
            <w:r w:rsidRPr="008B2F8A">
              <w:t xml:space="preserve"> 19:3035–3041.</w:t>
            </w:r>
          </w:p>
        </w:tc>
        <w:tc>
          <w:tcPr>
            <w:tcW w:w="0" w:type="auto"/>
          </w:tcPr>
          <w:p w14:paraId="21A10372" w14:textId="77777777" w:rsidR="00E47AB8" w:rsidRPr="008B2F8A" w:rsidRDefault="00E47AB8" w:rsidP="00422306">
            <w:pPr>
              <w:pStyle w:val="TableText0"/>
              <w:keepNext w:val="0"/>
              <w:autoSpaceDE w:val="0"/>
              <w:autoSpaceDN w:val="0"/>
              <w:adjustRightInd w:val="0"/>
              <w:spacing w:before="40" w:after="80" w:line="276" w:lineRule="auto"/>
              <w:rPr>
                <w:rFonts w:cs="Calibri"/>
                <w:szCs w:val="20"/>
              </w:rPr>
            </w:pPr>
            <w:r w:rsidRPr="008B2F8A">
              <w:t xml:space="preserve">Wrong patient group </w:t>
            </w:r>
          </w:p>
        </w:tc>
      </w:tr>
      <w:tr w:rsidR="00E47AB8" w:rsidRPr="008B2F8A" w14:paraId="69D037EB" w14:textId="77777777" w:rsidTr="004E7861">
        <w:trPr>
          <w:cantSplit/>
        </w:trPr>
        <w:tc>
          <w:tcPr>
            <w:tcW w:w="0" w:type="auto"/>
          </w:tcPr>
          <w:p w14:paraId="69778444" w14:textId="540FF743" w:rsidR="00E47AB8" w:rsidRPr="008B2F8A" w:rsidRDefault="00E47AB8" w:rsidP="004E7861">
            <w:pPr>
              <w:autoSpaceDE w:val="0"/>
              <w:autoSpaceDN w:val="0"/>
              <w:adjustRightInd w:val="0"/>
              <w:spacing w:before="40" w:after="80"/>
              <w:rPr>
                <w:rFonts w:ascii="Arial Narrow" w:hAnsi="Arial Narrow" w:cs="Calibri"/>
                <w:sz w:val="20"/>
                <w:szCs w:val="20"/>
              </w:rPr>
            </w:pPr>
            <w:r w:rsidRPr="008B2F8A">
              <w:rPr>
                <w:rFonts w:ascii="Arial Narrow" w:hAnsi="Arial Narrow"/>
                <w:b/>
                <w:sz w:val="20"/>
                <w:szCs w:val="20"/>
              </w:rPr>
              <w:t>Women with a history of chest irradiation between the ages of 10 and 35 years</w:t>
            </w:r>
          </w:p>
        </w:tc>
        <w:tc>
          <w:tcPr>
            <w:tcW w:w="0" w:type="auto"/>
          </w:tcPr>
          <w:p w14:paraId="291A1CD1" w14:textId="77777777" w:rsidR="00E47AB8" w:rsidRPr="008B2F8A" w:rsidRDefault="00E47AB8" w:rsidP="00422306">
            <w:pPr>
              <w:pStyle w:val="TableText0"/>
              <w:keepNext w:val="0"/>
              <w:autoSpaceDE w:val="0"/>
              <w:autoSpaceDN w:val="0"/>
              <w:adjustRightInd w:val="0"/>
              <w:spacing w:before="40" w:after="80" w:line="276" w:lineRule="auto"/>
            </w:pPr>
          </w:p>
        </w:tc>
      </w:tr>
      <w:tr w:rsidR="00E47AB8" w:rsidRPr="008B2F8A" w14:paraId="38AAEC41" w14:textId="77777777" w:rsidTr="004E7861">
        <w:trPr>
          <w:cantSplit/>
        </w:trPr>
        <w:tc>
          <w:tcPr>
            <w:tcW w:w="0" w:type="auto"/>
            <w:tcBorders>
              <w:top w:val="single" w:sz="4" w:space="0" w:color="auto"/>
              <w:left w:val="single" w:sz="4" w:space="0" w:color="auto"/>
              <w:bottom w:val="single" w:sz="4" w:space="0" w:color="auto"/>
              <w:right w:val="single" w:sz="4" w:space="0" w:color="auto"/>
            </w:tcBorders>
          </w:tcPr>
          <w:p w14:paraId="73FE22D6" w14:textId="77777777" w:rsidR="00E47AB8" w:rsidRPr="008B2F8A" w:rsidRDefault="00E47AB8" w:rsidP="00422306">
            <w:pPr>
              <w:autoSpaceDE w:val="0"/>
              <w:autoSpaceDN w:val="0"/>
              <w:adjustRightInd w:val="0"/>
              <w:spacing w:before="40" w:after="80"/>
              <w:rPr>
                <w:rFonts w:ascii="Arial Narrow" w:hAnsi="Arial Narrow" w:cs="Calibri"/>
                <w:sz w:val="20"/>
                <w:szCs w:val="20"/>
              </w:rPr>
            </w:pPr>
            <w:r w:rsidRPr="008B2F8A">
              <w:rPr>
                <w:rFonts w:ascii="Arial Narrow" w:hAnsi="Arial Narrow"/>
                <w:sz w:val="20"/>
                <w:szCs w:val="20"/>
              </w:rPr>
              <w:t>Henderson TO, Amsterdam A, Bhatia S, Hudson MM, Meadows AT, Neglia JP, Diller LR, Constantine LS, Smith RA, Mahoney MC, Morris EA, Montgomery LL, Landier W, Smith SM, Robison LL, Oeffinger KC (2010) Systematic review: surveillance for breast cancer in women treated with chest radiation for childhood, adolescent, or young adult cancer (Structured abstract). Ann Intern Med 152:444–455.</w:t>
            </w:r>
          </w:p>
        </w:tc>
        <w:tc>
          <w:tcPr>
            <w:tcW w:w="0" w:type="auto"/>
            <w:tcBorders>
              <w:top w:val="single" w:sz="4" w:space="0" w:color="auto"/>
              <w:left w:val="single" w:sz="4" w:space="0" w:color="auto"/>
              <w:bottom w:val="single" w:sz="4" w:space="0" w:color="auto"/>
              <w:right w:val="single" w:sz="4" w:space="0" w:color="auto"/>
            </w:tcBorders>
          </w:tcPr>
          <w:p w14:paraId="778B5E3B"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Wrong research question</w:t>
            </w:r>
          </w:p>
        </w:tc>
      </w:tr>
    </w:tbl>
    <w:p w14:paraId="103645F8" w14:textId="77777777" w:rsidR="00E47AB8" w:rsidRPr="008B2F8A" w:rsidRDefault="00E47AB8" w:rsidP="00422306"/>
    <w:p w14:paraId="0D26F218" w14:textId="77777777" w:rsidR="00E47AB8" w:rsidRPr="008B2F8A" w:rsidRDefault="00E47AB8" w:rsidP="00422306">
      <w:pPr>
        <w:pStyle w:val="Caption"/>
        <w:ind w:left="1440" w:hanging="1440"/>
      </w:pPr>
      <w:r w:rsidRPr="008B2F8A">
        <w:t>Excluded primary studies reviews for the assessment of additional high-risk groups.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xcluded primary studies reviews for the assessment of additional high-risk groups."/>
      </w:tblPr>
      <w:tblGrid>
        <w:gridCol w:w="1160"/>
        <w:gridCol w:w="6005"/>
        <w:gridCol w:w="1905"/>
      </w:tblGrid>
      <w:tr w:rsidR="00E47AB8" w:rsidRPr="008B2F8A" w14:paraId="09E15C51" w14:textId="77777777" w:rsidTr="004B524B">
        <w:trPr>
          <w:tblHeader/>
        </w:trPr>
        <w:tc>
          <w:tcPr>
            <w:tcW w:w="0" w:type="auto"/>
          </w:tcPr>
          <w:p w14:paraId="2A2242A2" w14:textId="77777777" w:rsidR="00E47AB8" w:rsidRPr="008B2F8A" w:rsidRDefault="00E47AB8" w:rsidP="00422306">
            <w:pPr>
              <w:pStyle w:val="TableHeading"/>
              <w:keepNext w:val="0"/>
              <w:autoSpaceDE w:val="0"/>
              <w:autoSpaceDN w:val="0"/>
              <w:adjustRightInd w:val="0"/>
              <w:spacing w:before="40" w:after="80" w:line="276" w:lineRule="auto"/>
            </w:pPr>
            <w:r w:rsidRPr="008B2F8A">
              <w:t>Trial ID</w:t>
            </w:r>
          </w:p>
        </w:tc>
        <w:tc>
          <w:tcPr>
            <w:tcW w:w="6005" w:type="dxa"/>
          </w:tcPr>
          <w:p w14:paraId="7F63185D" w14:textId="77777777" w:rsidR="00E47AB8" w:rsidRPr="008B2F8A" w:rsidRDefault="00E47AB8" w:rsidP="00422306">
            <w:pPr>
              <w:pStyle w:val="TableHeading"/>
              <w:keepNext w:val="0"/>
              <w:autoSpaceDE w:val="0"/>
              <w:autoSpaceDN w:val="0"/>
              <w:adjustRightInd w:val="0"/>
              <w:spacing w:before="40" w:after="80" w:line="276" w:lineRule="auto"/>
            </w:pPr>
            <w:r w:rsidRPr="008B2F8A">
              <w:t>Citation</w:t>
            </w:r>
          </w:p>
        </w:tc>
        <w:tc>
          <w:tcPr>
            <w:tcW w:w="1905" w:type="dxa"/>
          </w:tcPr>
          <w:p w14:paraId="17AAADFC" w14:textId="77777777" w:rsidR="00E47AB8" w:rsidRPr="008B2F8A" w:rsidRDefault="00E47AB8" w:rsidP="00422306">
            <w:pPr>
              <w:pStyle w:val="TableHeading"/>
              <w:keepNext w:val="0"/>
              <w:autoSpaceDE w:val="0"/>
              <w:autoSpaceDN w:val="0"/>
              <w:adjustRightInd w:val="0"/>
              <w:spacing w:before="40" w:after="80" w:line="276" w:lineRule="auto"/>
            </w:pPr>
            <w:r w:rsidRPr="008B2F8A">
              <w:t>Reason for exclusions</w:t>
            </w:r>
          </w:p>
        </w:tc>
      </w:tr>
      <w:tr w:rsidR="00E47AB8" w:rsidRPr="008B2F8A" w14:paraId="6766A5A7" w14:textId="77777777" w:rsidTr="004B524B">
        <w:tc>
          <w:tcPr>
            <w:tcW w:w="0" w:type="auto"/>
            <w:gridSpan w:val="3"/>
          </w:tcPr>
          <w:p w14:paraId="259F32A5"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b/>
                <w:szCs w:val="20"/>
              </w:rPr>
              <w:t>Women with a prior history of treatment for invasive breast cancer</w:t>
            </w:r>
          </w:p>
        </w:tc>
      </w:tr>
      <w:tr w:rsidR="00E47AB8" w:rsidRPr="008B2F8A" w14:paraId="6841D229" w14:textId="77777777" w:rsidTr="004B524B">
        <w:tblPrEx>
          <w:tblLook w:val="0000" w:firstRow="0" w:lastRow="0" w:firstColumn="0" w:lastColumn="0" w:noHBand="0" w:noVBand="0"/>
        </w:tblPrEx>
        <w:tc>
          <w:tcPr>
            <w:tcW w:w="0" w:type="auto"/>
          </w:tcPr>
          <w:p w14:paraId="67EDDCF8"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Drew</w:t>
            </w:r>
            <w:bookmarkStart w:id="1488" w:name="OLE_LINK918"/>
            <w:bookmarkStart w:id="1489" w:name="OLE_LINK919"/>
            <w:r>
              <w:rPr>
                <w:szCs w:val="20"/>
              </w:rPr>
              <w:t xml:space="preserve"> et al</w:t>
            </w:r>
            <w:bookmarkEnd w:id="1488"/>
            <w:bookmarkEnd w:id="1489"/>
            <w:r>
              <w:rPr>
                <w:szCs w:val="20"/>
              </w:rPr>
              <w:t>,</w:t>
            </w:r>
            <w:r w:rsidRPr="008B2F8A">
              <w:rPr>
                <w:szCs w:val="20"/>
              </w:rPr>
              <w:t xml:space="preserve"> 1998</w:t>
            </w:r>
          </w:p>
        </w:tc>
        <w:tc>
          <w:tcPr>
            <w:tcW w:w="6005" w:type="dxa"/>
          </w:tcPr>
          <w:p w14:paraId="2B43061D" w14:textId="286567DB" w:rsidR="00E47AB8" w:rsidRPr="008B2F8A" w:rsidRDefault="00E47AB8" w:rsidP="00422306">
            <w:pPr>
              <w:pStyle w:val="Tabletext"/>
              <w:autoSpaceDE w:val="0"/>
              <w:autoSpaceDN w:val="0"/>
              <w:adjustRightInd w:val="0"/>
              <w:spacing w:before="40" w:after="80" w:line="276" w:lineRule="auto"/>
            </w:pPr>
            <w:r w:rsidRPr="008B2F8A">
              <w:t xml:space="preserve">Drew, P. et al (1998). Routine screening for local recurrence following breast-conserving therapy for cancer with dynamic contrast-enhanced magnetic resonance imaging of the breast. </w:t>
            </w:r>
            <w:r w:rsidRPr="004E7861">
              <w:t>Ann Surg Oncol</w:t>
            </w:r>
            <w:r w:rsidRPr="008B2F8A">
              <w:t xml:space="preserve">, 5(3): 265–270. </w:t>
            </w:r>
          </w:p>
        </w:tc>
        <w:tc>
          <w:tcPr>
            <w:tcW w:w="1905" w:type="dxa"/>
          </w:tcPr>
          <w:p w14:paraId="454E4F37" w14:textId="2E7C2736"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 xml:space="preserve">Patient characteristics: age: does not include women </w:t>
            </w:r>
            <w:r>
              <w:rPr>
                <w:szCs w:val="20"/>
              </w:rPr>
              <w:t>&lt;</w:t>
            </w:r>
            <w:r w:rsidRPr="008B2F8A">
              <w:rPr>
                <w:szCs w:val="20"/>
              </w:rPr>
              <w:t>50</w:t>
            </w:r>
            <w:r>
              <w:rPr>
                <w:szCs w:val="20"/>
              </w:rPr>
              <w:t xml:space="preserve"> years</w:t>
            </w:r>
          </w:p>
        </w:tc>
      </w:tr>
      <w:tr w:rsidR="00E47AB8" w:rsidRPr="008B2F8A" w14:paraId="3377D44E" w14:textId="77777777" w:rsidTr="004B524B">
        <w:tblPrEx>
          <w:tblLook w:val="0000" w:firstRow="0" w:lastRow="0" w:firstColumn="0" w:lastColumn="0" w:noHBand="0" w:noVBand="0"/>
        </w:tblPrEx>
        <w:tc>
          <w:tcPr>
            <w:tcW w:w="0" w:type="auto"/>
          </w:tcPr>
          <w:p w14:paraId="40285F4A" w14:textId="6BF91D34" w:rsidR="00E47AB8" w:rsidRPr="008B2F8A" w:rsidRDefault="00E47AB8" w:rsidP="00422306">
            <w:pPr>
              <w:pStyle w:val="TableText0"/>
              <w:keepNext w:val="0"/>
              <w:autoSpaceDE w:val="0"/>
              <w:autoSpaceDN w:val="0"/>
              <w:adjustRightInd w:val="0"/>
              <w:spacing w:before="40" w:after="80" w:line="276" w:lineRule="auto"/>
            </w:pPr>
            <w:r>
              <w:t>Schrading et al, 2008</w:t>
            </w:r>
          </w:p>
        </w:tc>
        <w:tc>
          <w:tcPr>
            <w:tcW w:w="6005" w:type="dxa"/>
          </w:tcPr>
          <w:p w14:paraId="67DC5F0A" w14:textId="77777777" w:rsidR="00E47AB8" w:rsidRPr="008B2F8A" w:rsidRDefault="00E47AB8" w:rsidP="00422306">
            <w:pPr>
              <w:pStyle w:val="TableText0"/>
              <w:keepNext w:val="0"/>
              <w:autoSpaceDE w:val="0"/>
              <w:autoSpaceDN w:val="0"/>
              <w:adjustRightInd w:val="0"/>
              <w:spacing w:before="40" w:after="80" w:line="276" w:lineRule="auto"/>
            </w:pPr>
            <w:r w:rsidRPr="008B2F8A">
              <w:rPr>
                <w:rFonts w:cs="Calibri"/>
                <w:szCs w:val="20"/>
              </w:rPr>
              <w:t>Schrading S, Kuhl CK (2008) Mammographic, U/S, and MR imaging phenotypes of familial breast cancer. Radiology 246:58–70.</w:t>
            </w:r>
          </w:p>
        </w:tc>
        <w:tc>
          <w:tcPr>
            <w:tcW w:w="1905" w:type="dxa"/>
          </w:tcPr>
          <w:p w14:paraId="0C36F594" w14:textId="77777777" w:rsidR="00E47AB8" w:rsidRPr="008B2F8A" w:rsidRDefault="00E47AB8" w:rsidP="00422306">
            <w:pPr>
              <w:pStyle w:val="TableText0"/>
              <w:keepNext w:val="0"/>
              <w:autoSpaceDE w:val="0"/>
              <w:autoSpaceDN w:val="0"/>
              <w:adjustRightInd w:val="0"/>
              <w:spacing w:before="40" w:after="80" w:line="276" w:lineRule="auto"/>
            </w:pPr>
            <w:r w:rsidRPr="008B2F8A">
              <w:t>No relevant outcomes</w:t>
            </w:r>
          </w:p>
        </w:tc>
      </w:tr>
      <w:tr w:rsidR="00E47AB8" w:rsidRPr="008B2F8A" w14:paraId="471E7AAF" w14:textId="77777777" w:rsidTr="004B524B">
        <w:tblPrEx>
          <w:tblLook w:val="0000" w:firstRow="0" w:lastRow="0" w:firstColumn="0" w:lastColumn="0" w:noHBand="0" w:noVBand="0"/>
        </w:tblPrEx>
        <w:tc>
          <w:tcPr>
            <w:tcW w:w="0" w:type="auto"/>
          </w:tcPr>
          <w:p w14:paraId="17188E41"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Brennan</w:t>
            </w:r>
            <w:r>
              <w:rPr>
                <w:szCs w:val="20"/>
              </w:rPr>
              <w:t xml:space="preserve"> et al,</w:t>
            </w:r>
            <w:r w:rsidRPr="008B2F8A">
              <w:rPr>
                <w:szCs w:val="20"/>
              </w:rPr>
              <w:t xml:space="preserve"> 2010</w:t>
            </w:r>
          </w:p>
        </w:tc>
        <w:tc>
          <w:tcPr>
            <w:tcW w:w="6005" w:type="dxa"/>
          </w:tcPr>
          <w:p w14:paraId="241605E4" w14:textId="77777777" w:rsidR="00E47AB8" w:rsidRPr="008B2F8A" w:rsidRDefault="00E47AB8" w:rsidP="00422306">
            <w:pPr>
              <w:pStyle w:val="Tabletext"/>
              <w:autoSpaceDE w:val="0"/>
              <w:autoSpaceDN w:val="0"/>
              <w:adjustRightInd w:val="0"/>
              <w:spacing w:before="40" w:after="80" w:line="276" w:lineRule="auto"/>
            </w:pPr>
            <w:r w:rsidRPr="008B2F8A">
              <w:rPr>
                <w:rFonts w:cs="Calibri"/>
                <w:szCs w:val="20"/>
              </w:rPr>
              <w:t>Brennan S, Liberman L, Dershaw DD, Morris E (2010) Breast MRI screening of women with a personal history of breast cancer. Am J Roentgenol 195:510–516.</w:t>
            </w:r>
          </w:p>
        </w:tc>
        <w:tc>
          <w:tcPr>
            <w:tcW w:w="1905" w:type="dxa"/>
          </w:tcPr>
          <w:p w14:paraId="7BECD118"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Non-comparative (MRI only)</w:t>
            </w:r>
          </w:p>
        </w:tc>
      </w:tr>
      <w:tr w:rsidR="00E47AB8" w:rsidRPr="008B2F8A" w14:paraId="6CAFB739" w14:textId="77777777" w:rsidTr="004B524B">
        <w:tblPrEx>
          <w:tblLook w:val="0000" w:firstRow="0" w:lastRow="0" w:firstColumn="0" w:lastColumn="0" w:noHBand="0" w:noVBand="0"/>
        </w:tblPrEx>
        <w:tc>
          <w:tcPr>
            <w:tcW w:w="0" w:type="auto"/>
          </w:tcPr>
          <w:p w14:paraId="775553E1" w14:textId="77777777" w:rsidR="00E47AB8" w:rsidRPr="008B2F8A" w:rsidRDefault="00E47AB8" w:rsidP="00422306">
            <w:pPr>
              <w:pStyle w:val="Tabletext"/>
              <w:autoSpaceDE w:val="0"/>
              <w:autoSpaceDN w:val="0"/>
              <w:adjustRightInd w:val="0"/>
              <w:spacing w:before="40" w:after="80" w:line="276" w:lineRule="auto"/>
              <w:rPr>
                <w:szCs w:val="20"/>
              </w:rPr>
            </w:pPr>
            <w:r w:rsidRPr="008B2F8A">
              <w:lastRenderedPageBreak/>
              <w:t>Elmore</w:t>
            </w:r>
            <w:r w:rsidRPr="00B77C90">
              <w:rPr>
                <w:szCs w:val="20"/>
              </w:rPr>
              <w:t xml:space="preserve"> &amp; Margenthaler</w:t>
            </w:r>
            <w:r>
              <w:t>,</w:t>
            </w:r>
            <w:r w:rsidRPr="008B2F8A">
              <w:t xml:space="preserve"> 2010 </w:t>
            </w:r>
          </w:p>
        </w:tc>
        <w:tc>
          <w:tcPr>
            <w:tcW w:w="6005" w:type="dxa"/>
          </w:tcPr>
          <w:p w14:paraId="1F7FC372" w14:textId="77777777" w:rsidR="00E47AB8" w:rsidRPr="008B2F8A" w:rsidRDefault="00E47AB8" w:rsidP="00422306">
            <w:pPr>
              <w:pStyle w:val="Tabletext"/>
              <w:autoSpaceDE w:val="0"/>
              <w:autoSpaceDN w:val="0"/>
              <w:adjustRightInd w:val="0"/>
              <w:spacing w:before="40" w:after="80" w:line="276" w:lineRule="auto"/>
            </w:pPr>
            <w:r w:rsidRPr="008B2F8A">
              <w:rPr>
                <w:rFonts w:cs="Calibri"/>
                <w:szCs w:val="20"/>
              </w:rPr>
              <w:t>Elmore L, Margenthaler JA (2010) Breast MRI surveillance in women with prior curative-intent therapy for breast cancer. J Surg Res 163:58–62.</w:t>
            </w:r>
          </w:p>
        </w:tc>
        <w:tc>
          <w:tcPr>
            <w:tcW w:w="1905" w:type="dxa"/>
          </w:tcPr>
          <w:p w14:paraId="0379A4B0" w14:textId="77777777"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Non-comparative (MRI only)</w:t>
            </w:r>
          </w:p>
        </w:tc>
      </w:tr>
      <w:tr w:rsidR="00E47AB8" w:rsidRPr="008B2F8A" w14:paraId="7F2F8EFB" w14:textId="77777777" w:rsidTr="004B524B">
        <w:tblPrEx>
          <w:tblLook w:val="0000" w:firstRow="0" w:lastRow="0" w:firstColumn="0" w:lastColumn="0" w:noHBand="0" w:noVBand="0"/>
        </w:tblPrEx>
        <w:tc>
          <w:tcPr>
            <w:tcW w:w="0" w:type="auto"/>
          </w:tcPr>
          <w:p w14:paraId="2C14E3E5" w14:textId="77777777" w:rsidR="00E47AB8" w:rsidRPr="008B2F8A" w:rsidRDefault="00E47AB8" w:rsidP="00422306">
            <w:pPr>
              <w:pStyle w:val="TableText0"/>
              <w:keepNext w:val="0"/>
              <w:autoSpaceDE w:val="0"/>
              <w:autoSpaceDN w:val="0"/>
              <w:adjustRightInd w:val="0"/>
              <w:spacing w:before="40" w:after="80" w:line="276" w:lineRule="auto"/>
            </w:pPr>
            <w:r w:rsidRPr="008B2F8A">
              <w:t>Elmore</w:t>
            </w:r>
            <w:r w:rsidRPr="00B77C90">
              <w:rPr>
                <w:szCs w:val="20"/>
              </w:rPr>
              <w:t xml:space="preserve"> &amp; Margenthaler</w:t>
            </w:r>
            <w:r>
              <w:t>,</w:t>
            </w:r>
            <w:r w:rsidRPr="008B2F8A">
              <w:t xml:space="preserve"> 2010 </w:t>
            </w:r>
          </w:p>
        </w:tc>
        <w:tc>
          <w:tcPr>
            <w:tcW w:w="6005" w:type="dxa"/>
          </w:tcPr>
          <w:p w14:paraId="3877881B" w14:textId="77777777" w:rsidR="00E47AB8" w:rsidRPr="008B2F8A" w:rsidRDefault="00E47AB8" w:rsidP="00422306">
            <w:pPr>
              <w:pStyle w:val="TableText0"/>
              <w:keepNext w:val="0"/>
              <w:autoSpaceDE w:val="0"/>
              <w:autoSpaceDN w:val="0"/>
              <w:adjustRightInd w:val="0"/>
              <w:spacing w:before="40" w:after="80" w:line="276" w:lineRule="auto"/>
            </w:pPr>
            <w:r w:rsidRPr="008B2F8A">
              <w:rPr>
                <w:rFonts w:cs="Calibri"/>
                <w:szCs w:val="20"/>
              </w:rPr>
              <w:t>Elmore L, Margenthaler JA (2010) Use of breast MRI surveillance in women at high risk for breast cancer: A single-institutional experience. Ann Surg Oncol 17: S263–S267.</w:t>
            </w:r>
          </w:p>
        </w:tc>
        <w:tc>
          <w:tcPr>
            <w:tcW w:w="1905" w:type="dxa"/>
          </w:tcPr>
          <w:p w14:paraId="5CAD4B53" w14:textId="77777777" w:rsidR="00E47AB8" w:rsidRPr="008B2F8A" w:rsidRDefault="00E47AB8" w:rsidP="00422306">
            <w:pPr>
              <w:pStyle w:val="TableText0"/>
              <w:keepNext w:val="0"/>
              <w:autoSpaceDE w:val="0"/>
              <w:autoSpaceDN w:val="0"/>
              <w:adjustRightInd w:val="0"/>
              <w:spacing w:before="40" w:after="80" w:line="276" w:lineRule="auto"/>
            </w:pPr>
            <w:r w:rsidRPr="008B2F8A">
              <w:rPr>
                <w:szCs w:val="20"/>
              </w:rPr>
              <w:t>Non-comparative (MRI only)</w:t>
            </w:r>
          </w:p>
        </w:tc>
      </w:tr>
      <w:tr w:rsidR="00E47AB8" w:rsidRPr="008B2F8A" w14:paraId="73D17983" w14:textId="77777777" w:rsidTr="004B524B">
        <w:tblPrEx>
          <w:tblLook w:val="0000" w:firstRow="0" w:lastRow="0" w:firstColumn="0" w:lastColumn="0" w:noHBand="0" w:noVBand="0"/>
        </w:tblPrEx>
        <w:tc>
          <w:tcPr>
            <w:tcW w:w="0" w:type="auto"/>
          </w:tcPr>
          <w:p w14:paraId="5E8D3F99" w14:textId="77777777" w:rsidR="00E47AB8" w:rsidRPr="008B2F8A" w:rsidRDefault="00E47AB8" w:rsidP="00422306">
            <w:pPr>
              <w:pStyle w:val="TableText0"/>
              <w:keepNext w:val="0"/>
              <w:autoSpaceDE w:val="0"/>
              <w:autoSpaceDN w:val="0"/>
              <w:adjustRightInd w:val="0"/>
              <w:spacing w:before="40" w:after="80" w:line="276" w:lineRule="auto"/>
            </w:pPr>
            <w:r w:rsidRPr="008B2F8A">
              <w:t>Preda</w:t>
            </w:r>
            <w:r>
              <w:rPr>
                <w:szCs w:val="20"/>
              </w:rPr>
              <w:t xml:space="preserve"> et al</w:t>
            </w:r>
            <w:r>
              <w:t>,</w:t>
            </w:r>
            <w:r w:rsidRPr="008B2F8A">
              <w:t xml:space="preserve"> 2006</w:t>
            </w:r>
          </w:p>
        </w:tc>
        <w:tc>
          <w:tcPr>
            <w:tcW w:w="6005" w:type="dxa"/>
          </w:tcPr>
          <w:p w14:paraId="6BCDB9B4" w14:textId="77777777" w:rsidR="00E47AB8" w:rsidRPr="008B2F8A" w:rsidRDefault="00E47AB8" w:rsidP="00422306">
            <w:pPr>
              <w:pStyle w:val="TableText0"/>
              <w:keepNext w:val="0"/>
              <w:autoSpaceDE w:val="0"/>
              <w:autoSpaceDN w:val="0"/>
              <w:adjustRightInd w:val="0"/>
              <w:spacing w:before="40" w:after="80" w:line="276" w:lineRule="auto"/>
            </w:pPr>
            <w:r w:rsidRPr="008B2F8A">
              <w:rPr>
                <w:rFonts w:cs="Calibri"/>
                <w:szCs w:val="20"/>
              </w:rPr>
              <w:t>Preda L, Villa G, Rizzo S, Bazzi L, Origgi D, Cassano E, Bellomi M (2006) Magnetic resonance mammography in the evaluation of recurrence at the prior lumpectomy site after conservative surgery and radiotherapy. Breast Cancer Res 8.</w:t>
            </w:r>
          </w:p>
        </w:tc>
        <w:tc>
          <w:tcPr>
            <w:tcW w:w="1905" w:type="dxa"/>
          </w:tcPr>
          <w:p w14:paraId="4E5A2886" w14:textId="4EE244E2" w:rsidR="00E47AB8" w:rsidRPr="008B2F8A" w:rsidRDefault="00E47AB8">
            <w:pPr>
              <w:pStyle w:val="TableText0"/>
              <w:keepNext w:val="0"/>
              <w:autoSpaceDE w:val="0"/>
              <w:autoSpaceDN w:val="0"/>
              <w:adjustRightInd w:val="0"/>
              <w:spacing w:before="40" w:after="80" w:line="276" w:lineRule="auto"/>
            </w:pPr>
            <w:r w:rsidRPr="008B2F8A">
              <w:t>Wrong comparator (MRI compared with histology)</w:t>
            </w:r>
          </w:p>
        </w:tc>
      </w:tr>
      <w:tr w:rsidR="00E47AB8" w:rsidRPr="008B2F8A" w14:paraId="65D40ED2" w14:textId="77777777" w:rsidTr="004B524B">
        <w:tblPrEx>
          <w:tblLook w:val="0000" w:firstRow="0" w:lastRow="0" w:firstColumn="0" w:lastColumn="0" w:noHBand="0" w:noVBand="0"/>
        </w:tblPrEx>
        <w:tc>
          <w:tcPr>
            <w:tcW w:w="0" w:type="auto"/>
          </w:tcPr>
          <w:p w14:paraId="462F98D1" w14:textId="77777777" w:rsidR="00E47AB8" w:rsidRPr="008B2F8A" w:rsidRDefault="00E47AB8" w:rsidP="00422306">
            <w:pPr>
              <w:pStyle w:val="TableText0"/>
              <w:keepNext w:val="0"/>
              <w:autoSpaceDE w:val="0"/>
              <w:autoSpaceDN w:val="0"/>
              <w:adjustRightInd w:val="0"/>
              <w:spacing w:before="40" w:after="80" w:line="276" w:lineRule="auto"/>
            </w:pPr>
            <w:r w:rsidRPr="008B2F8A">
              <w:t>Price</w:t>
            </w:r>
            <w:r>
              <w:rPr>
                <w:szCs w:val="20"/>
              </w:rPr>
              <w:t xml:space="preserve"> et al</w:t>
            </w:r>
            <w:r>
              <w:t>,</w:t>
            </w:r>
            <w:r w:rsidRPr="008B2F8A">
              <w:t xml:space="preserve"> 2009</w:t>
            </w:r>
          </w:p>
        </w:tc>
        <w:tc>
          <w:tcPr>
            <w:tcW w:w="6005" w:type="dxa"/>
          </w:tcPr>
          <w:p w14:paraId="2B065814" w14:textId="77777777" w:rsidR="00E47AB8" w:rsidRPr="008B2F8A" w:rsidRDefault="00E47AB8" w:rsidP="00422306">
            <w:pPr>
              <w:pStyle w:val="TableText0"/>
              <w:keepNext w:val="0"/>
              <w:autoSpaceDE w:val="0"/>
              <w:autoSpaceDN w:val="0"/>
              <w:adjustRightInd w:val="0"/>
              <w:spacing w:before="40" w:after="80" w:line="276" w:lineRule="auto"/>
            </w:pPr>
            <w:r w:rsidRPr="008B2F8A">
              <w:rPr>
                <w:rFonts w:cs="Calibri"/>
                <w:szCs w:val="20"/>
              </w:rPr>
              <w:t>Price J, Chen S (2009) Screening for breast cancer with MRI: Recent experience from the Australian Capital Territory. J Med Imaging Radiat Oncol 53:69–80.</w:t>
            </w:r>
          </w:p>
        </w:tc>
        <w:tc>
          <w:tcPr>
            <w:tcW w:w="1905" w:type="dxa"/>
          </w:tcPr>
          <w:p w14:paraId="2D6DBC0D" w14:textId="77777777" w:rsidR="00E47AB8" w:rsidRPr="008B2F8A" w:rsidRDefault="00E47AB8" w:rsidP="00422306">
            <w:pPr>
              <w:pStyle w:val="TableText0"/>
              <w:keepNext w:val="0"/>
              <w:autoSpaceDE w:val="0"/>
              <w:autoSpaceDN w:val="0"/>
              <w:adjustRightInd w:val="0"/>
              <w:spacing w:before="40" w:after="80" w:line="276" w:lineRule="auto"/>
            </w:pPr>
            <w:r w:rsidRPr="008B2F8A">
              <w:rPr>
                <w:szCs w:val="20"/>
              </w:rPr>
              <w:t>Non-comparative (MRI only)</w:t>
            </w:r>
          </w:p>
        </w:tc>
      </w:tr>
      <w:tr w:rsidR="00E47AB8" w:rsidRPr="008B2F8A" w14:paraId="62B28F7B" w14:textId="77777777" w:rsidTr="004B524B">
        <w:tblPrEx>
          <w:tblLook w:val="0000" w:firstRow="0" w:lastRow="0" w:firstColumn="0" w:lastColumn="0" w:noHBand="0" w:noVBand="0"/>
        </w:tblPrEx>
        <w:tc>
          <w:tcPr>
            <w:tcW w:w="0" w:type="auto"/>
          </w:tcPr>
          <w:p w14:paraId="13496ECD" w14:textId="597968A4" w:rsidR="00E47AB8" w:rsidRPr="008B2F8A" w:rsidRDefault="00E47AB8" w:rsidP="00422306">
            <w:pPr>
              <w:pStyle w:val="Tabletext"/>
              <w:autoSpaceDE w:val="0"/>
              <w:autoSpaceDN w:val="0"/>
              <w:adjustRightInd w:val="0"/>
              <w:spacing w:before="40" w:after="80" w:line="276" w:lineRule="auto"/>
              <w:rPr>
                <w:szCs w:val="20"/>
              </w:rPr>
            </w:pPr>
            <w:r>
              <w:rPr>
                <w:szCs w:val="20"/>
              </w:rPr>
              <w:t>Sardanelli et al, 2011</w:t>
            </w:r>
          </w:p>
        </w:tc>
        <w:tc>
          <w:tcPr>
            <w:tcW w:w="6005" w:type="dxa"/>
          </w:tcPr>
          <w:p w14:paraId="032C6027" w14:textId="21B053EA" w:rsidR="00E47AB8" w:rsidRPr="008B2F8A" w:rsidRDefault="00E47AB8" w:rsidP="00422306">
            <w:pPr>
              <w:pStyle w:val="Tabletext"/>
              <w:autoSpaceDE w:val="0"/>
              <w:autoSpaceDN w:val="0"/>
              <w:adjustRightInd w:val="0"/>
              <w:spacing w:before="40" w:after="80" w:line="276" w:lineRule="auto"/>
              <w:rPr>
                <w:szCs w:val="20"/>
              </w:rPr>
            </w:pPr>
            <w:r w:rsidRPr="008B2F8A">
              <w:rPr>
                <w:szCs w:val="20"/>
              </w:rPr>
              <w:t xml:space="preserve">Sardanelli, F. et al (2011) Multicenter surveillance of women at high genetic breast cancer risk using mammography, ultrasonography, and contrast-enhanced magnetic resonance imaging (the High Breast Cancer Risk Italian 1 Study). </w:t>
            </w:r>
            <w:r w:rsidRPr="004E7861">
              <w:rPr>
                <w:szCs w:val="20"/>
              </w:rPr>
              <w:t>Investigative Radiol</w:t>
            </w:r>
            <w:r w:rsidRPr="008B2F8A">
              <w:rPr>
                <w:szCs w:val="20"/>
              </w:rPr>
              <w:t>, vol. 46, no. 2, pp. 94–105.</w:t>
            </w:r>
          </w:p>
          <w:p w14:paraId="58717C0D" w14:textId="049006E9" w:rsidR="00E47AB8" w:rsidRPr="008B2F8A" w:rsidRDefault="00E47AB8" w:rsidP="00422306">
            <w:pPr>
              <w:pStyle w:val="Tabletext"/>
              <w:autoSpaceDE w:val="0"/>
              <w:autoSpaceDN w:val="0"/>
              <w:adjustRightInd w:val="0"/>
              <w:spacing w:before="40" w:after="80" w:line="276" w:lineRule="auto"/>
              <w:rPr>
                <w:szCs w:val="20"/>
              </w:rPr>
            </w:pPr>
            <w:r w:rsidRPr="008B2F8A">
              <w:rPr>
                <w:rFonts w:cs="Calibri"/>
                <w:szCs w:val="20"/>
              </w:rPr>
              <w:t xml:space="preserve">Included in </w:t>
            </w:r>
            <w:r>
              <w:rPr>
                <w:rFonts w:cs="Calibri"/>
                <w:szCs w:val="20"/>
              </w:rPr>
              <w:t>NICE, 2013</w:t>
            </w:r>
            <w:r w:rsidRPr="008B2F8A">
              <w:rPr>
                <w:rFonts w:cs="Calibri"/>
                <w:szCs w:val="20"/>
              </w:rPr>
              <w:t>: Familial breast cancer: classification and care of women at risk of familial breast cancer and management of breast cancer and related risks in people with a family history of breast cancer (June 2013); update of clinical guideline 14 and 41.</w:t>
            </w:r>
          </w:p>
        </w:tc>
        <w:tc>
          <w:tcPr>
            <w:tcW w:w="1905" w:type="dxa"/>
          </w:tcPr>
          <w:p w14:paraId="14B0EE4C" w14:textId="2465D663"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 xml:space="preserve">Wrong patient group—all women also had high </w:t>
            </w:r>
            <w:r>
              <w:rPr>
                <w:szCs w:val="20"/>
              </w:rPr>
              <w:t>familial</w:t>
            </w:r>
            <w:r w:rsidRPr="008B2F8A">
              <w:rPr>
                <w:szCs w:val="20"/>
              </w:rPr>
              <w:t xml:space="preserve"> risk (included for interim item indication)</w:t>
            </w:r>
          </w:p>
        </w:tc>
      </w:tr>
      <w:tr w:rsidR="00E47AB8" w:rsidRPr="008B2F8A" w14:paraId="2065CDA7" w14:textId="77777777" w:rsidTr="004B524B">
        <w:tc>
          <w:tcPr>
            <w:tcW w:w="0" w:type="auto"/>
            <w:gridSpan w:val="3"/>
          </w:tcPr>
          <w:p w14:paraId="77375286"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b/>
                <w:szCs w:val="20"/>
              </w:rPr>
              <w:t>Women with a prior history of treatment for DCIS or LCIS</w:t>
            </w:r>
          </w:p>
        </w:tc>
      </w:tr>
      <w:tr w:rsidR="00E47AB8" w:rsidRPr="008B2F8A" w14:paraId="1C37048B" w14:textId="77777777" w:rsidTr="004B524B">
        <w:tc>
          <w:tcPr>
            <w:tcW w:w="0" w:type="auto"/>
          </w:tcPr>
          <w:p w14:paraId="7C8F3397" w14:textId="77777777" w:rsidR="00E47AB8" w:rsidRPr="008B2F8A" w:rsidRDefault="00E47AB8" w:rsidP="00422306">
            <w:pPr>
              <w:pStyle w:val="TableText0"/>
              <w:keepNext w:val="0"/>
              <w:autoSpaceDE w:val="0"/>
              <w:autoSpaceDN w:val="0"/>
              <w:adjustRightInd w:val="0"/>
              <w:spacing w:before="40" w:after="80" w:line="276" w:lineRule="auto"/>
              <w:rPr>
                <w:szCs w:val="20"/>
              </w:rPr>
            </w:pPr>
            <w:bookmarkStart w:id="1490" w:name="OLE_LINK922"/>
            <w:bookmarkStart w:id="1491" w:name="OLE_LINK923"/>
            <w:r w:rsidRPr="008B2F8A">
              <w:rPr>
                <w:szCs w:val="20"/>
              </w:rPr>
              <w:t>Port</w:t>
            </w:r>
            <w:r>
              <w:rPr>
                <w:szCs w:val="20"/>
              </w:rPr>
              <w:t xml:space="preserve"> et al,</w:t>
            </w:r>
            <w:r w:rsidRPr="008B2F8A">
              <w:rPr>
                <w:szCs w:val="20"/>
              </w:rPr>
              <w:t xml:space="preserve"> 2007</w:t>
            </w:r>
            <w:bookmarkEnd w:id="1490"/>
            <w:bookmarkEnd w:id="1491"/>
          </w:p>
        </w:tc>
        <w:tc>
          <w:tcPr>
            <w:tcW w:w="6005" w:type="dxa"/>
          </w:tcPr>
          <w:p w14:paraId="1CBB2357" w14:textId="5403AEA2" w:rsidR="00E47AB8" w:rsidRPr="008B2F8A" w:rsidRDefault="00E47AB8" w:rsidP="00422306">
            <w:pPr>
              <w:pStyle w:val="TableText0"/>
              <w:keepNext w:val="0"/>
              <w:autoSpaceDE w:val="0"/>
              <w:autoSpaceDN w:val="0"/>
              <w:adjustRightInd w:val="0"/>
              <w:spacing w:before="40" w:after="80" w:line="276" w:lineRule="auto"/>
              <w:rPr>
                <w:szCs w:val="20"/>
              </w:rPr>
            </w:pPr>
            <w:r w:rsidRPr="008B2F8A">
              <w:rPr>
                <w:rFonts w:cs="Calibri"/>
                <w:szCs w:val="20"/>
              </w:rPr>
              <w:t>Port ER, Park A, Borgen PI, Morris E, Montgomery LL (2007) Results of MRI screening for breast cancer in high-risk patients with LCIS and atypical hyperplasia. Ann Surg Oncol 14:1051–1057</w:t>
            </w:r>
          </w:p>
        </w:tc>
        <w:tc>
          <w:tcPr>
            <w:tcW w:w="1905" w:type="dxa"/>
          </w:tcPr>
          <w:p w14:paraId="52478145" w14:textId="77777777" w:rsidR="00E47AB8" w:rsidRPr="008B2F8A" w:rsidRDefault="00E47AB8" w:rsidP="00422306">
            <w:pPr>
              <w:pStyle w:val="TableText0"/>
              <w:keepNext w:val="0"/>
              <w:autoSpaceDE w:val="0"/>
              <w:autoSpaceDN w:val="0"/>
              <w:adjustRightInd w:val="0"/>
              <w:spacing w:before="40" w:after="80" w:line="276" w:lineRule="auto"/>
            </w:pPr>
            <w:r w:rsidRPr="008B2F8A">
              <w:t>Study type: non-comparative</w:t>
            </w:r>
          </w:p>
        </w:tc>
      </w:tr>
      <w:tr w:rsidR="00E47AB8" w:rsidRPr="008B2F8A" w14:paraId="32090BB3" w14:textId="77777777" w:rsidTr="004B524B">
        <w:tc>
          <w:tcPr>
            <w:tcW w:w="0" w:type="auto"/>
            <w:gridSpan w:val="3"/>
          </w:tcPr>
          <w:p w14:paraId="05B5FF1F" w14:textId="2C4F5FC2" w:rsidR="00E47AB8" w:rsidRPr="008B2F8A" w:rsidRDefault="00E47AB8" w:rsidP="004E7861">
            <w:pPr>
              <w:pStyle w:val="TableText0"/>
              <w:keepNext w:val="0"/>
              <w:autoSpaceDE w:val="0"/>
              <w:autoSpaceDN w:val="0"/>
              <w:adjustRightInd w:val="0"/>
              <w:spacing w:before="40" w:after="80" w:line="276" w:lineRule="auto"/>
              <w:rPr>
                <w:szCs w:val="20"/>
              </w:rPr>
            </w:pPr>
            <w:r w:rsidRPr="008B2F8A">
              <w:rPr>
                <w:b/>
                <w:szCs w:val="20"/>
              </w:rPr>
              <w:t>Women with a history of chest irradiation between the ages of 10 and 35 years</w:t>
            </w:r>
          </w:p>
        </w:tc>
      </w:tr>
      <w:tr w:rsidR="00E47AB8" w:rsidRPr="008B2F8A" w14:paraId="28E61099" w14:textId="77777777" w:rsidTr="004B524B">
        <w:tblPrEx>
          <w:tblLook w:val="0000" w:firstRow="0" w:lastRow="0" w:firstColumn="0" w:lastColumn="0" w:noHBand="0" w:noVBand="0"/>
        </w:tblPrEx>
        <w:tc>
          <w:tcPr>
            <w:tcW w:w="0" w:type="auto"/>
          </w:tcPr>
          <w:p w14:paraId="201297CA"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Terenziani</w:t>
            </w:r>
            <w:r>
              <w:rPr>
                <w:szCs w:val="20"/>
              </w:rPr>
              <w:t xml:space="preserve"> et al,</w:t>
            </w:r>
            <w:r w:rsidRPr="008B2F8A">
              <w:rPr>
                <w:szCs w:val="20"/>
              </w:rPr>
              <w:t xml:space="preserve"> 2013</w:t>
            </w:r>
          </w:p>
        </w:tc>
        <w:tc>
          <w:tcPr>
            <w:tcW w:w="6005" w:type="dxa"/>
          </w:tcPr>
          <w:p w14:paraId="0455D7FC"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rFonts w:cs="Calibri"/>
                <w:szCs w:val="20"/>
              </w:rPr>
              <w:t>Terenziani M, Casalini P, Scaperrotta G, Gandola L, Trecate G, Catania S, Cefalo G, Conti A, Massimino M, Meazza C, Podda M, Spreafico F, Suman L, Gennaro M (2013) Occurrence of breast cancer after chest wall irradiation for pediatric cancer, as detected by a multimodal screening program. Int J Radiat Oncol Biol Phys 85:35–39.</w:t>
            </w:r>
          </w:p>
        </w:tc>
        <w:tc>
          <w:tcPr>
            <w:tcW w:w="1905" w:type="dxa"/>
          </w:tcPr>
          <w:p w14:paraId="6C4B897A" w14:textId="7C196652" w:rsidR="00E47AB8" w:rsidRPr="008B2F8A" w:rsidRDefault="00E47AB8" w:rsidP="00422306">
            <w:pPr>
              <w:pStyle w:val="TableText0"/>
              <w:keepNext w:val="0"/>
              <w:autoSpaceDE w:val="0"/>
              <w:autoSpaceDN w:val="0"/>
              <w:adjustRightInd w:val="0"/>
              <w:spacing w:before="40" w:after="80" w:line="276" w:lineRule="auto"/>
              <w:rPr>
                <w:rFonts w:cs="Calibri"/>
                <w:szCs w:val="20"/>
              </w:rPr>
            </w:pPr>
            <w:r w:rsidRPr="008B2F8A">
              <w:rPr>
                <w:rFonts w:cs="Calibri"/>
                <w:szCs w:val="20"/>
              </w:rPr>
              <w:t>Wrong intervention: MRI introduced late</w:t>
            </w:r>
            <w:r>
              <w:rPr>
                <w:rFonts w:cs="Calibri"/>
                <w:szCs w:val="20"/>
              </w:rPr>
              <w:t>,</w:t>
            </w:r>
            <w:r w:rsidRPr="008B2F8A">
              <w:rPr>
                <w:rFonts w:cs="Calibri"/>
                <w:szCs w:val="20"/>
              </w:rPr>
              <w:t xml:space="preserve"> and how many women had MRI </w:t>
            </w:r>
            <w:r>
              <w:rPr>
                <w:rFonts w:cs="Calibri"/>
                <w:szCs w:val="20"/>
              </w:rPr>
              <w:t xml:space="preserve">was </w:t>
            </w:r>
            <w:r w:rsidRPr="008B2F8A">
              <w:rPr>
                <w:rFonts w:cs="Calibri"/>
                <w:szCs w:val="20"/>
              </w:rPr>
              <w:t>not reported</w:t>
            </w:r>
          </w:p>
        </w:tc>
      </w:tr>
      <w:tr w:rsidR="00E47AB8" w:rsidRPr="008B2F8A" w14:paraId="2718C13A" w14:textId="77777777" w:rsidTr="004B524B">
        <w:tblPrEx>
          <w:tblLook w:val="0000" w:firstRow="0" w:lastRow="0" w:firstColumn="0" w:lastColumn="0" w:noHBand="0" w:noVBand="0"/>
        </w:tblPrEx>
        <w:tc>
          <w:tcPr>
            <w:tcW w:w="0" w:type="auto"/>
          </w:tcPr>
          <w:p w14:paraId="1D177A0D"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 xml:space="preserve">Lee </w:t>
            </w:r>
            <w:r>
              <w:rPr>
                <w:szCs w:val="20"/>
              </w:rPr>
              <w:t>et al,</w:t>
            </w:r>
            <w:r w:rsidRPr="008B2F8A">
              <w:rPr>
                <w:szCs w:val="20"/>
              </w:rPr>
              <w:t xml:space="preserve"> 2008</w:t>
            </w:r>
          </w:p>
        </w:tc>
        <w:tc>
          <w:tcPr>
            <w:tcW w:w="6005" w:type="dxa"/>
          </w:tcPr>
          <w:p w14:paraId="28B20E9B"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rFonts w:cs="Calibri"/>
                <w:szCs w:val="20"/>
              </w:rPr>
              <w:t>Lee L, Pintilie M, Hodgson DC, Goss PE, Crump M (2008) Screening mammography for young women treated with supradiaphragmatic radiation for Hodgkin’s lymphoma. Ann Oncol 19:62–67.</w:t>
            </w:r>
          </w:p>
        </w:tc>
        <w:tc>
          <w:tcPr>
            <w:tcW w:w="1905" w:type="dxa"/>
          </w:tcPr>
          <w:p w14:paraId="51E70788"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Wrong intervention: &lt;20 women received MRI</w:t>
            </w:r>
          </w:p>
        </w:tc>
      </w:tr>
      <w:tr w:rsidR="00E47AB8" w:rsidRPr="008B2F8A" w14:paraId="169EE327" w14:textId="77777777" w:rsidTr="004B524B">
        <w:tblPrEx>
          <w:tblLook w:val="0000" w:firstRow="0" w:lastRow="0" w:firstColumn="0" w:lastColumn="0" w:noHBand="0" w:noVBand="0"/>
        </w:tblPrEx>
        <w:tc>
          <w:tcPr>
            <w:tcW w:w="0" w:type="auto"/>
          </w:tcPr>
          <w:p w14:paraId="7BB99938"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szCs w:val="20"/>
              </w:rPr>
              <w:t xml:space="preserve">Hudson </w:t>
            </w:r>
            <w:r>
              <w:rPr>
                <w:szCs w:val="20"/>
              </w:rPr>
              <w:t>et al,</w:t>
            </w:r>
            <w:r w:rsidRPr="008B2F8A">
              <w:rPr>
                <w:szCs w:val="20"/>
              </w:rPr>
              <w:t xml:space="preserve"> 2011</w:t>
            </w:r>
          </w:p>
        </w:tc>
        <w:tc>
          <w:tcPr>
            <w:tcW w:w="6005" w:type="dxa"/>
          </w:tcPr>
          <w:p w14:paraId="1A3800AB" w14:textId="77777777" w:rsidR="00E47AB8" w:rsidRPr="008B2F8A" w:rsidRDefault="00E47AB8" w:rsidP="00422306">
            <w:pPr>
              <w:pStyle w:val="TableText0"/>
              <w:keepNext w:val="0"/>
              <w:autoSpaceDE w:val="0"/>
              <w:autoSpaceDN w:val="0"/>
              <w:adjustRightInd w:val="0"/>
              <w:spacing w:before="40" w:after="80" w:line="276" w:lineRule="auto"/>
              <w:rPr>
                <w:szCs w:val="20"/>
              </w:rPr>
            </w:pPr>
            <w:r w:rsidRPr="008B2F8A">
              <w:rPr>
                <w:rFonts w:cs="Calibri"/>
                <w:szCs w:val="20"/>
              </w:rPr>
              <w:t>Hudson MM, Metzger ML, Howard SC, Krasin M, Pai-Panandiker A, Li C, Srivastava DK, Robison L (2011) Mammography and magnetic resonance imaging for breast cancer surveillance in female survivors for pediatric Hodgkin lymphoma treated with chest radiation. Pediatr Blood Cancer 56:893.</w:t>
            </w:r>
          </w:p>
        </w:tc>
        <w:tc>
          <w:tcPr>
            <w:tcW w:w="1905" w:type="dxa"/>
          </w:tcPr>
          <w:p w14:paraId="717E5564" w14:textId="77777777" w:rsidR="00E47AB8" w:rsidRPr="008B2F8A" w:rsidRDefault="00E47AB8" w:rsidP="00422306">
            <w:pPr>
              <w:pStyle w:val="TableText0"/>
              <w:keepNext w:val="0"/>
              <w:autoSpaceDE w:val="0"/>
              <w:autoSpaceDN w:val="0"/>
              <w:adjustRightInd w:val="0"/>
              <w:spacing w:before="40" w:after="80" w:line="276" w:lineRule="auto"/>
              <w:rPr>
                <w:rFonts w:cs="Calibri"/>
                <w:szCs w:val="20"/>
              </w:rPr>
            </w:pPr>
            <w:r w:rsidRPr="008B2F8A">
              <w:rPr>
                <w:rFonts w:cs="Calibri"/>
                <w:szCs w:val="20"/>
              </w:rPr>
              <w:t>Study type: abstract only</w:t>
            </w:r>
          </w:p>
        </w:tc>
      </w:tr>
    </w:tbl>
    <w:p w14:paraId="687D1287" w14:textId="77777777" w:rsidR="00E47AB8" w:rsidRPr="008B2F8A" w:rsidRDefault="00E47AB8" w:rsidP="00422306"/>
    <w:p w14:paraId="213CAA33" w14:textId="77777777" w:rsidR="00E47AB8" w:rsidRPr="008B2F8A" w:rsidRDefault="00E47AB8" w:rsidP="00422306">
      <w:pPr>
        <w:rPr>
          <w:lang w:eastAsia="en-AU"/>
        </w:rPr>
        <w:sectPr w:rsidR="00E47AB8" w:rsidRPr="008B2F8A" w:rsidSect="00422306">
          <w:headerReference w:type="default" r:id="rId76"/>
          <w:footerReference w:type="default" r:id="rId77"/>
          <w:pgSz w:w="11906" w:h="16838"/>
          <w:pgMar w:top="1418" w:right="1418" w:bottom="1418" w:left="1418" w:header="720" w:footer="720" w:gutter="0"/>
          <w:paperSrc w:first="7" w:other="7"/>
          <w:cols w:space="720"/>
          <w:docGrid w:linePitch="299"/>
        </w:sectPr>
      </w:pPr>
    </w:p>
    <w:p w14:paraId="2F5A223F" w14:textId="77777777" w:rsidR="00E47AB8" w:rsidRPr="008B2F8A" w:rsidRDefault="00E47AB8" w:rsidP="00422306">
      <w:pPr>
        <w:pStyle w:val="Heading1"/>
        <w:numPr>
          <w:ilvl w:val="0"/>
          <w:numId w:val="0"/>
        </w:numPr>
      </w:pPr>
      <w:bookmarkStart w:id="1492" w:name="_Ref374610455"/>
      <w:bookmarkStart w:id="1493" w:name="_Ref374610438"/>
      <w:bookmarkStart w:id="1494" w:name="_Toc383424547"/>
      <w:bookmarkStart w:id="1495" w:name="_Toc214339205"/>
      <w:bookmarkEnd w:id="1486"/>
      <w:bookmarkEnd w:id="1487"/>
      <w:r w:rsidRPr="008B2F8A">
        <w:lastRenderedPageBreak/>
        <w:t xml:space="preserve">Appendix </w:t>
      </w:r>
      <w:fldSimple w:instr=" SEQ Appendix \* ARABIC ">
        <w:r w:rsidR="00B81273">
          <w:rPr>
            <w:noProof/>
          </w:rPr>
          <w:t>3</w:t>
        </w:r>
      </w:fldSimple>
      <w:bookmarkEnd w:id="1492"/>
      <w:r w:rsidRPr="008B2F8A">
        <w:t>: Survival outcomes</w:t>
      </w:r>
      <w:bookmarkEnd w:id="1493"/>
      <w:bookmarkEnd w:id="1494"/>
    </w:p>
    <w:p w14:paraId="2FE09BD0" w14:textId="5DECC0DA" w:rsidR="00E47AB8" w:rsidRPr="008B2F8A" w:rsidRDefault="00E47AB8" w:rsidP="00422306">
      <w:r w:rsidRPr="008B2F8A">
        <w:t xml:space="preserve">Three studies reported survival outcomes for women at high familial risk of breast cancer diagnosed in a MRI surveillance program. Two of these are long-term follow-up studies of included diagnostic accuracy studies </w:t>
      </w:r>
      <w:r w:rsidRPr="008B2F8A">
        <w:rPr>
          <w:noProof/>
        </w:rPr>
        <w:t>(</w:t>
      </w:r>
      <w:bookmarkStart w:id="1496" w:name="OLE_LINK926"/>
      <w:bookmarkStart w:id="1497" w:name="OLE_LINK927"/>
      <w:r w:rsidRPr="008B2F8A">
        <w:rPr>
          <w:noProof/>
        </w:rPr>
        <w:t>Passaperuma et al, 2012; Rijnsburger et al, 2010</w:t>
      </w:r>
      <w:bookmarkEnd w:id="1496"/>
      <w:bookmarkEnd w:id="1497"/>
      <w:r w:rsidRPr="008B2F8A">
        <w:rPr>
          <w:noProof/>
        </w:rPr>
        <w:t>)</w:t>
      </w:r>
      <w:r w:rsidRPr="008B2F8A">
        <w:t xml:space="preserve">. </w:t>
      </w:r>
      <w:bookmarkStart w:id="1498" w:name="OLE_LINK179"/>
      <w:r w:rsidRPr="008B2F8A">
        <w:t xml:space="preserve">Passaperuma </w:t>
      </w:r>
      <w:bookmarkEnd w:id="1498"/>
      <w:r>
        <w:t xml:space="preserve">et al </w:t>
      </w:r>
      <w:r w:rsidRPr="008B2F8A">
        <w:rPr>
          <w:noProof/>
        </w:rPr>
        <w:t>(2012)</w:t>
      </w:r>
      <w:r w:rsidRPr="008B2F8A">
        <w:t xml:space="preserve"> reported 28 invasive breast cancers in </w:t>
      </w:r>
      <w:r w:rsidRPr="008B2F8A">
        <w:rPr>
          <w:i/>
        </w:rPr>
        <w:t>BRCA1/2</w:t>
      </w:r>
      <w:r w:rsidRPr="008B2F8A">
        <w:t xml:space="preserve"> carriers with no previous history of breast or ovarian cancer. At a median follow-up of 8.4 years, one woman had died of the disease, an overall distant recurrence rate of 3.6%. Rijnsburger </w:t>
      </w:r>
      <w:r>
        <w:t xml:space="preserve">et al </w:t>
      </w:r>
      <w:r w:rsidRPr="008B2F8A">
        <w:rPr>
          <w:noProof/>
        </w:rPr>
        <w:t>(2010)</w:t>
      </w:r>
      <w:r w:rsidRPr="008B2F8A">
        <w:t xml:space="preserve"> reported </w:t>
      </w:r>
      <w:r>
        <w:t xml:space="preserve">that </w:t>
      </w:r>
      <w:r w:rsidRPr="008B2F8A">
        <w:t>at a median follow-up of 5.0 years, 11 of 93 patients with breast cancer developed a recurrence (7 o</w:t>
      </w:r>
      <w:r w:rsidR="00F56FD1">
        <w:t>f</w:t>
      </w:r>
      <w:r w:rsidRPr="008B2F8A">
        <w:t xml:space="preserve"> 11 with a gene mutation), distant metastasis occurred in five patients (all with a gene mutation) and four patients died of the disease. The cumulative distant metastasis</w:t>
      </w:r>
      <w:r>
        <w:t>-</w:t>
      </w:r>
      <w:r w:rsidRPr="008B2F8A">
        <w:t xml:space="preserve">free and overall survival at 6 years in the 42 </w:t>
      </w:r>
      <w:r w:rsidRPr="008B2F8A">
        <w:rPr>
          <w:i/>
        </w:rPr>
        <w:t>BRCA1/2</w:t>
      </w:r>
      <w:r w:rsidRPr="008B2F8A">
        <w:t xml:space="preserve"> mutation carriers with invasive cancer </w:t>
      </w:r>
      <w:r>
        <w:t>was</w:t>
      </w:r>
      <w:r w:rsidRPr="008B2F8A">
        <w:t xml:space="preserve"> 83.9% (95% CI 64.1%–93.3%) and 92.7% (95% CI 79.0%–97.6%).</w:t>
      </w:r>
    </w:p>
    <w:p w14:paraId="56C634A2" w14:textId="55720EBF" w:rsidR="00E47AB8" w:rsidRPr="008B2F8A" w:rsidRDefault="00E47AB8" w:rsidP="00422306">
      <w:r w:rsidRPr="008B2F8A">
        <w:t xml:space="preserve">Rijnsburger </w:t>
      </w:r>
      <w:r>
        <w:t xml:space="preserve">et al </w:t>
      </w:r>
      <w:r w:rsidRPr="008B2F8A">
        <w:t xml:space="preserve">(2010) also observed worse prognostic outcomes for </w:t>
      </w:r>
      <w:r w:rsidRPr="008B2F8A">
        <w:rPr>
          <w:i/>
        </w:rPr>
        <w:t>BRCA1</w:t>
      </w:r>
      <w:r w:rsidRPr="008B2F8A">
        <w:t xml:space="preserve"> carriers than </w:t>
      </w:r>
      <w:r>
        <w:t xml:space="preserve">for </w:t>
      </w:r>
      <w:r w:rsidRPr="008B2F8A">
        <w:rPr>
          <w:i/>
        </w:rPr>
        <w:t>BRCA2</w:t>
      </w:r>
      <w:r w:rsidRPr="008B2F8A">
        <w:t xml:space="preserve"> </w:t>
      </w:r>
      <w:r>
        <w:t xml:space="preserve">carriers </w:t>
      </w:r>
      <w:r w:rsidRPr="008B2F8A">
        <w:t xml:space="preserve">and other women at high risk, with fewer tumours diagnosed at ≤1 cm diameter (21.4% </w:t>
      </w:r>
      <w:r w:rsidRPr="008B2F8A">
        <w:rPr>
          <w:i/>
        </w:rPr>
        <w:t>BRCA1</w:t>
      </w:r>
      <w:r w:rsidRPr="008B2F8A">
        <w:t xml:space="preserve"> vs 61.5%</w:t>
      </w:r>
      <w:r w:rsidRPr="008B2F8A">
        <w:rPr>
          <w:i/>
        </w:rPr>
        <w:t xml:space="preserve"> BRCA2, P</w:t>
      </w:r>
      <w:r w:rsidRPr="008B2F8A">
        <w:t xml:space="preserve"> = 0.0045), a </w:t>
      </w:r>
      <w:r>
        <w:t xml:space="preserve">slightly </w:t>
      </w:r>
      <w:r w:rsidRPr="008B2F8A">
        <w:t xml:space="preserve">lower proportion of DCIS (6.5% </w:t>
      </w:r>
      <w:r w:rsidRPr="008B2F8A">
        <w:rPr>
          <w:i/>
        </w:rPr>
        <w:t>BRCA1</w:t>
      </w:r>
      <w:r w:rsidRPr="008B2F8A">
        <w:t xml:space="preserve"> vs 18.8%</w:t>
      </w:r>
      <w:r w:rsidRPr="008B2F8A">
        <w:rPr>
          <w:i/>
        </w:rPr>
        <w:t xml:space="preserve"> BRCA2, P</w:t>
      </w:r>
      <w:r w:rsidRPr="008B2F8A">
        <w:t xml:space="preserve"> = 0.32) and a higher interval cancer rate (32.3%</w:t>
      </w:r>
      <w:r w:rsidRPr="008B2F8A">
        <w:rPr>
          <w:i/>
        </w:rPr>
        <w:t xml:space="preserve"> BRCA1</w:t>
      </w:r>
      <w:r w:rsidRPr="008B2F8A">
        <w:t xml:space="preserve"> vs 6.3%</w:t>
      </w:r>
      <w:r w:rsidRPr="008B2F8A">
        <w:rPr>
          <w:i/>
        </w:rPr>
        <w:t xml:space="preserve"> BRCA2, P</w:t>
      </w:r>
      <w:r w:rsidRPr="008B2F8A">
        <w:t xml:space="preserve"> = 0.07).</w:t>
      </w:r>
    </w:p>
    <w:p w14:paraId="0CDDFBED" w14:textId="25E802E4" w:rsidR="00E47AB8" w:rsidRPr="008B2F8A" w:rsidRDefault="00E47AB8" w:rsidP="00422306">
      <w:pPr>
        <w:spacing w:after="200"/>
      </w:pPr>
      <w:r w:rsidRPr="008B2F8A">
        <w:t xml:space="preserve">The third study </w:t>
      </w:r>
      <w:r>
        <w:t xml:space="preserve">was </w:t>
      </w:r>
      <w:r w:rsidRPr="008B2F8A">
        <w:t xml:space="preserve">an observational study of the Norwegian MRI surveillance program for women with </w:t>
      </w:r>
      <w:r w:rsidRPr="008B2F8A">
        <w:rPr>
          <w:i/>
        </w:rPr>
        <w:t>BRCA-1</w:t>
      </w:r>
      <w:r w:rsidRPr="008B2F8A">
        <w:t xml:space="preserve"> mutations </w:t>
      </w:r>
      <w:r w:rsidRPr="008B2F8A">
        <w:rPr>
          <w:noProof/>
        </w:rPr>
        <w:t>(</w:t>
      </w:r>
      <w:bookmarkStart w:id="1499" w:name="OLE_LINK928"/>
      <w:bookmarkStart w:id="1500" w:name="OLE_LINK929"/>
      <w:r w:rsidRPr="008B2F8A">
        <w:rPr>
          <w:noProof/>
        </w:rPr>
        <w:t>Møller et al, 2013</w:t>
      </w:r>
      <w:bookmarkEnd w:id="1499"/>
      <w:bookmarkEnd w:id="1500"/>
      <w:r w:rsidRPr="008B2F8A">
        <w:rPr>
          <w:noProof/>
        </w:rPr>
        <w:t>)</w:t>
      </w:r>
      <w:r w:rsidRPr="008B2F8A">
        <w:t>. Of 802 women, 68 were diagnosed with cancer (</w:t>
      </w:r>
      <w:r>
        <w:t>5</w:t>
      </w:r>
      <w:r w:rsidRPr="008B2F8A">
        <w:t xml:space="preserve"> DCIS and 63 invasive cancers) and 10 died of the disease. The mean follow-up period was 4.2 years. The 5-year breast</w:t>
      </w:r>
      <w:r>
        <w:t>-</w:t>
      </w:r>
      <w:r w:rsidRPr="008B2F8A">
        <w:t>cancer-specific survival for women with cancer was 75% (95% CI 56%–86%)</w:t>
      </w:r>
      <w:r>
        <w:t>,</w:t>
      </w:r>
      <w:r w:rsidRPr="008B2F8A">
        <w:t xml:space="preserve"> and the 10-year survival was 69% (95% CI 48%–83%). The 10-year survival for women diagnosed from age 35 to 49 </w:t>
      </w:r>
      <w:r>
        <w:t xml:space="preserve">years </w:t>
      </w:r>
      <w:r w:rsidRPr="008B2F8A">
        <w:t>was 62%</w:t>
      </w:r>
      <w:r>
        <w:t>,</w:t>
      </w:r>
      <w:r w:rsidRPr="008B2F8A">
        <w:t xml:space="preserve"> and </w:t>
      </w:r>
      <w:r>
        <w:t xml:space="preserve">that </w:t>
      </w:r>
      <w:r w:rsidRPr="008B2F8A">
        <w:t xml:space="preserve">for women diagnosed </w:t>
      </w:r>
      <w:r>
        <w:t xml:space="preserve">at </w:t>
      </w:r>
      <w:r w:rsidRPr="008B2F8A">
        <w:t>age ≥50</w:t>
      </w:r>
      <w:r w:rsidRPr="00D35493">
        <w:t xml:space="preserve"> </w:t>
      </w:r>
      <w:r>
        <w:t xml:space="preserve">years </w:t>
      </w:r>
      <w:r w:rsidRPr="008B2F8A">
        <w:t>was 81</w:t>
      </w:r>
      <w:r>
        <w:t>%</w:t>
      </w:r>
      <w:r w:rsidRPr="008B2F8A">
        <w:t>. The 5-year survival for Stage 1 cancer was 82%</w:t>
      </w:r>
      <w:r>
        <w:t>,</w:t>
      </w:r>
      <w:r w:rsidRPr="008B2F8A">
        <w:t xml:space="preserve"> which was significantly lower (</w:t>
      </w:r>
      <w:r w:rsidRPr="008B2F8A">
        <w:rPr>
          <w:i/>
        </w:rPr>
        <w:t>P</w:t>
      </w:r>
      <w:r w:rsidRPr="008B2F8A">
        <w:t xml:space="preserve"> &lt; 0.05) than the population rate of 98% reported by the Norwegian Cancer Registry. The survival estimates from these included studies are of limited value owing to the small number of events and lack of an appropriate comparator.</w:t>
      </w:r>
    </w:p>
    <w:p w14:paraId="3B167B1B" w14:textId="77777777" w:rsidR="00E47AB8" w:rsidRPr="008B2F8A" w:rsidRDefault="00E47AB8" w:rsidP="00422306">
      <w:pPr>
        <w:spacing w:after="200"/>
      </w:pPr>
      <w:r w:rsidRPr="008B2F8A">
        <w:br w:type="page"/>
      </w:r>
    </w:p>
    <w:p w14:paraId="687D83A3" w14:textId="77777777" w:rsidR="00E47AB8" w:rsidRPr="008B2F8A" w:rsidRDefault="00E47AB8" w:rsidP="00422306">
      <w:pPr>
        <w:pStyle w:val="Heading1"/>
        <w:numPr>
          <w:ilvl w:val="0"/>
          <w:numId w:val="0"/>
        </w:numPr>
        <w:ind w:left="432" w:hanging="432"/>
      </w:pPr>
      <w:bookmarkStart w:id="1501" w:name="_Ref377652368"/>
      <w:bookmarkStart w:id="1502" w:name="_Toc383424548"/>
      <w:r w:rsidRPr="008B2F8A">
        <w:lastRenderedPageBreak/>
        <w:t xml:space="preserve">Appendix </w:t>
      </w:r>
      <w:fldSimple w:instr=" SEQ Appendix \* ARABIC ">
        <w:r w:rsidR="00B81273">
          <w:rPr>
            <w:noProof/>
          </w:rPr>
          <w:t>4</w:t>
        </w:r>
      </w:fldSimple>
      <w:bookmarkEnd w:id="1501"/>
      <w:r w:rsidRPr="008B2F8A">
        <w:t>: Supplementary evidence on women with a history of breast cancer</w:t>
      </w:r>
      <w:bookmarkEnd w:id="1502"/>
    </w:p>
    <w:p w14:paraId="322FF356" w14:textId="7DD8B5EC" w:rsidR="00E47AB8" w:rsidRPr="007C6E89" w:rsidRDefault="00E47AB8" w:rsidP="00422306">
      <w:pPr>
        <w:spacing w:before="240"/>
        <w:rPr>
          <w:color w:val="000000"/>
        </w:rPr>
      </w:pPr>
      <w:r w:rsidRPr="007C6E89">
        <w:rPr>
          <w:color w:val="000000"/>
        </w:rPr>
        <w:t>The systematic review conducted to determine the clinical effectiveness of breast MRI in the surveillance of women with a previous history of DCIS, LCIS and invasive breast cancer identified very few studies, all of which had quality and applicability concerns. However, some literature reports on the use of breast MRI in the initial staging of breast cancer and the detection of contralateral cancer at diagnosis. Given the paucity of evidence identified in the systematic review, estimates of the accuracy and effectiveness of breast MRI at diagnosis may provide relevant data for consideration and inclusion in the economic model.</w:t>
      </w:r>
    </w:p>
    <w:p w14:paraId="7496EC07" w14:textId="7DC81F9C" w:rsidR="00E47AB8" w:rsidRPr="008B2F8A" w:rsidRDefault="00E47AB8" w:rsidP="00422306">
      <w:r w:rsidRPr="008B2F8A">
        <w:t xml:space="preserve">The following clinical </w:t>
      </w:r>
      <w:r>
        <w:t>uses</w:t>
      </w:r>
      <w:r w:rsidRPr="008B2F8A">
        <w:t xml:space="preserve"> for women recently diagnosed with breast cancer are addressed:</w:t>
      </w:r>
    </w:p>
    <w:p w14:paraId="5CE9B4D0" w14:textId="77777777" w:rsidR="00E47AB8" w:rsidRPr="008B2F8A" w:rsidRDefault="00E47AB8" w:rsidP="00E47AB8">
      <w:pPr>
        <w:pStyle w:val="ListParagraph"/>
        <w:numPr>
          <w:ilvl w:val="0"/>
          <w:numId w:val="45"/>
        </w:numPr>
      </w:pPr>
      <w:r w:rsidRPr="008B2F8A">
        <w:t>Breast MRI in the detection of multifocal and multicentric cancer.</w:t>
      </w:r>
    </w:p>
    <w:p w14:paraId="0CCA7B8A" w14:textId="77777777" w:rsidR="00E47AB8" w:rsidRPr="008B2F8A" w:rsidRDefault="00E47AB8" w:rsidP="00E47AB8">
      <w:pPr>
        <w:pStyle w:val="ListParagraph"/>
        <w:numPr>
          <w:ilvl w:val="0"/>
          <w:numId w:val="45"/>
        </w:numPr>
      </w:pPr>
      <w:r w:rsidRPr="008B2F8A">
        <w:t>Breast MRI in the detection of contralateral cancer.</w:t>
      </w:r>
    </w:p>
    <w:p w14:paraId="4EF206CB" w14:textId="4E182FA3" w:rsidR="00E47AB8" w:rsidRPr="008B2F8A" w:rsidRDefault="00E47AB8" w:rsidP="00422306">
      <w:r w:rsidRPr="008B2F8A">
        <w:t xml:space="preserve">For each of these clinical </w:t>
      </w:r>
      <w:r>
        <w:t>uses,</w:t>
      </w:r>
      <w:r w:rsidRPr="008B2F8A">
        <w:t xml:space="preserve"> the most recent, high-quality systematic review</w:t>
      </w:r>
      <w:r>
        <w:t>s</w:t>
      </w:r>
      <w:r w:rsidRPr="008B2F8A">
        <w:t xml:space="preserve"> </w:t>
      </w:r>
      <w:r>
        <w:t>were</w:t>
      </w:r>
      <w:r w:rsidRPr="008B2F8A">
        <w:t xml:space="preserve"> sought. These were identified though the systematic review conducted in </w:t>
      </w:r>
      <w:r w:rsidRPr="008B2F8A">
        <w:fldChar w:fldCharType="begin"/>
      </w:r>
      <w:r w:rsidRPr="008B2F8A">
        <w:instrText xml:space="preserve"> REF _Ref376941575 \w \h </w:instrText>
      </w:r>
      <w:r w:rsidRPr="008B2F8A">
        <w:fldChar w:fldCharType="separate"/>
      </w:r>
      <w:r w:rsidR="00B81273">
        <w:t>Section B</w:t>
      </w:r>
      <w:r w:rsidRPr="008B2F8A">
        <w:fldChar w:fldCharType="end"/>
      </w:r>
      <w:r w:rsidRPr="008B2F8A">
        <w:t xml:space="preserve"> and targeted literature searching. The identification of the studies did not follow standard system</w:t>
      </w:r>
      <w:r>
        <w:t>at</w:t>
      </w:r>
      <w:r w:rsidRPr="008B2F8A">
        <w:t>ic review methodology.</w:t>
      </w:r>
    </w:p>
    <w:p w14:paraId="35FB7349" w14:textId="77777777" w:rsidR="00E47AB8" w:rsidRPr="008B2F8A" w:rsidRDefault="00E47AB8" w:rsidP="00422306">
      <w:pPr>
        <w:pStyle w:val="Heading2"/>
        <w:numPr>
          <w:ilvl w:val="0"/>
          <w:numId w:val="0"/>
        </w:numPr>
      </w:pPr>
      <w:bookmarkStart w:id="1503" w:name="_Toc383424549"/>
      <w:r w:rsidRPr="008B2F8A">
        <w:t>Results</w:t>
      </w:r>
      <w:bookmarkEnd w:id="1503"/>
    </w:p>
    <w:p w14:paraId="0A8293AF" w14:textId="77777777" w:rsidR="00E47AB8" w:rsidRPr="008B2F8A" w:rsidRDefault="00E47AB8" w:rsidP="00422306">
      <w:pPr>
        <w:pStyle w:val="Heading3"/>
      </w:pPr>
      <w:bookmarkStart w:id="1504" w:name="_Toc383424550"/>
      <w:r w:rsidRPr="008B2F8A">
        <w:t>Quality assessment</w:t>
      </w:r>
      <w:bookmarkEnd w:id="1504"/>
    </w:p>
    <w:p w14:paraId="4E686416" w14:textId="7538E016" w:rsidR="00E47AB8" w:rsidRPr="008B2F8A" w:rsidRDefault="00E47AB8" w:rsidP="00422306">
      <w:r w:rsidRPr="008B2F8A">
        <w:t>Two systematic reviews were identified through targeted searching; both met prespecified criteria for high-quality systematic reviews. However, both are considered to have limited applicability</w:t>
      </w:r>
      <w:r>
        <w:t>,</w:t>
      </w:r>
      <w:r w:rsidRPr="008B2F8A">
        <w:t xml:space="preserve"> as the included women are newly diagnosed with breast cancer and have not yet been treated. Furthermore, the</w:t>
      </w:r>
      <w:r>
        <w:t>y</w:t>
      </w:r>
      <w:r w:rsidRPr="008B2F8A">
        <w:t xml:space="preserve"> included women of any age</w:t>
      </w:r>
      <w:r>
        <w:t>,</w:t>
      </w:r>
      <w:r w:rsidRPr="008B2F8A">
        <w:t xml:space="preserve"> and </w:t>
      </w:r>
      <w:r>
        <w:t xml:space="preserve">the </w:t>
      </w:r>
      <w:r w:rsidRPr="008B2F8A">
        <w:t xml:space="preserve">median age is &lt;50 </w:t>
      </w:r>
      <w:r>
        <w:t xml:space="preserve">years </w:t>
      </w:r>
      <w:r w:rsidRPr="008B2F8A">
        <w:t xml:space="preserve">in two of 20 studies included in the </w:t>
      </w:r>
      <w:bookmarkStart w:id="1505" w:name="OLE_LINK930"/>
      <w:bookmarkStart w:id="1506" w:name="OLE_LINK931"/>
      <w:r w:rsidRPr="008B2F8A">
        <w:t xml:space="preserve">Brennan </w:t>
      </w:r>
      <w:r>
        <w:t xml:space="preserve">et al </w:t>
      </w:r>
      <w:r w:rsidRPr="008B2F8A">
        <w:rPr>
          <w:noProof/>
        </w:rPr>
        <w:t>(2009</w:t>
      </w:r>
      <w:bookmarkEnd w:id="1505"/>
      <w:bookmarkEnd w:id="1506"/>
      <w:r w:rsidRPr="008B2F8A">
        <w:rPr>
          <w:noProof/>
        </w:rPr>
        <w:t>)</w:t>
      </w:r>
      <w:r w:rsidRPr="008B2F8A">
        <w:t xml:space="preserve"> review and </w:t>
      </w:r>
      <w:r>
        <w:t xml:space="preserve">in </w:t>
      </w:r>
      <w:r w:rsidRPr="008B2F8A">
        <w:t xml:space="preserve">three of 16 studies in the </w:t>
      </w:r>
      <w:bookmarkStart w:id="1507" w:name="OLE_LINK932"/>
      <w:bookmarkStart w:id="1508" w:name="OLE_LINK933"/>
      <w:r w:rsidRPr="008B2F8A">
        <w:t xml:space="preserve">Houssami </w:t>
      </w:r>
      <w:r>
        <w:t xml:space="preserve">et al </w:t>
      </w:r>
      <w:r w:rsidRPr="008B2F8A">
        <w:rPr>
          <w:noProof/>
        </w:rPr>
        <w:t>(2008</w:t>
      </w:r>
      <w:bookmarkEnd w:id="1507"/>
      <w:bookmarkEnd w:id="1508"/>
      <w:r w:rsidRPr="008B2F8A">
        <w:rPr>
          <w:noProof/>
        </w:rPr>
        <w:t>)</w:t>
      </w:r>
      <w:r w:rsidRPr="0052589F">
        <w:t xml:space="preserve"> </w:t>
      </w:r>
      <w:r w:rsidRPr="008B2F8A">
        <w:t>review.</w:t>
      </w:r>
    </w:p>
    <w:p w14:paraId="15D46CB9" w14:textId="77777777" w:rsidR="00E47AB8" w:rsidRPr="008B2F8A" w:rsidRDefault="00E47AB8" w:rsidP="00422306">
      <w:pPr>
        <w:pStyle w:val="Caption"/>
      </w:pPr>
      <w:r w:rsidRPr="008B2F8A">
        <w:t>Quality assessment of included systematic reviews.</w:t>
      </w:r>
    </w:p>
    <w:tbl>
      <w:tblPr>
        <w:tblStyle w:val="TableGrid"/>
        <w:tblW w:w="9070" w:type="dxa"/>
        <w:tblCellMar>
          <w:left w:w="28" w:type="dxa"/>
          <w:right w:w="28" w:type="dxa"/>
        </w:tblCellMar>
        <w:tblLook w:val="04A0" w:firstRow="1" w:lastRow="0" w:firstColumn="1" w:lastColumn="0" w:noHBand="0" w:noVBand="1"/>
        <w:tblCaption w:val="Quality assessment of included systematic reviews."/>
      </w:tblPr>
      <w:tblGrid>
        <w:gridCol w:w="4004"/>
        <w:gridCol w:w="2556"/>
        <w:gridCol w:w="2510"/>
      </w:tblGrid>
      <w:tr w:rsidR="00E47AB8" w:rsidRPr="008B2F8A" w14:paraId="04FD3F06" w14:textId="77777777" w:rsidTr="004E7861">
        <w:trPr>
          <w:tblHeader/>
        </w:trPr>
        <w:tc>
          <w:tcPr>
            <w:tcW w:w="4004" w:type="dxa"/>
          </w:tcPr>
          <w:p w14:paraId="115BA8B0" w14:textId="77777777" w:rsidR="00E47AB8" w:rsidRPr="008B2F8A" w:rsidRDefault="00E47AB8" w:rsidP="00422306">
            <w:pPr>
              <w:autoSpaceDE w:val="0"/>
              <w:autoSpaceDN w:val="0"/>
              <w:adjustRightInd w:val="0"/>
              <w:spacing w:before="40" w:after="80"/>
              <w:rPr>
                <w:rFonts w:ascii="Arial Narrow" w:hAnsi="Arial Narrow"/>
                <w:b/>
              </w:rPr>
            </w:pPr>
            <w:r w:rsidRPr="008B2F8A">
              <w:rPr>
                <w:rFonts w:ascii="Arial Narrow" w:hAnsi="Arial Narrow"/>
                <w:b/>
              </w:rPr>
              <w:t xml:space="preserve">Study </w:t>
            </w:r>
          </w:p>
        </w:tc>
        <w:tc>
          <w:tcPr>
            <w:tcW w:w="2556" w:type="dxa"/>
          </w:tcPr>
          <w:p w14:paraId="04631340" w14:textId="21F9AEF8" w:rsidR="00E47AB8" w:rsidRPr="008B2F8A" w:rsidRDefault="00E47AB8" w:rsidP="00422306">
            <w:pPr>
              <w:autoSpaceDE w:val="0"/>
              <w:autoSpaceDN w:val="0"/>
              <w:adjustRightInd w:val="0"/>
              <w:spacing w:before="40" w:after="80"/>
              <w:rPr>
                <w:rFonts w:ascii="Arial Narrow" w:hAnsi="Arial Narrow"/>
                <w:b/>
              </w:rPr>
            </w:pPr>
            <w:r>
              <w:rPr>
                <w:rFonts w:ascii="Arial Narrow" w:hAnsi="Arial Narrow"/>
                <w:b/>
              </w:rPr>
              <w:t>Brennan et al, 2009</w:t>
            </w:r>
          </w:p>
        </w:tc>
        <w:tc>
          <w:tcPr>
            <w:tcW w:w="2510" w:type="dxa"/>
          </w:tcPr>
          <w:p w14:paraId="67E63146" w14:textId="02BA270E" w:rsidR="00E47AB8" w:rsidRPr="008B2F8A" w:rsidRDefault="00E47AB8" w:rsidP="00422306">
            <w:pPr>
              <w:autoSpaceDE w:val="0"/>
              <w:autoSpaceDN w:val="0"/>
              <w:adjustRightInd w:val="0"/>
              <w:spacing w:before="40" w:after="80"/>
              <w:rPr>
                <w:rFonts w:ascii="Arial Narrow" w:hAnsi="Arial Narrow"/>
                <w:b/>
              </w:rPr>
            </w:pPr>
            <w:r>
              <w:rPr>
                <w:rFonts w:ascii="Arial Narrow" w:hAnsi="Arial Narrow"/>
                <w:b/>
              </w:rPr>
              <w:t>Houssami et al, 2008</w:t>
            </w:r>
          </w:p>
        </w:tc>
      </w:tr>
      <w:tr w:rsidR="00E47AB8" w:rsidRPr="008B2F8A" w14:paraId="6E031BC3" w14:textId="77777777" w:rsidTr="004E7861">
        <w:tc>
          <w:tcPr>
            <w:tcW w:w="4004" w:type="dxa"/>
          </w:tcPr>
          <w:p w14:paraId="02676E93"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Explicit review questions?</w:t>
            </w:r>
          </w:p>
        </w:tc>
        <w:tc>
          <w:tcPr>
            <w:tcW w:w="2556" w:type="dxa"/>
          </w:tcPr>
          <w:p w14:paraId="5509A304"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c>
          <w:tcPr>
            <w:tcW w:w="2510" w:type="dxa"/>
          </w:tcPr>
          <w:p w14:paraId="6DBFB156"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r>
      <w:tr w:rsidR="00E47AB8" w:rsidRPr="008B2F8A" w14:paraId="7CD74204" w14:textId="77777777" w:rsidTr="004E7861">
        <w:tc>
          <w:tcPr>
            <w:tcW w:w="4004" w:type="dxa"/>
          </w:tcPr>
          <w:p w14:paraId="084CFADC"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Explicit and appropriate eligibility criteria?</w:t>
            </w:r>
          </w:p>
        </w:tc>
        <w:tc>
          <w:tcPr>
            <w:tcW w:w="2556" w:type="dxa"/>
          </w:tcPr>
          <w:p w14:paraId="0C407682"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c>
          <w:tcPr>
            <w:tcW w:w="2510" w:type="dxa"/>
          </w:tcPr>
          <w:p w14:paraId="200F0FA0"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r>
      <w:tr w:rsidR="00E47AB8" w:rsidRPr="008B2F8A" w14:paraId="768B18FE" w14:textId="77777777" w:rsidTr="004E7861">
        <w:tc>
          <w:tcPr>
            <w:tcW w:w="4004" w:type="dxa"/>
          </w:tcPr>
          <w:p w14:paraId="690C8BF0"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Explicit and comprehensive search strategy?</w:t>
            </w:r>
          </w:p>
        </w:tc>
        <w:tc>
          <w:tcPr>
            <w:tcW w:w="2556" w:type="dxa"/>
          </w:tcPr>
          <w:p w14:paraId="21615307"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c>
          <w:tcPr>
            <w:tcW w:w="2510" w:type="dxa"/>
          </w:tcPr>
          <w:p w14:paraId="2DBAE90B"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r>
      <w:tr w:rsidR="00E47AB8" w:rsidRPr="008B2F8A" w14:paraId="623A8F1B" w14:textId="77777777" w:rsidTr="004E7861">
        <w:tc>
          <w:tcPr>
            <w:tcW w:w="4004" w:type="dxa"/>
          </w:tcPr>
          <w:p w14:paraId="514ACBD9"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Quality of included studies appraised?</w:t>
            </w:r>
          </w:p>
        </w:tc>
        <w:tc>
          <w:tcPr>
            <w:tcW w:w="2556" w:type="dxa"/>
          </w:tcPr>
          <w:p w14:paraId="3D7B1C2C"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c>
          <w:tcPr>
            <w:tcW w:w="2510" w:type="dxa"/>
          </w:tcPr>
          <w:p w14:paraId="36F4A3BE"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r>
      <w:tr w:rsidR="00E47AB8" w:rsidRPr="008B2F8A" w14:paraId="11B48AD4" w14:textId="77777777" w:rsidTr="004E7861">
        <w:tc>
          <w:tcPr>
            <w:tcW w:w="4004" w:type="dxa"/>
          </w:tcPr>
          <w:p w14:paraId="7B90EBE7"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Methods of study appraisal reproducible?</w:t>
            </w:r>
          </w:p>
        </w:tc>
        <w:tc>
          <w:tcPr>
            <w:tcW w:w="2556" w:type="dxa"/>
          </w:tcPr>
          <w:p w14:paraId="01B6E8BE"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c>
          <w:tcPr>
            <w:tcW w:w="2510" w:type="dxa"/>
          </w:tcPr>
          <w:p w14:paraId="610B832F"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r>
      <w:tr w:rsidR="00E47AB8" w:rsidRPr="008B2F8A" w14:paraId="3054376B" w14:textId="77777777" w:rsidTr="004E7861">
        <w:tc>
          <w:tcPr>
            <w:tcW w:w="4004" w:type="dxa"/>
          </w:tcPr>
          <w:p w14:paraId="563EAEF2"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Heterogeneity between studies assessed?</w:t>
            </w:r>
          </w:p>
        </w:tc>
        <w:tc>
          <w:tcPr>
            <w:tcW w:w="2556" w:type="dxa"/>
          </w:tcPr>
          <w:p w14:paraId="3DCA6224"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c>
          <w:tcPr>
            <w:tcW w:w="2510" w:type="dxa"/>
          </w:tcPr>
          <w:p w14:paraId="1823CBF5"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r>
      <w:tr w:rsidR="00E47AB8" w:rsidRPr="008B2F8A" w14:paraId="377723C0" w14:textId="77777777" w:rsidTr="004E7861">
        <w:tc>
          <w:tcPr>
            <w:tcW w:w="4004" w:type="dxa"/>
          </w:tcPr>
          <w:p w14:paraId="29DECD4D"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Summary of main results clear and appropriate?</w:t>
            </w:r>
          </w:p>
        </w:tc>
        <w:tc>
          <w:tcPr>
            <w:tcW w:w="2556" w:type="dxa"/>
          </w:tcPr>
          <w:p w14:paraId="6376DD1C"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c>
          <w:tcPr>
            <w:tcW w:w="2510" w:type="dxa"/>
          </w:tcPr>
          <w:p w14:paraId="620D68B7"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Yes</w:t>
            </w:r>
          </w:p>
        </w:tc>
      </w:tr>
      <w:tr w:rsidR="00E47AB8" w:rsidRPr="008B2F8A" w14:paraId="5A3D790C" w14:textId="77777777" w:rsidTr="004E7861">
        <w:tc>
          <w:tcPr>
            <w:tcW w:w="4004" w:type="dxa"/>
          </w:tcPr>
          <w:p w14:paraId="70A34C79"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Applicability</w:t>
            </w:r>
          </w:p>
        </w:tc>
        <w:tc>
          <w:tcPr>
            <w:tcW w:w="2556" w:type="dxa"/>
          </w:tcPr>
          <w:p w14:paraId="43B9A1FD"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Limited</w:t>
            </w:r>
          </w:p>
        </w:tc>
        <w:tc>
          <w:tcPr>
            <w:tcW w:w="2510" w:type="dxa"/>
          </w:tcPr>
          <w:p w14:paraId="43882D45"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Limited</w:t>
            </w:r>
          </w:p>
        </w:tc>
      </w:tr>
    </w:tbl>
    <w:p w14:paraId="0359980E" w14:textId="77777777" w:rsidR="00E47AB8" w:rsidRPr="008B2F8A" w:rsidRDefault="00E47AB8" w:rsidP="00422306"/>
    <w:p w14:paraId="1F2B0AA2" w14:textId="77777777" w:rsidR="00E47AB8" w:rsidRPr="008B2F8A" w:rsidRDefault="00E47AB8" w:rsidP="00422306">
      <w:r w:rsidRPr="008B2F8A">
        <w:lastRenderedPageBreak/>
        <w:t>The following factors should be considered in assessing the translation of the findings from these studies to women who have been treated for breast cancer and are undergoing surveillance:</w:t>
      </w:r>
    </w:p>
    <w:p w14:paraId="5143AF82" w14:textId="4DD24015" w:rsidR="00E47AB8" w:rsidRPr="008B2F8A" w:rsidRDefault="00E47AB8" w:rsidP="004E7861">
      <w:pPr>
        <w:pStyle w:val="ListParagraph"/>
        <w:numPr>
          <w:ilvl w:val="0"/>
          <w:numId w:val="46"/>
        </w:numPr>
        <w:ind w:left="710"/>
      </w:pPr>
      <w:r w:rsidRPr="008B2F8A">
        <w:t xml:space="preserve">Age: breast MRI is likely to be more effective </w:t>
      </w:r>
      <w:r>
        <w:t>than</w:t>
      </w:r>
      <w:r w:rsidRPr="008B2F8A">
        <w:t xml:space="preserve"> mammography</w:t>
      </w:r>
      <w:r>
        <w:t xml:space="preserve"> </w:t>
      </w:r>
      <w:r w:rsidRPr="008B2F8A">
        <w:t>in younger women with dense</w:t>
      </w:r>
      <w:r>
        <w:t>r</w:t>
      </w:r>
      <w:r w:rsidRPr="008B2F8A">
        <w:t xml:space="preserve"> breasts.</w:t>
      </w:r>
    </w:p>
    <w:p w14:paraId="2CB0F315" w14:textId="77777777" w:rsidR="00E47AB8" w:rsidRPr="008B2F8A" w:rsidRDefault="00E47AB8" w:rsidP="004E7861">
      <w:pPr>
        <w:pStyle w:val="ListParagraph"/>
        <w:numPr>
          <w:ilvl w:val="0"/>
          <w:numId w:val="46"/>
        </w:numPr>
        <w:ind w:left="710"/>
      </w:pPr>
      <w:r w:rsidRPr="008B2F8A">
        <w:t>Effect of treatment:</w:t>
      </w:r>
    </w:p>
    <w:p w14:paraId="1B6A32D7" w14:textId="77777777" w:rsidR="00E47AB8" w:rsidRPr="008B2F8A" w:rsidRDefault="00E47AB8" w:rsidP="00E47AB8">
      <w:pPr>
        <w:pStyle w:val="ListParagraph"/>
        <w:numPr>
          <w:ilvl w:val="1"/>
          <w:numId w:val="46"/>
        </w:numPr>
        <w:ind w:left="1278"/>
      </w:pPr>
      <w:r w:rsidRPr="008B2F8A">
        <w:t>Changes to breast tissue due to treatment, especially radiotherapy.</w:t>
      </w:r>
    </w:p>
    <w:p w14:paraId="542D1D26" w14:textId="1856E7EA" w:rsidR="00E47AB8" w:rsidRPr="008B2F8A" w:rsidRDefault="00E47AB8" w:rsidP="00E47AB8">
      <w:pPr>
        <w:pStyle w:val="ListParagraph"/>
        <w:numPr>
          <w:ilvl w:val="1"/>
          <w:numId w:val="46"/>
        </w:numPr>
        <w:ind w:left="1278"/>
      </w:pPr>
      <w:r w:rsidRPr="008B2F8A">
        <w:t xml:space="preserve">Reduction in risk of further cancers due to systemic treatments (see section </w:t>
      </w:r>
      <w:r w:rsidRPr="008B2F8A">
        <w:fldChar w:fldCharType="begin"/>
      </w:r>
      <w:r w:rsidRPr="008B2F8A">
        <w:instrText xml:space="preserve"> REF _Ref376941690 \w \h </w:instrText>
      </w:r>
      <w:r w:rsidRPr="008B2F8A">
        <w:fldChar w:fldCharType="separate"/>
      </w:r>
      <w:r w:rsidR="00B81273">
        <w:t>A.1.2(b)</w:t>
      </w:r>
      <w:r w:rsidRPr="008B2F8A">
        <w:fldChar w:fldCharType="end"/>
      </w:r>
      <w:r w:rsidRPr="008B2F8A">
        <w:t>).</w:t>
      </w:r>
    </w:p>
    <w:p w14:paraId="61C419BD" w14:textId="3251E2F5" w:rsidR="00E47AB8" w:rsidRPr="008B2F8A" w:rsidRDefault="00E47AB8" w:rsidP="004E7861">
      <w:pPr>
        <w:pStyle w:val="ListParagraph"/>
        <w:numPr>
          <w:ilvl w:val="0"/>
          <w:numId w:val="46"/>
        </w:numPr>
        <w:ind w:left="710"/>
      </w:pPr>
      <w:r w:rsidRPr="008B2F8A">
        <w:t>Effect of repeat imaging (ie, surveillance) rather than one-off imaging.</w:t>
      </w:r>
    </w:p>
    <w:p w14:paraId="3B1C46D2" w14:textId="77777777" w:rsidR="00E47AB8" w:rsidRPr="008B2F8A" w:rsidRDefault="00E47AB8" w:rsidP="00422306">
      <w:pPr>
        <w:pStyle w:val="Heading3"/>
      </w:pPr>
      <w:bookmarkStart w:id="1509" w:name="_Toc383424551"/>
      <w:r w:rsidRPr="008B2F8A">
        <w:t>Characteristics of studies</w:t>
      </w:r>
      <w:bookmarkEnd w:id="1509"/>
    </w:p>
    <w:p w14:paraId="46D5B3FD" w14:textId="77777777" w:rsidR="00E47AB8" w:rsidRPr="008B2F8A" w:rsidRDefault="00E47AB8" w:rsidP="00422306">
      <w:r w:rsidRPr="008B2F8A">
        <w:t xml:space="preserve">The characteristics of the two systematic reviews are presented in the table below. The Brennan </w:t>
      </w:r>
      <w:r>
        <w:t xml:space="preserve">et al (2009) </w:t>
      </w:r>
      <w:r w:rsidRPr="008B2F8A">
        <w:t>review did not include estimates of sensitivity and specificity</w:t>
      </w:r>
      <w:r>
        <w:t>,</w:t>
      </w:r>
      <w:r w:rsidRPr="008B2F8A">
        <w:t xml:space="preserve"> as most studies did not verify the absence of disease in women with negative findings on MRI.</w:t>
      </w:r>
    </w:p>
    <w:p w14:paraId="0F66D89D" w14:textId="77777777" w:rsidR="00E47AB8" w:rsidRPr="008B2F8A" w:rsidRDefault="00E47AB8" w:rsidP="00422306">
      <w:pPr>
        <w:pStyle w:val="Caption"/>
      </w:pPr>
      <w:r w:rsidRPr="008B2F8A">
        <w:t>Characteristics of included systematic reviews.</w:t>
      </w:r>
    </w:p>
    <w:tbl>
      <w:tblPr>
        <w:tblStyle w:val="TableGrid"/>
        <w:tblW w:w="9070" w:type="dxa"/>
        <w:tblLayout w:type="fixed"/>
        <w:tblCellMar>
          <w:left w:w="28" w:type="dxa"/>
          <w:right w:w="28" w:type="dxa"/>
        </w:tblCellMar>
        <w:tblLook w:val="04A0" w:firstRow="1" w:lastRow="0" w:firstColumn="1" w:lastColumn="0" w:noHBand="0" w:noVBand="1"/>
        <w:tblCaption w:val="Characteristics of included systematic reviews."/>
      </w:tblPr>
      <w:tblGrid>
        <w:gridCol w:w="880"/>
        <w:gridCol w:w="2698"/>
        <w:gridCol w:w="2468"/>
        <w:gridCol w:w="1126"/>
        <w:gridCol w:w="701"/>
        <w:gridCol w:w="1197"/>
      </w:tblGrid>
      <w:tr w:rsidR="00E47AB8" w:rsidRPr="008B2F8A" w14:paraId="1E128874" w14:textId="77777777" w:rsidTr="004E7861">
        <w:trPr>
          <w:tblHeader/>
        </w:trPr>
        <w:tc>
          <w:tcPr>
            <w:tcW w:w="880" w:type="dxa"/>
            <w:vAlign w:val="bottom"/>
          </w:tcPr>
          <w:p w14:paraId="7790C17E" w14:textId="77777777" w:rsidR="00E47AB8" w:rsidRPr="008B2F8A" w:rsidRDefault="00E47AB8" w:rsidP="00422306">
            <w:pPr>
              <w:autoSpaceDE w:val="0"/>
              <w:autoSpaceDN w:val="0"/>
              <w:adjustRightInd w:val="0"/>
              <w:spacing w:before="40" w:after="80"/>
              <w:rPr>
                <w:rFonts w:ascii="Arial Narrow" w:hAnsi="Arial Narrow"/>
                <w:b/>
              </w:rPr>
            </w:pPr>
          </w:p>
        </w:tc>
        <w:tc>
          <w:tcPr>
            <w:tcW w:w="2698" w:type="dxa"/>
            <w:vAlign w:val="bottom"/>
          </w:tcPr>
          <w:p w14:paraId="075C0366" w14:textId="77777777" w:rsidR="00E47AB8" w:rsidRPr="008B2F8A" w:rsidRDefault="00E47AB8" w:rsidP="00422306">
            <w:pPr>
              <w:autoSpaceDE w:val="0"/>
              <w:autoSpaceDN w:val="0"/>
              <w:adjustRightInd w:val="0"/>
              <w:spacing w:before="40" w:after="80"/>
              <w:rPr>
                <w:rFonts w:ascii="Arial Narrow" w:hAnsi="Arial Narrow"/>
                <w:b/>
              </w:rPr>
            </w:pPr>
            <w:r w:rsidRPr="008B2F8A">
              <w:rPr>
                <w:rFonts w:ascii="Arial Narrow" w:hAnsi="Arial Narrow"/>
                <w:b/>
              </w:rPr>
              <w:t>Report objectives</w:t>
            </w:r>
          </w:p>
        </w:tc>
        <w:tc>
          <w:tcPr>
            <w:tcW w:w="2468" w:type="dxa"/>
            <w:vAlign w:val="bottom"/>
          </w:tcPr>
          <w:p w14:paraId="6FFB2702" w14:textId="77777777" w:rsidR="00E47AB8" w:rsidRPr="008B2F8A" w:rsidRDefault="00E47AB8" w:rsidP="00422306">
            <w:pPr>
              <w:autoSpaceDE w:val="0"/>
              <w:autoSpaceDN w:val="0"/>
              <w:adjustRightInd w:val="0"/>
              <w:spacing w:before="40" w:after="80"/>
              <w:rPr>
                <w:rFonts w:ascii="Arial Narrow" w:hAnsi="Arial Narrow"/>
                <w:b/>
              </w:rPr>
            </w:pPr>
            <w:r w:rsidRPr="008B2F8A">
              <w:rPr>
                <w:rFonts w:ascii="Arial Narrow" w:hAnsi="Arial Narrow"/>
                <w:b/>
              </w:rPr>
              <w:t>Inclusion criteria</w:t>
            </w:r>
          </w:p>
        </w:tc>
        <w:tc>
          <w:tcPr>
            <w:tcW w:w="1126" w:type="dxa"/>
            <w:vAlign w:val="bottom"/>
          </w:tcPr>
          <w:p w14:paraId="11147875" w14:textId="77777777" w:rsidR="00E47AB8" w:rsidRPr="008B2F8A" w:rsidRDefault="00E47AB8" w:rsidP="00422306">
            <w:pPr>
              <w:autoSpaceDE w:val="0"/>
              <w:autoSpaceDN w:val="0"/>
              <w:adjustRightInd w:val="0"/>
              <w:spacing w:before="40" w:after="80"/>
              <w:rPr>
                <w:rFonts w:ascii="Arial Narrow" w:hAnsi="Arial Narrow"/>
                <w:b/>
              </w:rPr>
            </w:pPr>
            <w:r w:rsidRPr="008B2F8A">
              <w:rPr>
                <w:rFonts w:ascii="Arial Narrow" w:hAnsi="Arial Narrow"/>
                <w:b/>
              </w:rPr>
              <w:t>Outcomes</w:t>
            </w:r>
          </w:p>
        </w:tc>
        <w:tc>
          <w:tcPr>
            <w:tcW w:w="701" w:type="dxa"/>
            <w:vAlign w:val="bottom"/>
          </w:tcPr>
          <w:p w14:paraId="595DD660" w14:textId="77777777" w:rsidR="00E47AB8" w:rsidRPr="008B2F8A" w:rsidRDefault="00E47AB8" w:rsidP="00422306">
            <w:pPr>
              <w:autoSpaceDE w:val="0"/>
              <w:autoSpaceDN w:val="0"/>
              <w:adjustRightInd w:val="0"/>
              <w:spacing w:before="40" w:after="80"/>
              <w:rPr>
                <w:rFonts w:ascii="Arial Narrow" w:hAnsi="Arial Narrow"/>
                <w:b/>
              </w:rPr>
            </w:pPr>
            <w:r w:rsidRPr="008B2F8A">
              <w:rPr>
                <w:rFonts w:ascii="Arial Narrow" w:hAnsi="Arial Narrow"/>
                <w:b/>
              </w:rPr>
              <w:t xml:space="preserve">Search date </w:t>
            </w:r>
          </w:p>
        </w:tc>
        <w:tc>
          <w:tcPr>
            <w:tcW w:w="1197" w:type="dxa"/>
            <w:vAlign w:val="bottom"/>
          </w:tcPr>
          <w:p w14:paraId="7FF611B7" w14:textId="7AEA88CF" w:rsidR="00E47AB8" w:rsidRPr="008B2F8A" w:rsidRDefault="00E47AB8" w:rsidP="0068160E">
            <w:pPr>
              <w:autoSpaceDE w:val="0"/>
              <w:autoSpaceDN w:val="0"/>
              <w:adjustRightInd w:val="0"/>
              <w:spacing w:before="40" w:after="80"/>
              <w:rPr>
                <w:rFonts w:ascii="Arial Narrow" w:hAnsi="Arial Narrow"/>
                <w:b/>
              </w:rPr>
            </w:pPr>
            <w:r w:rsidRPr="008B2F8A">
              <w:rPr>
                <w:rFonts w:ascii="Arial Narrow" w:hAnsi="Arial Narrow"/>
                <w:b/>
              </w:rPr>
              <w:t xml:space="preserve">Type of analysis, No. </w:t>
            </w:r>
            <w:r w:rsidR="0068160E">
              <w:rPr>
                <w:rFonts w:ascii="Arial Narrow" w:hAnsi="Arial Narrow"/>
                <w:b/>
              </w:rPr>
              <w:t>incl.</w:t>
            </w:r>
            <w:r w:rsidRPr="008B2F8A">
              <w:rPr>
                <w:rFonts w:ascii="Arial Narrow" w:hAnsi="Arial Narrow"/>
                <w:b/>
              </w:rPr>
              <w:t xml:space="preserve"> studies</w:t>
            </w:r>
          </w:p>
        </w:tc>
      </w:tr>
      <w:tr w:rsidR="00E47AB8" w:rsidRPr="008B2F8A" w14:paraId="04F8DD80" w14:textId="77777777" w:rsidTr="004E7861">
        <w:tc>
          <w:tcPr>
            <w:tcW w:w="880" w:type="dxa"/>
          </w:tcPr>
          <w:p w14:paraId="48097E11" w14:textId="0A7CADFE" w:rsidR="00E47AB8" w:rsidRPr="008B2F8A" w:rsidRDefault="00E47AB8" w:rsidP="00422306">
            <w:pPr>
              <w:autoSpaceDE w:val="0"/>
              <w:autoSpaceDN w:val="0"/>
              <w:adjustRightInd w:val="0"/>
              <w:spacing w:before="40" w:after="80"/>
              <w:rPr>
                <w:rFonts w:ascii="Arial Narrow" w:hAnsi="Arial Narrow"/>
              </w:rPr>
            </w:pPr>
            <w:r>
              <w:rPr>
                <w:rFonts w:ascii="Arial Narrow" w:hAnsi="Arial Narrow"/>
              </w:rPr>
              <w:t>Brennan et al, 2009</w:t>
            </w:r>
          </w:p>
        </w:tc>
        <w:tc>
          <w:tcPr>
            <w:tcW w:w="2698" w:type="dxa"/>
          </w:tcPr>
          <w:p w14:paraId="2F36274C" w14:textId="6C2BACB5"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To review the evidence for MRI screening of the contralateral breast in women with a new diagnosis of invasive breast cancer to determine its incremental yield and accuracy</w:t>
            </w:r>
          </w:p>
        </w:tc>
        <w:tc>
          <w:tcPr>
            <w:tcW w:w="2468" w:type="dxa"/>
          </w:tcPr>
          <w:p w14:paraId="4B8E4F46" w14:textId="77777777" w:rsidR="00E47AB8" w:rsidRPr="008B2F8A" w:rsidRDefault="00E47AB8" w:rsidP="00E47AB8">
            <w:pPr>
              <w:pStyle w:val="ListParagraph"/>
              <w:numPr>
                <w:ilvl w:val="5"/>
                <w:numId w:val="47"/>
              </w:numPr>
              <w:autoSpaceDE w:val="0"/>
              <w:autoSpaceDN w:val="0"/>
              <w:adjustRightInd w:val="0"/>
              <w:spacing w:before="40" w:after="80"/>
              <w:ind w:left="357" w:hanging="357"/>
              <w:contextualSpacing w:val="0"/>
              <w:rPr>
                <w:rFonts w:ascii="Arial Narrow" w:hAnsi="Arial Narrow"/>
              </w:rPr>
            </w:pPr>
            <w:r w:rsidRPr="008B2F8A">
              <w:rPr>
                <w:rFonts w:ascii="Arial Narrow" w:hAnsi="Arial Narrow"/>
              </w:rPr>
              <w:t>Studies of preoperative MRI in women with suspected or proven invasive breast cancer reporting contralateral findings relative to the index cancer which</w:t>
            </w:r>
          </w:p>
          <w:p w14:paraId="2D8400E7" w14:textId="6AA27A68" w:rsidR="00E47AB8" w:rsidRPr="008B2F8A" w:rsidRDefault="00E47AB8" w:rsidP="00E47AB8">
            <w:pPr>
              <w:pStyle w:val="ListParagraph"/>
              <w:numPr>
                <w:ilvl w:val="5"/>
                <w:numId w:val="47"/>
              </w:numPr>
              <w:autoSpaceDE w:val="0"/>
              <w:autoSpaceDN w:val="0"/>
              <w:adjustRightInd w:val="0"/>
              <w:spacing w:before="40" w:after="80"/>
              <w:ind w:left="357" w:hanging="357"/>
              <w:contextualSpacing w:val="0"/>
              <w:rPr>
                <w:rFonts w:ascii="Arial Narrow" w:hAnsi="Arial Narrow"/>
              </w:rPr>
            </w:pPr>
            <w:r w:rsidRPr="008B2F8A">
              <w:rPr>
                <w:rFonts w:ascii="Arial Narrow" w:hAnsi="Arial Narrow"/>
              </w:rPr>
              <w:t>provided data for both TP and FP detection in the contralateral breast as a minimum measure of accuracy</w:t>
            </w:r>
          </w:p>
          <w:p w14:paraId="3C237AE8" w14:textId="787B0B30" w:rsidR="00E47AB8" w:rsidRPr="008B2F8A" w:rsidRDefault="00E47AB8" w:rsidP="00E47AB8">
            <w:pPr>
              <w:pStyle w:val="ListParagraph"/>
              <w:numPr>
                <w:ilvl w:val="5"/>
                <w:numId w:val="47"/>
              </w:numPr>
              <w:autoSpaceDE w:val="0"/>
              <w:autoSpaceDN w:val="0"/>
              <w:adjustRightInd w:val="0"/>
              <w:spacing w:before="40" w:after="80"/>
              <w:ind w:left="357" w:hanging="357"/>
              <w:contextualSpacing w:val="0"/>
              <w:rPr>
                <w:rFonts w:ascii="Arial Narrow" w:hAnsi="Arial Narrow"/>
              </w:rPr>
            </w:pPr>
            <w:r w:rsidRPr="008B2F8A">
              <w:rPr>
                <w:rFonts w:ascii="Arial Narrow" w:hAnsi="Arial Narrow"/>
              </w:rPr>
              <w:t>Studies not histologically verifying the majority of MRI detected abnorm</w:t>
            </w:r>
            <w:r w:rsidR="00A00398">
              <w:rPr>
                <w:rFonts w:ascii="Arial Narrow" w:hAnsi="Arial Narrow"/>
              </w:rPr>
              <w:softHyphen/>
            </w:r>
            <w:r w:rsidRPr="008B2F8A">
              <w:rPr>
                <w:rFonts w:ascii="Arial Narrow" w:hAnsi="Arial Narrow"/>
              </w:rPr>
              <w:t>alities were excluded</w:t>
            </w:r>
          </w:p>
        </w:tc>
        <w:tc>
          <w:tcPr>
            <w:tcW w:w="1126" w:type="dxa"/>
          </w:tcPr>
          <w:p w14:paraId="382ED9B8"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Incremental yield, PPV, TP:FP ratio, change in management</w:t>
            </w:r>
          </w:p>
        </w:tc>
        <w:tc>
          <w:tcPr>
            <w:tcW w:w="701" w:type="dxa"/>
          </w:tcPr>
          <w:p w14:paraId="78632D99"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April 2008</w:t>
            </w:r>
          </w:p>
        </w:tc>
        <w:tc>
          <w:tcPr>
            <w:tcW w:w="1197" w:type="dxa"/>
          </w:tcPr>
          <w:p w14:paraId="0FD94AE9"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Random effects logistic regression</w:t>
            </w:r>
          </w:p>
          <w:p w14:paraId="1E1B77BB"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22 studies included (3,253 women)</w:t>
            </w:r>
          </w:p>
          <w:p w14:paraId="1ECD056C" w14:textId="763EE668"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—Group 1: 18 for all invasive tumours</w:t>
            </w:r>
          </w:p>
          <w:p w14:paraId="3A55B476" w14:textId="661A22EF"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—Group 2: 4 for invasive lobular carcinoma only</w:t>
            </w:r>
          </w:p>
        </w:tc>
      </w:tr>
      <w:tr w:rsidR="00E47AB8" w:rsidRPr="008B2F8A" w14:paraId="68D98B30" w14:textId="77777777" w:rsidTr="004E7861">
        <w:tc>
          <w:tcPr>
            <w:tcW w:w="880" w:type="dxa"/>
          </w:tcPr>
          <w:p w14:paraId="5A5627AD" w14:textId="13BB0E1B" w:rsidR="00E47AB8" w:rsidRPr="008B2F8A" w:rsidRDefault="00E47AB8" w:rsidP="00422306">
            <w:pPr>
              <w:autoSpaceDE w:val="0"/>
              <w:autoSpaceDN w:val="0"/>
              <w:adjustRightInd w:val="0"/>
              <w:spacing w:before="40" w:after="80"/>
              <w:rPr>
                <w:rFonts w:ascii="Arial Narrow" w:hAnsi="Arial Narrow"/>
              </w:rPr>
            </w:pPr>
            <w:r>
              <w:rPr>
                <w:rFonts w:ascii="Arial Narrow" w:hAnsi="Arial Narrow"/>
              </w:rPr>
              <w:t>Houssami et al, 2008</w:t>
            </w:r>
          </w:p>
        </w:tc>
        <w:tc>
          <w:tcPr>
            <w:tcW w:w="2698" w:type="dxa"/>
          </w:tcPr>
          <w:p w14:paraId="363D102F"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To conduct a systematic review and meta-analysis of the incremental accuracy and impact of breast MRI in the context of local staging, with a focus on detection of multifocal and multicentric disease (detection of otherwise occult foci that are distinct from the index cancer)</w:t>
            </w:r>
          </w:p>
        </w:tc>
        <w:tc>
          <w:tcPr>
            <w:tcW w:w="2468" w:type="dxa"/>
          </w:tcPr>
          <w:p w14:paraId="5FA2A9F9" w14:textId="77777777" w:rsidR="00E47AB8" w:rsidRPr="008B2F8A" w:rsidRDefault="00E47AB8" w:rsidP="00422306">
            <w:pPr>
              <w:pStyle w:val="ListParagraph"/>
              <w:autoSpaceDE w:val="0"/>
              <w:autoSpaceDN w:val="0"/>
              <w:adjustRightInd w:val="0"/>
              <w:spacing w:before="40" w:after="80"/>
              <w:ind w:left="0"/>
              <w:contextualSpacing w:val="0"/>
              <w:rPr>
                <w:rFonts w:ascii="Arial Narrow" w:hAnsi="Arial Narrow"/>
              </w:rPr>
            </w:pPr>
            <w:r w:rsidRPr="008B2F8A">
              <w:rPr>
                <w:rFonts w:ascii="Arial Narrow" w:hAnsi="Arial Narrow"/>
              </w:rPr>
              <w:t>MRI detection or accuracy in local staging (or in determining disease extent) in women with proven or suspected breast cancer</w:t>
            </w:r>
            <w:r>
              <w:rPr>
                <w:rFonts w:ascii="Arial Narrow" w:hAnsi="Arial Narrow"/>
              </w:rPr>
              <w:t>;</w:t>
            </w:r>
            <w:r w:rsidRPr="008B2F8A">
              <w:rPr>
                <w:rFonts w:ascii="Arial Narrow" w:hAnsi="Arial Narrow"/>
              </w:rPr>
              <w:t xml:space="preserve"> and provided a measure of MRI accuracy for the detection of additional tumour foci other than the index cancer</w:t>
            </w:r>
          </w:p>
        </w:tc>
        <w:tc>
          <w:tcPr>
            <w:tcW w:w="1126" w:type="dxa"/>
          </w:tcPr>
          <w:p w14:paraId="7E5F998F"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Incremental yield, PPV, TP:FP ratio, change in management</w:t>
            </w:r>
          </w:p>
        </w:tc>
        <w:tc>
          <w:tcPr>
            <w:tcW w:w="701" w:type="dxa"/>
          </w:tcPr>
          <w:p w14:paraId="3492F691"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June 2007</w:t>
            </w:r>
          </w:p>
        </w:tc>
        <w:tc>
          <w:tcPr>
            <w:tcW w:w="1197" w:type="dxa"/>
          </w:tcPr>
          <w:p w14:paraId="0509D6A5" w14:textId="77777777" w:rsidR="00E47AB8" w:rsidRPr="008B2F8A" w:rsidRDefault="00E47AB8" w:rsidP="00422306">
            <w:pPr>
              <w:autoSpaceDE w:val="0"/>
              <w:autoSpaceDN w:val="0"/>
              <w:adjustRightInd w:val="0"/>
              <w:spacing w:before="40" w:after="80"/>
              <w:rPr>
                <w:rFonts w:ascii="Arial Narrow" w:hAnsi="Arial Narrow"/>
              </w:rPr>
            </w:pPr>
            <w:bookmarkStart w:id="1510" w:name="OLE_LINK365"/>
            <w:bookmarkStart w:id="1511" w:name="OLE_LINK366"/>
            <w:r w:rsidRPr="008B2F8A">
              <w:rPr>
                <w:rFonts w:ascii="Arial Narrow" w:hAnsi="Arial Narrow"/>
              </w:rPr>
              <w:t>SROC</w:t>
            </w:r>
            <w:bookmarkEnd w:id="1510"/>
            <w:bookmarkEnd w:id="1511"/>
            <w:r w:rsidRPr="008B2F8A">
              <w:rPr>
                <w:rFonts w:ascii="Arial Narrow" w:hAnsi="Arial Narrow"/>
              </w:rPr>
              <w:t xml:space="preserve"> curve, random effects logistic regression</w:t>
            </w:r>
          </w:p>
          <w:p w14:paraId="657C33BB" w14:textId="77777777" w:rsidR="00E47AB8" w:rsidRPr="008B2F8A" w:rsidRDefault="00E47AB8" w:rsidP="00422306">
            <w:pPr>
              <w:autoSpaceDE w:val="0"/>
              <w:autoSpaceDN w:val="0"/>
              <w:adjustRightInd w:val="0"/>
              <w:spacing w:before="40" w:after="80"/>
              <w:rPr>
                <w:rFonts w:ascii="Arial Narrow" w:hAnsi="Arial Narrow"/>
              </w:rPr>
            </w:pPr>
            <w:r w:rsidRPr="008B2F8A">
              <w:rPr>
                <w:rFonts w:ascii="Arial Narrow" w:hAnsi="Arial Narrow"/>
              </w:rPr>
              <w:t>19 studies included (2,610 women)</w:t>
            </w:r>
          </w:p>
        </w:tc>
      </w:tr>
    </w:tbl>
    <w:p w14:paraId="7CBD8CBF" w14:textId="77777777" w:rsidR="00E47AB8" w:rsidRPr="008B2F8A" w:rsidRDefault="00E47AB8" w:rsidP="00422306">
      <w:pPr>
        <w:pStyle w:val="TableNotesLast"/>
      </w:pPr>
      <w:r w:rsidRPr="008B2F8A">
        <w:t>MRI = magnetic resonance imaging; PPV = positive predictive value; TP = true-positive; FP = false-positive; SROC = summary receiver operating characteristics.</w:t>
      </w:r>
    </w:p>
    <w:p w14:paraId="0ECD7333" w14:textId="77777777" w:rsidR="00E47AB8" w:rsidRPr="008B2F8A" w:rsidRDefault="00E47AB8" w:rsidP="00422306">
      <w:pPr>
        <w:pStyle w:val="Heading2"/>
        <w:numPr>
          <w:ilvl w:val="0"/>
          <w:numId w:val="0"/>
        </w:numPr>
      </w:pPr>
      <w:bookmarkStart w:id="1512" w:name="_Toc383424552"/>
      <w:r w:rsidRPr="008B2F8A">
        <w:lastRenderedPageBreak/>
        <w:t>Findings and conclusions</w:t>
      </w:r>
      <w:bookmarkEnd w:id="1512"/>
    </w:p>
    <w:p w14:paraId="7AC93015" w14:textId="799AD692" w:rsidR="00E47AB8" w:rsidRPr="008B2F8A" w:rsidRDefault="00E47AB8" w:rsidP="00422306">
      <w:pPr>
        <w:pStyle w:val="Heading3"/>
      </w:pPr>
      <w:bookmarkStart w:id="1513" w:name="_Toc383424553"/>
      <w:r>
        <w:t>Brennan et al (2009)</w:t>
      </w:r>
      <w:bookmarkEnd w:id="1513"/>
    </w:p>
    <w:p w14:paraId="13469D8D" w14:textId="11B93A60" w:rsidR="00E47AB8" w:rsidRPr="008B2F8A" w:rsidRDefault="00E47AB8" w:rsidP="00422306">
      <w:r w:rsidRPr="008B2F8A">
        <w:t>The pooled estimate for incremental cancer detection ratio in group 1 (all invasive cancers) was 4.1% (95% CI 2.7%–6.0%)</w:t>
      </w:r>
      <w:r>
        <w:t>,</w:t>
      </w:r>
      <w:r w:rsidRPr="008B2F8A">
        <w:t xml:space="preserve"> and </w:t>
      </w:r>
      <w:r>
        <w:t>that</w:t>
      </w:r>
      <w:r w:rsidRPr="008B2F8A">
        <w:t xml:space="preserve"> for MRI positives (TP </w:t>
      </w:r>
      <w:r w:rsidRPr="008B2F8A">
        <w:rPr>
          <w:rFonts w:ascii="Arial Narrow" w:hAnsi="Arial Narrow"/>
        </w:rPr>
        <w:t>​+​</w:t>
      </w:r>
      <w:r w:rsidRPr="008B2F8A">
        <w:t xml:space="preserve"> FP) was 9.3% (95% CI 5.8%–14.7%). The summary estimate of PPV was 47.9% (95% CI 31.8%–64.6%) and the summary TP:FP ratio was 0.92 (95% CI 0.47–1.82). There was evidence that the PPV value decreased with increasing numbers of test positives (TP </w:t>
      </w:r>
      <w:r w:rsidRPr="008B2F8A">
        <w:rPr>
          <w:rFonts w:ascii="Arial Narrow" w:hAnsi="Arial Narrow"/>
        </w:rPr>
        <w:t>​+​</w:t>
      </w:r>
      <w:r w:rsidRPr="008B2F8A">
        <w:t xml:space="preserve"> FP) in a study (</w:t>
      </w:r>
      <w:r w:rsidRPr="008B2F8A">
        <w:rPr>
          <w:i/>
        </w:rPr>
        <w:t>P</w:t>
      </w:r>
      <w:r w:rsidRPr="008B2F8A">
        <w:t xml:space="preserve"> = 0.024). The PPV also varied according to conventional imaging: </w:t>
      </w:r>
      <w:r>
        <w:t>in</w:t>
      </w:r>
      <w:r w:rsidRPr="008B2F8A">
        <w:t xml:space="preserve"> five studies using mammography only</w:t>
      </w:r>
      <w:r>
        <w:t>,</w:t>
      </w:r>
      <w:r w:rsidRPr="008B2F8A">
        <w:t xml:space="preserve"> the estimated PPV was 31.0% (95% CI 16.0%–52.0%)</w:t>
      </w:r>
      <w:r>
        <w:t>,</w:t>
      </w:r>
      <w:r w:rsidRPr="008B2F8A">
        <w:t xml:space="preserve"> and </w:t>
      </w:r>
      <w:r>
        <w:t>in</w:t>
      </w:r>
      <w:r w:rsidRPr="008B2F8A">
        <w:t xml:space="preserve"> eight studies using mammography with ultrasound</w:t>
      </w:r>
      <w:r>
        <w:t>,</w:t>
      </w:r>
      <w:r w:rsidRPr="008B2F8A">
        <w:t xml:space="preserve"> </w:t>
      </w:r>
      <w:r>
        <w:t>it</w:t>
      </w:r>
      <w:r w:rsidRPr="008B2F8A">
        <w:t xml:space="preserve"> was 57.0% (95% CI 39.0%–74.0%).</w:t>
      </w:r>
    </w:p>
    <w:p w14:paraId="1716F0E2" w14:textId="0A01340B" w:rsidR="00E47AB8" w:rsidRPr="008B2F8A" w:rsidRDefault="00E47AB8" w:rsidP="00422306">
      <w:r w:rsidRPr="008B2F8A">
        <w:t>When reported, 35.1% of MRI detected cancers were DCIS (mean size 6.3 mm) and 64.9% were invasive cancers (mean size 9.3 mm). Clinical management was not reported for all cancers</w:t>
      </w:r>
      <w:r>
        <w:t>,</w:t>
      </w:r>
      <w:r w:rsidRPr="008B2F8A">
        <w:t xml:space="preserve"> but frequent use of mastectomy was indicated. There were 42 prophylactic mastectomies reported in women negative on MRI of which five were positive for malignancy (a false-negative rate of 11.9%).</w:t>
      </w:r>
    </w:p>
    <w:p w14:paraId="6623CC97" w14:textId="6B364231" w:rsidR="00E47AB8" w:rsidRPr="008B2F8A" w:rsidRDefault="00E47AB8" w:rsidP="00422306">
      <w:r w:rsidRPr="008B2F8A">
        <w:t xml:space="preserve">The authors </w:t>
      </w:r>
      <w:r>
        <w:t>drew</w:t>
      </w:r>
      <w:r w:rsidRPr="008B2F8A">
        <w:t xml:space="preserve"> the following conclusion:</w:t>
      </w:r>
    </w:p>
    <w:p w14:paraId="066CA96E" w14:textId="77777777" w:rsidR="00E47AB8" w:rsidRPr="008B2F8A" w:rsidRDefault="00E47AB8" w:rsidP="00422306">
      <w:pPr>
        <w:rPr>
          <w:i/>
        </w:rPr>
      </w:pPr>
      <w:r w:rsidRPr="008B2F8A">
        <w:t>‘</w:t>
      </w:r>
      <w:r w:rsidRPr="008B2F8A">
        <w:rPr>
          <w:i/>
        </w:rPr>
        <w:t>MRI detects contralateral lesions in a substantial proportion of women, but does not reliably distinguish benign from malignant findings. Relatively high incremental cancer detection ratio may be due to selection bias and/or over-detection. Women must be informed of the uncertain benefit and potential harm, including additional investigations and surgery.’</w:t>
      </w:r>
    </w:p>
    <w:p w14:paraId="11AC9C02" w14:textId="6C683510" w:rsidR="00E47AB8" w:rsidRPr="008B2F8A" w:rsidRDefault="00E47AB8" w:rsidP="004E7861">
      <w:pPr>
        <w:pStyle w:val="Heading3"/>
      </w:pPr>
      <w:bookmarkStart w:id="1514" w:name="_Toc383424554"/>
      <w:r>
        <w:t>Houssami et al (2008)</w:t>
      </w:r>
      <w:bookmarkEnd w:id="1514"/>
    </w:p>
    <w:p w14:paraId="25E9B14D" w14:textId="2F4270B0" w:rsidR="00E47AB8" w:rsidRPr="008B2F8A" w:rsidRDefault="00E47AB8" w:rsidP="00422306">
      <w:r w:rsidRPr="008B2F8A">
        <w:t>The prevalence of detection of additional foci ranged from 6% to 34% across studies (median 16%). The incremental accuracy of MRI varied according to the quality of the reference standard</w:t>
      </w:r>
      <w:r>
        <w:t>:</w:t>
      </w:r>
      <w:r w:rsidRPr="008B2F8A">
        <w:t xml:space="preserve"> highest quality (two studies)</w:t>
      </w:r>
      <w:r>
        <w:t>,</w:t>
      </w:r>
      <w:r w:rsidRPr="008B2F8A">
        <w:t xml:space="preserve"> AUC = 86%</w:t>
      </w:r>
      <w:r>
        <w:t>;</w:t>
      </w:r>
      <w:r w:rsidRPr="008B2F8A">
        <w:t xml:space="preserve"> intermediate quality (nine studies)</w:t>
      </w:r>
      <w:r>
        <w:t>,</w:t>
      </w:r>
      <w:r w:rsidRPr="008B2F8A">
        <w:t xml:space="preserve"> AUC = 96%</w:t>
      </w:r>
      <w:r>
        <w:t>;</w:t>
      </w:r>
      <w:r w:rsidRPr="008B2F8A">
        <w:t xml:space="preserve"> lowest quality (eight studies)</w:t>
      </w:r>
      <w:r>
        <w:t>,</w:t>
      </w:r>
      <w:r w:rsidRPr="008B2F8A">
        <w:t xml:space="preserve"> AUC = 99%. The overall summary estimate of PPV was 0.66 (95% CI 0.52–0.77)</w:t>
      </w:r>
      <w:r>
        <w:t>,</w:t>
      </w:r>
      <w:r w:rsidRPr="008B2F8A">
        <w:t xml:space="preserve"> and the summary estimate of </w:t>
      </w:r>
      <w:r>
        <w:t xml:space="preserve">the </w:t>
      </w:r>
      <w:r w:rsidRPr="008B2F8A">
        <w:t>TP:FP ratio was 1.91 (95% CI 1.09–3.34).</w:t>
      </w:r>
    </w:p>
    <w:p w14:paraId="11438FC5" w14:textId="59E75F1F" w:rsidR="00E47AB8" w:rsidRPr="008B2F8A" w:rsidRDefault="00E47AB8" w:rsidP="00422306">
      <w:r w:rsidRPr="008B2F8A">
        <w:t>Thirteen studies provided data on change in surgical management; conversion from wide local excision to mastectomy in women with histologically proven additional foci was 8.1% (95% CI 5.9%–11.3%). The rate in women without histological verification (ie, FP detection) was 1.1% (95% CI 0.3%–3.6%).</w:t>
      </w:r>
    </w:p>
    <w:p w14:paraId="67EF4644" w14:textId="1C390CD1" w:rsidR="00E47AB8" w:rsidRPr="008B2F8A" w:rsidRDefault="00E47AB8" w:rsidP="00422306">
      <w:r w:rsidRPr="008B2F8A">
        <w:t xml:space="preserve">The authors </w:t>
      </w:r>
      <w:r>
        <w:t>drew</w:t>
      </w:r>
      <w:r w:rsidRPr="008B2F8A">
        <w:t xml:space="preserve"> the following conclusion:</w:t>
      </w:r>
    </w:p>
    <w:p w14:paraId="61678667" w14:textId="77777777" w:rsidR="00E47AB8" w:rsidRPr="008B2F8A" w:rsidRDefault="00E47AB8" w:rsidP="00422306">
      <w:pPr>
        <w:rPr>
          <w:i/>
        </w:rPr>
      </w:pPr>
      <w:r w:rsidRPr="008B2F8A">
        <w:rPr>
          <w:i/>
        </w:rPr>
        <w:t>‘MRI staging causes more extensive breast surgery in an important proportion of women by identifying additional cancer, however there is a need to reduced FP MRI detection. Randomised trials are needed to determine the clinical value of detecting additional disease which changes surgical treatment in women with apparently localised breast cancer.’</w:t>
      </w:r>
    </w:p>
    <w:p w14:paraId="5B9C063E" w14:textId="77777777" w:rsidR="00E47AB8" w:rsidRPr="008B2F8A" w:rsidRDefault="00E47AB8" w:rsidP="00422306">
      <w:pPr>
        <w:pStyle w:val="Heading1"/>
        <w:pageBreakBefore/>
        <w:numPr>
          <w:ilvl w:val="0"/>
          <w:numId w:val="0"/>
        </w:numPr>
        <w:rPr>
          <w:rFonts w:ascii="Calibri" w:hAnsi="Calibri"/>
          <w:sz w:val="24"/>
          <w:szCs w:val="24"/>
        </w:rPr>
      </w:pPr>
      <w:bookmarkStart w:id="1515" w:name="_Ref377649697"/>
      <w:bookmarkStart w:id="1516" w:name="_Ref377649706"/>
      <w:bookmarkStart w:id="1517" w:name="_Toc383424555"/>
      <w:r w:rsidRPr="008B2F8A">
        <w:lastRenderedPageBreak/>
        <w:t xml:space="preserve">Appendix </w:t>
      </w:r>
      <w:fldSimple w:instr=" SEQ Appendix \* ARABIC ">
        <w:r w:rsidR="00B81273">
          <w:rPr>
            <w:noProof/>
          </w:rPr>
          <w:t>5</w:t>
        </w:r>
      </w:fldSimple>
      <w:r w:rsidRPr="008B2F8A">
        <w:t>: Patient number calculations for the financial impact analysis</w:t>
      </w:r>
      <w:bookmarkEnd w:id="1515"/>
      <w:bookmarkEnd w:id="1516"/>
      <w:bookmarkEnd w:id="1517"/>
    </w:p>
    <w:p w14:paraId="0BA856C9" w14:textId="77777777" w:rsidR="00E47AB8" w:rsidRPr="008B2F8A" w:rsidRDefault="00E47AB8" w:rsidP="00422306">
      <w:r w:rsidRPr="008B2F8A">
        <w:t>The tables below show the results of each stage of the calculations to estimate the numbers of patients for the financial impact calculations.</w:t>
      </w:r>
    </w:p>
    <w:p w14:paraId="541623D3" w14:textId="77777777" w:rsidR="00E47AB8" w:rsidRPr="008B2F8A" w:rsidRDefault="00E47AB8" w:rsidP="00422306">
      <w:pPr>
        <w:pStyle w:val="Caption"/>
      </w:pPr>
      <w:r w:rsidRPr="008B2F8A">
        <w:t>Women with gene mutations or family history.</w:t>
      </w:r>
    </w:p>
    <w:tbl>
      <w:tblPr>
        <w:tblStyle w:val="TableGrid"/>
        <w:tblW w:w="9070" w:type="dxa"/>
        <w:tblCellMar>
          <w:left w:w="28" w:type="dxa"/>
          <w:right w:w="28" w:type="dxa"/>
        </w:tblCellMar>
        <w:tblLook w:val="04A0" w:firstRow="1" w:lastRow="0" w:firstColumn="1" w:lastColumn="0" w:noHBand="0" w:noVBand="1"/>
        <w:tblCaption w:val="Women with gene mutations or family history."/>
      </w:tblPr>
      <w:tblGrid>
        <w:gridCol w:w="4186"/>
        <w:gridCol w:w="988"/>
        <w:gridCol w:w="988"/>
        <w:gridCol w:w="988"/>
        <w:gridCol w:w="988"/>
        <w:gridCol w:w="988"/>
      </w:tblGrid>
      <w:tr w:rsidR="00E47AB8" w:rsidRPr="008B2F8A" w14:paraId="51C3D65A" w14:textId="77777777" w:rsidTr="00D2496B">
        <w:trPr>
          <w:tblHeader/>
        </w:trPr>
        <w:tc>
          <w:tcPr>
            <w:tcW w:w="4186" w:type="dxa"/>
            <w:noWrap/>
            <w:hideMark/>
          </w:tcPr>
          <w:p w14:paraId="70694871" w14:textId="77777777" w:rsidR="00E47AB8" w:rsidRPr="008B2F8A" w:rsidRDefault="00E47AB8" w:rsidP="00422306">
            <w:pPr>
              <w:pStyle w:val="TableText0"/>
              <w:keepNext w:val="0"/>
              <w:spacing w:before="40" w:after="80" w:line="276" w:lineRule="auto"/>
              <w:rPr>
                <w:b/>
              </w:rPr>
            </w:pPr>
            <w:r w:rsidRPr="008B2F8A">
              <w:rPr>
                <w:b/>
              </w:rPr>
              <w:t>Population</w:t>
            </w:r>
          </w:p>
        </w:tc>
        <w:tc>
          <w:tcPr>
            <w:tcW w:w="988" w:type="dxa"/>
            <w:noWrap/>
            <w:hideMark/>
          </w:tcPr>
          <w:p w14:paraId="120CFB62" w14:textId="77777777" w:rsidR="00E47AB8" w:rsidRPr="008B2F8A" w:rsidRDefault="00E47AB8" w:rsidP="00422306">
            <w:pPr>
              <w:pStyle w:val="TableText0"/>
              <w:keepNext w:val="0"/>
              <w:spacing w:before="40" w:after="80" w:line="276" w:lineRule="auto"/>
              <w:jc w:val="center"/>
              <w:rPr>
                <w:b/>
              </w:rPr>
            </w:pPr>
            <w:r w:rsidRPr="008B2F8A">
              <w:rPr>
                <w:b/>
              </w:rPr>
              <w:t>FY 2015</w:t>
            </w:r>
          </w:p>
        </w:tc>
        <w:tc>
          <w:tcPr>
            <w:tcW w:w="988" w:type="dxa"/>
            <w:noWrap/>
            <w:hideMark/>
          </w:tcPr>
          <w:p w14:paraId="17149A79" w14:textId="77777777" w:rsidR="00E47AB8" w:rsidRPr="008B2F8A" w:rsidRDefault="00E47AB8" w:rsidP="00422306">
            <w:pPr>
              <w:pStyle w:val="TableText0"/>
              <w:keepNext w:val="0"/>
              <w:spacing w:before="40" w:after="80" w:line="276" w:lineRule="auto"/>
              <w:jc w:val="center"/>
              <w:rPr>
                <w:b/>
              </w:rPr>
            </w:pPr>
            <w:r w:rsidRPr="008B2F8A">
              <w:rPr>
                <w:b/>
              </w:rPr>
              <w:t>FY 2016</w:t>
            </w:r>
          </w:p>
        </w:tc>
        <w:tc>
          <w:tcPr>
            <w:tcW w:w="988" w:type="dxa"/>
            <w:noWrap/>
            <w:hideMark/>
          </w:tcPr>
          <w:p w14:paraId="0C76CC75" w14:textId="77777777" w:rsidR="00E47AB8" w:rsidRPr="008B2F8A" w:rsidRDefault="00E47AB8" w:rsidP="00422306">
            <w:pPr>
              <w:pStyle w:val="TableText0"/>
              <w:keepNext w:val="0"/>
              <w:spacing w:before="40" w:after="80" w:line="276" w:lineRule="auto"/>
              <w:jc w:val="center"/>
              <w:rPr>
                <w:b/>
              </w:rPr>
            </w:pPr>
            <w:r w:rsidRPr="008B2F8A">
              <w:rPr>
                <w:b/>
              </w:rPr>
              <w:t>FY 2017</w:t>
            </w:r>
          </w:p>
        </w:tc>
        <w:tc>
          <w:tcPr>
            <w:tcW w:w="988" w:type="dxa"/>
            <w:noWrap/>
            <w:hideMark/>
          </w:tcPr>
          <w:p w14:paraId="448E5655" w14:textId="77777777" w:rsidR="00E47AB8" w:rsidRPr="008B2F8A" w:rsidRDefault="00E47AB8" w:rsidP="00422306">
            <w:pPr>
              <w:pStyle w:val="TableText0"/>
              <w:keepNext w:val="0"/>
              <w:spacing w:before="40" w:after="80" w:line="276" w:lineRule="auto"/>
              <w:jc w:val="center"/>
              <w:rPr>
                <w:b/>
              </w:rPr>
            </w:pPr>
            <w:r w:rsidRPr="008B2F8A">
              <w:rPr>
                <w:b/>
              </w:rPr>
              <w:t>FY 2018</w:t>
            </w:r>
          </w:p>
        </w:tc>
        <w:tc>
          <w:tcPr>
            <w:tcW w:w="988" w:type="dxa"/>
            <w:noWrap/>
            <w:hideMark/>
          </w:tcPr>
          <w:p w14:paraId="2392CCB4" w14:textId="77777777" w:rsidR="00E47AB8" w:rsidRPr="008B2F8A" w:rsidRDefault="00E47AB8" w:rsidP="00422306">
            <w:pPr>
              <w:pStyle w:val="TableText0"/>
              <w:keepNext w:val="0"/>
              <w:spacing w:before="40" w:after="80" w:line="276" w:lineRule="auto"/>
              <w:jc w:val="center"/>
              <w:rPr>
                <w:b/>
              </w:rPr>
            </w:pPr>
            <w:r w:rsidRPr="008B2F8A">
              <w:rPr>
                <w:b/>
              </w:rPr>
              <w:t>FY 2019</w:t>
            </w:r>
          </w:p>
        </w:tc>
      </w:tr>
      <w:tr w:rsidR="00E47AB8" w:rsidRPr="008B2F8A" w14:paraId="3E01BFC7" w14:textId="77777777" w:rsidTr="00D2496B">
        <w:tc>
          <w:tcPr>
            <w:tcW w:w="4186" w:type="dxa"/>
            <w:hideMark/>
          </w:tcPr>
          <w:p w14:paraId="6103270A" w14:textId="77777777" w:rsidR="00E47AB8" w:rsidRPr="008B2F8A" w:rsidRDefault="00E47AB8" w:rsidP="00422306">
            <w:pPr>
              <w:pStyle w:val="TableText0"/>
              <w:keepNext w:val="0"/>
              <w:spacing w:before="40" w:after="80" w:line="276" w:lineRule="auto"/>
            </w:pPr>
            <w:r w:rsidRPr="008B2F8A">
              <w:t>Number of women who receive MRI—extrapolated from claims for the interim MBS listings for breast MRI (see Breast MRI interim items worksheet)</w:t>
            </w:r>
          </w:p>
        </w:tc>
        <w:tc>
          <w:tcPr>
            <w:tcW w:w="988" w:type="dxa"/>
            <w:noWrap/>
            <w:hideMark/>
          </w:tcPr>
          <w:p w14:paraId="50FD9D7F" w14:textId="77777777" w:rsidR="00E47AB8" w:rsidRPr="008B2F8A" w:rsidRDefault="00E47AB8" w:rsidP="00422306">
            <w:pPr>
              <w:pStyle w:val="TableText0"/>
              <w:keepNext w:val="0"/>
              <w:spacing w:before="40" w:after="80" w:line="276" w:lineRule="auto"/>
              <w:jc w:val="right"/>
            </w:pPr>
            <w:r w:rsidRPr="008B2F8A">
              <w:t xml:space="preserve"> 4,190 </w:t>
            </w:r>
          </w:p>
        </w:tc>
        <w:tc>
          <w:tcPr>
            <w:tcW w:w="988" w:type="dxa"/>
            <w:noWrap/>
            <w:hideMark/>
          </w:tcPr>
          <w:p w14:paraId="2C8FFC6F" w14:textId="77777777" w:rsidR="00E47AB8" w:rsidRPr="008B2F8A" w:rsidRDefault="00E47AB8" w:rsidP="00422306">
            <w:pPr>
              <w:pStyle w:val="TableText0"/>
              <w:keepNext w:val="0"/>
              <w:spacing w:before="40" w:after="80" w:line="276" w:lineRule="auto"/>
              <w:jc w:val="right"/>
            </w:pPr>
            <w:r w:rsidRPr="008B2F8A">
              <w:t xml:space="preserve"> 4,730 </w:t>
            </w:r>
          </w:p>
        </w:tc>
        <w:tc>
          <w:tcPr>
            <w:tcW w:w="988" w:type="dxa"/>
            <w:noWrap/>
            <w:hideMark/>
          </w:tcPr>
          <w:p w14:paraId="2AD40C5C" w14:textId="77777777" w:rsidR="00E47AB8" w:rsidRPr="008B2F8A" w:rsidRDefault="00E47AB8" w:rsidP="00422306">
            <w:pPr>
              <w:pStyle w:val="TableText0"/>
              <w:keepNext w:val="0"/>
              <w:spacing w:before="40" w:after="80" w:line="276" w:lineRule="auto"/>
              <w:jc w:val="right"/>
            </w:pPr>
            <w:r w:rsidRPr="008B2F8A">
              <w:t xml:space="preserve"> 5,271 </w:t>
            </w:r>
          </w:p>
        </w:tc>
        <w:tc>
          <w:tcPr>
            <w:tcW w:w="988" w:type="dxa"/>
            <w:noWrap/>
            <w:hideMark/>
          </w:tcPr>
          <w:p w14:paraId="23EAFDB0" w14:textId="77777777" w:rsidR="00E47AB8" w:rsidRPr="008B2F8A" w:rsidRDefault="00E47AB8" w:rsidP="00422306">
            <w:pPr>
              <w:pStyle w:val="TableText0"/>
              <w:keepNext w:val="0"/>
              <w:spacing w:before="40" w:after="80" w:line="276" w:lineRule="auto"/>
              <w:jc w:val="right"/>
            </w:pPr>
            <w:r w:rsidRPr="008B2F8A">
              <w:t xml:space="preserve"> 5,811 </w:t>
            </w:r>
          </w:p>
        </w:tc>
        <w:tc>
          <w:tcPr>
            <w:tcW w:w="988" w:type="dxa"/>
            <w:noWrap/>
            <w:hideMark/>
          </w:tcPr>
          <w:p w14:paraId="091321BB" w14:textId="77777777" w:rsidR="00E47AB8" w:rsidRPr="008B2F8A" w:rsidRDefault="00E47AB8" w:rsidP="00422306">
            <w:pPr>
              <w:pStyle w:val="TableText0"/>
              <w:keepNext w:val="0"/>
              <w:spacing w:before="40" w:after="80" w:line="276" w:lineRule="auto"/>
              <w:jc w:val="right"/>
            </w:pPr>
            <w:r w:rsidRPr="008B2F8A">
              <w:t xml:space="preserve"> 6,351 </w:t>
            </w:r>
          </w:p>
        </w:tc>
      </w:tr>
      <w:tr w:rsidR="00E47AB8" w:rsidRPr="008B2F8A" w14:paraId="2385FA69" w14:textId="77777777" w:rsidTr="00D2496B">
        <w:tc>
          <w:tcPr>
            <w:tcW w:w="4186" w:type="dxa"/>
            <w:noWrap/>
            <w:hideMark/>
          </w:tcPr>
          <w:p w14:paraId="6426FBA6" w14:textId="77777777" w:rsidR="00E47AB8" w:rsidRPr="008B2F8A" w:rsidRDefault="00E47AB8" w:rsidP="00422306">
            <w:pPr>
              <w:pStyle w:val="TableText0"/>
              <w:keepNext w:val="0"/>
              <w:spacing w:before="40" w:after="80" w:line="276" w:lineRule="auto"/>
            </w:pPr>
            <w:r w:rsidRPr="008B2F8A">
              <w:t>Number who have follow-up MRI</w:t>
            </w:r>
          </w:p>
        </w:tc>
        <w:tc>
          <w:tcPr>
            <w:tcW w:w="988" w:type="dxa"/>
            <w:noWrap/>
            <w:hideMark/>
          </w:tcPr>
          <w:p w14:paraId="4690FEA6" w14:textId="77777777" w:rsidR="00E47AB8" w:rsidRPr="008B2F8A" w:rsidRDefault="00E47AB8" w:rsidP="00422306">
            <w:pPr>
              <w:pStyle w:val="TableText0"/>
              <w:keepNext w:val="0"/>
              <w:spacing w:before="40" w:after="80" w:line="276" w:lineRule="auto"/>
              <w:jc w:val="right"/>
            </w:pPr>
            <w:r w:rsidRPr="008B2F8A">
              <w:t xml:space="preserve"> 312 </w:t>
            </w:r>
          </w:p>
        </w:tc>
        <w:tc>
          <w:tcPr>
            <w:tcW w:w="988" w:type="dxa"/>
            <w:noWrap/>
            <w:hideMark/>
          </w:tcPr>
          <w:p w14:paraId="4385FCFF" w14:textId="77777777" w:rsidR="00E47AB8" w:rsidRPr="008B2F8A" w:rsidRDefault="00E47AB8" w:rsidP="00422306">
            <w:pPr>
              <w:pStyle w:val="TableText0"/>
              <w:keepNext w:val="0"/>
              <w:spacing w:before="40" w:after="80" w:line="276" w:lineRule="auto"/>
              <w:jc w:val="right"/>
            </w:pPr>
            <w:r w:rsidRPr="008B2F8A">
              <w:t xml:space="preserve"> 352 </w:t>
            </w:r>
          </w:p>
        </w:tc>
        <w:tc>
          <w:tcPr>
            <w:tcW w:w="988" w:type="dxa"/>
            <w:noWrap/>
            <w:hideMark/>
          </w:tcPr>
          <w:p w14:paraId="0647A28C" w14:textId="77777777" w:rsidR="00E47AB8" w:rsidRPr="008B2F8A" w:rsidRDefault="00E47AB8" w:rsidP="00422306">
            <w:pPr>
              <w:pStyle w:val="TableText0"/>
              <w:keepNext w:val="0"/>
              <w:spacing w:before="40" w:after="80" w:line="276" w:lineRule="auto"/>
              <w:jc w:val="right"/>
            </w:pPr>
            <w:r w:rsidRPr="008B2F8A">
              <w:t xml:space="preserve"> 392 </w:t>
            </w:r>
          </w:p>
        </w:tc>
        <w:tc>
          <w:tcPr>
            <w:tcW w:w="988" w:type="dxa"/>
            <w:noWrap/>
            <w:hideMark/>
          </w:tcPr>
          <w:p w14:paraId="05339B85" w14:textId="77777777" w:rsidR="00E47AB8" w:rsidRPr="008B2F8A" w:rsidRDefault="00E47AB8" w:rsidP="00422306">
            <w:pPr>
              <w:pStyle w:val="TableText0"/>
              <w:keepNext w:val="0"/>
              <w:spacing w:before="40" w:after="80" w:line="276" w:lineRule="auto"/>
              <w:jc w:val="right"/>
            </w:pPr>
            <w:r w:rsidRPr="008B2F8A">
              <w:t xml:space="preserve"> 432 </w:t>
            </w:r>
          </w:p>
        </w:tc>
        <w:tc>
          <w:tcPr>
            <w:tcW w:w="988" w:type="dxa"/>
            <w:noWrap/>
            <w:hideMark/>
          </w:tcPr>
          <w:p w14:paraId="27E1FBCF" w14:textId="77777777" w:rsidR="00E47AB8" w:rsidRPr="008B2F8A" w:rsidRDefault="00E47AB8" w:rsidP="00422306">
            <w:pPr>
              <w:pStyle w:val="TableText0"/>
              <w:keepNext w:val="0"/>
              <w:spacing w:before="40" w:after="80" w:line="276" w:lineRule="auto"/>
              <w:jc w:val="right"/>
            </w:pPr>
            <w:r w:rsidRPr="008B2F8A">
              <w:t xml:space="preserve"> 473 </w:t>
            </w:r>
          </w:p>
        </w:tc>
      </w:tr>
      <w:tr w:rsidR="00E47AB8" w:rsidRPr="008B2F8A" w14:paraId="2DAD4CAE" w14:textId="77777777" w:rsidTr="00D2496B">
        <w:tc>
          <w:tcPr>
            <w:tcW w:w="4186" w:type="dxa"/>
            <w:noWrap/>
            <w:hideMark/>
          </w:tcPr>
          <w:p w14:paraId="65E44930" w14:textId="77777777" w:rsidR="00E47AB8" w:rsidRPr="008B2F8A" w:rsidRDefault="00E47AB8" w:rsidP="00422306">
            <w:pPr>
              <w:pStyle w:val="TableText0"/>
              <w:keepNext w:val="0"/>
              <w:spacing w:before="40" w:after="80" w:line="276" w:lineRule="auto"/>
            </w:pPr>
            <w:r w:rsidRPr="008B2F8A">
              <w:t>Number of ultrasounds replaced</w:t>
            </w:r>
          </w:p>
        </w:tc>
        <w:tc>
          <w:tcPr>
            <w:tcW w:w="988" w:type="dxa"/>
            <w:noWrap/>
            <w:hideMark/>
          </w:tcPr>
          <w:p w14:paraId="01D89560" w14:textId="77777777" w:rsidR="00E47AB8" w:rsidRPr="008B2F8A" w:rsidRDefault="00E47AB8" w:rsidP="00422306">
            <w:pPr>
              <w:pStyle w:val="TableText0"/>
              <w:keepNext w:val="0"/>
              <w:spacing w:before="40" w:after="80" w:line="276" w:lineRule="auto"/>
              <w:jc w:val="right"/>
            </w:pPr>
            <w:r w:rsidRPr="008B2F8A">
              <w:t xml:space="preserve"> 1,048 </w:t>
            </w:r>
          </w:p>
        </w:tc>
        <w:tc>
          <w:tcPr>
            <w:tcW w:w="988" w:type="dxa"/>
            <w:noWrap/>
            <w:hideMark/>
          </w:tcPr>
          <w:p w14:paraId="6CE73CAB" w14:textId="77777777" w:rsidR="00E47AB8" w:rsidRPr="008B2F8A" w:rsidRDefault="00E47AB8" w:rsidP="00422306">
            <w:pPr>
              <w:pStyle w:val="TableText0"/>
              <w:keepNext w:val="0"/>
              <w:spacing w:before="40" w:after="80" w:line="276" w:lineRule="auto"/>
              <w:jc w:val="right"/>
            </w:pPr>
            <w:r w:rsidRPr="008B2F8A">
              <w:t xml:space="preserve"> 1,183 </w:t>
            </w:r>
          </w:p>
        </w:tc>
        <w:tc>
          <w:tcPr>
            <w:tcW w:w="988" w:type="dxa"/>
            <w:noWrap/>
            <w:hideMark/>
          </w:tcPr>
          <w:p w14:paraId="7E0F602F" w14:textId="77777777" w:rsidR="00E47AB8" w:rsidRPr="008B2F8A" w:rsidRDefault="00E47AB8" w:rsidP="00422306">
            <w:pPr>
              <w:pStyle w:val="TableText0"/>
              <w:keepNext w:val="0"/>
              <w:spacing w:before="40" w:after="80" w:line="276" w:lineRule="auto"/>
              <w:jc w:val="right"/>
            </w:pPr>
            <w:r w:rsidRPr="008B2F8A">
              <w:t xml:space="preserve"> 1,318 </w:t>
            </w:r>
          </w:p>
        </w:tc>
        <w:tc>
          <w:tcPr>
            <w:tcW w:w="988" w:type="dxa"/>
            <w:noWrap/>
            <w:hideMark/>
          </w:tcPr>
          <w:p w14:paraId="2EE9E9C8" w14:textId="77777777" w:rsidR="00E47AB8" w:rsidRPr="008B2F8A" w:rsidRDefault="00E47AB8" w:rsidP="00422306">
            <w:pPr>
              <w:pStyle w:val="TableText0"/>
              <w:keepNext w:val="0"/>
              <w:spacing w:before="40" w:after="80" w:line="276" w:lineRule="auto"/>
              <w:jc w:val="right"/>
            </w:pPr>
            <w:r w:rsidRPr="008B2F8A">
              <w:t xml:space="preserve"> 1,453 </w:t>
            </w:r>
          </w:p>
        </w:tc>
        <w:tc>
          <w:tcPr>
            <w:tcW w:w="988" w:type="dxa"/>
            <w:noWrap/>
            <w:hideMark/>
          </w:tcPr>
          <w:p w14:paraId="5EBA5720" w14:textId="77777777" w:rsidR="00E47AB8" w:rsidRPr="008B2F8A" w:rsidRDefault="00E47AB8" w:rsidP="00422306">
            <w:pPr>
              <w:pStyle w:val="TableText0"/>
              <w:keepNext w:val="0"/>
              <w:spacing w:before="40" w:after="80" w:line="276" w:lineRule="auto"/>
              <w:jc w:val="right"/>
            </w:pPr>
            <w:r w:rsidRPr="008B2F8A">
              <w:t xml:space="preserve"> 1,588 </w:t>
            </w:r>
          </w:p>
        </w:tc>
      </w:tr>
      <w:tr w:rsidR="00E47AB8" w:rsidRPr="008B2F8A" w14:paraId="25864AA3" w14:textId="77777777" w:rsidTr="00D2496B">
        <w:tc>
          <w:tcPr>
            <w:tcW w:w="4186" w:type="dxa"/>
            <w:noWrap/>
            <w:hideMark/>
          </w:tcPr>
          <w:p w14:paraId="6C6371D2" w14:textId="77777777" w:rsidR="00E47AB8" w:rsidRPr="008B2F8A" w:rsidRDefault="00E47AB8" w:rsidP="00422306">
            <w:pPr>
              <w:pStyle w:val="TableText0"/>
              <w:keepNext w:val="0"/>
              <w:spacing w:before="40" w:after="80" w:line="276" w:lineRule="auto"/>
            </w:pPr>
            <w:r w:rsidRPr="008B2F8A">
              <w:t>Number of screened women with breast cancer</w:t>
            </w:r>
          </w:p>
        </w:tc>
        <w:tc>
          <w:tcPr>
            <w:tcW w:w="988" w:type="dxa"/>
            <w:noWrap/>
            <w:hideMark/>
          </w:tcPr>
          <w:p w14:paraId="3E12717C" w14:textId="77777777" w:rsidR="00E47AB8" w:rsidRPr="008B2F8A" w:rsidRDefault="00E47AB8" w:rsidP="00422306">
            <w:pPr>
              <w:pStyle w:val="TableText0"/>
              <w:keepNext w:val="0"/>
              <w:spacing w:before="40" w:after="80" w:line="276" w:lineRule="auto"/>
              <w:jc w:val="right"/>
            </w:pPr>
            <w:r w:rsidRPr="008B2F8A">
              <w:t xml:space="preserve"> 52 </w:t>
            </w:r>
          </w:p>
        </w:tc>
        <w:tc>
          <w:tcPr>
            <w:tcW w:w="988" w:type="dxa"/>
            <w:noWrap/>
            <w:hideMark/>
          </w:tcPr>
          <w:p w14:paraId="649886F9" w14:textId="77777777" w:rsidR="00E47AB8" w:rsidRPr="008B2F8A" w:rsidRDefault="00E47AB8" w:rsidP="00422306">
            <w:pPr>
              <w:pStyle w:val="TableText0"/>
              <w:keepNext w:val="0"/>
              <w:spacing w:before="40" w:after="80" w:line="276" w:lineRule="auto"/>
              <w:jc w:val="right"/>
            </w:pPr>
            <w:r w:rsidRPr="008B2F8A">
              <w:t xml:space="preserve"> 59 </w:t>
            </w:r>
          </w:p>
        </w:tc>
        <w:tc>
          <w:tcPr>
            <w:tcW w:w="988" w:type="dxa"/>
            <w:noWrap/>
            <w:hideMark/>
          </w:tcPr>
          <w:p w14:paraId="4A7EF1FF" w14:textId="77777777" w:rsidR="00E47AB8" w:rsidRPr="008B2F8A" w:rsidRDefault="00E47AB8" w:rsidP="00422306">
            <w:pPr>
              <w:pStyle w:val="TableText0"/>
              <w:keepNext w:val="0"/>
              <w:spacing w:before="40" w:after="80" w:line="276" w:lineRule="auto"/>
              <w:jc w:val="right"/>
            </w:pPr>
            <w:r w:rsidRPr="008B2F8A">
              <w:t xml:space="preserve"> 65 </w:t>
            </w:r>
          </w:p>
        </w:tc>
        <w:tc>
          <w:tcPr>
            <w:tcW w:w="988" w:type="dxa"/>
            <w:noWrap/>
            <w:hideMark/>
          </w:tcPr>
          <w:p w14:paraId="0316A0ED" w14:textId="77777777" w:rsidR="00E47AB8" w:rsidRPr="008B2F8A" w:rsidRDefault="00E47AB8" w:rsidP="00422306">
            <w:pPr>
              <w:pStyle w:val="TableText0"/>
              <w:keepNext w:val="0"/>
              <w:spacing w:before="40" w:after="80" w:line="276" w:lineRule="auto"/>
              <w:jc w:val="right"/>
            </w:pPr>
            <w:r w:rsidRPr="008B2F8A">
              <w:t xml:space="preserve"> 72 </w:t>
            </w:r>
          </w:p>
        </w:tc>
        <w:tc>
          <w:tcPr>
            <w:tcW w:w="988" w:type="dxa"/>
            <w:noWrap/>
            <w:hideMark/>
          </w:tcPr>
          <w:p w14:paraId="16285D0C" w14:textId="77777777" w:rsidR="00E47AB8" w:rsidRPr="008B2F8A" w:rsidRDefault="00E47AB8" w:rsidP="00422306">
            <w:pPr>
              <w:pStyle w:val="TableText0"/>
              <w:keepNext w:val="0"/>
              <w:spacing w:before="40" w:after="80" w:line="276" w:lineRule="auto"/>
              <w:jc w:val="right"/>
            </w:pPr>
            <w:r w:rsidRPr="008B2F8A">
              <w:t xml:space="preserve"> 79 </w:t>
            </w:r>
          </w:p>
        </w:tc>
      </w:tr>
      <w:tr w:rsidR="00E47AB8" w:rsidRPr="008B2F8A" w14:paraId="32CBB668" w14:textId="77777777" w:rsidTr="00D2496B">
        <w:tc>
          <w:tcPr>
            <w:tcW w:w="4186" w:type="dxa"/>
            <w:noWrap/>
            <w:hideMark/>
          </w:tcPr>
          <w:p w14:paraId="2BEA1F51" w14:textId="77777777" w:rsidR="00E47AB8" w:rsidRPr="008B2F8A" w:rsidRDefault="00E47AB8" w:rsidP="00422306">
            <w:pPr>
              <w:pStyle w:val="TableText0"/>
              <w:keepNext w:val="0"/>
              <w:spacing w:before="40" w:after="80" w:line="276" w:lineRule="auto"/>
            </w:pPr>
            <w:r w:rsidRPr="008B2F8A">
              <w:t>Number of screened women without breast cancer</w:t>
            </w:r>
          </w:p>
        </w:tc>
        <w:tc>
          <w:tcPr>
            <w:tcW w:w="988" w:type="dxa"/>
            <w:noWrap/>
            <w:hideMark/>
          </w:tcPr>
          <w:p w14:paraId="4FC02092" w14:textId="77777777" w:rsidR="00E47AB8" w:rsidRPr="008B2F8A" w:rsidRDefault="00E47AB8" w:rsidP="00422306">
            <w:pPr>
              <w:pStyle w:val="TableText0"/>
              <w:keepNext w:val="0"/>
              <w:spacing w:before="40" w:after="80" w:line="276" w:lineRule="auto"/>
              <w:jc w:val="right"/>
            </w:pPr>
            <w:r w:rsidRPr="008B2F8A">
              <w:t xml:space="preserve"> 4,138 </w:t>
            </w:r>
          </w:p>
        </w:tc>
        <w:tc>
          <w:tcPr>
            <w:tcW w:w="988" w:type="dxa"/>
            <w:noWrap/>
            <w:hideMark/>
          </w:tcPr>
          <w:p w14:paraId="18AE5915" w14:textId="77777777" w:rsidR="00E47AB8" w:rsidRPr="008B2F8A" w:rsidRDefault="00E47AB8" w:rsidP="00422306">
            <w:pPr>
              <w:pStyle w:val="TableText0"/>
              <w:keepNext w:val="0"/>
              <w:spacing w:before="40" w:after="80" w:line="276" w:lineRule="auto"/>
              <w:jc w:val="right"/>
            </w:pPr>
            <w:r w:rsidRPr="008B2F8A">
              <w:t xml:space="preserve"> 4,672 </w:t>
            </w:r>
          </w:p>
        </w:tc>
        <w:tc>
          <w:tcPr>
            <w:tcW w:w="988" w:type="dxa"/>
            <w:noWrap/>
            <w:hideMark/>
          </w:tcPr>
          <w:p w14:paraId="739C3E83" w14:textId="77777777" w:rsidR="00E47AB8" w:rsidRPr="008B2F8A" w:rsidRDefault="00E47AB8" w:rsidP="00422306">
            <w:pPr>
              <w:pStyle w:val="TableText0"/>
              <w:keepNext w:val="0"/>
              <w:spacing w:before="40" w:after="80" w:line="276" w:lineRule="auto"/>
              <w:jc w:val="right"/>
            </w:pPr>
            <w:r w:rsidRPr="008B2F8A">
              <w:t xml:space="preserve"> 5,205 </w:t>
            </w:r>
          </w:p>
        </w:tc>
        <w:tc>
          <w:tcPr>
            <w:tcW w:w="988" w:type="dxa"/>
            <w:noWrap/>
            <w:hideMark/>
          </w:tcPr>
          <w:p w14:paraId="4C171728" w14:textId="77777777" w:rsidR="00E47AB8" w:rsidRPr="008B2F8A" w:rsidRDefault="00E47AB8" w:rsidP="00422306">
            <w:pPr>
              <w:pStyle w:val="TableText0"/>
              <w:keepNext w:val="0"/>
              <w:spacing w:before="40" w:after="80" w:line="276" w:lineRule="auto"/>
              <w:jc w:val="right"/>
            </w:pPr>
            <w:r w:rsidRPr="008B2F8A">
              <w:t xml:space="preserve"> 5,739 </w:t>
            </w:r>
          </w:p>
        </w:tc>
        <w:tc>
          <w:tcPr>
            <w:tcW w:w="988" w:type="dxa"/>
            <w:noWrap/>
            <w:hideMark/>
          </w:tcPr>
          <w:p w14:paraId="2CE04534" w14:textId="77777777" w:rsidR="00E47AB8" w:rsidRPr="008B2F8A" w:rsidRDefault="00E47AB8" w:rsidP="00422306">
            <w:pPr>
              <w:pStyle w:val="TableText0"/>
              <w:keepNext w:val="0"/>
              <w:spacing w:before="40" w:after="80" w:line="276" w:lineRule="auto"/>
              <w:jc w:val="right"/>
            </w:pPr>
            <w:r w:rsidRPr="008B2F8A">
              <w:t xml:space="preserve"> 6,272 </w:t>
            </w:r>
          </w:p>
        </w:tc>
      </w:tr>
      <w:tr w:rsidR="00E47AB8" w:rsidRPr="008B2F8A" w14:paraId="55C7DF0D" w14:textId="77777777" w:rsidTr="00D2496B">
        <w:tc>
          <w:tcPr>
            <w:tcW w:w="4186" w:type="dxa"/>
            <w:noWrap/>
            <w:hideMark/>
          </w:tcPr>
          <w:p w14:paraId="4C217771" w14:textId="77777777" w:rsidR="00E47AB8" w:rsidRPr="008B2F8A" w:rsidRDefault="00E47AB8" w:rsidP="00422306">
            <w:pPr>
              <w:pStyle w:val="TableText0"/>
              <w:keepNext w:val="0"/>
              <w:spacing w:before="40" w:after="80" w:line="276" w:lineRule="auto"/>
            </w:pPr>
            <w:r w:rsidRPr="008B2F8A">
              <w:t>Number of true-positive findings with MRI</w:t>
            </w:r>
          </w:p>
        </w:tc>
        <w:tc>
          <w:tcPr>
            <w:tcW w:w="988" w:type="dxa"/>
            <w:noWrap/>
            <w:hideMark/>
          </w:tcPr>
          <w:p w14:paraId="3AF004B7" w14:textId="77777777" w:rsidR="00E47AB8" w:rsidRPr="008B2F8A" w:rsidRDefault="00E47AB8" w:rsidP="00422306">
            <w:pPr>
              <w:pStyle w:val="TableText0"/>
              <w:keepNext w:val="0"/>
              <w:spacing w:before="40" w:after="80" w:line="276" w:lineRule="auto"/>
              <w:jc w:val="right"/>
            </w:pPr>
            <w:r w:rsidRPr="008B2F8A">
              <w:t xml:space="preserve"> 46 </w:t>
            </w:r>
          </w:p>
        </w:tc>
        <w:tc>
          <w:tcPr>
            <w:tcW w:w="988" w:type="dxa"/>
            <w:noWrap/>
            <w:hideMark/>
          </w:tcPr>
          <w:p w14:paraId="24F1B214" w14:textId="77777777" w:rsidR="00E47AB8" w:rsidRPr="008B2F8A" w:rsidRDefault="00E47AB8" w:rsidP="00422306">
            <w:pPr>
              <w:pStyle w:val="TableText0"/>
              <w:keepNext w:val="0"/>
              <w:spacing w:before="40" w:after="80" w:line="276" w:lineRule="auto"/>
              <w:jc w:val="right"/>
            </w:pPr>
            <w:r w:rsidRPr="008B2F8A">
              <w:t xml:space="preserve"> 52 </w:t>
            </w:r>
          </w:p>
        </w:tc>
        <w:tc>
          <w:tcPr>
            <w:tcW w:w="988" w:type="dxa"/>
            <w:noWrap/>
            <w:hideMark/>
          </w:tcPr>
          <w:p w14:paraId="67497BAF" w14:textId="77777777" w:rsidR="00E47AB8" w:rsidRPr="008B2F8A" w:rsidRDefault="00E47AB8" w:rsidP="00422306">
            <w:pPr>
              <w:pStyle w:val="TableText0"/>
              <w:keepNext w:val="0"/>
              <w:spacing w:before="40" w:after="80" w:line="276" w:lineRule="auto"/>
              <w:jc w:val="right"/>
            </w:pPr>
            <w:r w:rsidRPr="008B2F8A">
              <w:t xml:space="preserve"> 58 </w:t>
            </w:r>
          </w:p>
        </w:tc>
        <w:tc>
          <w:tcPr>
            <w:tcW w:w="988" w:type="dxa"/>
            <w:noWrap/>
            <w:hideMark/>
          </w:tcPr>
          <w:p w14:paraId="091AE14A" w14:textId="77777777" w:rsidR="00E47AB8" w:rsidRPr="008B2F8A" w:rsidRDefault="00E47AB8" w:rsidP="00422306">
            <w:pPr>
              <w:pStyle w:val="TableText0"/>
              <w:keepNext w:val="0"/>
              <w:spacing w:before="40" w:after="80" w:line="276" w:lineRule="auto"/>
              <w:jc w:val="right"/>
            </w:pPr>
            <w:r w:rsidRPr="008B2F8A">
              <w:t xml:space="preserve"> 63 </w:t>
            </w:r>
          </w:p>
        </w:tc>
        <w:tc>
          <w:tcPr>
            <w:tcW w:w="988" w:type="dxa"/>
            <w:noWrap/>
            <w:hideMark/>
          </w:tcPr>
          <w:p w14:paraId="674178E5" w14:textId="77777777" w:rsidR="00E47AB8" w:rsidRPr="008B2F8A" w:rsidRDefault="00E47AB8" w:rsidP="00422306">
            <w:pPr>
              <w:pStyle w:val="TableText0"/>
              <w:keepNext w:val="0"/>
              <w:spacing w:before="40" w:after="80" w:line="276" w:lineRule="auto"/>
              <w:jc w:val="right"/>
            </w:pPr>
            <w:r w:rsidRPr="008B2F8A">
              <w:t xml:space="preserve"> 69 </w:t>
            </w:r>
          </w:p>
        </w:tc>
      </w:tr>
      <w:tr w:rsidR="00E47AB8" w:rsidRPr="008B2F8A" w14:paraId="07566DE1" w14:textId="77777777" w:rsidTr="00D2496B">
        <w:tc>
          <w:tcPr>
            <w:tcW w:w="4186" w:type="dxa"/>
            <w:noWrap/>
            <w:hideMark/>
          </w:tcPr>
          <w:p w14:paraId="6FC4EB35" w14:textId="77777777" w:rsidR="00E47AB8" w:rsidRPr="008B2F8A" w:rsidRDefault="00E47AB8" w:rsidP="00422306">
            <w:pPr>
              <w:pStyle w:val="TableText0"/>
              <w:keepNext w:val="0"/>
              <w:spacing w:before="40" w:after="80" w:line="276" w:lineRule="auto"/>
            </w:pPr>
            <w:r w:rsidRPr="008B2F8A">
              <w:t>Number of true-positive findings with MAM</w:t>
            </w:r>
          </w:p>
        </w:tc>
        <w:tc>
          <w:tcPr>
            <w:tcW w:w="988" w:type="dxa"/>
            <w:noWrap/>
            <w:hideMark/>
          </w:tcPr>
          <w:p w14:paraId="70804943" w14:textId="77777777" w:rsidR="00E47AB8" w:rsidRPr="008B2F8A" w:rsidRDefault="00E47AB8" w:rsidP="00422306">
            <w:pPr>
              <w:pStyle w:val="TableText0"/>
              <w:keepNext w:val="0"/>
              <w:spacing w:before="40" w:after="80" w:line="276" w:lineRule="auto"/>
              <w:jc w:val="right"/>
            </w:pPr>
            <w:r w:rsidRPr="008B2F8A">
              <w:t xml:space="preserve"> 20 </w:t>
            </w:r>
          </w:p>
        </w:tc>
        <w:tc>
          <w:tcPr>
            <w:tcW w:w="988" w:type="dxa"/>
            <w:noWrap/>
            <w:hideMark/>
          </w:tcPr>
          <w:p w14:paraId="048776AB" w14:textId="77777777" w:rsidR="00E47AB8" w:rsidRPr="008B2F8A" w:rsidRDefault="00E47AB8" w:rsidP="00422306">
            <w:pPr>
              <w:pStyle w:val="TableText0"/>
              <w:keepNext w:val="0"/>
              <w:spacing w:before="40" w:after="80" w:line="276" w:lineRule="auto"/>
              <w:jc w:val="right"/>
            </w:pPr>
            <w:r w:rsidRPr="008B2F8A">
              <w:t xml:space="preserve"> 22 </w:t>
            </w:r>
          </w:p>
        </w:tc>
        <w:tc>
          <w:tcPr>
            <w:tcW w:w="988" w:type="dxa"/>
            <w:noWrap/>
            <w:hideMark/>
          </w:tcPr>
          <w:p w14:paraId="5BE0442D" w14:textId="77777777" w:rsidR="00E47AB8" w:rsidRPr="008B2F8A" w:rsidRDefault="00E47AB8" w:rsidP="00422306">
            <w:pPr>
              <w:pStyle w:val="TableText0"/>
              <w:keepNext w:val="0"/>
              <w:spacing w:before="40" w:after="80" w:line="276" w:lineRule="auto"/>
              <w:jc w:val="right"/>
            </w:pPr>
            <w:r w:rsidRPr="008B2F8A">
              <w:t xml:space="preserve"> 25 </w:t>
            </w:r>
          </w:p>
        </w:tc>
        <w:tc>
          <w:tcPr>
            <w:tcW w:w="988" w:type="dxa"/>
            <w:noWrap/>
            <w:hideMark/>
          </w:tcPr>
          <w:p w14:paraId="45A46C2E" w14:textId="77777777" w:rsidR="00E47AB8" w:rsidRPr="008B2F8A" w:rsidRDefault="00E47AB8" w:rsidP="00422306">
            <w:pPr>
              <w:pStyle w:val="TableText0"/>
              <w:keepNext w:val="0"/>
              <w:spacing w:before="40" w:after="80" w:line="276" w:lineRule="auto"/>
              <w:jc w:val="right"/>
            </w:pPr>
            <w:r w:rsidRPr="008B2F8A">
              <w:t xml:space="preserve"> 27 </w:t>
            </w:r>
          </w:p>
        </w:tc>
        <w:tc>
          <w:tcPr>
            <w:tcW w:w="988" w:type="dxa"/>
            <w:noWrap/>
            <w:hideMark/>
          </w:tcPr>
          <w:p w14:paraId="4FD707E3" w14:textId="77777777" w:rsidR="00E47AB8" w:rsidRPr="008B2F8A" w:rsidRDefault="00E47AB8" w:rsidP="00422306">
            <w:pPr>
              <w:pStyle w:val="TableText0"/>
              <w:keepNext w:val="0"/>
              <w:spacing w:before="40" w:after="80" w:line="276" w:lineRule="auto"/>
              <w:jc w:val="right"/>
            </w:pPr>
            <w:r w:rsidRPr="008B2F8A">
              <w:t xml:space="preserve"> 30 </w:t>
            </w:r>
          </w:p>
        </w:tc>
      </w:tr>
      <w:tr w:rsidR="00E47AB8" w:rsidRPr="008B2F8A" w14:paraId="2642171E" w14:textId="77777777" w:rsidTr="00D2496B">
        <w:tc>
          <w:tcPr>
            <w:tcW w:w="4186" w:type="dxa"/>
            <w:noWrap/>
            <w:hideMark/>
          </w:tcPr>
          <w:p w14:paraId="19C1FF1F" w14:textId="77777777" w:rsidR="00E47AB8" w:rsidRPr="008B2F8A" w:rsidRDefault="00E47AB8" w:rsidP="00422306">
            <w:pPr>
              <w:pStyle w:val="TableText0"/>
              <w:keepNext w:val="0"/>
              <w:spacing w:before="40" w:after="80" w:line="276" w:lineRule="auto"/>
            </w:pPr>
            <w:r w:rsidRPr="008B2F8A">
              <w:t>Number of additional true-positive findings with MRI</w:t>
            </w:r>
          </w:p>
        </w:tc>
        <w:tc>
          <w:tcPr>
            <w:tcW w:w="988" w:type="dxa"/>
            <w:noWrap/>
            <w:hideMark/>
          </w:tcPr>
          <w:p w14:paraId="42650C72" w14:textId="77777777" w:rsidR="00E47AB8" w:rsidRPr="008B2F8A" w:rsidRDefault="00E47AB8" w:rsidP="00422306">
            <w:pPr>
              <w:pStyle w:val="TableText0"/>
              <w:keepNext w:val="0"/>
              <w:spacing w:before="40" w:after="80" w:line="276" w:lineRule="auto"/>
              <w:jc w:val="right"/>
            </w:pPr>
            <w:r w:rsidRPr="008B2F8A">
              <w:t xml:space="preserve"> 26 </w:t>
            </w:r>
          </w:p>
        </w:tc>
        <w:tc>
          <w:tcPr>
            <w:tcW w:w="988" w:type="dxa"/>
            <w:noWrap/>
            <w:hideMark/>
          </w:tcPr>
          <w:p w14:paraId="399B567E" w14:textId="77777777" w:rsidR="00E47AB8" w:rsidRPr="008B2F8A" w:rsidRDefault="00E47AB8" w:rsidP="00422306">
            <w:pPr>
              <w:pStyle w:val="TableText0"/>
              <w:keepNext w:val="0"/>
              <w:spacing w:before="40" w:after="80" w:line="276" w:lineRule="auto"/>
              <w:jc w:val="right"/>
            </w:pPr>
            <w:r w:rsidRPr="008B2F8A">
              <w:t xml:space="preserve"> 29 </w:t>
            </w:r>
          </w:p>
        </w:tc>
        <w:tc>
          <w:tcPr>
            <w:tcW w:w="988" w:type="dxa"/>
            <w:noWrap/>
            <w:hideMark/>
          </w:tcPr>
          <w:p w14:paraId="1751FAE4" w14:textId="77777777" w:rsidR="00E47AB8" w:rsidRPr="008B2F8A" w:rsidRDefault="00E47AB8" w:rsidP="00422306">
            <w:pPr>
              <w:pStyle w:val="TableText0"/>
              <w:keepNext w:val="0"/>
              <w:spacing w:before="40" w:after="80" w:line="276" w:lineRule="auto"/>
              <w:jc w:val="right"/>
            </w:pPr>
            <w:r w:rsidRPr="008B2F8A">
              <w:t xml:space="preserve"> 33 </w:t>
            </w:r>
          </w:p>
        </w:tc>
        <w:tc>
          <w:tcPr>
            <w:tcW w:w="988" w:type="dxa"/>
            <w:noWrap/>
            <w:hideMark/>
          </w:tcPr>
          <w:p w14:paraId="3F12AB82" w14:textId="77777777" w:rsidR="00E47AB8" w:rsidRPr="008B2F8A" w:rsidRDefault="00E47AB8" w:rsidP="00422306">
            <w:pPr>
              <w:pStyle w:val="TableText0"/>
              <w:keepNext w:val="0"/>
              <w:spacing w:before="40" w:after="80" w:line="276" w:lineRule="auto"/>
              <w:jc w:val="right"/>
            </w:pPr>
            <w:r w:rsidRPr="008B2F8A">
              <w:t xml:space="preserve"> 36 </w:t>
            </w:r>
          </w:p>
        </w:tc>
        <w:tc>
          <w:tcPr>
            <w:tcW w:w="988" w:type="dxa"/>
            <w:noWrap/>
            <w:hideMark/>
          </w:tcPr>
          <w:p w14:paraId="4A4A7A49" w14:textId="77777777" w:rsidR="00E47AB8" w:rsidRPr="008B2F8A" w:rsidRDefault="00E47AB8" w:rsidP="00422306">
            <w:pPr>
              <w:pStyle w:val="TableText0"/>
              <w:keepNext w:val="0"/>
              <w:spacing w:before="40" w:after="80" w:line="276" w:lineRule="auto"/>
              <w:jc w:val="right"/>
            </w:pPr>
            <w:r w:rsidRPr="008B2F8A">
              <w:t xml:space="preserve"> 39 </w:t>
            </w:r>
          </w:p>
        </w:tc>
      </w:tr>
      <w:tr w:rsidR="00E47AB8" w:rsidRPr="008B2F8A" w14:paraId="4E71FC7B" w14:textId="77777777" w:rsidTr="00D2496B">
        <w:tc>
          <w:tcPr>
            <w:tcW w:w="4186" w:type="dxa"/>
            <w:noWrap/>
            <w:hideMark/>
          </w:tcPr>
          <w:p w14:paraId="507D9025" w14:textId="77777777" w:rsidR="00E47AB8" w:rsidRPr="008B2F8A" w:rsidRDefault="00E47AB8" w:rsidP="00422306">
            <w:pPr>
              <w:pStyle w:val="TableText0"/>
              <w:keepNext w:val="0"/>
              <w:spacing w:before="40" w:after="80" w:line="276" w:lineRule="auto"/>
            </w:pPr>
            <w:r w:rsidRPr="008B2F8A">
              <w:t>Number of false-positive findings with MRI</w:t>
            </w:r>
          </w:p>
        </w:tc>
        <w:tc>
          <w:tcPr>
            <w:tcW w:w="988" w:type="dxa"/>
            <w:noWrap/>
            <w:hideMark/>
          </w:tcPr>
          <w:p w14:paraId="7C0FC8C2" w14:textId="77777777" w:rsidR="00E47AB8" w:rsidRPr="008B2F8A" w:rsidRDefault="00E47AB8" w:rsidP="00422306">
            <w:pPr>
              <w:pStyle w:val="TableText0"/>
              <w:keepNext w:val="0"/>
              <w:spacing w:before="40" w:after="80" w:line="276" w:lineRule="auto"/>
              <w:jc w:val="right"/>
            </w:pPr>
            <w:r w:rsidRPr="008B2F8A">
              <w:t xml:space="preserve"> 497 </w:t>
            </w:r>
          </w:p>
        </w:tc>
        <w:tc>
          <w:tcPr>
            <w:tcW w:w="988" w:type="dxa"/>
            <w:noWrap/>
            <w:hideMark/>
          </w:tcPr>
          <w:p w14:paraId="0495BB35" w14:textId="77777777" w:rsidR="00E47AB8" w:rsidRPr="008B2F8A" w:rsidRDefault="00E47AB8" w:rsidP="00422306">
            <w:pPr>
              <w:pStyle w:val="TableText0"/>
              <w:keepNext w:val="0"/>
              <w:spacing w:before="40" w:after="80" w:line="276" w:lineRule="auto"/>
              <w:jc w:val="right"/>
            </w:pPr>
            <w:r w:rsidRPr="008B2F8A">
              <w:t xml:space="preserve"> 561 </w:t>
            </w:r>
          </w:p>
        </w:tc>
        <w:tc>
          <w:tcPr>
            <w:tcW w:w="988" w:type="dxa"/>
            <w:noWrap/>
            <w:hideMark/>
          </w:tcPr>
          <w:p w14:paraId="7F3B9620" w14:textId="77777777" w:rsidR="00E47AB8" w:rsidRPr="008B2F8A" w:rsidRDefault="00E47AB8" w:rsidP="00422306">
            <w:pPr>
              <w:pStyle w:val="TableText0"/>
              <w:keepNext w:val="0"/>
              <w:spacing w:before="40" w:after="80" w:line="276" w:lineRule="auto"/>
              <w:jc w:val="right"/>
            </w:pPr>
            <w:r w:rsidRPr="008B2F8A">
              <w:t xml:space="preserve"> 625 </w:t>
            </w:r>
          </w:p>
        </w:tc>
        <w:tc>
          <w:tcPr>
            <w:tcW w:w="988" w:type="dxa"/>
            <w:noWrap/>
            <w:hideMark/>
          </w:tcPr>
          <w:p w14:paraId="2BFB3A78" w14:textId="77777777" w:rsidR="00E47AB8" w:rsidRPr="008B2F8A" w:rsidRDefault="00E47AB8" w:rsidP="00422306">
            <w:pPr>
              <w:pStyle w:val="TableText0"/>
              <w:keepNext w:val="0"/>
              <w:spacing w:before="40" w:after="80" w:line="276" w:lineRule="auto"/>
              <w:jc w:val="right"/>
            </w:pPr>
            <w:r w:rsidRPr="008B2F8A">
              <w:t xml:space="preserve"> 689 </w:t>
            </w:r>
          </w:p>
        </w:tc>
        <w:tc>
          <w:tcPr>
            <w:tcW w:w="988" w:type="dxa"/>
            <w:noWrap/>
            <w:hideMark/>
          </w:tcPr>
          <w:p w14:paraId="5FFED659" w14:textId="77777777" w:rsidR="00E47AB8" w:rsidRPr="008B2F8A" w:rsidRDefault="00E47AB8" w:rsidP="00422306">
            <w:pPr>
              <w:pStyle w:val="TableText0"/>
              <w:keepNext w:val="0"/>
              <w:spacing w:before="40" w:after="80" w:line="276" w:lineRule="auto"/>
              <w:jc w:val="right"/>
            </w:pPr>
            <w:r w:rsidRPr="008B2F8A">
              <w:t xml:space="preserve"> 753 </w:t>
            </w:r>
          </w:p>
        </w:tc>
      </w:tr>
      <w:tr w:rsidR="00E47AB8" w:rsidRPr="008B2F8A" w14:paraId="147D2F34" w14:textId="77777777" w:rsidTr="00D2496B">
        <w:tc>
          <w:tcPr>
            <w:tcW w:w="4186" w:type="dxa"/>
            <w:noWrap/>
            <w:hideMark/>
          </w:tcPr>
          <w:p w14:paraId="05EFE6F5" w14:textId="77777777" w:rsidR="00E47AB8" w:rsidRPr="008B2F8A" w:rsidRDefault="00E47AB8" w:rsidP="00422306">
            <w:pPr>
              <w:pStyle w:val="TableText0"/>
              <w:keepNext w:val="0"/>
              <w:spacing w:before="40" w:after="80" w:line="276" w:lineRule="auto"/>
            </w:pPr>
            <w:r w:rsidRPr="008B2F8A">
              <w:t>Number of false-positive findings with MAM</w:t>
            </w:r>
          </w:p>
        </w:tc>
        <w:tc>
          <w:tcPr>
            <w:tcW w:w="988" w:type="dxa"/>
            <w:noWrap/>
            <w:hideMark/>
          </w:tcPr>
          <w:p w14:paraId="5F7C0A89" w14:textId="77777777" w:rsidR="00E47AB8" w:rsidRPr="008B2F8A" w:rsidRDefault="00E47AB8" w:rsidP="00422306">
            <w:pPr>
              <w:pStyle w:val="TableText0"/>
              <w:keepNext w:val="0"/>
              <w:spacing w:before="40" w:after="80" w:line="276" w:lineRule="auto"/>
              <w:jc w:val="right"/>
            </w:pPr>
            <w:r w:rsidRPr="008B2F8A">
              <w:t xml:space="preserve"> 331 </w:t>
            </w:r>
          </w:p>
        </w:tc>
        <w:tc>
          <w:tcPr>
            <w:tcW w:w="988" w:type="dxa"/>
            <w:noWrap/>
            <w:hideMark/>
          </w:tcPr>
          <w:p w14:paraId="34AD1930" w14:textId="77777777" w:rsidR="00E47AB8" w:rsidRPr="008B2F8A" w:rsidRDefault="00E47AB8" w:rsidP="00422306">
            <w:pPr>
              <w:pStyle w:val="TableText0"/>
              <w:keepNext w:val="0"/>
              <w:spacing w:before="40" w:after="80" w:line="276" w:lineRule="auto"/>
              <w:jc w:val="right"/>
            </w:pPr>
            <w:r w:rsidRPr="008B2F8A">
              <w:t xml:space="preserve"> 374 </w:t>
            </w:r>
          </w:p>
        </w:tc>
        <w:tc>
          <w:tcPr>
            <w:tcW w:w="988" w:type="dxa"/>
            <w:noWrap/>
            <w:hideMark/>
          </w:tcPr>
          <w:p w14:paraId="6FAC2418" w14:textId="77777777" w:rsidR="00E47AB8" w:rsidRPr="008B2F8A" w:rsidRDefault="00E47AB8" w:rsidP="00422306">
            <w:pPr>
              <w:pStyle w:val="TableText0"/>
              <w:keepNext w:val="0"/>
              <w:spacing w:before="40" w:after="80" w:line="276" w:lineRule="auto"/>
              <w:jc w:val="right"/>
            </w:pPr>
            <w:r w:rsidRPr="008B2F8A">
              <w:t xml:space="preserve"> 416 </w:t>
            </w:r>
          </w:p>
        </w:tc>
        <w:tc>
          <w:tcPr>
            <w:tcW w:w="988" w:type="dxa"/>
            <w:noWrap/>
            <w:hideMark/>
          </w:tcPr>
          <w:p w14:paraId="39F1AEDF" w14:textId="77777777" w:rsidR="00E47AB8" w:rsidRPr="008B2F8A" w:rsidRDefault="00E47AB8" w:rsidP="00422306">
            <w:pPr>
              <w:pStyle w:val="TableText0"/>
              <w:keepNext w:val="0"/>
              <w:spacing w:before="40" w:after="80" w:line="276" w:lineRule="auto"/>
              <w:jc w:val="right"/>
            </w:pPr>
            <w:r w:rsidRPr="008B2F8A">
              <w:t xml:space="preserve"> 459 </w:t>
            </w:r>
          </w:p>
        </w:tc>
        <w:tc>
          <w:tcPr>
            <w:tcW w:w="988" w:type="dxa"/>
            <w:noWrap/>
            <w:hideMark/>
          </w:tcPr>
          <w:p w14:paraId="07CE681F" w14:textId="77777777" w:rsidR="00E47AB8" w:rsidRPr="008B2F8A" w:rsidRDefault="00E47AB8" w:rsidP="00422306">
            <w:pPr>
              <w:pStyle w:val="TableText0"/>
              <w:keepNext w:val="0"/>
              <w:spacing w:before="40" w:after="80" w:line="276" w:lineRule="auto"/>
              <w:jc w:val="right"/>
            </w:pPr>
            <w:r w:rsidRPr="008B2F8A">
              <w:t xml:space="preserve"> 502 </w:t>
            </w:r>
          </w:p>
        </w:tc>
      </w:tr>
      <w:tr w:rsidR="00E47AB8" w:rsidRPr="008B2F8A" w14:paraId="5F9F8E11" w14:textId="77777777" w:rsidTr="00D2496B">
        <w:tc>
          <w:tcPr>
            <w:tcW w:w="4186" w:type="dxa"/>
            <w:noWrap/>
            <w:hideMark/>
          </w:tcPr>
          <w:p w14:paraId="21888B60" w14:textId="77777777" w:rsidR="00E47AB8" w:rsidRPr="008B2F8A" w:rsidRDefault="00E47AB8" w:rsidP="00422306">
            <w:pPr>
              <w:pStyle w:val="TableText0"/>
              <w:keepNext w:val="0"/>
              <w:spacing w:before="40" w:after="80" w:line="276" w:lineRule="auto"/>
            </w:pPr>
            <w:r w:rsidRPr="008B2F8A">
              <w:t>Number of additional false-positive findings with MRI</w:t>
            </w:r>
          </w:p>
        </w:tc>
        <w:tc>
          <w:tcPr>
            <w:tcW w:w="988" w:type="dxa"/>
            <w:noWrap/>
            <w:hideMark/>
          </w:tcPr>
          <w:p w14:paraId="0E579F2B" w14:textId="77777777" w:rsidR="00E47AB8" w:rsidRPr="008B2F8A" w:rsidRDefault="00E47AB8" w:rsidP="00422306">
            <w:pPr>
              <w:pStyle w:val="TableText0"/>
              <w:keepNext w:val="0"/>
              <w:spacing w:before="40" w:after="80" w:line="276" w:lineRule="auto"/>
              <w:jc w:val="right"/>
            </w:pPr>
            <w:r w:rsidRPr="008B2F8A">
              <w:t xml:space="preserve"> 166 </w:t>
            </w:r>
          </w:p>
        </w:tc>
        <w:tc>
          <w:tcPr>
            <w:tcW w:w="988" w:type="dxa"/>
            <w:noWrap/>
            <w:hideMark/>
          </w:tcPr>
          <w:p w14:paraId="5281FE6D" w14:textId="77777777" w:rsidR="00E47AB8" w:rsidRPr="008B2F8A" w:rsidRDefault="00E47AB8" w:rsidP="00422306">
            <w:pPr>
              <w:pStyle w:val="TableText0"/>
              <w:keepNext w:val="0"/>
              <w:spacing w:before="40" w:after="80" w:line="276" w:lineRule="auto"/>
              <w:jc w:val="right"/>
            </w:pPr>
            <w:r w:rsidRPr="008B2F8A">
              <w:t xml:space="preserve"> 187 </w:t>
            </w:r>
          </w:p>
        </w:tc>
        <w:tc>
          <w:tcPr>
            <w:tcW w:w="988" w:type="dxa"/>
            <w:noWrap/>
            <w:hideMark/>
          </w:tcPr>
          <w:p w14:paraId="600A7237" w14:textId="77777777" w:rsidR="00E47AB8" w:rsidRPr="008B2F8A" w:rsidRDefault="00E47AB8" w:rsidP="00422306">
            <w:pPr>
              <w:pStyle w:val="TableText0"/>
              <w:keepNext w:val="0"/>
              <w:spacing w:before="40" w:after="80" w:line="276" w:lineRule="auto"/>
              <w:jc w:val="right"/>
            </w:pPr>
            <w:r w:rsidRPr="008B2F8A">
              <w:t xml:space="preserve"> 208 </w:t>
            </w:r>
          </w:p>
        </w:tc>
        <w:tc>
          <w:tcPr>
            <w:tcW w:w="988" w:type="dxa"/>
            <w:noWrap/>
            <w:hideMark/>
          </w:tcPr>
          <w:p w14:paraId="0BCC80ED" w14:textId="77777777" w:rsidR="00E47AB8" w:rsidRPr="008B2F8A" w:rsidRDefault="00E47AB8" w:rsidP="00422306">
            <w:pPr>
              <w:pStyle w:val="TableText0"/>
              <w:keepNext w:val="0"/>
              <w:spacing w:before="40" w:after="80" w:line="276" w:lineRule="auto"/>
              <w:jc w:val="right"/>
            </w:pPr>
            <w:r w:rsidRPr="008B2F8A">
              <w:t xml:space="preserve"> 230 </w:t>
            </w:r>
          </w:p>
        </w:tc>
        <w:tc>
          <w:tcPr>
            <w:tcW w:w="988" w:type="dxa"/>
            <w:noWrap/>
            <w:hideMark/>
          </w:tcPr>
          <w:p w14:paraId="3F7AA883" w14:textId="77777777" w:rsidR="00E47AB8" w:rsidRPr="008B2F8A" w:rsidRDefault="00E47AB8" w:rsidP="00422306">
            <w:pPr>
              <w:pStyle w:val="TableText0"/>
              <w:keepNext w:val="0"/>
              <w:spacing w:before="40" w:after="80" w:line="276" w:lineRule="auto"/>
              <w:jc w:val="right"/>
            </w:pPr>
            <w:r w:rsidRPr="008B2F8A">
              <w:t xml:space="preserve"> 251 </w:t>
            </w:r>
          </w:p>
        </w:tc>
      </w:tr>
      <w:tr w:rsidR="00E47AB8" w:rsidRPr="008B2F8A" w14:paraId="6346DE1F" w14:textId="77777777" w:rsidTr="00D2496B">
        <w:tc>
          <w:tcPr>
            <w:tcW w:w="4186" w:type="dxa"/>
            <w:noWrap/>
            <w:hideMark/>
          </w:tcPr>
          <w:p w14:paraId="071A1246" w14:textId="77777777" w:rsidR="00E47AB8" w:rsidRPr="008B2F8A" w:rsidRDefault="00E47AB8" w:rsidP="00422306">
            <w:pPr>
              <w:pStyle w:val="TableText0"/>
              <w:keepNext w:val="0"/>
              <w:spacing w:before="40" w:after="80" w:line="276" w:lineRule="auto"/>
            </w:pPr>
            <w:r w:rsidRPr="008B2F8A">
              <w:t>Number of additional positive findings with MRI</w:t>
            </w:r>
          </w:p>
        </w:tc>
        <w:tc>
          <w:tcPr>
            <w:tcW w:w="988" w:type="dxa"/>
            <w:noWrap/>
            <w:hideMark/>
          </w:tcPr>
          <w:p w14:paraId="0E3BB0B8" w14:textId="77777777" w:rsidR="00E47AB8" w:rsidRPr="008B2F8A" w:rsidRDefault="00E47AB8" w:rsidP="00422306">
            <w:pPr>
              <w:pStyle w:val="TableText0"/>
              <w:keepNext w:val="0"/>
              <w:spacing w:before="40" w:after="80" w:line="276" w:lineRule="auto"/>
              <w:jc w:val="right"/>
            </w:pPr>
            <w:r w:rsidRPr="008B2F8A">
              <w:t xml:space="preserve"> 192 </w:t>
            </w:r>
          </w:p>
        </w:tc>
        <w:tc>
          <w:tcPr>
            <w:tcW w:w="988" w:type="dxa"/>
            <w:noWrap/>
            <w:hideMark/>
          </w:tcPr>
          <w:p w14:paraId="22F7398B" w14:textId="77777777" w:rsidR="00E47AB8" w:rsidRPr="008B2F8A" w:rsidRDefault="00E47AB8" w:rsidP="00422306">
            <w:pPr>
              <w:pStyle w:val="TableText0"/>
              <w:keepNext w:val="0"/>
              <w:spacing w:before="40" w:after="80" w:line="276" w:lineRule="auto"/>
              <w:jc w:val="right"/>
            </w:pPr>
            <w:r w:rsidRPr="008B2F8A">
              <w:t xml:space="preserve"> 216 </w:t>
            </w:r>
          </w:p>
        </w:tc>
        <w:tc>
          <w:tcPr>
            <w:tcW w:w="988" w:type="dxa"/>
            <w:noWrap/>
            <w:hideMark/>
          </w:tcPr>
          <w:p w14:paraId="016753E7" w14:textId="77777777" w:rsidR="00E47AB8" w:rsidRPr="008B2F8A" w:rsidRDefault="00E47AB8" w:rsidP="00422306">
            <w:pPr>
              <w:pStyle w:val="TableText0"/>
              <w:keepNext w:val="0"/>
              <w:spacing w:before="40" w:after="80" w:line="276" w:lineRule="auto"/>
              <w:jc w:val="right"/>
            </w:pPr>
            <w:r w:rsidRPr="008B2F8A">
              <w:t xml:space="preserve"> 241 </w:t>
            </w:r>
          </w:p>
        </w:tc>
        <w:tc>
          <w:tcPr>
            <w:tcW w:w="988" w:type="dxa"/>
            <w:noWrap/>
            <w:hideMark/>
          </w:tcPr>
          <w:p w14:paraId="740A868D" w14:textId="77777777" w:rsidR="00E47AB8" w:rsidRPr="008B2F8A" w:rsidRDefault="00E47AB8" w:rsidP="00422306">
            <w:pPr>
              <w:pStyle w:val="TableText0"/>
              <w:keepNext w:val="0"/>
              <w:spacing w:before="40" w:after="80" w:line="276" w:lineRule="auto"/>
              <w:jc w:val="right"/>
            </w:pPr>
            <w:r w:rsidRPr="008B2F8A">
              <w:t xml:space="preserve"> 266 </w:t>
            </w:r>
          </w:p>
        </w:tc>
        <w:tc>
          <w:tcPr>
            <w:tcW w:w="988" w:type="dxa"/>
            <w:noWrap/>
            <w:hideMark/>
          </w:tcPr>
          <w:p w14:paraId="52D8D3EC" w14:textId="77777777" w:rsidR="00E47AB8" w:rsidRPr="008B2F8A" w:rsidRDefault="00E47AB8" w:rsidP="00422306">
            <w:pPr>
              <w:pStyle w:val="TableText0"/>
              <w:keepNext w:val="0"/>
              <w:spacing w:before="40" w:after="80" w:line="276" w:lineRule="auto"/>
              <w:jc w:val="right"/>
            </w:pPr>
            <w:r w:rsidRPr="008B2F8A">
              <w:t xml:space="preserve"> 290 </w:t>
            </w:r>
          </w:p>
        </w:tc>
      </w:tr>
    </w:tbl>
    <w:p w14:paraId="73D259F2" w14:textId="09116CBE" w:rsidR="00E47AB8" w:rsidRDefault="00E47AB8" w:rsidP="00F56FD1">
      <w:pPr>
        <w:pStyle w:val="TableNotesFirst"/>
      </w:pPr>
      <w:r w:rsidRPr="008B2F8A">
        <w:t>FY = financial year; MAM = mammography; MRI = magnetic resonance imaging.</w:t>
      </w:r>
      <w:r w:rsidR="00F56FD1">
        <w:t xml:space="preserve"> </w:t>
      </w:r>
      <w:r w:rsidRPr="008B2F8A">
        <w:t>Note: Rounding has been applied.</w:t>
      </w:r>
    </w:p>
    <w:p w14:paraId="7C856007" w14:textId="77777777" w:rsidR="00F56FD1" w:rsidRPr="008B2F8A" w:rsidRDefault="00F56FD1" w:rsidP="00F56FD1">
      <w:pPr>
        <w:pStyle w:val="TableNotesFirst"/>
      </w:pPr>
    </w:p>
    <w:p w14:paraId="67D18B41" w14:textId="77777777" w:rsidR="00E47AB8" w:rsidRPr="008B2F8A" w:rsidRDefault="00E47AB8" w:rsidP="00422306">
      <w:pPr>
        <w:pStyle w:val="Caption"/>
      </w:pPr>
      <w:r w:rsidRPr="008B2F8A">
        <w:t>Women with a prior history of invasive breast cancer.</w:t>
      </w:r>
    </w:p>
    <w:tbl>
      <w:tblPr>
        <w:tblStyle w:val="TableGrid"/>
        <w:tblW w:w="9130" w:type="dxa"/>
        <w:tblLayout w:type="fixed"/>
        <w:tblCellMar>
          <w:left w:w="28" w:type="dxa"/>
          <w:right w:w="28" w:type="dxa"/>
        </w:tblCellMar>
        <w:tblLook w:val="04A0" w:firstRow="1" w:lastRow="0" w:firstColumn="1" w:lastColumn="0" w:noHBand="0" w:noVBand="1"/>
        <w:tblCaption w:val="Women with a prior history of invasive breast cancer."/>
      </w:tblPr>
      <w:tblGrid>
        <w:gridCol w:w="4146"/>
        <w:gridCol w:w="994"/>
        <w:gridCol w:w="994"/>
        <w:gridCol w:w="994"/>
        <w:gridCol w:w="994"/>
        <w:gridCol w:w="1008"/>
      </w:tblGrid>
      <w:tr w:rsidR="00E47AB8" w:rsidRPr="008B2F8A" w14:paraId="2E7C1703" w14:textId="77777777" w:rsidTr="00D2496B">
        <w:trPr>
          <w:tblHeader/>
        </w:trPr>
        <w:tc>
          <w:tcPr>
            <w:tcW w:w="4146" w:type="dxa"/>
            <w:noWrap/>
            <w:hideMark/>
          </w:tcPr>
          <w:p w14:paraId="6CD81DA5" w14:textId="77777777" w:rsidR="00E47AB8" w:rsidRPr="008B2F8A" w:rsidRDefault="00E47AB8" w:rsidP="00422306">
            <w:pPr>
              <w:pStyle w:val="TableText0"/>
              <w:keepNext w:val="0"/>
              <w:spacing w:before="40" w:after="80" w:line="276" w:lineRule="auto"/>
              <w:rPr>
                <w:b/>
              </w:rPr>
            </w:pPr>
            <w:r w:rsidRPr="008B2F8A">
              <w:rPr>
                <w:b/>
              </w:rPr>
              <w:t>Population</w:t>
            </w:r>
          </w:p>
        </w:tc>
        <w:tc>
          <w:tcPr>
            <w:tcW w:w="994" w:type="dxa"/>
            <w:noWrap/>
            <w:hideMark/>
          </w:tcPr>
          <w:p w14:paraId="39F62566" w14:textId="77777777" w:rsidR="00E47AB8" w:rsidRPr="008B2F8A" w:rsidRDefault="00E47AB8" w:rsidP="00422306">
            <w:pPr>
              <w:pStyle w:val="TableText0"/>
              <w:keepNext w:val="0"/>
              <w:spacing w:before="40" w:after="80" w:line="276" w:lineRule="auto"/>
              <w:jc w:val="center"/>
              <w:rPr>
                <w:b/>
              </w:rPr>
            </w:pPr>
            <w:r w:rsidRPr="008B2F8A">
              <w:rPr>
                <w:b/>
              </w:rPr>
              <w:t>FY 2015</w:t>
            </w:r>
          </w:p>
        </w:tc>
        <w:tc>
          <w:tcPr>
            <w:tcW w:w="994" w:type="dxa"/>
            <w:noWrap/>
            <w:hideMark/>
          </w:tcPr>
          <w:p w14:paraId="3305879B" w14:textId="77777777" w:rsidR="00E47AB8" w:rsidRPr="008B2F8A" w:rsidRDefault="00E47AB8" w:rsidP="00422306">
            <w:pPr>
              <w:pStyle w:val="TableText0"/>
              <w:keepNext w:val="0"/>
              <w:spacing w:before="40" w:after="80" w:line="276" w:lineRule="auto"/>
              <w:jc w:val="center"/>
              <w:rPr>
                <w:b/>
              </w:rPr>
            </w:pPr>
            <w:r w:rsidRPr="008B2F8A">
              <w:rPr>
                <w:b/>
              </w:rPr>
              <w:t>FY 2016</w:t>
            </w:r>
          </w:p>
        </w:tc>
        <w:tc>
          <w:tcPr>
            <w:tcW w:w="994" w:type="dxa"/>
            <w:noWrap/>
            <w:hideMark/>
          </w:tcPr>
          <w:p w14:paraId="76301F12" w14:textId="77777777" w:rsidR="00E47AB8" w:rsidRPr="008B2F8A" w:rsidRDefault="00E47AB8" w:rsidP="00422306">
            <w:pPr>
              <w:pStyle w:val="TableText0"/>
              <w:keepNext w:val="0"/>
              <w:spacing w:before="40" w:after="80" w:line="276" w:lineRule="auto"/>
              <w:jc w:val="center"/>
              <w:rPr>
                <w:b/>
              </w:rPr>
            </w:pPr>
            <w:r w:rsidRPr="008B2F8A">
              <w:rPr>
                <w:b/>
              </w:rPr>
              <w:t>FY 2017</w:t>
            </w:r>
          </w:p>
        </w:tc>
        <w:tc>
          <w:tcPr>
            <w:tcW w:w="994" w:type="dxa"/>
            <w:noWrap/>
            <w:hideMark/>
          </w:tcPr>
          <w:p w14:paraId="2F24E69B" w14:textId="77777777" w:rsidR="00E47AB8" w:rsidRPr="008B2F8A" w:rsidRDefault="00E47AB8" w:rsidP="00422306">
            <w:pPr>
              <w:pStyle w:val="TableText0"/>
              <w:keepNext w:val="0"/>
              <w:spacing w:before="40" w:after="80" w:line="276" w:lineRule="auto"/>
              <w:jc w:val="center"/>
              <w:rPr>
                <w:b/>
              </w:rPr>
            </w:pPr>
            <w:r w:rsidRPr="008B2F8A">
              <w:rPr>
                <w:b/>
              </w:rPr>
              <w:t>FY 2018</w:t>
            </w:r>
          </w:p>
        </w:tc>
        <w:tc>
          <w:tcPr>
            <w:tcW w:w="1008" w:type="dxa"/>
            <w:noWrap/>
            <w:hideMark/>
          </w:tcPr>
          <w:p w14:paraId="35AFA5E5" w14:textId="77777777" w:rsidR="00E47AB8" w:rsidRPr="008B2F8A" w:rsidRDefault="00E47AB8" w:rsidP="00422306">
            <w:pPr>
              <w:pStyle w:val="TableText0"/>
              <w:keepNext w:val="0"/>
              <w:spacing w:before="40" w:after="80" w:line="276" w:lineRule="auto"/>
              <w:jc w:val="center"/>
              <w:rPr>
                <w:b/>
              </w:rPr>
            </w:pPr>
            <w:r w:rsidRPr="008B2F8A">
              <w:rPr>
                <w:b/>
              </w:rPr>
              <w:t>FY 2019</w:t>
            </w:r>
          </w:p>
        </w:tc>
      </w:tr>
      <w:tr w:rsidR="00E47AB8" w:rsidRPr="008B2F8A" w14:paraId="1DAAB037" w14:textId="77777777" w:rsidTr="00D2496B">
        <w:tc>
          <w:tcPr>
            <w:tcW w:w="4146" w:type="dxa"/>
            <w:noWrap/>
            <w:hideMark/>
          </w:tcPr>
          <w:p w14:paraId="698B993E" w14:textId="77777777" w:rsidR="00E47AB8" w:rsidRPr="008B2F8A" w:rsidRDefault="00E47AB8" w:rsidP="00422306">
            <w:pPr>
              <w:pStyle w:val="TableText0"/>
              <w:keepNext w:val="0"/>
              <w:spacing w:before="40" w:after="80" w:line="276" w:lineRule="auto"/>
            </w:pPr>
            <w:r w:rsidRPr="008B2F8A">
              <w:t>Number of females in Australia</w:t>
            </w:r>
          </w:p>
        </w:tc>
        <w:tc>
          <w:tcPr>
            <w:tcW w:w="994" w:type="dxa"/>
            <w:noWrap/>
            <w:hideMark/>
          </w:tcPr>
          <w:p w14:paraId="2B82C07B" w14:textId="77777777" w:rsidR="00E47AB8" w:rsidRPr="008B2F8A" w:rsidRDefault="00E47AB8" w:rsidP="00422306">
            <w:pPr>
              <w:pStyle w:val="TableText0"/>
              <w:keepNext w:val="0"/>
              <w:spacing w:before="40" w:after="80" w:line="276" w:lineRule="auto"/>
              <w:jc w:val="right"/>
            </w:pPr>
            <w:r w:rsidRPr="008B2F8A">
              <w:t xml:space="preserve"> 12,022,954 </w:t>
            </w:r>
          </w:p>
        </w:tc>
        <w:tc>
          <w:tcPr>
            <w:tcW w:w="994" w:type="dxa"/>
            <w:noWrap/>
            <w:hideMark/>
          </w:tcPr>
          <w:p w14:paraId="521F0A2C" w14:textId="77777777" w:rsidR="00E47AB8" w:rsidRPr="008B2F8A" w:rsidRDefault="00E47AB8" w:rsidP="00422306">
            <w:pPr>
              <w:pStyle w:val="TableText0"/>
              <w:keepNext w:val="0"/>
              <w:spacing w:before="40" w:after="80" w:line="276" w:lineRule="auto"/>
              <w:jc w:val="right"/>
            </w:pPr>
            <w:r w:rsidRPr="008B2F8A">
              <w:t xml:space="preserve"> 12,233,224 </w:t>
            </w:r>
          </w:p>
        </w:tc>
        <w:tc>
          <w:tcPr>
            <w:tcW w:w="994" w:type="dxa"/>
            <w:noWrap/>
            <w:hideMark/>
          </w:tcPr>
          <w:p w14:paraId="0BD60B83" w14:textId="77777777" w:rsidR="00E47AB8" w:rsidRPr="008B2F8A" w:rsidRDefault="00E47AB8" w:rsidP="00422306">
            <w:pPr>
              <w:pStyle w:val="TableText0"/>
              <w:keepNext w:val="0"/>
              <w:spacing w:before="40" w:after="80" w:line="276" w:lineRule="auto"/>
              <w:jc w:val="right"/>
            </w:pPr>
            <w:r w:rsidRPr="008B2F8A">
              <w:t xml:space="preserve"> 12,444,642 </w:t>
            </w:r>
          </w:p>
        </w:tc>
        <w:tc>
          <w:tcPr>
            <w:tcW w:w="994" w:type="dxa"/>
            <w:noWrap/>
            <w:hideMark/>
          </w:tcPr>
          <w:p w14:paraId="2D8445AE" w14:textId="77777777" w:rsidR="00E47AB8" w:rsidRPr="008B2F8A" w:rsidRDefault="00E47AB8" w:rsidP="00422306">
            <w:pPr>
              <w:pStyle w:val="TableText0"/>
              <w:keepNext w:val="0"/>
              <w:spacing w:before="40" w:after="80" w:line="276" w:lineRule="auto"/>
              <w:jc w:val="right"/>
            </w:pPr>
            <w:r w:rsidRPr="008B2F8A">
              <w:t xml:space="preserve"> 12,655,537 </w:t>
            </w:r>
          </w:p>
        </w:tc>
        <w:tc>
          <w:tcPr>
            <w:tcW w:w="1008" w:type="dxa"/>
            <w:noWrap/>
            <w:hideMark/>
          </w:tcPr>
          <w:p w14:paraId="4671FAAE" w14:textId="77777777" w:rsidR="00E47AB8" w:rsidRPr="008B2F8A" w:rsidRDefault="00E47AB8" w:rsidP="00422306">
            <w:pPr>
              <w:pStyle w:val="TableText0"/>
              <w:keepNext w:val="0"/>
              <w:spacing w:before="40" w:after="80" w:line="276" w:lineRule="auto"/>
              <w:jc w:val="right"/>
            </w:pPr>
            <w:r w:rsidRPr="008B2F8A">
              <w:t xml:space="preserve"> 12,865,712 </w:t>
            </w:r>
          </w:p>
        </w:tc>
      </w:tr>
      <w:tr w:rsidR="00E47AB8" w:rsidRPr="008B2F8A" w14:paraId="07471DB4" w14:textId="77777777" w:rsidTr="00D2496B">
        <w:tc>
          <w:tcPr>
            <w:tcW w:w="4146" w:type="dxa"/>
            <w:noWrap/>
            <w:hideMark/>
          </w:tcPr>
          <w:p w14:paraId="38370100" w14:textId="77777777" w:rsidR="00E47AB8" w:rsidRPr="008B2F8A" w:rsidRDefault="00E47AB8" w:rsidP="00422306">
            <w:pPr>
              <w:pStyle w:val="TableText0"/>
              <w:keepNext w:val="0"/>
              <w:spacing w:before="40" w:after="80" w:line="276" w:lineRule="auto"/>
            </w:pPr>
            <w:r w:rsidRPr="008B2F8A">
              <w:t>Number of women with a prior history of breast cancer</w:t>
            </w:r>
          </w:p>
        </w:tc>
        <w:tc>
          <w:tcPr>
            <w:tcW w:w="994" w:type="dxa"/>
            <w:noWrap/>
            <w:hideMark/>
          </w:tcPr>
          <w:p w14:paraId="312E40BB" w14:textId="77777777" w:rsidR="00E47AB8" w:rsidRPr="008B2F8A" w:rsidRDefault="00E47AB8" w:rsidP="00422306">
            <w:pPr>
              <w:pStyle w:val="TableText0"/>
              <w:keepNext w:val="0"/>
              <w:spacing w:before="40" w:after="80" w:line="276" w:lineRule="auto"/>
              <w:jc w:val="right"/>
            </w:pPr>
            <w:r w:rsidRPr="008B2F8A">
              <w:t xml:space="preserve"> 176,136 </w:t>
            </w:r>
          </w:p>
        </w:tc>
        <w:tc>
          <w:tcPr>
            <w:tcW w:w="994" w:type="dxa"/>
            <w:noWrap/>
            <w:hideMark/>
          </w:tcPr>
          <w:p w14:paraId="567616B5" w14:textId="77777777" w:rsidR="00E47AB8" w:rsidRPr="008B2F8A" w:rsidRDefault="00E47AB8" w:rsidP="00422306">
            <w:pPr>
              <w:pStyle w:val="TableText0"/>
              <w:keepNext w:val="0"/>
              <w:spacing w:before="40" w:after="80" w:line="276" w:lineRule="auto"/>
              <w:jc w:val="right"/>
            </w:pPr>
            <w:r w:rsidRPr="008B2F8A">
              <w:t xml:space="preserve"> 179,217 </w:t>
            </w:r>
          </w:p>
        </w:tc>
        <w:tc>
          <w:tcPr>
            <w:tcW w:w="994" w:type="dxa"/>
            <w:noWrap/>
            <w:hideMark/>
          </w:tcPr>
          <w:p w14:paraId="0B51F041" w14:textId="77777777" w:rsidR="00E47AB8" w:rsidRPr="008B2F8A" w:rsidRDefault="00E47AB8" w:rsidP="00422306">
            <w:pPr>
              <w:pStyle w:val="TableText0"/>
              <w:keepNext w:val="0"/>
              <w:spacing w:before="40" w:after="80" w:line="276" w:lineRule="auto"/>
              <w:jc w:val="right"/>
            </w:pPr>
            <w:r w:rsidRPr="008B2F8A">
              <w:t xml:space="preserve"> 182,314 </w:t>
            </w:r>
          </w:p>
        </w:tc>
        <w:tc>
          <w:tcPr>
            <w:tcW w:w="994" w:type="dxa"/>
            <w:noWrap/>
            <w:hideMark/>
          </w:tcPr>
          <w:p w14:paraId="617AA090" w14:textId="77777777" w:rsidR="00E47AB8" w:rsidRPr="008B2F8A" w:rsidRDefault="00E47AB8" w:rsidP="00422306">
            <w:pPr>
              <w:pStyle w:val="TableText0"/>
              <w:keepNext w:val="0"/>
              <w:spacing w:before="40" w:after="80" w:line="276" w:lineRule="auto"/>
              <w:jc w:val="right"/>
            </w:pPr>
            <w:r w:rsidRPr="008B2F8A">
              <w:t xml:space="preserve"> 185,404 </w:t>
            </w:r>
          </w:p>
        </w:tc>
        <w:tc>
          <w:tcPr>
            <w:tcW w:w="1008" w:type="dxa"/>
            <w:noWrap/>
            <w:hideMark/>
          </w:tcPr>
          <w:p w14:paraId="386EA1EF" w14:textId="77777777" w:rsidR="00E47AB8" w:rsidRPr="008B2F8A" w:rsidRDefault="00E47AB8" w:rsidP="00422306">
            <w:pPr>
              <w:pStyle w:val="TableText0"/>
              <w:keepNext w:val="0"/>
              <w:spacing w:before="40" w:after="80" w:line="276" w:lineRule="auto"/>
              <w:jc w:val="right"/>
            </w:pPr>
            <w:r w:rsidRPr="008B2F8A">
              <w:t xml:space="preserve"> 188,483 </w:t>
            </w:r>
          </w:p>
        </w:tc>
      </w:tr>
      <w:tr w:rsidR="00E47AB8" w:rsidRPr="008B2F8A" w14:paraId="77E1ED72" w14:textId="77777777" w:rsidTr="00D2496B">
        <w:tc>
          <w:tcPr>
            <w:tcW w:w="4146" w:type="dxa"/>
            <w:noWrap/>
            <w:hideMark/>
          </w:tcPr>
          <w:p w14:paraId="4E4B27A1" w14:textId="41DF8BA7" w:rsidR="00E47AB8" w:rsidRPr="008B2F8A" w:rsidRDefault="00E47AB8" w:rsidP="00422306">
            <w:pPr>
              <w:pStyle w:val="TableText0"/>
              <w:keepNext w:val="0"/>
              <w:spacing w:before="40" w:after="80" w:line="276" w:lineRule="auto"/>
            </w:pPr>
            <w:r w:rsidRPr="008B2F8A">
              <w:t>Number of women aged &lt;50</w:t>
            </w:r>
            <w:r>
              <w:t xml:space="preserve"> years</w:t>
            </w:r>
            <w:r w:rsidRPr="008B2F8A">
              <w:t xml:space="preserve"> with a prior history of breast cancer</w:t>
            </w:r>
          </w:p>
        </w:tc>
        <w:tc>
          <w:tcPr>
            <w:tcW w:w="994" w:type="dxa"/>
            <w:noWrap/>
            <w:hideMark/>
          </w:tcPr>
          <w:p w14:paraId="343C2FE5" w14:textId="77777777" w:rsidR="00E47AB8" w:rsidRPr="008B2F8A" w:rsidRDefault="00E47AB8" w:rsidP="00422306">
            <w:pPr>
              <w:pStyle w:val="TableText0"/>
              <w:keepNext w:val="0"/>
              <w:spacing w:before="40" w:after="80" w:line="276" w:lineRule="auto"/>
              <w:jc w:val="right"/>
            </w:pPr>
            <w:r w:rsidRPr="008B2F8A">
              <w:t xml:space="preserve"> 34,953 </w:t>
            </w:r>
          </w:p>
        </w:tc>
        <w:tc>
          <w:tcPr>
            <w:tcW w:w="994" w:type="dxa"/>
            <w:noWrap/>
            <w:hideMark/>
          </w:tcPr>
          <w:p w14:paraId="040626F5" w14:textId="77777777" w:rsidR="00E47AB8" w:rsidRPr="008B2F8A" w:rsidRDefault="00E47AB8" w:rsidP="00422306">
            <w:pPr>
              <w:pStyle w:val="TableText0"/>
              <w:keepNext w:val="0"/>
              <w:spacing w:before="40" w:after="80" w:line="276" w:lineRule="auto"/>
              <w:jc w:val="right"/>
            </w:pPr>
            <w:r w:rsidRPr="008B2F8A">
              <w:t xml:space="preserve"> 35,564 </w:t>
            </w:r>
          </w:p>
        </w:tc>
        <w:tc>
          <w:tcPr>
            <w:tcW w:w="994" w:type="dxa"/>
            <w:noWrap/>
            <w:hideMark/>
          </w:tcPr>
          <w:p w14:paraId="7B113268" w14:textId="77777777" w:rsidR="00E47AB8" w:rsidRPr="008B2F8A" w:rsidRDefault="00E47AB8" w:rsidP="00422306">
            <w:pPr>
              <w:pStyle w:val="TableText0"/>
              <w:keepNext w:val="0"/>
              <w:spacing w:before="40" w:after="80" w:line="276" w:lineRule="auto"/>
              <w:jc w:val="right"/>
            </w:pPr>
            <w:r w:rsidRPr="008B2F8A">
              <w:t xml:space="preserve"> 36,178 </w:t>
            </w:r>
          </w:p>
        </w:tc>
        <w:tc>
          <w:tcPr>
            <w:tcW w:w="994" w:type="dxa"/>
            <w:noWrap/>
            <w:hideMark/>
          </w:tcPr>
          <w:p w14:paraId="5DC7C2D4" w14:textId="77777777" w:rsidR="00E47AB8" w:rsidRPr="008B2F8A" w:rsidRDefault="00E47AB8" w:rsidP="00422306">
            <w:pPr>
              <w:pStyle w:val="TableText0"/>
              <w:keepNext w:val="0"/>
              <w:spacing w:before="40" w:after="80" w:line="276" w:lineRule="auto"/>
              <w:jc w:val="right"/>
            </w:pPr>
            <w:r w:rsidRPr="008B2F8A">
              <w:t xml:space="preserve"> 36,792 </w:t>
            </w:r>
          </w:p>
        </w:tc>
        <w:tc>
          <w:tcPr>
            <w:tcW w:w="1008" w:type="dxa"/>
            <w:noWrap/>
            <w:hideMark/>
          </w:tcPr>
          <w:p w14:paraId="538A3361" w14:textId="77777777" w:rsidR="00E47AB8" w:rsidRPr="008B2F8A" w:rsidRDefault="00E47AB8" w:rsidP="00422306">
            <w:pPr>
              <w:pStyle w:val="TableText0"/>
              <w:keepNext w:val="0"/>
              <w:spacing w:before="40" w:after="80" w:line="276" w:lineRule="auto"/>
              <w:jc w:val="right"/>
            </w:pPr>
            <w:r w:rsidRPr="008B2F8A">
              <w:t xml:space="preserve"> 37,403 </w:t>
            </w:r>
          </w:p>
        </w:tc>
      </w:tr>
      <w:tr w:rsidR="00E47AB8" w:rsidRPr="008B2F8A" w14:paraId="1EDC357F" w14:textId="77777777" w:rsidTr="00D2496B">
        <w:tc>
          <w:tcPr>
            <w:tcW w:w="4146" w:type="dxa"/>
            <w:noWrap/>
            <w:hideMark/>
          </w:tcPr>
          <w:p w14:paraId="315F2D1E" w14:textId="37FD631B" w:rsidR="00E47AB8" w:rsidRPr="008B2F8A" w:rsidRDefault="00E47AB8" w:rsidP="00422306">
            <w:pPr>
              <w:pStyle w:val="TableText0"/>
              <w:keepNext w:val="0"/>
              <w:spacing w:before="40" w:after="80" w:line="276" w:lineRule="auto"/>
            </w:pPr>
            <w:r w:rsidRPr="008B2F8A">
              <w:t>Number of women aged &lt;50</w:t>
            </w:r>
            <w:r>
              <w:t xml:space="preserve"> years</w:t>
            </w:r>
            <w:r w:rsidRPr="008B2F8A">
              <w:t xml:space="preserve"> with a prior history of invasive breast cancer</w:t>
            </w:r>
          </w:p>
        </w:tc>
        <w:tc>
          <w:tcPr>
            <w:tcW w:w="994" w:type="dxa"/>
            <w:noWrap/>
            <w:hideMark/>
          </w:tcPr>
          <w:p w14:paraId="2B52B7BC" w14:textId="77777777" w:rsidR="00E47AB8" w:rsidRPr="008B2F8A" w:rsidRDefault="00E47AB8" w:rsidP="00422306">
            <w:pPr>
              <w:pStyle w:val="TableText0"/>
              <w:keepNext w:val="0"/>
              <w:spacing w:before="40" w:after="80" w:line="276" w:lineRule="auto"/>
              <w:jc w:val="right"/>
            </w:pPr>
            <w:r w:rsidRPr="008B2F8A">
              <w:t xml:space="preserve"> 31,667 </w:t>
            </w:r>
          </w:p>
        </w:tc>
        <w:tc>
          <w:tcPr>
            <w:tcW w:w="994" w:type="dxa"/>
            <w:noWrap/>
            <w:hideMark/>
          </w:tcPr>
          <w:p w14:paraId="1F5F66FD" w14:textId="77777777" w:rsidR="00E47AB8" w:rsidRPr="008B2F8A" w:rsidRDefault="00E47AB8" w:rsidP="00422306">
            <w:pPr>
              <w:pStyle w:val="TableText0"/>
              <w:keepNext w:val="0"/>
              <w:spacing w:before="40" w:after="80" w:line="276" w:lineRule="auto"/>
              <w:jc w:val="right"/>
            </w:pPr>
            <w:r w:rsidRPr="008B2F8A">
              <w:t xml:space="preserve"> 32,221 </w:t>
            </w:r>
          </w:p>
        </w:tc>
        <w:tc>
          <w:tcPr>
            <w:tcW w:w="994" w:type="dxa"/>
            <w:noWrap/>
            <w:hideMark/>
          </w:tcPr>
          <w:p w14:paraId="29FEBA86" w14:textId="77777777" w:rsidR="00E47AB8" w:rsidRPr="008B2F8A" w:rsidRDefault="00E47AB8" w:rsidP="00422306">
            <w:pPr>
              <w:pStyle w:val="TableText0"/>
              <w:keepNext w:val="0"/>
              <w:spacing w:before="40" w:after="80" w:line="276" w:lineRule="auto"/>
              <w:jc w:val="right"/>
            </w:pPr>
            <w:r w:rsidRPr="008B2F8A">
              <w:t xml:space="preserve"> 32,778 </w:t>
            </w:r>
          </w:p>
        </w:tc>
        <w:tc>
          <w:tcPr>
            <w:tcW w:w="994" w:type="dxa"/>
            <w:noWrap/>
            <w:hideMark/>
          </w:tcPr>
          <w:p w14:paraId="2C466C84" w14:textId="77777777" w:rsidR="00E47AB8" w:rsidRPr="008B2F8A" w:rsidRDefault="00E47AB8" w:rsidP="00422306">
            <w:pPr>
              <w:pStyle w:val="TableText0"/>
              <w:keepNext w:val="0"/>
              <w:spacing w:before="40" w:after="80" w:line="276" w:lineRule="auto"/>
              <w:jc w:val="right"/>
            </w:pPr>
            <w:r w:rsidRPr="008B2F8A">
              <w:t xml:space="preserve"> 33,333 </w:t>
            </w:r>
          </w:p>
        </w:tc>
        <w:tc>
          <w:tcPr>
            <w:tcW w:w="1008" w:type="dxa"/>
            <w:noWrap/>
            <w:hideMark/>
          </w:tcPr>
          <w:p w14:paraId="24BDC285" w14:textId="77777777" w:rsidR="00E47AB8" w:rsidRPr="008B2F8A" w:rsidRDefault="00E47AB8" w:rsidP="00422306">
            <w:pPr>
              <w:pStyle w:val="TableText0"/>
              <w:keepNext w:val="0"/>
              <w:spacing w:before="40" w:after="80" w:line="276" w:lineRule="auto"/>
              <w:jc w:val="right"/>
            </w:pPr>
            <w:r w:rsidRPr="008B2F8A">
              <w:t xml:space="preserve"> 33,887 </w:t>
            </w:r>
          </w:p>
        </w:tc>
      </w:tr>
      <w:tr w:rsidR="00E47AB8" w:rsidRPr="008B2F8A" w14:paraId="3D961DE3" w14:textId="77777777" w:rsidTr="00D2496B">
        <w:tc>
          <w:tcPr>
            <w:tcW w:w="4146" w:type="dxa"/>
            <w:hideMark/>
          </w:tcPr>
          <w:p w14:paraId="00FD0010" w14:textId="0ECFC9B2" w:rsidR="00E47AB8" w:rsidRPr="008B2F8A" w:rsidRDefault="00E47AB8" w:rsidP="00422306">
            <w:pPr>
              <w:pStyle w:val="TableText0"/>
              <w:keepNext w:val="0"/>
              <w:spacing w:before="40" w:after="80" w:line="276" w:lineRule="auto"/>
            </w:pPr>
            <w:r w:rsidRPr="008B2F8A">
              <w:t xml:space="preserve">Number of women aged &lt;50 </w:t>
            </w:r>
            <w:r>
              <w:t xml:space="preserve">years </w:t>
            </w:r>
            <w:r w:rsidRPr="008B2F8A">
              <w:t>with a prior history of invasive breast cancer who have no gene mutations or family history</w:t>
            </w:r>
          </w:p>
        </w:tc>
        <w:tc>
          <w:tcPr>
            <w:tcW w:w="994" w:type="dxa"/>
            <w:noWrap/>
            <w:hideMark/>
          </w:tcPr>
          <w:p w14:paraId="04F81EC3" w14:textId="77777777" w:rsidR="00E47AB8" w:rsidRPr="008B2F8A" w:rsidRDefault="00E47AB8" w:rsidP="00422306">
            <w:pPr>
              <w:pStyle w:val="TableText0"/>
              <w:keepNext w:val="0"/>
              <w:spacing w:before="40" w:after="80" w:line="276" w:lineRule="auto"/>
              <w:jc w:val="right"/>
            </w:pPr>
            <w:r w:rsidRPr="008B2F8A">
              <w:t xml:space="preserve"> 30,084 </w:t>
            </w:r>
          </w:p>
        </w:tc>
        <w:tc>
          <w:tcPr>
            <w:tcW w:w="994" w:type="dxa"/>
            <w:noWrap/>
            <w:hideMark/>
          </w:tcPr>
          <w:p w14:paraId="3DC0D41E" w14:textId="77777777" w:rsidR="00E47AB8" w:rsidRPr="008B2F8A" w:rsidRDefault="00E47AB8" w:rsidP="00422306">
            <w:pPr>
              <w:pStyle w:val="TableText0"/>
              <w:keepNext w:val="0"/>
              <w:spacing w:before="40" w:after="80" w:line="276" w:lineRule="auto"/>
              <w:jc w:val="right"/>
            </w:pPr>
            <w:r w:rsidRPr="008B2F8A">
              <w:t xml:space="preserve"> 30,610 </w:t>
            </w:r>
          </w:p>
        </w:tc>
        <w:tc>
          <w:tcPr>
            <w:tcW w:w="994" w:type="dxa"/>
            <w:noWrap/>
            <w:hideMark/>
          </w:tcPr>
          <w:p w14:paraId="2996477E" w14:textId="77777777" w:rsidR="00E47AB8" w:rsidRPr="008B2F8A" w:rsidRDefault="00E47AB8" w:rsidP="00422306">
            <w:pPr>
              <w:pStyle w:val="TableText0"/>
              <w:keepNext w:val="0"/>
              <w:spacing w:before="40" w:after="80" w:line="276" w:lineRule="auto"/>
              <w:jc w:val="right"/>
            </w:pPr>
            <w:r w:rsidRPr="008B2F8A">
              <w:t xml:space="preserve"> 31,139 </w:t>
            </w:r>
          </w:p>
        </w:tc>
        <w:tc>
          <w:tcPr>
            <w:tcW w:w="994" w:type="dxa"/>
            <w:noWrap/>
            <w:hideMark/>
          </w:tcPr>
          <w:p w14:paraId="05417708" w14:textId="77777777" w:rsidR="00E47AB8" w:rsidRPr="008B2F8A" w:rsidRDefault="00E47AB8" w:rsidP="00422306">
            <w:pPr>
              <w:pStyle w:val="TableText0"/>
              <w:keepNext w:val="0"/>
              <w:spacing w:before="40" w:after="80" w:line="276" w:lineRule="auto"/>
              <w:jc w:val="right"/>
            </w:pPr>
            <w:r w:rsidRPr="008B2F8A">
              <w:t xml:space="preserve"> 31,667 </w:t>
            </w:r>
          </w:p>
        </w:tc>
        <w:tc>
          <w:tcPr>
            <w:tcW w:w="1008" w:type="dxa"/>
            <w:noWrap/>
            <w:hideMark/>
          </w:tcPr>
          <w:p w14:paraId="3B80219B" w14:textId="77777777" w:rsidR="00E47AB8" w:rsidRPr="008B2F8A" w:rsidRDefault="00E47AB8" w:rsidP="00422306">
            <w:pPr>
              <w:pStyle w:val="TableText0"/>
              <w:keepNext w:val="0"/>
              <w:spacing w:before="40" w:after="80" w:line="276" w:lineRule="auto"/>
              <w:jc w:val="right"/>
            </w:pPr>
            <w:r w:rsidRPr="008B2F8A">
              <w:t xml:space="preserve"> 32,192 </w:t>
            </w:r>
          </w:p>
        </w:tc>
      </w:tr>
      <w:tr w:rsidR="00E47AB8" w:rsidRPr="008B2F8A" w14:paraId="37F32487" w14:textId="77777777" w:rsidTr="00D2496B">
        <w:tc>
          <w:tcPr>
            <w:tcW w:w="4146" w:type="dxa"/>
            <w:noWrap/>
            <w:hideMark/>
          </w:tcPr>
          <w:p w14:paraId="43055A7E" w14:textId="77777777" w:rsidR="00E47AB8" w:rsidRPr="008B2F8A" w:rsidRDefault="00E47AB8" w:rsidP="00422306">
            <w:pPr>
              <w:pStyle w:val="TableText0"/>
              <w:keepNext w:val="0"/>
              <w:spacing w:before="40" w:after="80" w:line="276" w:lineRule="auto"/>
            </w:pPr>
            <w:r w:rsidRPr="008B2F8A">
              <w:t>Number who take up MRI screening</w:t>
            </w:r>
          </w:p>
        </w:tc>
        <w:tc>
          <w:tcPr>
            <w:tcW w:w="994" w:type="dxa"/>
            <w:noWrap/>
            <w:hideMark/>
          </w:tcPr>
          <w:p w14:paraId="3F6D631F" w14:textId="77777777" w:rsidR="00E47AB8" w:rsidRPr="008B2F8A" w:rsidRDefault="00E47AB8" w:rsidP="00422306">
            <w:pPr>
              <w:pStyle w:val="TableText0"/>
              <w:keepNext w:val="0"/>
              <w:spacing w:before="40" w:after="80" w:line="276" w:lineRule="auto"/>
              <w:jc w:val="right"/>
            </w:pPr>
            <w:r w:rsidRPr="008B2F8A">
              <w:t xml:space="preserve"> 6,017 </w:t>
            </w:r>
          </w:p>
        </w:tc>
        <w:tc>
          <w:tcPr>
            <w:tcW w:w="994" w:type="dxa"/>
            <w:noWrap/>
            <w:hideMark/>
          </w:tcPr>
          <w:p w14:paraId="628083D0" w14:textId="77777777" w:rsidR="00E47AB8" w:rsidRPr="008B2F8A" w:rsidRDefault="00E47AB8" w:rsidP="00422306">
            <w:pPr>
              <w:pStyle w:val="TableText0"/>
              <w:keepNext w:val="0"/>
              <w:spacing w:before="40" w:after="80" w:line="276" w:lineRule="auto"/>
              <w:jc w:val="right"/>
            </w:pPr>
            <w:r w:rsidRPr="008B2F8A">
              <w:t xml:space="preserve"> 9,183 </w:t>
            </w:r>
          </w:p>
        </w:tc>
        <w:tc>
          <w:tcPr>
            <w:tcW w:w="994" w:type="dxa"/>
            <w:noWrap/>
            <w:hideMark/>
          </w:tcPr>
          <w:p w14:paraId="774D9D73" w14:textId="77777777" w:rsidR="00E47AB8" w:rsidRPr="008B2F8A" w:rsidRDefault="00E47AB8" w:rsidP="00422306">
            <w:pPr>
              <w:pStyle w:val="TableText0"/>
              <w:keepNext w:val="0"/>
              <w:spacing w:before="40" w:after="80" w:line="276" w:lineRule="auto"/>
              <w:jc w:val="right"/>
            </w:pPr>
            <w:r w:rsidRPr="008B2F8A">
              <w:t xml:space="preserve"> 12,456 </w:t>
            </w:r>
          </w:p>
        </w:tc>
        <w:tc>
          <w:tcPr>
            <w:tcW w:w="994" w:type="dxa"/>
            <w:noWrap/>
            <w:hideMark/>
          </w:tcPr>
          <w:p w14:paraId="779E2B47" w14:textId="77777777" w:rsidR="00E47AB8" w:rsidRPr="008B2F8A" w:rsidRDefault="00E47AB8" w:rsidP="00422306">
            <w:pPr>
              <w:pStyle w:val="TableText0"/>
              <w:keepNext w:val="0"/>
              <w:spacing w:before="40" w:after="80" w:line="276" w:lineRule="auto"/>
              <w:jc w:val="right"/>
            </w:pPr>
            <w:r w:rsidRPr="008B2F8A">
              <w:t xml:space="preserve"> 15,833 </w:t>
            </w:r>
          </w:p>
        </w:tc>
        <w:tc>
          <w:tcPr>
            <w:tcW w:w="1008" w:type="dxa"/>
            <w:noWrap/>
            <w:hideMark/>
          </w:tcPr>
          <w:p w14:paraId="09EF2F38" w14:textId="77777777" w:rsidR="00E47AB8" w:rsidRPr="008B2F8A" w:rsidRDefault="00E47AB8" w:rsidP="00422306">
            <w:pPr>
              <w:pStyle w:val="TableText0"/>
              <w:keepNext w:val="0"/>
              <w:spacing w:before="40" w:after="80" w:line="276" w:lineRule="auto"/>
              <w:jc w:val="right"/>
            </w:pPr>
            <w:r w:rsidRPr="008B2F8A">
              <w:t xml:space="preserve"> 17,577 </w:t>
            </w:r>
          </w:p>
        </w:tc>
      </w:tr>
      <w:tr w:rsidR="00E47AB8" w:rsidRPr="008B2F8A" w14:paraId="533B2AFB" w14:textId="77777777" w:rsidTr="00D2496B">
        <w:tc>
          <w:tcPr>
            <w:tcW w:w="4146" w:type="dxa"/>
            <w:noWrap/>
            <w:hideMark/>
          </w:tcPr>
          <w:p w14:paraId="05CD16D4" w14:textId="77777777" w:rsidR="00E47AB8" w:rsidRPr="008B2F8A" w:rsidRDefault="00E47AB8" w:rsidP="00422306">
            <w:pPr>
              <w:pStyle w:val="TableText0"/>
              <w:keepNext w:val="0"/>
              <w:spacing w:before="40" w:after="80" w:line="276" w:lineRule="auto"/>
            </w:pPr>
            <w:r w:rsidRPr="008B2F8A">
              <w:t>Number who have follow-up MRI</w:t>
            </w:r>
          </w:p>
        </w:tc>
        <w:tc>
          <w:tcPr>
            <w:tcW w:w="994" w:type="dxa"/>
            <w:noWrap/>
            <w:hideMark/>
          </w:tcPr>
          <w:p w14:paraId="27F176F1" w14:textId="77777777" w:rsidR="00E47AB8" w:rsidRPr="008B2F8A" w:rsidRDefault="00E47AB8" w:rsidP="00422306">
            <w:pPr>
              <w:pStyle w:val="TableText0"/>
              <w:keepNext w:val="0"/>
              <w:spacing w:before="40" w:after="80" w:line="276" w:lineRule="auto"/>
              <w:jc w:val="right"/>
            </w:pPr>
            <w:r w:rsidRPr="008B2F8A">
              <w:t xml:space="preserve"> 448 </w:t>
            </w:r>
          </w:p>
        </w:tc>
        <w:tc>
          <w:tcPr>
            <w:tcW w:w="994" w:type="dxa"/>
            <w:noWrap/>
            <w:hideMark/>
          </w:tcPr>
          <w:p w14:paraId="756CD0AB" w14:textId="77777777" w:rsidR="00E47AB8" w:rsidRPr="008B2F8A" w:rsidRDefault="00E47AB8" w:rsidP="00422306">
            <w:pPr>
              <w:pStyle w:val="TableText0"/>
              <w:keepNext w:val="0"/>
              <w:spacing w:before="40" w:after="80" w:line="276" w:lineRule="auto"/>
              <w:jc w:val="right"/>
            </w:pPr>
            <w:r w:rsidRPr="008B2F8A">
              <w:t xml:space="preserve"> 683 </w:t>
            </w:r>
          </w:p>
        </w:tc>
        <w:tc>
          <w:tcPr>
            <w:tcW w:w="994" w:type="dxa"/>
            <w:noWrap/>
            <w:hideMark/>
          </w:tcPr>
          <w:p w14:paraId="6A8E1725" w14:textId="77777777" w:rsidR="00E47AB8" w:rsidRPr="008B2F8A" w:rsidRDefault="00E47AB8" w:rsidP="00422306">
            <w:pPr>
              <w:pStyle w:val="TableText0"/>
              <w:keepNext w:val="0"/>
              <w:spacing w:before="40" w:after="80" w:line="276" w:lineRule="auto"/>
              <w:jc w:val="right"/>
            </w:pPr>
            <w:r w:rsidRPr="008B2F8A">
              <w:t xml:space="preserve"> 927 </w:t>
            </w:r>
          </w:p>
        </w:tc>
        <w:tc>
          <w:tcPr>
            <w:tcW w:w="994" w:type="dxa"/>
            <w:noWrap/>
            <w:hideMark/>
          </w:tcPr>
          <w:p w14:paraId="681ADD5A" w14:textId="77777777" w:rsidR="00E47AB8" w:rsidRPr="008B2F8A" w:rsidRDefault="00E47AB8" w:rsidP="00422306">
            <w:pPr>
              <w:pStyle w:val="TableText0"/>
              <w:keepNext w:val="0"/>
              <w:spacing w:before="40" w:after="80" w:line="276" w:lineRule="auto"/>
              <w:jc w:val="right"/>
            </w:pPr>
            <w:r w:rsidRPr="008B2F8A">
              <w:t xml:space="preserve"> 1,178 </w:t>
            </w:r>
          </w:p>
        </w:tc>
        <w:tc>
          <w:tcPr>
            <w:tcW w:w="1008" w:type="dxa"/>
            <w:noWrap/>
            <w:hideMark/>
          </w:tcPr>
          <w:p w14:paraId="69AAA9A6" w14:textId="77777777" w:rsidR="00E47AB8" w:rsidRPr="008B2F8A" w:rsidRDefault="00E47AB8" w:rsidP="00422306">
            <w:pPr>
              <w:pStyle w:val="TableText0"/>
              <w:keepNext w:val="0"/>
              <w:spacing w:before="40" w:after="80" w:line="276" w:lineRule="auto"/>
              <w:jc w:val="right"/>
            </w:pPr>
            <w:r w:rsidRPr="008B2F8A">
              <w:t xml:space="preserve"> 1,308 </w:t>
            </w:r>
          </w:p>
        </w:tc>
      </w:tr>
      <w:tr w:rsidR="00E47AB8" w:rsidRPr="008B2F8A" w14:paraId="3F92E04B" w14:textId="77777777" w:rsidTr="00D2496B">
        <w:tc>
          <w:tcPr>
            <w:tcW w:w="4146" w:type="dxa"/>
            <w:noWrap/>
            <w:hideMark/>
          </w:tcPr>
          <w:p w14:paraId="1FECCBAF" w14:textId="77777777" w:rsidR="00E47AB8" w:rsidRPr="008B2F8A" w:rsidRDefault="00E47AB8" w:rsidP="00422306">
            <w:pPr>
              <w:pStyle w:val="TableText0"/>
              <w:keepNext w:val="0"/>
              <w:spacing w:before="40" w:after="80" w:line="276" w:lineRule="auto"/>
            </w:pPr>
            <w:r w:rsidRPr="008B2F8A">
              <w:t>Number of ultrasounds replaced</w:t>
            </w:r>
          </w:p>
        </w:tc>
        <w:tc>
          <w:tcPr>
            <w:tcW w:w="994" w:type="dxa"/>
            <w:noWrap/>
            <w:hideMark/>
          </w:tcPr>
          <w:p w14:paraId="5A4EACA6" w14:textId="77777777" w:rsidR="00E47AB8" w:rsidRPr="008B2F8A" w:rsidRDefault="00E47AB8" w:rsidP="00422306">
            <w:pPr>
              <w:pStyle w:val="TableText0"/>
              <w:keepNext w:val="0"/>
              <w:spacing w:before="40" w:after="80" w:line="276" w:lineRule="auto"/>
              <w:jc w:val="right"/>
            </w:pPr>
            <w:r w:rsidRPr="008B2F8A">
              <w:t xml:space="preserve"> 1,504 </w:t>
            </w:r>
          </w:p>
        </w:tc>
        <w:tc>
          <w:tcPr>
            <w:tcW w:w="994" w:type="dxa"/>
            <w:noWrap/>
            <w:hideMark/>
          </w:tcPr>
          <w:p w14:paraId="17423F5D" w14:textId="77777777" w:rsidR="00E47AB8" w:rsidRPr="008B2F8A" w:rsidRDefault="00E47AB8" w:rsidP="00422306">
            <w:pPr>
              <w:pStyle w:val="TableText0"/>
              <w:keepNext w:val="0"/>
              <w:spacing w:before="40" w:after="80" w:line="276" w:lineRule="auto"/>
              <w:jc w:val="right"/>
            </w:pPr>
            <w:r w:rsidRPr="008B2F8A">
              <w:t xml:space="preserve"> 2,296 </w:t>
            </w:r>
          </w:p>
        </w:tc>
        <w:tc>
          <w:tcPr>
            <w:tcW w:w="994" w:type="dxa"/>
            <w:noWrap/>
            <w:hideMark/>
          </w:tcPr>
          <w:p w14:paraId="63858B34" w14:textId="77777777" w:rsidR="00E47AB8" w:rsidRPr="008B2F8A" w:rsidRDefault="00E47AB8" w:rsidP="00422306">
            <w:pPr>
              <w:pStyle w:val="TableText0"/>
              <w:keepNext w:val="0"/>
              <w:spacing w:before="40" w:after="80" w:line="276" w:lineRule="auto"/>
              <w:jc w:val="right"/>
            </w:pPr>
            <w:r w:rsidRPr="008B2F8A">
              <w:t xml:space="preserve"> 3,114 </w:t>
            </w:r>
          </w:p>
        </w:tc>
        <w:tc>
          <w:tcPr>
            <w:tcW w:w="994" w:type="dxa"/>
            <w:noWrap/>
            <w:hideMark/>
          </w:tcPr>
          <w:p w14:paraId="153A417B" w14:textId="77777777" w:rsidR="00E47AB8" w:rsidRPr="008B2F8A" w:rsidRDefault="00E47AB8" w:rsidP="00422306">
            <w:pPr>
              <w:pStyle w:val="TableText0"/>
              <w:keepNext w:val="0"/>
              <w:spacing w:before="40" w:after="80" w:line="276" w:lineRule="auto"/>
              <w:jc w:val="right"/>
            </w:pPr>
            <w:r w:rsidRPr="008B2F8A">
              <w:t xml:space="preserve"> 3,958 </w:t>
            </w:r>
          </w:p>
        </w:tc>
        <w:tc>
          <w:tcPr>
            <w:tcW w:w="1008" w:type="dxa"/>
            <w:noWrap/>
            <w:hideMark/>
          </w:tcPr>
          <w:p w14:paraId="76EEBB43" w14:textId="77777777" w:rsidR="00E47AB8" w:rsidRPr="008B2F8A" w:rsidRDefault="00E47AB8" w:rsidP="00422306">
            <w:pPr>
              <w:pStyle w:val="TableText0"/>
              <w:keepNext w:val="0"/>
              <w:spacing w:before="40" w:after="80" w:line="276" w:lineRule="auto"/>
              <w:jc w:val="right"/>
            </w:pPr>
            <w:r w:rsidRPr="008B2F8A">
              <w:t xml:space="preserve"> 4,394 </w:t>
            </w:r>
          </w:p>
        </w:tc>
      </w:tr>
      <w:tr w:rsidR="00E47AB8" w:rsidRPr="008B2F8A" w14:paraId="1A41B734" w14:textId="77777777" w:rsidTr="00D2496B">
        <w:tc>
          <w:tcPr>
            <w:tcW w:w="4146" w:type="dxa"/>
            <w:noWrap/>
            <w:hideMark/>
          </w:tcPr>
          <w:p w14:paraId="00B366E8" w14:textId="77777777" w:rsidR="00E47AB8" w:rsidRPr="008B2F8A" w:rsidRDefault="00E47AB8" w:rsidP="00422306">
            <w:pPr>
              <w:pStyle w:val="TableText0"/>
              <w:keepNext w:val="0"/>
              <w:spacing w:before="40" w:after="80" w:line="276" w:lineRule="auto"/>
            </w:pPr>
            <w:r w:rsidRPr="008B2F8A">
              <w:lastRenderedPageBreak/>
              <w:t>Number of screened women with breast cancer</w:t>
            </w:r>
          </w:p>
        </w:tc>
        <w:tc>
          <w:tcPr>
            <w:tcW w:w="994" w:type="dxa"/>
            <w:noWrap/>
            <w:hideMark/>
          </w:tcPr>
          <w:p w14:paraId="7D7F7498" w14:textId="77777777" w:rsidR="00E47AB8" w:rsidRPr="008B2F8A" w:rsidRDefault="00E47AB8" w:rsidP="00422306">
            <w:pPr>
              <w:pStyle w:val="TableText0"/>
              <w:keepNext w:val="0"/>
              <w:spacing w:before="40" w:after="80" w:line="276" w:lineRule="auto"/>
              <w:jc w:val="right"/>
            </w:pPr>
            <w:r w:rsidRPr="008B2F8A">
              <w:t xml:space="preserve"> 69 </w:t>
            </w:r>
          </w:p>
        </w:tc>
        <w:tc>
          <w:tcPr>
            <w:tcW w:w="994" w:type="dxa"/>
            <w:noWrap/>
            <w:hideMark/>
          </w:tcPr>
          <w:p w14:paraId="1DA8F2C5" w14:textId="77777777" w:rsidR="00E47AB8" w:rsidRPr="008B2F8A" w:rsidRDefault="00E47AB8" w:rsidP="00422306">
            <w:pPr>
              <w:pStyle w:val="TableText0"/>
              <w:keepNext w:val="0"/>
              <w:spacing w:before="40" w:after="80" w:line="276" w:lineRule="auto"/>
              <w:jc w:val="right"/>
            </w:pPr>
            <w:r w:rsidRPr="008B2F8A">
              <w:t xml:space="preserve"> 105 </w:t>
            </w:r>
          </w:p>
        </w:tc>
        <w:tc>
          <w:tcPr>
            <w:tcW w:w="994" w:type="dxa"/>
            <w:noWrap/>
            <w:hideMark/>
          </w:tcPr>
          <w:p w14:paraId="75761ED8" w14:textId="77777777" w:rsidR="00E47AB8" w:rsidRPr="008B2F8A" w:rsidRDefault="00E47AB8" w:rsidP="00422306">
            <w:pPr>
              <w:pStyle w:val="TableText0"/>
              <w:keepNext w:val="0"/>
              <w:spacing w:before="40" w:after="80" w:line="276" w:lineRule="auto"/>
              <w:jc w:val="right"/>
            </w:pPr>
            <w:r w:rsidRPr="008B2F8A">
              <w:t xml:space="preserve"> 142 </w:t>
            </w:r>
          </w:p>
        </w:tc>
        <w:tc>
          <w:tcPr>
            <w:tcW w:w="994" w:type="dxa"/>
            <w:noWrap/>
            <w:hideMark/>
          </w:tcPr>
          <w:p w14:paraId="4F8A35E9" w14:textId="77777777" w:rsidR="00E47AB8" w:rsidRPr="008B2F8A" w:rsidRDefault="00E47AB8" w:rsidP="00422306">
            <w:pPr>
              <w:pStyle w:val="TableText0"/>
              <w:keepNext w:val="0"/>
              <w:spacing w:before="40" w:after="80" w:line="276" w:lineRule="auto"/>
              <w:jc w:val="right"/>
            </w:pPr>
            <w:r w:rsidRPr="008B2F8A">
              <w:t xml:space="preserve"> 180 </w:t>
            </w:r>
          </w:p>
        </w:tc>
        <w:tc>
          <w:tcPr>
            <w:tcW w:w="1008" w:type="dxa"/>
            <w:noWrap/>
            <w:hideMark/>
          </w:tcPr>
          <w:p w14:paraId="044305CA" w14:textId="77777777" w:rsidR="00E47AB8" w:rsidRPr="008B2F8A" w:rsidRDefault="00E47AB8" w:rsidP="00422306">
            <w:pPr>
              <w:pStyle w:val="TableText0"/>
              <w:keepNext w:val="0"/>
              <w:spacing w:before="40" w:after="80" w:line="276" w:lineRule="auto"/>
              <w:jc w:val="right"/>
            </w:pPr>
            <w:r w:rsidRPr="008B2F8A">
              <w:t xml:space="preserve"> 200 </w:t>
            </w:r>
          </w:p>
        </w:tc>
      </w:tr>
      <w:tr w:rsidR="00E47AB8" w:rsidRPr="008B2F8A" w14:paraId="76616E99" w14:textId="77777777" w:rsidTr="00D2496B">
        <w:tc>
          <w:tcPr>
            <w:tcW w:w="4146" w:type="dxa"/>
            <w:noWrap/>
            <w:hideMark/>
          </w:tcPr>
          <w:p w14:paraId="661E0ECB" w14:textId="77777777" w:rsidR="00E47AB8" w:rsidRPr="008B2F8A" w:rsidRDefault="00E47AB8" w:rsidP="00422306">
            <w:pPr>
              <w:pStyle w:val="TableText0"/>
              <w:keepNext w:val="0"/>
              <w:spacing w:before="40" w:after="80" w:line="276" w:lineRule="auto"/>
            </w:pPr>
            <w:r w:rsidRPr="008B2F8A">
              <w:t>Number of screened women without breast cancer</w:t>
            </w:r>
          </w:p>
        </w:tc>
        <w:tc>
          <w:tcPr>
            <w:tcW w:w="994" w:type="dxa"/>
            <w:noWrap/>
            <w:hideMark/>
          </w:tcPr>
          <w:p w14:paraId="2A2A77D6" w14:textId="77777777" w:rsidR="00E47AB8" w:rsidRPr="008B2F8A" w:rsidRDefault="00E47AB8" w:rsidP="00422306">
            <w:pPr>
              <w:pStyle w:val="TableText0"/>
              <w:keepNext w:val="0"/>
              <w:spacing w:before="40" w:after="80" w:line="276" w:lineRule="auto"/>
              <w:jc w:val="right"/>
            </w:pPr>
            <w:r w:rsidRPr="008B2F8A">
              <w:t xml:space="preserve"> 5,948 </w:t>
            </w:r>
          </w:p>
        </w:tc>
        <w:tc>
          <w:tcPr>
            <w:tcW w:w="994" w:type="dxa"/>
            <w:noWrap/>
            <w:hideMark/>
          </w:tcPr>
          <w:p w14:paraId="3A440A69" w14:textId="77777777" w:rsidR="00E47AB8" w:rsidRPr="008B2F8A" w:rsidRDefault="00E47AB8" w:rsidP="00422306">
            <w:pPr>
              <w:pStyle w:val="TableText0"/>
              <w:keepNext w:val="0"/>
              <w:spacing w:before="40" w:after="80" w:line="276" w:lineRule="auto"/>
              <w:jc w:val="right"/>
            </w:pPr>
            <w:r w:rsidRPr="008B2F8A">
              <w:t xml:space="preserve"> 9,078 </w:t>
            </w:r>
          </w:p>
        </w:tc>
        <w:tc>
          <w:tcPr>
            <w:tcW w:w="994" w:type="dxa"/>
            <w:noWrap/>
            <w:hideMark/>
          </w:tcPr>
          <w:p w14:paraId="5F50246D" w14:textId="77777777" w:rsidR="00E47AB8" w:rsidRPr="008B2F8A" w:rsidRDefault="00E47AB8" w:rsidP="00422306">
            <w:pPr>
              <w:pStyle w:val="TableText0"/>
              <w:keepNext w:val="0"/>
              <w:spacing w:before="40" w:after="80" w:line="276" w:lineRule="auto"/>
              <w:jc w:val="right"/>
            </w:pPr>
            <w:r w:rsidRPr="008B2F8A">
              <w:t xml:space="preserve"> 12,314 </w:t>
            </w:r>
          </w:p>
        </w:tc>
        <w:tc>
          <w:tcPr>
            <w:tcW w:w="994" w:type="dxa"/>
            <w:noWrap/>
            <w:hideMark/>
          </w:tcPr>
          <w:p w14:paraId="209251FA" w14:textId="77777777" w:rsidR="00E47AB8" w:rsidRPr="008B2F8A" w:rsidRDefault="00E47AB8" w:rsidP="00422306">
            <w:pPr>
              <w:pStyle w:val="TableText0"/>
              <w:keepNext w:val="0"/>
              <w:spacing w:before="40" w:after="80" w:line="276" w:lineRule="auto"/>
              <w:jc w:val="right"/>
            </w:pPr>
            <w:r w:rsidRPr="008B2F8A">
              <w:t xml:space="preserve"> 15,653 </w:t>
            </w:r>
          </w:p>
        </w:tc>
        <w:tc>
          <w:tcPr>
            <w:tcW w:w="1008" w:type="dxa"/>
            <w:noWrap/>
            <w:hideMark/>
          </w:tcPr>
          <w:p w14:paraId="285F9846" w14:textId="77777777" w:rsidR="00E47AB8" w:rsidRPr="008B2F8A" w:rsidRDefault="00E47AB8" w:rsidP="00422306">
            <w:pPr>
              <w:pStyle w:val="TableText0"/>
              <w:keepNext w:val="0"/>
              <w:spacing w:before="40" w:after="80" w:line="276" w:lineRule="auto"/>
              <w:jc w:val="right"/>
            </w:pPr>
            <w:r w:rsidRPr="008B2F8A">
              <w:t xml:space="preserve"> 17,377 </w:t>
            </w:r>
          </w:p>
        </w:tc>
      </w:tr>
      <w:tr w:rsidR="00E47AB8" w:rsidRPr="008B2F8A" w14:paraId="14C13C69" w14:textId="77777777" w:rsidTr="00D2496B">
        <w:tc>
          <w:tcPr>
            <w:tcW w:w="4146" w:type="dxa"/>
            <w:noWrap/>
            <w:hideMark/>
          </w:tcPr>
          <w:p w14:paraId="12DCD421" w14:textId="77777777" w:rsidR="00E47AB8" w:rsidRPr="008B2F8A" w:rsidRDefault="00E47AB8" w:rsidP="00422306">
            <w:pPr>
              <w:pStyle w:val="TableText0"/>
              <w:keepNext w:val="0"/>
              <w:spacing w:before="40" w:after="80" w:line="276" w:lineRule="auto"/>
            </w:pPr>
            <w:r w:rsidRPr="008B2F8A">
              <w:t>Number of true-positive findings with MRI</w:t>
            </w:r>
          </w:p>
        </w:tc>
        <w:tc>
          <w:tcPr>
            <w:tcW w:w="994" w:type="dxa"/>
            <w:noWrap/>
            <w:hideMark/>
          </w:tcPr>
          <w:p w14:paraId="3CC2A2DF" w14:textId="77777777" w:rsidR="00E47AB8" w:rsidRPr="008B2F8A" w:rsidRDefault="00E47AB8" w:rsidP="00422306">
            <w:pPr>
              <w:pStyle w:val="TableText0"/>
              <w:keepNext w:val="0"/>
              <w:spacing w:before="40" w:after="80" w:line="276" w:lineRule="auto"/>
              <w:jc w:val="right"/>
            </w:pPr>
            <w:r w:rsidRPr="008B2F8A">
              <w:t xml:space="preserve"> 69 </w:t>
            </w:r>
          </w:p>
        </w:tc>
        <w:tc>
          <w:tcPr>
            <w:tcW w:w="994" w:type="dxa"/>
            <w:noWrap/>
            <w:hideMark/>
          </w:tcPr>
          <w:p w14:paraId="11EF1749" w14:textId="77777777" w:rsidR="00E47AB8" w:rsidRPr="008B2F8A" w:rsidRDefault="00E47AB8" w:rsidP="00422306">
            <w:pPr>
              <w:pStyle w:val="TableText0"/>
              <w:keepNext w:val="0"/>
              <w:spacing w:before="40" w:after="80" w:line="276" w:lineRule="auto"/>
              <w:jc w:val="right"/>
            </w:pPr>
            <w:r w:rsidRPr="008B2F8A">
              <w:t xml:space="preserve"> 105 </w:t>
            </w:r>
          </w:p>
        </w:tc>
        <w:tc>
          <w:tcPr>
            <w:tcW w:w="994" w:type="dxa"/>
            <w:noWrap/>
            <w:hideMark/>
          </w:tcPr>
          <w:p w14:paraId="1C5D0FEE" w14:textId="77777777" w:rsidR="00E47AB8" w:rsidRPr="008B2F8A" w:rsidRDefault="00E47AB8" w:rsidP="00422306">
            <w:pPr>
              <w:pStyle w:val="TableText0"/>
              <w:keepNext w:val="0"/>
              <w:spacing w:before="40" w:after="80" w:line="276" w:lineRule="auto"/>
              <w:jc w:val="right"/>
            </w:pPr>
            <w:r w:rsidRPr="008B2F8A">
              <w:t xml:space="preserve"> 142 </w:t>
            </w:r>
          </w:p>
        </w:tc>
        <w:tc>
          <w:tcPr>
            <w:tcW w:w="994" w:type="dxa"/>
            <w:noWrap/>
            <w:hideMark/>
          </w:tcPr>
          <w:p w14:paraId="3938F115" w14:textId="77777777" w:rsidR="00E47AB8" w:rsidRPr="008B2F8A" w:rsidRDefault="00E47AB8" w:rsidP="00422306">
            <w:pPr>
              <w:pStyle w:val="TableText0"/>
              <w:keepNext w:val="0"/>
              <w:spacing w:before="40" w:after="80" w:line="276" w:lineRule="auto"/>
              <w:jc w:val="right"/>
            </w:pPr>
            <w:r w:rsidRPr="008B2F8A">
              <w:t xml:space="preserve"> 180 </w:t>
            </w:r>
          </w:p>
        </w:tc>
        <w:tc>
          <w:tcPr>
            <w:tcW w:w="1008" w:type="dxa"/>
            <w:noWrap/>
            <w:hideMark/>
          </w:tcPr>
          <w:p w14:paraId="58858161" w14:textId="77777777" w:rsidR="00E47AB8" w:rsidRPr="008B2F8A" w:rsidRDefault="00E47AB8" w:rsidP="00422306">
            <w:pPr>
              <w:pStyle w:val="TableText0"/>
              <w:keepNext w:val="0"/>
              <w:spacing w:before="40" w:after="80" w:line="276" w:lineRule="auto"/>
              <w:jc w:val="right"/>
            </w:pPr>
            <w:r w:rsidRPr="008B2F8A">
              <w:t xml:space="preserve"> 200 </w:t>
            </w:r>
          </w:p>
        </w:tc>
      </w:tr>
      <w:tr w:rsidR="00E47AB8" w:rsidRPr="008B2F8A" w14:paraId="109361B0" w14:textId="77777777" w:rsidTr="00D2496B">
        <w:tc>
          <w:tcPr>
            <w:tcW w:w="4146" w:type="dxa"/>
            <w:noWrap/>
            <w:hideMark/>
          </w:tcPr>
          <w:p w14:paraId="54373746" w14:textId="77777777" w:rsidR="00E47AB8" w:rsidRPr="008B2F8A" w:rsidRDefault="00E47AB8" w:rsidP="00422306">
            <w:pPr>
              <w:pStyle w:val="TableText0"/>
              <w:keepNext w:val="0"/>
              <w:spacing w:before="40" w:after="80" w:line="276" w:lineRule="auto"/>
            </w:pPr>
            <w:r w:rsidRPr="008B2F8A">
              <w:t>Number of true-positive findings with MAM</w:t>
            </w:r>
          </w:p>
        </w:tc>
        <w:tc>
          <w:tcPr>
            <w:tcW w:w="994" w:type="dxa"/>
            <w:noWrap/>
            <w:hideMark/>
          </w:tcPr>
          <w:p w14:paraId="65505BEF" w14:textId="77777777" w:rsidR="00E47AB8" w:rsidRPr="008B2F8A" w:rsidRDefault="00E47AB8" w:rsidP="00422306">
            <w:pPr>
              <w:pStyle w:val="TableText0"/>
              <w:keepNext w:val="0"/>
              <w:spacing w:before="40" w:after="80" w:line="276" w:lineRule="auto"/>
              <w:jc w:val="right"/>
            </w:pPr>
            <w:r w:rsidRPr="008B2F8A">
              <w:t xml:space="preserve"> 34 </w:t>
            </w:r>
          </w:p>
        </w:tc>
        <w:tc>
          <w:tcPr>
            <w:tcW w:w="994" w:type="dxa"/>
            <w:noWrap/>
            <w:hideMark/>
          </w:tcPr>
          <w:p w14:paraId="56E3C20E" w14:textId="77777777" w:rsidR="00E47AB8" w:rsidRPr="008B2F8A" w:rsidRDefault="00E47AB8" w:rsidP="00422306">
            <w:pPr>
              <w:pStyle w:val="TableText0"/>
              <w:keepNext w:val="0"/>
              <w:spacing w:before="40" w:after="80" w:line="276" w:lineRule="auto"/>
              <w:jc w:val="right"/>
            </w:pPr>
            <w:r w:rsidRPr="008B2F8A">
              <w:t xml:space="preserve"> 52 </w:t>
            </w:r>
          </w:p>
        </w:tc>
        <w:tc>
          <w:tcPr>
            <w:tcW w:w="994" w:type="dxa"/>
            <w:noWrap/>
            <w:hideMark/>
          </w:tcPr>
          <w:p w14:paraId="7A9871F1" w14:textId="77777777" w:rsidR="00E47AB8" w:rsidRPr="008B2F8A" w:rsidRDefault="00E47AB8" w:rsidP="00422306">
            <w:pPr>
              <w:pStyle w:val="TableText0"/>
              <w:keepNext w:val="0"/>
              <w:spacing w:before="40" w:after="80" w:line="276" w:lineRule="auto"/>
              <w:jc w:val="right"/>
            </w:pPr>
            <w:r w:rsidRPr="008B2F8A">
              <w:t xml:space="preserve"> 71 </w:t>
            </w:r>
          </w:p>
        </w:tc>
        <w:tc>
          <w:tcPr>
            <w:tcW w:w="994" w:type="dxa"/>
            <w:noWrap/>
            <w:hideMark/>
          </w:tcPr>
          <w:p w14:paraId="4558291B" w14:textId="77777777" w:rsidR="00E47AB8" w:rsidRPr="008B2F8A" w:rsidRDefault="00E47AB8" w:rsidP="00422306">
            <w:pPr>
              <w:pStyle w:val="TableText0"/>
              <w:keepNext w:val="0"/>
              <w:spacing w:before="40" w:after="80" w:line="276" w:lineRule="auto"/>
              <w:jc w:val="right"/>
            </w:pPr>
            <w:r w:rsidRPr="008B2F8A">
              <w:t xml:space="preserve"> 90 </w:t>
            </w:r>
          </w:p>
        </w:tc>
        <w:tc>
          <w:tcPr>
            <w:tcW w:w="1008" w:type="dxa"/>
            <w:noWrap/>
            <w:hideMark/>
          </w:tcPr>
          <w:p w14:paraId="622DC2B4" w14:textId="77777777" w:rsidR="00E47AB8" w:rsidRPr="008B2F8A" w:rsidRDefault="00E47AB8" w:rsidP="00422306">
            <w:pPr>
              <w:pStyle w:val="TableText0"/>
              <w:keepNext w:val="0"/>
              <w:spacing w:before="40" w:after="80" w:line="276" w:lineRule="auto"/>
              <w:jc w:val="right"/>
            </w:pPr>
            <w:r w:rsidRPr="008B2F8A">
              <w:t xml:space="preserve"> 100 </w:t>
            </w:r>
          </w:p>
        </w:tc>
      </w:tr>
      <w:tr w:rsidR="00E47AB8" w:rsidRPr="008B2F8A" w14:paraId="4646AFAE" w14:textId="77777777" w:rsidTr="00D2496B">
        <w:tc>
          <w:tcPr>
            <w:tcW w:w="4146" w:type="dxa"/>
            <w:noWrap/>
            <w:hideMark/>
          </w:tcPr>
          <w:p w14:paraId="01175ECE" w14:textId="77777777" w:rsidR="00E47AB8" w:rsidRPr="008B2F8A" w:rsidRDefault="00E47AB8" w:rsidP="00422306">
            <w:pPr>
              <w:pStyle w:val="TableText0"/>
              <w:keepNext w:val="0"/>
              <w:spacing w:before="40" w:after="80" w:line="276" w:lineRule="auto"/>
            </w:pPr>
            <w:r w:rsidRPr="008B2F8A">
              <w:t>Number of additional true-positive findings with MRI</w:t>
            </w:r>
          </w:p>
        </w:tc>
        <w:tc>
          <w:tcPr>
            <w:tcW w:w="994" w:type="dxa"/>
            <w:noWrap/>
            <w:hideMark/>
          </w:tcPr>
          <w:p w14:paraId="789CAB59" w14:textId="77777777" w:rsidR="00E47AB8" w:rsidRPr="008B2F8A" w:rsidRDefault="00E47AB8" w:rsidP="00422306">
            <w:pPr>
              <w:pStyle w:val="TableText0"/>
              <w:keepNext w:val="0"/>
              <w:spacing w:before="40" w:after="80" w:line="276" w:lineRule="auto"/>
              <w:jc w:val="right"/>
            </w:pPr>
            <w:r w:rsidRPr="008B2F8A">
              <w:t xml:space="preserve"> 34 </w:t>
            </w:r>
          </w:p>
        </w:tc>
        <w:tc>
          <w:tcPr>
            <w:tcW w:w="994" w:type="dxa"/>
            <w:noWrap/>
            <w:hideMark/>
          </w:tcPr>
          <w:p w14:paraId="2D665D1C" w14:textId="77777777" w:rsidR="00E47AB8" w:rsidRPr="008B2F8A" w:rsidRDefault="00E47AB8" w:rsidP="00422306">
            <w:pPr>
              <w:pStyle w:val="TableText0"/>
              <w:keepNext w:val="0"/>
              <w:spacing w:before="40" w:after="80" w:line="276" w:lineRule="auto"/>
              <w:jc w:val="right"/>
            </w:pPr>
            <w:r w:rsidRPr="008B2F8A">
              <w:t xml:space="preserve"> 52 </w:t>
            </w:r>
          </w:p>
        </w:tc>
        <w:tc>
          <w:tcPr>
            <w:tcW w:w="994" w:type="dxa"/>
            <w:noWrap/>
            <w:hideMark/>
          </w:tcPr>
          <w:p w14:paraId="4B0ED037" w14:textId="77777777" w:rsidR="00E47AB8" w:rsidRPr="008B2F8A" w:rsidRDefault="00E47AB8" w:rsidP="00422306">
            <w:pPr>
              <w:pStyle w:val="TableText0"/>
              <w:keepNext w:val="0"/>
              <w:spacing w:before="40" w:after="80" w:line="276" w:lineRule="auto"/>
              <w:jc w:val="right"/>
            </w:pPr>
            <w:r w:rsidRPr="008B2F8A">
              <w:t xml:space="preserve"> 71 </w:t>
            </w:r>
          </w:p>
        </w:tc>
        <w:tc>
          <w:tcPr>
            <w:tcW w:w="994" w:type="dxa"/>
            <w:noWrap/>
            <w:hideMark/>
          </w:tcPr>
          <w:p w14:paraId="1256AE0B" w14:textId="77777777" w:rsidR="00E47AB8" w:rsidRPr="008B2F8A" w:rsidRDefault="00E47AB8" w:rsidP="00422306">
            <w:pPr>
              <w:pStyle w:val="TableText0"/>
              <w:keepNext w:val="0"/>
              <w:spacing w:before="40" w:after="80" w:line="276" w:lineRule="auto"/>
              <w:jc w:val="right"/>
            </w:pPr>
            <w:r w:rsidRPr="008B2F8A">
              <w:t xml:space="preserve"> 90 </w:t>
            </w:r>
          </w:p>
        </w:tc>
        <w:tc>
          <w:tcPr>
            <w:tcW w:w="1008" w:type="dxa"/>
            <w:noWrap/>
            <w:hideMark/>
          </w:tcPr>
          <w:p w14:paraId="225F8A3B" w14:textId="77777777" w:rsidR="00E47AB8" w:rsidRPr="008B2F8A" w:rsidRDefault="00E47AB8" w:rsidP="00422306">
            <w:pPr>
              <w:pStyle w:val="TableText0"/>
              <w:keepNext w:val="0"/>
              <w:spacing w:before="40" w:after="80" w:line="276" w:lineRule="auto"/>
              <w:jc w:val="right"/>
            </w:pPr>
            <w:r w:rsidRPr="008B2F8A">
              <w:t xml:space="preserve"> 100 </w:t>
            </w:r>
          </w:p>
        </w:tc>
      </w:tr>
      <w:tr w:rsidR="00E47AB8" w:rsidRPr="008B2F8A" w14:paraId="0BDC41D4" w14:textId="77777777" w:rsidTr="00D2496B">
        <w:tc>
          <w:tcPr>
            <w:tcW w:w="4146" w:type="dxa"/>
            <w:noWrap/>
            <w:hideMark/>
          </w:tcPr>
          <w:p w14:paraId="20CE9389" w14:textId="77777777" w:rsidR="00E47AB8" w:rsidRPr="008B2F8A" w:rsidRDefault="00E47AB8" w:rsidP="00422306">
            <w:pPr>
              <w:pStyle w:val="TableText0"/>
              <w:keepNext w:val="0"/>
              <w:spacing w:before="40" w:after="80" w:line="276" w:lineRule="auto"/>
            </w:pPr>
            <w:r w:rsidRPr="008B2F8A">
              <w:t>Number of false-positive findings with MRI</w:t>
            </w:r>
          </w:p>
        </w:tc>
        <w:tc>
          <w:tcPr>
            <w:tcW w:w="994" w:type="dxa"/>
            <w:noWrap/>
            <w:hideMark/>
          </w:tcPr>
          <w:p w14:paraId="2FFEA2C5" w14:textId="77777777" w:rsidR="00E47AB8" w:rsidRPr="008B2F8A" w:rsidRDefault="00E47AB8" w:rsidP="00422306">
            <w:pPr>
              <w:pStyle w:val="TableText0"/>
              <w:keepNext w:val="0"/>
              <w:spacing w:before="40" w:after="80" w:line="276" w:lineRule="auto"/>
              <w:jc w:val="right"/>
            </w:pPr>
            <w:r w:rsidRPr="008B2F8A">
              <w:t xml:space="preserve"> 1,249 </w:t>
            </w:r>
          </w:p>
        </w:tc>
        <w:tc>
          <w:tcPr>
            <w:tcW w:w="994" w:type="dxa"/>
            <w:noWrap/>
            <w:hideMark/>
          </w:tcPr>
          <w:p w14:paraId="56B73BA7" w14:textId="77777777" w:rsidR="00E47AB8" w:rsidRPr="008B2F8A" w:rsidRDefault="00E47AB8" w:rsidP="00422306">
            <w:pPr>
              <w:pStyle w:val="TableText0"/>
              <w:keepNext w:val="0"/>
              <w:spacing w:before="40" w:after="80" w:line="276" w:lineRule="auto"/>
              <w:jc w:val="right"/>
            </w:pPr>
            <w:r w:rsidRPr="008B2F8A">
              <w:t xml:space="preserve"> 1,906 </w:t>
            </w:r>
          </w:p>
        </w:tc>
        <w:tc>
          <w:tcPr>
            <w:tcW w:w="994" w:type="dxa"/>
            <w:noWrap/>
            <w:hideMark/>
          </w:tcPr>
          <w:p w14:paraId="4E785893" w14:textId="77777777" w:rsidR="00E47AB8" w:rsidRPr="008B2F8A" w:rsidRDefault="00E47AB8" w:rsidP="00422306">
            <w:pPr>
              <w:pStyle w:val="TableText0"/>
              <w:keepNext w:val="0"/>
              <w:spacing w:before="40" w:after="80" w:line="276" w:lineRule="auto"/>
              <w:jc w:val="right"/>
            </w:pPr>
            <w:r w:rsidRPr="008B2F8A">
              <w:t xml:space="preserve"> 2,586 </w:t>
            </w:r>
          </w:p>
        </w:tc>
        <w:tc>
          <w:tcPr>
            <w:tcW w:w="994" w:type="dxa"/>
            <w:noWrap/>
            <w:hideMark/>
          </w:tcPr>
          <w:p w14:paraId="79EAD03F" w14:textId="77777777" w:rsidR="00E47AB8" w:rsidRPr="008B2F8A" w:rsidRDefault="00E47AB8" w:rsidP="00422306">
            <w:pPr>
              <w:pStyle w:val="TableText0"/>
              <w:keepNext w:val="0"/>
              <w:spacing w:before="40" w:after="80" w:line="276" w:lineRule="auto"/>
              <w:jc w:val="right"/>
            </w:pPr>
            <w:r w:rsidRPr="008B2F8A">
              <w:t xml:space="preserve"> 3,287 </w:t>
            </w:r>
          </w:p>
        </w:tc>
        <w:tc>
          <w:tcPr>
            <w:tcW w:w="1008" w:type="dxa"/>
            <w:noWrap/>
            <w:hideMark/>
          </w:tcPr>
          <w:p w14:paraId="404400B7" w14:textId="77777777" w:rsidR="00E47AB8" w:rsidRPr="008B2F8A" w:rsidRDefault="00E47AB8" w:rsidP="00422306">
            <w:pPr>
              <w:pStyle w:val="TableText0"/>
              <w:keepNext w:val="0"/>
              <w:spacing w:before="40" w:after="80" w:line="276" w:lineRule="auto"/>
              <w:jc w:val="right"/>
            </w:pPr>
            <w:r w:rsidRPr="008B2F8A">
              <w:t xml:space="preserve"> 3,649 </w:t>
            </w:r>
          </w:p>
        </w:tc>
      </w:tr>
      <w:tr w:rsidR="00E47AB8" w:rsidRPr="008B2F8A" w14:paraId="0008B8C0" w14:textId="77777777" w:rsidTr="00D2496B">
        <w:tc>
          <w:tcPr>
            <w:tcW w:w="4146" w:type="dxa"/>
            <w:noWrap/>
            <w:hideMark/>
          </w:tcPr>
          <w:p w14:paraId="1BD61139" w14:textId="77777777" w:rsidR="00E47AB8" w:rsidRPr="008B2F8A" w:rsidRDefault="00E47AB8" w:rsidP="00422306">
            <w:pPr>
              <w:pStyle w:val="TableText0"/>
              <w:keepNext w:val="0"/>
              <w:spacing w:before="40" w:after="80" w:line="276" w:lineRule="auto"/>
            </w:pPr>
            <w:r w:rsidRPr="008B2F8A">
              <w:t>Number of false-positive findings with MAM</w:t>
            </w:r>
          </w:p>
        </w:tc>
        <w:tc>
          <w:tcPr>
            <w:tcW w:w="994" w:type="dxa"/>
            <w:noWrap/>
            <w:hideMark/>
          </w:tcPr>
          <w:p w14:paraId="7E5F7BD0" w14:textId="77777777" w:rsidR="00E47AB8" w:rsidRPr="008B2F8A" w:rsidRDefault="00E47AB8" w:rsidP="00422306">
            <w:pPr>
              <w:pStyle w:val="TableText0"/>
              <w:keepNext w:val="0"/>
              <w:spacing w:before="40" w:after="80" w:line="276" w:lineRule="auto"/>
              <w:jc w:val="right"/>
            </w:pPr>
            <w:r w:rsidRPr="008B2F8A">
              <w:t xml:space="preserve"> 297 </w:t>
            </w:r>
          </w:p>
        </w:tc>
        <w:tc>
          <w:tcPr>
            <w:tcW w:w="994" w:type="dxa"/>
            <w:noWrap/>
            <w:hideMark/>
          </w:tcPr>
          <w:p w14:paraId="301DDF09" w14:textId="77777777" w:rsidR="00E47AB8" w:rsidRPr="008B2F8A" w:rsidRDefault="00E47AB8" w:rsidP="00422306">
            <w:pPr>
              <w:pStyle w:val="TableText0"/>
              <w:keepNext w:val="0"/>
              <w:spacing w:before="40" w:after="80" w:line="276" w:lineRule="auto"/>
              <w:jc w:val="right"/>
            </w:pPr>
            <w:r w:rsidRPr="008B2F8A">
              <w:t xml:space="preserve"> 454 </w:t>
            </w:r>
          </w:p>
        </w:tc>
        <w:tc>
          <w:tcPr>
            <w:tcW w:w="994" w:type="dxa"/>
            <w:noWrap/>
            <w:hideMark/>
          </w:tcPr>
          <w:p w14:paraId="05023B82" w14:textId="77777777" w:rsidR="00E47AB8" w:rsidRPr="008B2F8A" w:rsidRDefault="00E47AB8" w:rsidP="00422306">
            <w:pPr>
              <w:pStyle w:val="TableText0"/>
              <w:keepNext w:val="0"/>
              <w:spacing w:before="40" w:after="80" w:line="276" w:lineRule="auto"/>
              <w:jc w:val="right"/>
            </w:pPr>
            <w:r w:rsidRPr="008B2F8A">
              <w:t xml:space="preserve"> 616 </w:t>
            </w:r>
          </w:p>
        </w:tc>
        <w:tc>
          <w:tcPr>
            <w:tcW w:w="994" w:type="dxa"/>
            <w:noWrap/>
            <w:hideMark/>
          </w:tcPr>
          <w:p w14:paraId="41B19888" w14:textId="77777777" w:rsidR="00E47AB8" w:rsidRPr="008B2F8A" w:rsidRDefault="00E47AB8" w:rsidP="00422306">
            <w:pPr>
              <w:pStyle w:val="TableText0"/>
              <w:keepNext w:val="0"/>
              <w:spacing w:before="40" w:after="80" w:line="276" w:lineRule="auto"/>
              <w:jc w:val="right"/>
            </w:pPr>
            <w:r w:rsidRPr="008B2F8A">
              <w:t xml:space="preserve"> 783 </w:t>
            </w:r>
          </w:p>
        </w:tc>
        <w:tc>
          <w:tcPr>
            <w:tcW w:w="1008" w:type="dxa"/>
            <w:noWrap/>
            <w:hideMark/>
          </w:tcPr>
          <w:p w14:paraId="55357CFC" w14:textId="77777777" w:rsidR="00E47AB8" w:rsidRPr="008B2F8A" w:rsidRDefault="00E47AB8" w:rsidP="00422306">
            <w:pPr>
              <w:pStyle w:val="TableText0"/>
              <w:keepNext w:val="0"/>
              <w:spacing w:before="40" w:after="80" w:line="276" w:lineRule="auto"/>
              <w:jc w:val="right"/>
            </w:pPr>
            <w:r w:rsidRPr="008B2F8A">
              <w:t xml:space="preserve"> 869 </w:t>
            </w:r>
          </w:p>
        </w:tc>
      </w:tr>
      <w:tr w:rsidR="00E47AB8" w:rsidRPr="008B2F8A" w14:paraId="41DF09B4" w14:textId="77777777" w:rsidTr="00D2496B">
        <w:tc>
          <w:tcPr>
            <w:tcW w:w="4146" w:type="dxa"/>
            <w:noWrap/>
            <w:hideMark/>
          </w:tcPr>
          <w:p w14:paraId="69A4521F" w14:textId="77777777" w:rsidR="00E47AB8" w:rsidRPr="008B2F8A" w:rsidRDefault="00E47AB8" w:rsidP="00422306">
            <w:pPr>
              <w:pStyle w:val="TableText0"/>
              <w:keepNext w:val="0"/>
              <w:spacing w:before="40" w:after="80" w:line="276" w:lineRule="auto"/>
            </w:pPr>
            <w:r w:rsidRPr="008B2F8A">
              <w:t>Number of additional false-positive findings with MRI</w:t>
            </w:r>
          </w:p>
        </w:tc>
        <w:tc>
          <w:tcPr>
            <w:tcW w:w="994" w:type="dxa"/>
            <w:noWrap/>
            <w:hideMark/>
          </w:tcPr>
          <w:p w14:paraId="5FEF6E31" w14:textId="77777777" w:rsidR="00E47AB8" w:rsidRPr="008B2F8A" w:rsidRDefault="00E47AB8" w:rsidP="00422306">
            <w:pPr>
              <w:pStyle w:val="TableText0"/>
              <w:keepNext w:val="0"/>
              <w:spacing w:before="40" w:after="80" w:line="276" w:lineRule="auto"/>
              <w:jc w:val="right"/>
            </w:pPr>
            <w:r w:rsidRPr="008B2F8A">
              <w:t xml:space="preserve"> 952 </w:t>
            </w:r>
          </w:p>
        </w:tc>
        <w:tc>
          <w:tcPr>
            <w:tcW w:w="994" w:type="dxa"/>
            <w:noWrap/>
            <w:hideMark/>
          </w:tcPr>
          <w:p w14:paraId="7F6329BC" w14:textId="77777777" w:rsidR="00E47AB8" w:rsidRPr="008B2F8A" w:rsidRDefault="00E47AB8" w:rsidP="00422306">
            <w:pPr>
              <w:pStyle w:val="TableText0"/>
              <w:keepNext w:val="0"/>
              <w:spacing w:before="40" w:after="80" w:line="276" w:lineRule="auto"/>
              <w:jc w:val="right"/>
            </w:pPr>
            <w:r w:rsidRPr="008B2F8A">
              <w:t xml:space="preserve"> 1,453 </w:t>
            </w:r>
          </w:p>
        </w:tc>
        <w:tc>
          <w:tcPr>
            <w:tcW w:w="994" w:type="dxa"/>
            <w:noWrap/>
            <w:hideMark/>
          </w:tcPr>
          <w:p w14:paraId="1A450CA2" w14:textId="77777777" w:rsidR="00E47AB8" w:rsidRPr="008B2F8A" w:rsidRDefault="00E47AB8" w:rsidP="00422306">
            <w:pPr>
              <w:pStyle w:val="TableText0"/>
              <w:keepNext w:val="0"/>
              <w:spacing w:before="40" w:after="80" w:line="276" w:lineRule="auto"/>
              <w:jc w:val="right"/>
            </w:pPr>
            <w:r w:rsidRPr="008B2F8A">
              <w:t xml:space="preserve"> 1,970 </w:t>
            </w:r>
          </w:p>
        </w:tc>
        <w:tc>
          <w:tcPr>
            <w:tcW w:w="994" w:type="dxa"/>
            <w:noWrap/>
            <w:hideMark/>
          </w:tcPr>
          <w:p w14:paraId="660255BA" w14:textId="77777777" w:rsidR="00E47AB8" w:rsidRPr="008B2F8A" w:rsidRDefault="00E47AB8" w:rsidP="00422306">
            <w:pPr>
              <w:pStyle w:val="TableText0"/>
              <w:keepNext w:val="0"/>
              <w:spacing w:before="40" w:after="80" w:line="276" w:lineRule="auto"/>
              <w:jc w:val="right"/>
            </w:pPr>
            <w:r w:rsidRPr="008B2F8A">
              <w:t xml:space="preserve"> 2,504 </w:t>
            </w:r>
          </w:p>
        </w:tc>
        <w:tc>
          <w:tcPr>
            <w:tcW w:w="1008" w:type="dxa"/>
            <w:noWrap/>
            <w:hideMark/>
          </w:tcPr>
          <w:p w14:paraId="029FA73A" w14:textId="77777777" w:rsidR="00E47AB8" w:rsidRPr="008B2F8A" w:rsidRDefault="00E47AB8" w:rsidP="00422306">
            <w:pPr>
              <w:pStyle w:val="TableText0"/>
              <w:keepNext w:val="0"/>
              <w:spacing w:before="40" w:after="80" w:line="276" w:lineRule="auto"/>
              <w:jc w:val="right"/>
            </w:pPr>
            <w:r w:rsidRPr="008B2F8A">
              <w:t xml:space="preserve"> 2,780 </w:t>
            </w:r>
          </w:p>
        </w:tc>
      </w:tr>
      <w:tr w:rsidR="00E47AB8" w:rsidRPr="008B2F8A" w14:paraId="4030845E" w14:textId="77777777" w:rsidTr="00D2496B">
        <w:tc>
          <w:tcPr>
            <w:tcW w:w="4146" w:type="dxa"/>
            <w:noWrap/>
            <w:hideMark/>
          </w:tcPr>
          <w:p w14:paraId="2484099F" w14:textId="77777777" w:rsidR="00E47AB8" w:rsidRPr="008B2F8A" w:rsidRDefault="00E47AB8" w:rsidP="00422306">
            <w:pPr>
              <w:pStyle w:val="TableText0"/>
              <w:keepNext w:val="0"/>
              <w:spacing w:before="40" w:after="80" w:line="276" w:lineRule="auto"/>
            </w:pPr>
            <w:r w:rsidRPr="008B2F8A">
              <w:t>Number of additional positive findings with MRI</w:t>
            </w:r>
          </w:p>
        </w:tc>
        <w:tc>
          <w:tcPr>
            <w:tcW w:w="994" w:type="dxa"/>
            <w:noWrap/>
            <w:hideMark/>
          </w:tcPr>
          <w:p w14:paraId="7871F153" w14:textId="77777777" w:rsidR="00E47AB8" w:rsidRPr="008B2F8A" w:rsidRDefault="00E47AB8" w:rsidP="00422306">
            <w:pPr>
              <w:pStyle w:val="TableText0"/>
              <w:keepNext w:val="0"/>
              <w:spacing w:before="40" w:after="80" w:line="276" w:lineRule="auto"/>
              <w:jc w:val="right"/>
            </w:pPr>
            <w:r w:rsidRPr="008B2F8A">
              <w:t xml:space="preserve"> 986 </w:t>
            </w:r>
          </w:p>
        </w:tc>
        <w:tc>
          <w:tcPr>
            <w:tcW w:w="994" w:type="dxa"/>
            <w:noWrap/>
            <w:hideMark/>
          </w:tcPr>
          <w:p w14:paraId="4643F1D1" w14:textId="77777777" w:rsidR="00E47AB8" w:rsidRPr="008B2F8A" w:rsidRDefault="00E47AB8" w:rsidP="00422306">
            <w:pPr>
              <w:pStyle w:val="TableText0"/>
              <w:keepNext w:val="0"/>
              <w:spacing w:before="40" w:after="80" w:line="276" w:lineRule="auto"/>
              <w:jc w:val="right"/>
            </w:pPr>
            <w:r w:rsidRPr="008B2F8A">
              <w:t xml:space="preserve"> 1,505 </w:t>
            </w:r>
          </w:p>
        </w:tc>
        <w:tc>
          <w:tcPr>
            <w:tcW w:w="994" w:type="dxa"/>
            <w:noWrap/>
            <w:hideMark/>
          </w:tcPr>
          <w:p w14:paraId="37A0B1B9" w14:textId="77777777" w:rsidR="00E47AB8" w:rsidRPr="008B2F8A" w:rsidRDefault="00E47AB8" w:rsidP="00422306">
            <w:pPr>
              <w:pStyle w:val="TableText0"/>
              <w:keepNext w:val="0"/>
              <w:spacing w:before="40" w:after="80" w:line="276" w:lineRule="auto"/>
              <w:jc w:val="right"/>
            </w:pPr>
            <w:r w:rsidRPr="008B2F8A">
              <w:t xml:space="preserve"> 2,041 </w:t>
            </w:r>
          </w:p>
        </w:tc>
        <w:tc>
          <w:tcPr>
            <w:tcW w:w="994" w:type="dxa"/>
            <w:noWrap/>
            <w:hideMark/>
          </w:tcPr>
          <w:p w14:paraId="2ACED509" w14:textId="77777777" w:rsidR="00E47AB8" w:rsidRPr="008B2F8A" w:rsidRDefault="00E47AB8" w:rsidP="00422306">
            <w:pPr>
              <w:pStyle w:val="TableText0"/>
              <w:keepNext w:val="0"/>
              <w:spacing w:before="40" w:after="80" w:line="276" w:lineRule="auto"/>
              <w:jc w:val="right"/>
            </w:pPr>
            <w:r w:rsidRPr="008B2F8A">
              <w:t xml:space="preserve"> 2,595 </w:t>
            </w:r>
          </w:p>
        </w:tc>
        <w:tc>
          <w:tcPr>
            <w:tcW w:w="1008" w:type="dxa"/>
            <w:noWrap/>
            <w:hideMark/>
          </w:tcPr>
          <w:p w14:paraId="5BCF710A" w14:textId="77777777" w:rsidR="00E47AB8" w:rsidRPr="008B2F8A" w:rsidRDefault="00E47AB8" w:rsidP="00422306">
            <w:pPr>
              <w:pStyle w:val="TableText0"/>
              <w:keepNext w:val="0"/>
              <w:spacing w:before="40" w:after="80" w:line="276" w:lineRule="auto"/>
              <w:jc w:val="right"/>
            </w:pPr>
            <w:r w:rsidRPr="008B2F8A">
              <w:t xml:space="preserve"> 2,880 </w:t>
            </w:r>
          </w:p>
        </w:tc>
      </w:tr>
    </w:tbl>
    <w:p w14:paraId="28826141" w14:textId="63255BCD" w:rsidR="00E47AB8" w:rsidRDefault="00E47AB8" w:rsidP="00F56FD1">
      <w:pPr>
        <w:pStyle w:val="TableNotesFirst"/>
      </w:pPr>
      <w:r w:rsidRPr="008B2F8A">
        <w:t>FY = financial year; MAM = mammography; MRI = magnetic resonance imaging.</w:t>
      </w:r>
      <w:r w:rsidR="00F56FD1">
        <w:t xml:space="preserve"> </w:t>
      </w:r>
      <w:r w:rsidRPr="008B2F8A">
        <w:t>Note: Rounding has been applied.</w:t>
      </w:r>
    </w:p>
    <w:p w14:paraId="2B3FBF0F" w14:textId="77777777" w:rsidR="00F56FD1" w:rsidRPr="008B2F8A" w:rsidRDefault="00F56FD1" w:rsidP="00F56FD1">
      <w:pPr>
        <w:pStyle w:val="TableNotesFirst"/>
      </w:pPr>
    </w:p>
    <w:p w14:paraId="396252B7" w14:textId="77777777" w:rsidR="00E47AB8" w:rsidRPr="008B2F8A" w:rsidRDefault="00E47AB8" w:rsidP="00422306">
      <w:pPr>
        <w:pStyle w:val="Caption"/>
      </w:pPr>
      <w:r w:rsidRPr="008B2F8A">
        <w:t>Women with a prior history of DCIS or LCIS.</w:t>
      </w:r>
    </w:p>
    <w:tbl>
      <w:tblPr>
        <w:tblStyle w:val="TableGrid"/>
        <w:tblW w:w="9070" w:type="dxa"/>
        <w:tblCellMar>
          <w:left w:w="28" w:type="dxa"/>
          <w:right w:w="28" w:type="dxa"/>
        </w:tblCellMar>
        <w:tblLook w:val="04A0" w:firstRow="1" w:lastRow="0" w:firstColumn="1" w:lastColumn="0" w:noHBand="0" w:noVBand="1"/>
        <w:tblCaption w:val="Women with a prior history of DCIS or LCIS."/>
      </w:tblPr>
      <w:tblGrid>
        <w:gridCol w:w="4186"/>
        <w:gridCol w:w="988"/>
        <w:gridCol w:w="988"/>
        <w:gridCol w:w="988"/>
        <w:gridCol w:w="988"/>
        <w:gridCol w:w="988"/>
      </w:tblGrid>
      <w:tr w:rsidR="00E47AB8" w:rsidRPr="008B2F8A" w14:paraId="0B248B6F" w14:textId="77777777" w:rsidTr="00D2496B">
        <w:trPr>
          <w:tblHeader/>
        </w:trPr>
        <w:tc>
          <w:tcPr>
            <w:tcW w:w="4186" w:type="dxa"/>
            <w:noWrap/>
            <w:hideMark/>
          </w:tcPr>
          <w:p w14:paraId="0C0BF6B3" w14:textId="77777777" w:rsidR="00E47AB8" w:rsidRPr="008B2F8A" w:rsidRDefault="00E47AB8" w:rsidP="00422306">
            <w:pPr>
              <w:pStyle w:val="TableText0"/>
              <w:spacing w:before="40" w:after="80" w:line="276" w:lineRule="auto"/>
              <w:rPr>
                <w:b/>
              </w:rPr>
            </w:pPr>
            <w:r w:rsidRPr="008B2F8A">
              <w:rPr>
                <w:b/>
              </w:rPr>
              <w:t>Population</w:t>
            </w:r>
          </w:p>
        </w:tc>
        <w:tc>
          <w:tcPr>
            <w:tcW w:w="988" w:type="dxa"/>
            <w:noWrap/>
            <w:hideMark/>
          </w:tcPr>
          <w:p w14:paraId="4203D7B1" w14:textId="77777777" w:rsidR="00E47AB8" w:rsidRPr="008B2F8A" w:rsidRDefault="00E47AB8" w:rsidP="00422306">
            <w:pPr>
              <w:pStyle w:val="TableText0"/>
              <w:spacing w:before="40" w:after="80" w:line="276" w:lineRule="auto"/>
              <w:jc w:val="center"/>
              <w:rPr>
                <w:b/>
              </w:rPr>
            </w:pPr>
            <w:r w:rsidRPr="008B2F8A">
              <w:rPr>
                <w:b/>
              </w:rPr>
              <w:t>FY 2015</w:t>
            </w:r>
          </w:p>
        </w:tc>
        <w:tc>
          <w:tcPr>
            <w:tcW w:w="988" w:type="dxa"/>
            <w:noWrap/>
            <w:hideMark/>
          </w:tcPr>
          <w:p w14:paraId="287670A7" w14:textId="77777777" w:rsidR="00E47AB8" w:rsidRPr="008B2F8A" w:rsidRDefault="00E47AB8" w:rsidP="00422306">
            <w:pPr>
              <w:pStyle w:val="TableText0"/>
              <w:spacing w:before="40" w:after="80" w:line="276" w:lineRule="auto"/>
              <w:jc w:val="center"/>
              <w:rPr>
                <w:b/>
              </w:rPr>
            </w:pPr>
            <w:r w:rsidRPr="008B2F8A">
              <w:rPr>
                <w:b/>
              </w:rPr>
              <w:t>FY 2016</w:t>
            </w:r>
          </w:p>
        </w:tc>
        <w:tc>
          <w:tcPr>
            <w:tcW w:w="988" w:type="dxa"/>
            <w:noWrap/>
            <w:hideMark/>
          </w:tcPr>
          <w:p w14:paraId="62CC77DB" w14:textId="77777777" w:rsidR="00E47AB8" w:rsidRPr="008B2F8A" w:rsidRDefault="00E47AB8" w:rsidP="00422306">
            <w:pPr>
              <w:pStyle w:val="TableText0"/>
              <w:spacing w:before="40" w:after="80" w:line="276" w:lineRule="auto"/>
              <w:jc w:val="center"/>
              <w:rPr>
                <w:b/>
              </w:rPr>
            </w:pPr>
            <w:r w:rsidRPr="008B2F8A">
              <w:rPr>
                <w:b/>
              </w:rPr>
              <w:t>FY 2017</w:t>
            </w:r>
          </w:p>
        </w:tc>
        <w:tc>
          <w:tcPr>
            <w:tcW w:w="988" w:type="dxa"/>
            <w:noWrap/>
            <w:hideMark/>
          </w:tcPr>
          <w:p w14:paraId="591EE772" w14:textId="77777777" w:rsidR="00E47AB8" w:rsidRPr="008B2F8A" w:rsidRDefault="00E47AB8" w:rsidP="00422306">
            <w:pPr>
              <w:pStyle w:val="TableText0"/>
              <w:spacing w:before="40" w:after="80" w:line="276" w:lineRule="auto"/>
              <w:jc w:val="center"/>
              <w:rPr>
                <w:b/>
              </w:rPr>
            </w:pPr>
            <w:r w:rsidRPr="008B2F8A">
              <w:rPr>
                <w:b/>
              </w:rPr>
              <w:t>FY 2018</w:t>
            </w:r>
          </w:p>
        </w:tc>
        <w:tc>
          <w:tcPr>
            <w:tcW w:w="988" w:type="dxa"/>
            <w:noWrap/>
            <w:hideMark/>
          </w:tcPr>
          <w:p w14:paraId="11A1E6EB" w14:textId="77777777" w:rsidR="00E47AB8" w:rsidRPr="008B2F8A" w:rsidRDefault="00E47AB8" w:rsidP="00422306">
            <w:pPr>
              <w:pStyle w:val="TableText0"/>
              <w:spacing w:before="40" w:after="80" w:line="276" w:lineRule="auto"/>
              <w:jc w:val="center"/>
              <w:rPr>
                <w:b/>
              </w:rPr>
            </w:pPr>
            <w:r w:rsidRPr="008B2F8A">
              <w:rPr>
                <w:b/>
              </w:rPr>
              <w:t>FY 2019</w:t>
            </w:r>
          </w:p>
        </w:tc>
      </w:tr>
      <w:tr w:rsidR="00E47AB8" w:rsidRPr="008B2F8A" w14:paraId="69E89322" w14:textId="77777777" w:rsidTr="00D2496B">
        <w:tc>
          <w:tcPr>
            <w:tcW w:w="4186" w:type="dxa"/>
            <w:noWrap/>
            <w:hideMark/>
          </w:tcPr>
          <w:p w14:paraId="1405CE6F" w14:textId="77777777" w:rsidR="00E47AB8" w:rsidRPr="008B2F8A" w:rsidRDefault="00E47AB8" w:rsidP="00422306">
            <w:pPr>
              <w:pStyle w:val="TableText0"/>
              <w:spacing w:before="40" w:after="80" w:line="276" w:lineRule="auto"/>
            </w:pPr>
            <w:r w:rsidRPr="008B2F8A">
              <w:t>Number of women with a prior history of DCIS</w:t>
            </w:r>
          </w:p>
        </w:tc>
        <w:tc>
          <w:tcPr>
            <w:tcW w:w="988" w:type="dxa"/>
            <w:noWrap/>
            <w:hideMark/>
          </w:tcPr>
          <w:p w14:paraId="3DCD3923" w14:textId="77777777" w:rsidR="00E47AB8" w:rsidRPr="008B2F8A" w:rsidRDefault="00E47AB8" w:rsidP="00D2496B">
            <w:pPr>
              <w:pStyle w:val="TableText0"/>
              <w:spacing w:before="40" w:after="80"/>
              <w:ind w:right="112"/>
              <w:jc w:val="right"/>
            </w:pPr>
            <w:r w:rsidRPr="008B2F8A">
              <w:t xml:space="preserve"> 1,956 </w:t>
            </w:r>
          </w:p>
        </w:tc>
        <w:tc>
          <w:tcPr>
            <w:tcW w:w="988" w:type="dxa"/>
            <w:noWrap/>
            <w:hideMark/>
          </w:tcPr>
          <w:p w14:paraId="0515D221" w14:textId="77777777" w:rsidR="00E47AB8" w:rsidRPr="008B2F8A" w:rsidRDefault="00E47AB8" w:rsidP="00D2496B">
            <w:pPr>
              <w:pStyle w:val="TableText0"/>
              <w:spacing w:before="40" w:after="80"/>
              <w:ind w:right="112"/>
              <w:jc w:val="right"/>
            </w:pPr>
            <w:r w:rsidRPr="008B2F8A">
              <w:t xml:space="preserve"> 1,989 </w:t>
            </w:r>
          </w:p>
        </w:tc>
        <w:tc>
          <w:tcPr>
            <w:tcW w:w="988" w:type="dxa"/>
            <w:noWrap/>
            <w:hideMark/>
          </w:tcPr>
          <w:p w14:paraId="312AEA5F" w14:textId="77777777" w:rsidR="00E47AB8" w:rsidRPr="008B2F8A" w:rsidRDefault="00E47AB8" w:rsidP="00D2496B">
            <w:pPr>
              <w:pStyle w:val="TableText0"/>
              <w:spacing w:before="40" w:after="80"/>
              <w:ind w:right="112"/>
              <w:jc w:val="right"/>
            </w:pPr>
            <w:r w:rsidRPr="008B2F8A">
              <w:t xml:space="preserve"> 2,023 </w:t>
            </w:r>
          </w:p>
        </w:tc>
        <w:tc>
          <w:tcPr>
            <w:tcW w:w="988" w:type="dxa"/>
            <w:noWrap/>
            <w:hideMark/>
          </w:tcPr>
          <w:p w14:paraId="566E02B2" w14:textId="77777777" w:rsidR="00E47AB8" w:rsidRPr="008B2F8A" w:rsidRDefault="00E47AB8" w:rsidP="00D2496B">
            <w:pPr>
              <w:pStyle w:val="TableText0"/>
              <w:spacing w:before="40" w:after="80"/>
              <w:ind w:right="112"/>
              <w:jc w:val="right"/>
            </w:pPr>
            <w:r w:rsidRPr="008B2F8A">
              <w:t xml:space="preserve"> 2,057 </w:t>
            </w:r>
          </w:p>
        </w:tc>
        <w:tc>
          <w:tcPr>
            <w:tcW w:w="988" w:type="dxa"/>
            <w:noWrap/>
            <w:hideMark/>
          </w:tcPr>
          <w:p w14:paraId="556A4BBE" w14:textId="77777777" w:rsidR="00E47AB8" w:rsidRPr="008B2F8A" w:rsidRDefault="00E47AB8" w:rsidP="00D2496B">
            <w:pPr>
              <w:pStyle w:val="TableText0"/>
              <w:spacing w:before="40" w:after="80"/>
              <w:ind w:right="112"/>
              <w:jc w:val="right"/>
            </w:pPr>
            <w:r w:rsidRPr="008B2F8A">
              <w:t xml:space="preserve"> 2,092 </w:t>
            </w:r>
          </w:p>
        </w:tc>
      </w:tr>
      <w:tr w:rsidR="00E47AB8" w:rsidRPr="008B2F8A" w14:paraId="1E94B31A" w14:textId="77777777" w:rsidTr="00D2496B">
        <w:tc>
          <w:tcPr>
            <w:tcW w:w="4186" w:type="dxa"/>
            <w:noWrap/>
            <w:hideMark/>
          </w:tcPr>
          <w:p w14:paraId="1A617AC3" w14:textId="77777777" w:rsidR="00E47AB8" w:rsidRPr="008B2F8A" w:rsidRDefault="00E47AB8" w:rsidP="00422306">
            <w:pPr>
              <w:pStyle w:val="TableText0"/>
              <w:spacing w:before="40" w:after="80" w:line="276" w:lineRule="auto"/>
            </w:pPr>
            <w:r w:rsidRPr="008B2F8A">
              <w:t>Number of women with a prior history of LCIS</w:t>
            </w:r>
          </w:p>
        </w:tc>
        <w:tc>
          <w:tcPr>
            <w:tcW w:w="988" w:type="dxa"/>
            <w:noWrap/>
            <w:hideMark/>
          </w:tcPr>
          <w:p w14:paraId="28AF4489" w14:textId="77777777" w:rsidR="00E47AB8" w:rsidRPr="008B2F8A" w:rsidRDefault="00E47AB8" w:rsidP="00D2496B">
            <w:pPr>
              <w:pStyle w:val="TableText0"/>
              <w:spacing w:before="40" w:after="80"/>
              <w:ind w:right="112"/>
              <w:jc w:val="right"/>
            </w:pPr>
            <w:r w:rsidRPr="008B2F8A">
              <w:t xml:space="preserve"> 1,630 </w:t>
            </w:r>
          </w:p>
        </w:tc>
        <w:tc>
          <w:tcPr>
            <w:tcW w:w="988" w:type="dxa"/>
            <w:noWrap/>
            <w:hideMark/>
          </w:tcPr>
          <w:p w14:paraId="66E5105D" w14:textId="77777777" w:rsidR="00E47AB8" w:rsidRPr="008B2F8A" w:rsidRDefault="00E47AB8" w:rsidP="00D2496B">
            <w:pPr>
              <w:pStyle w:val="TableText0"/>
              <w:spacing w:before="40" w:after="80"/>
              <w:ind w:right="112"/>
              <w:jc w:val="right"/>
            </w:pPr>
            <w:r w:rsidRPr="008B2F8A">
              <w:t xml:space="preserve"> 1,658 </w:t>
            </w:r>
          </w:p>
        </w:tc>
        <w:tc>
          <w:tcPr>
            <w:tcW w:w="988" w:type="dxa"/>
            <w:noWrap/>
            <w:hideMark/>
          </w:tcPr>
          <w:p w14:paraId="7CB19C65" w14:textId="77777777" w:rsidR="00E47AB8" w:rsidRPr="008B2F8A" w:rsidRDefault="00E47AB8" w:rsidP="00D2496B">
            <w:pPr>
              <w:pStyle w:val="TableText0"/>
              <w:spacing w:before="40" w:after="80"/>
              <w:ind w:right="112"/>
              <w:jc w:val="right"/>
            </w:pPr>
            <w:r w:rsidRPr="008B2F8A">
              <w:t xml:space="preserve"> 1,686 </w:t>
            </w:r>
          </w:p>
        </w:tc>
        <w:tc>
          <w:tcPr>
            <w:tcW w:w="988" w:type="dxa"/>
            <w:noWrap/>
            <w:hideMark/>
          </w:tcPr>
          <w:p w14:paraId="44C9BC03" w14:textId="77777777" w:rsidR="00E47AB8" w:rsidRPr="008B2F8A" w:rsidRDefault="00E47AB8" w:rsidP="00D2496B">
            <w:pPr>
              <w:pStyle w:val="TableText0"/>
              <w:spacing w:before="40" w:after="80"/>
              <w:ind w:right="112"/>
              <w:jc w:val="right"/>
            </w:pPr>
            <w:r w:rsidRPr="008B2F8A">
              <w:t xml:space="preserve"> 1,715 </w:t>
            </w:r>
          </w:p>
        </w:tc>
        <w:tc>
          <w:tcPr>
            <w:tcW w:w="988" w:type="dxa"/>
            <w:noWrap/>
            <w:hideMark/>
          </w:tcPr>
          <w:p w14:paraId="0A3E9988" w14:textId="77777777" w:rsidR="00E47AB8" w:rsidRPr="008B2F8A" w:rsidRDefault="00E47AB8" w:rsidP="00D2496B">
            <w:pPr>
              <w:pStyle w:val="TableText0"/>
              <w:spacing w:before="40" w:after="80"/>
              <w:ind w:right="112"/>
              <w:jc w:val="right"/>
            </w:pPr>
            <w:r w:rsidRPr="008B2F8A">
              <w:t xml:space="preserve"> 1,744 </w:t>
            </w:r>
          </w:p>
        </w:tc>
      </w:tr>
      <w:tr w:rsidR="00E47AB8" w:rsidRPr="008B2F8A" w14:paraId="7019D06E" w14:textId="77777777" w:rsidTr="00D2496B">
        <w:tc>
          <w:tcPr>
            <w:tcW w:w="4186" w:type="dxa"/>
            <w:noWrap/>
            <w:hideMark/>
          </w:tcPr>
          <w:p w14:paraId="49A7A4DE" w14:textId="77777777" w:rsidR="00E47AB8" w:rsidRPr="008B2F8A" w:rsidRDefault="00E47AB8" w:rsidP="00422306">
            <w:pPr>
              <w:pStyle w:val="TableText0"/>
              <w:spacing w:before="40" w:after="80" w:line="276" w:lineRule="auto"/>
            </w:pPr>
            <w:r w:rsidRPr="008B2F8A">
              <w:t>Number of women with a prior history of DCIS or LCIS</w:t>
            </w:r>
          </w:p>
        </w:tc>
        <w:tc>
          <w:tcPr>
            <w:tcW w:w="988" w:type="dxa"/>
            <w:noWrap/>
            <w:hideMark/>
          </w:tcPr>
          <w:p w14:paraId="3F6CA9DF" w14:textId="77777777" w:rsidR="00E47AB8" w:rsidRPr="008B2F8A" w:rsidRDefault="00E47AB8" w:rsidP="00D2496B">
            <w:pPr>
              <w:pStyle w:val="TableText0"/>
              <w:spacing w:before="40" w:after="80"/>
              <w:ind w:right="112"/>
              <w:jc w:val="right"/>
            </w:pPr>
            <w:r w:rsidRPr="008B2F8A">
              <w:t xml:space="preserve"> 3,586 </w:t>
            </w:r>
          </w:p>
        </w:tc>
        <w:tc>
          <w:tcPr>
            <w:tcW w:w="988" w:type="dxa"/>
            <w:noWrap/>
            <w:hideMark/>
          </w:tcPr>
          <w:p w14:paraId="46BDA5F4" w14:textId="77777777" w:rsidR="00E47AB8" w:rsidRPr="008B2F8A" w:rsidRDefault="00E47AB8" w:rsidP="00D2496B">
            <w:pPr>
              <w:pStyle w:val="TableText0"/>
              <w:spacing w:before="40" w:after="80"/>
              <w:ind w:right="112"/>
              <w:jc w:val="right"/>
            </w:pPr>
            <w:r w:rsidRPr="008B2F8A">
              <w:t xml:space="preserve"> 3,647 </w:t>
            </w:r>
          </w:p>
        </w:tc>
        <w:tc>
          <w:tcPr>
            <w:tcW w:w="988" w:type="dxa"/>
            <w:noWrap/>
            <w:hideMark/>
          </w:tcPr>
          <w:p w14:paraId="74946897" w14:textId="77777777" w:rsidR="00E47AB8" w:rsidRPr="008B2F8A" w:rsidRDefault="00E47AB8" w:rsidP="00D2496B">
            <w:pPr>
              <w:pStyle w:val="TableText0"/>
              <w:spacing w:before="40" w:after="80"/>
              <w:ind w:right="112"/>
              <w:jc w:val="right"/>
            </w:pPr>
            <w:r w:rsidRPr="008B2F8A">
              <w:t xml:space="preserve"> 3,709 </w:t>
            </w:r>
          </w:p>
        </w:tc>
        <w:tc>
          <w:tcPr>
            <w:tcW w:w="988" w:type="dxa"/>
            <w:noWrap/>
            <w:hideMark/>
          </w:tcPr>
          <w:p w14:paraId="7C7D58B8" w14:textId="77777777" w:rsidR="00E47AB8" w:rsidRPr="008B2F8A" w:rsidRDefault="00E47AB8" w:rsidP="00D2496B">
            <w:pPr>
              <w:pStyle w:val="TableText0"/>
              <w:spacing w:before="40" w:after="80"/>
              <w:ind w:right="112"/>
              <w:jc w:val="right"/>
            </w:pPr>
            <w:r w:rsidRPr="008B2F8A">
              <w:t xml:space="preserve"> 3,772 </w:t>
            </w:r>
          </w:p>
        </w:tc>
        <w:tc>
          <w:tcPr>
            <w:tcW w:w="988" w:type="dxa"/>
            <w:noWrap/>
            <w:hideMark/>
          </w:tcPr>
          <w:p w14:paraId="6FC19263" w14:textId="77777777" w:rsidR="00E47AB8" w:rsidRPr="008B2F8A" w:rsidRDefault="00E47AB8" w:rsidP="00D2496B">
            <w:pPr>
              <w:pStyle w:val="TableText0"/>
              <w:spacing w:before="40" w:after="80"/>
              <w:ind w:right="112"/>
              <w:jc w:val="right"/>
            </w:pPr>
            <w:r w:rsidRPr="008B2F8A">
              <w:t xml:space="preserve"> 3,836 </w:t>
            </w:r>
          </w:p>
        </w:tc>
      </w:tr>
      <w:tr w:rsidR="00E47AB8" w:rsidRPr="008B2F8A" w14:paraId="315BFF25" w14:textId="77777777" w:rsidTr="00D2496B">
        <w:tc>
          <w:tcPr>
            <w:tcW w:w="4186" w:type="dxa"/>
            <w:noWrap/>
            <w:hideMark/>
          </w:tcPr>
          <w:p w14:paraId="295DFE87" w14:textId="77777777" w:rsidR="00E47AB8" w:rsidRPr="008B2F8A" w:rsidRDefault="00E47AB8" w:rsidP="00422306">
            <w:pPr>
              <w:pStyle w:val="TableText0"/>
              <w:spacing w:before="40" w:after="80" w:line="276" w:lineRule="auto"/>
            </w:pPr>
            <w:r w:rsidRPr="008B2F8A">
              <w:t>Number who take up MRI screening</w:t>
            </w:r>
          </w:p>
        </w:tc>
        <w:tc>
          <w:tcPr>
            <w:tcW w:w="988" w:type="dxa"/>
            <w:noWrap/>
            <w:hideMark/>
          </w:tcPr>
          <w:p w14:paraId="15FA508B" w14:textId="77777777" w:rsidR="00E47AB8" w:rsidRPr="008B2F8A" w:rsidRDefault="00E47AB8" w:rsidP="00D2496B">
            <w:pPr>
              <w:pStyle w:val="TableText0"/>
              <w:spacing w:before="40" w:after="80"/>
              <w:ind w:right="112"/>
              <w:jc w:val="right"/>
            </w:pPr>
            <w:r w:rsidRPr="008B2F8A">
              <w:t xml:space="preserve"> 717 </w:t>
            </w:r>
          </w:p>
        </w:tc>
        <w:tc>
          <w:tcPr>
            <w:tcW w:w="988" w:type="dxa"/>
            <w:noWrap/>
            <w:hideMark/>
          </w:tcPr>
          <w:p w14:paraId="3EF0B39F" w14:textId="77777777" w:rsidR="00E47AB8" w:rsidRPr="008B2F8A" w:rsidRDefault="00E47AB8" w:rsidP="00D2496B">
            <w:pPr>
              <w:pStyle w:val="TableText0"/>
              <w:spacing w:before="40" w:after="80"/>
              <w:ind w:right="112"/>
              <w:jc w:val="right"/>
            </w:pPr>
            <w:r w:rsidRPr="008B2F8A">
              <w:t xml:space="preserve"> 1,094 </w:t>
            </w:r>
          </w:p>
        </w:tc>
        <w:tc>
          <w:tcPr>
            <w:tcW w:w="988" w:type="dxa"/>
            <w:noWrap/>
            <w:hideMark/>
          </w:tcPr>
          <w:p w14:paraId="3327AD69" w14:textId="77777777" w:rsidR="00E47AB8" w:rsidRPr="008B2F8A" w:rsidRDefault="00E47AB8" w:rsidP="00D2496B">
            <w:pPr>
              <w:pStyle w:val="TableText0"/>
              <w:spacing w:before="40" w:after="80"/>
              <w:ind w:right="112"/>
              <w:jc w:val="right"/>
            </w:pPr>
            <w:r w:rsidRPr="008B2F8A">
              <w:t xml:space="preserve"> 1,484 </w:t>
            </w:r>
          </w:p>
        </w:tc>
        <w:tc>
          <w:tcPr>
            <w:tcW w:w="988" w:type="dxa"/>
            <w:noWrap/>
            <w:hideMark/>
          </w:tcPr>
          <w:p w14:paraId="14345609" w14:textId="77777777" w:rsidR="00E47AB8" w:rsidRPr="008B2F8A" w:rsidRDefault="00E47AB8" w:rsidP="00D2496B">
            <w:pPr>
              <w:pStyle w:val="TableText0"/>
              <w:spacing w:before="40" w:after="80"/>
              <w:ind w:right="112"/>
              <w:jc w:val="right"/>
            </w:pPr>
            <w:r w:rsidRPr="008B2F8A">
              <w:t xml:space="preserve"> 1,886 </w:t>
            </w:r>
          </w:p>
        </w:tc>
        <w:tc>
          <w:tcPr>
            <w:tcW w:w="988" w:type="dxa"/>
            <w:noWrap/>
            <w:hideMark/>
          </w:tcPr>
          <w:p w14:paraId="36D55649" w14:textId="77777777" w:rsidR="00E47AB8" w:rsidRPr="008B2F8A" w:rsidRDefault="00E47AB8" w:rsidP="00D2496B">
            <w:pPr>
              <w:pStyle w:val="TableText0"/>
              <w:spacing w:before="40" w:after="80"/>
              <w:ind w:right="112"/>
              <w:jc w:val="right"/>
            </w:pPr>
            <w:r w:rsidRPr="008B2F8A">
              <w:t xml:space="preserve"> 2,095 </w:t>
            </w:r>
          </w:p>
        </w:tc>
      </w:tr>
      <w:tr w:rsidR="00E47AB8" w:rsidRPr="008B2F8A" w14:paraId="26892B6A" w14:textId="77777777" w:rsidTr="00D2496B">
        <w:tc>
          <w:tcPr>
            <w:tcW w:w="4186" w:type="dxa"/>
            <w:noWrap/>
            <w:hideMark/>
          </w:tcPr>
          <w:p w14:paraId="3157F301" w14:textId="77777777" w:rsidR="00E47AB8" w:rsidRPr="008B2F8A" w:rsidRDefault="00E47AB8" w:rsidP="00422306">
            <w:pPr>
              <w:pStyle w:val="TableText0"/>
              <w:spacing w:before="40" w:after="80" w:line="276" w:lineRule="auto"/>
            </w:pPr>
            <w:r w:rsidRPr="008B2F8A">
              <w:t>Number who have follow-up MRI</w:t>
            </w:r>
          </w:p>
        </w:tc>
        <w:tc>
          <w:tcPr>
            <w:tcW w:w="988" w:type="dxa"/>
            <w:noWrap/>
            <w:hideMark/>
          </w:tcPr>
          <w:p w14:paraId="1612288F" w14:textId="77777777" w:rsidR="00E47AB8" w:rsidRPr="008B2F8A" w:rsidRDefault="00E47AB8" w:rsidP="00D2496B">
            <w:pPr>
              <w:pStyle w:val="TableText0"/>
              <w:spacing w:before="40" w:after="80"/>
              <w:ind w:right="112"/>
              <w:jc w:val="right"/>
            </w:pPr>
            <w:r w:rsidRPr="008B2F8A">
              <w:t xml:space="preserve"> 53 </w:t>
            </w:r>
          </w:p>
        </w:tc>
        <w:tc>
          <w:tcPr>
            <w:tcW w:w="988" w:type="dxa"/>
            <w:noWrap/>
            <w:hideMark/>
          </w:tcPr>
          <w:p w14:paraId="51AABC75" w14:textId="77777777" w:rsidR="00E47AB8" w:rsidRPr="008B2F8A" w:rsidRDefault="00E47AB8" w:rsidP="00D2496B">
            <w:pPr>
              <w:pStyle w:val="TableText0"/>
              <w:spacing w:before="40" w:after="80"/>
              <w:ind w:right="112"/>
              <w:jc w:val="right"/>
            </w:pPr>
            <w:r w:rsidRPr="008B2F8A">
              <w:t xml:space="preserve"> 81 </w:t>
            </w:r>
          </w:p>
        </w:tc>
        <w:tc>
          <w:tcPr>
            <w:tcW w:w="988" w:type="dxa"/>
            <w:noWrap/>
            <w:hideMark/>
          </w:tcPr>
          <w:p w14:paraId="1E0CAB6C" w14:textId="77777777" w:rsidR="00E47AB8" w:rsidRPr="008B2F8A" w:rsidRDefault="00E47AB8" w:rsidP="00D2496B">
            <w:pPr>
              <w:pStyle w:val="TableText0"/>
              <w:spacing w:before="40" w:after="80"/>
              <w:ind w:right="112"/>
              <w:jc w:val="right"/>
            </w:pPr>
            <w:r w:rsidRPr="008B2F8A">
              <w:t xml:space="preserve"> 110 </w:t>
            </w:r>
          </w:p>
        </w:tc>
        <w:tc>
          <w:tcPr>
            <w:tcW w:w="988" w:type="dxa"/>
            <w:noWrap/>
            <w:hideMark/>
          </w:tcPr>
          <w:p w14:paraId="67191CAF" w14:textId="77777777" w:rsidR="00E47AB8" w:rsidRPr="008B2F8A" w:rsidRDefault="00E47AB8" w:rsidP="00D2496B">
            <w:pPr>
              <w:pStyle w:val="TableText0"/>
              <w:spacing w:before="40" w:after="80"/>
              <w:ind w:right="112"/>
              <w:jc w:val="right"/>
            </w:pPr>
            <w:r w:rsidRPr="008B2F8A">
              <w:t xml:space="preserve"> 140 </w:t>
            </w:r>
          </w:p>
        </w:tc>
        <w:tc>
          <w:tcPr>
            <w:tcW w:w="988" w:type="dxa"/>
            <w:noWrap/>
            <w:hideMark/>
          </w:tcPr>
          <w:p w14:paraId="496E463B" w14:textId="77777777" w:rsidR="00E47AB8" w:rsidRPr="008B2F8A" w:rsidRDefault="00E47AB8" w:rsidP="00D2496B">
            <w:pPr>
              <w:pStyle w:val="TableText0"/>
              <w:spacing w:before="40" w:after="80"/>
              <w:ind w:right="112"/>
              <w:jc w:val="right"/>
            </w:pPr>
            <w:r w:rsidRPr="008B2F8A">
              <w:t xml:space="preserve"> 156 </w:t>
            </w:r>
          </w:p>
        </w:tc>
      </w:tr>
      <w:tr w:rsidR="00E47AB8" w:rsidRPr="008B2F8A" w14:paraId="33629D10" w14:textId="77777777" w:rsidTr="00D2496B">
        <w:tc>
          <w:tcPr>
            <w:tcW w:w="4186" w:type="dxa"/>
            <w:noWrap/>
            <w:hideMark/>
          </w:tcPr>
          <w:p w14:paraId="77533D26" w14:textId="77777777" w:rsidR="00E47AB8" w:rsidRPr="008B2F8A" w:rsidRDefault="00E47AB8" w:rsidP="00422306">
            <w:pPr>
              <w:pStyle w:val="TableText0"/>
              <w:spacing w:before="40" w:after="80" w:line="276" w:lineRule="auto"/>
            </w:pPr>
            <w:r w:rsidRPr="008B2F8A">
              <w:t>Number of ultrasounds replaced</w:t>
            </w:r>
          </w:p>
        </w:tc>
        <w:tc>
          <w:tcPr>
            <w:tcW w:w="988" w:type="dxa"/>
            <w:noWrap/>
            <w:hideMark/>
          </w:tcPr>
          <w:p w14:paraId="4F5DCB1F" w14:textId="77777777" w:rsidR="00E47AB8" w:rsidRPr="008B2F8A" w:rsidRDefault="00E47AB8" w:rsidP="00D2496B">
            <w:pPr>
              <w:pStyle w:val="TableText0"/>
              <w:spacing w:before="40" w:after="80"/>
              <w:ind w:right="112"/>
              <w:jc w:val="right"/>
            </w:pPr>
            <w:r w:rsidRPr="008B2F8A">
              <w:t xml:space="preserve"> 179 </w:t>
            </w:r>
          </w:p>
        </w:tc>
        <w:tc>
          <w:tcPr>
            <w:tcW w:w="988" w:type="dxa"/>
            <w:noWrap/>
            <w:hideMark/>
          </w:tcPr>
          <w:p w14:paraId="5C4648E4" w14:textId="77777777" w:rsidR="00E47AB8" w:rsidRPr="008B2F8A" w:rsidRDefault="00E47AB8" w:rsidP="00D2496B">
            <w:pPr>
              <w:pStyle w:val="TableText0"/>
              <w:spacing w:before="40" w:after="80"/>
              <w:ind w:right="112"/>
              <w:jc w:val="right"/>
            </w:pPr>
            <w:r w:rsidRPr="008B2F8A">
              <w:t xml:space="preserve"> 274 </w:t>
            </w:r>
          </w:p>
        </w:tc>
        <w:tc>
          <w:tcPr>
            <w:tcW w:w="988" w:type="dxa"/>
            <w:noWrap/>
            <w:hideMark/>
          </w:tcPr>
          <w:p w14:paraId="0F672A7F" w14:textId="77777777" w:rsidR="00E47AB8" w:rsidRPr="008B2F8A" w:rsidRDefault="00E47AB8" w:rsidP="00D2496B">
            <w:pPr>
              <w:pStyle w:val="TableText0"/>
              <w:spacing w:before="40" w:after="80"/>
              <w:ind w:right="112"/>
              <w:jc w:val="right"/>
            </w:pPr>
            <w:r w:rsidRPr="008B2F8A">
              <w:t xml:space="preserve"> 371 </w:t>
            </w:r>
          </w:p>
        </w:tc>
        <w:tc>
          <w:tcPr>
            <w:tcW w:w="988" w:type="dxa"/>
            <w:noWrap/>
            <w:hideMark/>
          </w:tcPr>
          <w:p w14:paraId="03D6118C" w14:textId="77777777" w:rsidR="00E47AB8" w:rsidRPr="008B2F8A" w:rsidRDefault="00E47AB8" w:rsidP="00D2496B">
            <w:pPr>
              <w:pStyle w:val="TableText0"/>
              <w:spacing w:before="40" w:after="80"/>
              <w:ind w:right="112"/>
              <w:jc w:val="right"/>
            </w:pPr>
            <w:r w:rsidRPr="008B2F8A">
              <w:t xml:space="preserve"> 472 </w:t>
            </w:r>
          </w:p>
        </w:tc>
        <w:tc>
          <w:tcPr>
            <w:tcW w:w="988" w:type="dxa"/>
            <w:noWrap/>
            <w:hideMark/>
          </w:tcPr>
          <w:p w14:paraId="466BDF4E" w14:textId="77777777" w:rsidR="00E47AB8" w:rsidRPr="008B2F8A" w:rsidRDefault="00E47AB8" w:rsidP="00D2496B">
            <w:pPr>
              <w:pStyle w:val="TableText0"/>
              <w:spacing w:before="40" w:after="80"/>
              <w:ind w:right="112"/>
              <w:jc w:val="right"/>
            </w:pPr>
            <w:r w:rsidRPr="008B2F8A">
              <w:t xml:space="preserve"> 524 </w:t>
            </w:r>
          </w:p>
        </w:tc>
      </w:tr>
      <w:tr w:rsidR="00E47AB8" w:rsidRPr="008B2F8A" w14:paraId="6F11D8CB" w14:textId="77777777" w:rsidTr="00D2496B">
        <w:tc>
          <w:tcPr>
            <w:tcW w:w="4186" w:type="dxa"/>
            <w:noWrap/>
            <w:hideMark/>
          </w:tcPr>
          <w:p w14:paraId="69302D9A" w14:textId="77777777" w:rsidR="00E47AB8" w:rsidRPr="008B2F8A" w:rsidRDefault="00E47AB8" w:rsidP="00422306">
            <w:pPr>
              <w:pStyle w:val="TableText0"/>
              <w:spacing w:before="40" w:after="80" w:line="276" w:lineRule="auto"/>
            </w:pPr>
            <w:r w:rsidRPr="008B2F8A">
              <w:t>Number of screened women with breast cancer</w:t>
            </w:r>
          </w:p>
        </w:tc>
        <w:tc>
          <w:tcPr>
            <w:tcW w:w="988" w:type="dxa"/>
            <w:noWrap/>
            <w:hideMark/>
          </w:tcPr>
          <w:p w14:paraId="78524F06" w14:textId="77777777" w:rsidR="00E47AB8" w:rsidRPr="008B2F8A" w:rsidRDefault="00E47AB8" w:rsidP="00D2496B">
            <w:pPr>
              <w:pStyle w:val="TableText0"/>
              <w:spacing w:before="40" w:after="80"/>
              <w:ind w:right="112"/>
              <w:jc w:val="right"/>
            </w:pPr>
            <w:r w:rsidRPr="008B2F8A">
              <w:t xml:space="preserve"> 8 </w:t>
            </w:r>
          </w:p>
        </w:tc>
        <w:tc>
          <w:tcPr>
            <w:tcW w:w="988" w:type="dxa"/>
            <w:noWrap/>
            <w:hideMark/>
          </w:tcPr>
          <w:p w14:paraId="08AE9078" w14:textId="77777777" w:rsidR="00E47AB8" w:rsidRPr="008B2F8A" w:rsidRDefault="00E47AB8" w:rsidP="00D2496B">
            <w:pPr>
              <w:pStyle w:val="TableText0"/>
              <w:spacing w:before="40" w:after="80"/>
              <w:ind w:right="112"/>
              <w:jc w:val="right"/>
            </w:pPr>
            <w:r w:rsidRPr="008B2F8A">
              <w:t xml:space="preserve"> 12 </w:t>
            </w:r>
          </w:p>
        </w:tc>
        <w:tc>
          <w:tcPr>
            <w:tcW w:w="988" w:type="dxa"/>
            <w:noWrap/>
            <w:hideMark/>
          </w:tcPr>
          <w:p w14:paraId="2BE905AA" w14:textId="77777777" w:rsidR="00E47AB8" w:rsidRPr="008B2F8A" w:rsidRDefault="00E47AB8" w:rsidP="00D2496B">
            <w:pPr>
              <w:pStyle w:val="TableText0"/>
              <w:spacing w:before="40" w:after="80"/>
              <w:ind w:right="112"/>
              <w:jc w:val="right"/>
            </w:pPr>
            <w:r w:rsidRPr="008B2F8A">
              <w:t xml:space="preserve"> 17 </w:t>
            </w:r>
          </w:p>
        </w:tc>
        <w:tc>
          <w:tcPr>
            <w:tcW w:w="988" w:type="dxa"/>
            <w:noWrap/>
            <w:hideMark/>
          </w:tcPr>
          <w:p w14:paraId="258B1BD5" w14:textId="77777777" w:rsidR="00E47AB8" w:rsidRPr="008B2F8A" w:rsidRDefault="00E47AB8" w:rsidP="00D2496B">
            <w:pPr>
              <w:pStyle w:val="TableText0"/>
              <w:spacing w:before="40" w:after="80"/>
              <w:ind w:right="112"/>
              <w:jc w:val="right"/>
            </w:pPr>
            <w:r w:rsidRPr="008B2F8A">
              <w:t xml:space="preserve"> 22 </w:t>
            </w:r>
          </w:p>
        </w:tc>
        <w:tc>
          <w:tcPr>
            <w:tcW w:w="988" w:type="dxa"/>
            <w:noWrap/>
            <w:hideMark/>
          </w:tcPr>
          <w:p w14:paraId="64B78262" w14:textId="77777777" w:rsidR="00E47AB8" w:rsidRPr="008B2F8A" w:rsidRDefault="00E47AB8" w:rsidP="00D2496B">
            <w:pPr>
              <w:pStyle w:val="TableText0"/>
              <w:spacing w:before="40" w:after="80"/>
              <w:ind w:right="112"/>
              <w:jc w:val="right"/>
            </w:pPr>
            <w:r w:rsidRPr="008B2F8A">
              <w:t xml:space="preserve"> 24 </w:t>
            </w:r>
          </w:p>
        </w:tc>
      </w:tr>
      <w:tr w:rsidR="00E47AB8" w:rsidRPr="008B2F8A" w14:paraId="10EDF06E" w14:textId="77777777" w:rsidTr="00D2496B">
        <w:tc>
          <w:tcPr>
            <w:tcW w:w="4186" w:type="dxa"/>
            <w:noWrap/>
            <w:hideMark/>
          </w:tcPr>
          <w:p w14:paraId="1AB6D2DE" w14:textId="77777777" w:rsidR="00E47AB8" w:rsidRPr="008B2F8A" w:rsidRDefault="00E47AB8" w:rsidP="00422306">
            <w:pPr>
              <w:pStyle w:val="TableText0"/>
              <w:spacing w:before="40" w:after="80" w:line="276" w:lineRule="auto"/>
            </w:pPr>
            <w:r w:rsidRPr="008B2F8A">
              <w:t>Number of screened women without breast cancer</w:t>
            </w:r>
          </w:p>
        </w:tc>
        <w:tc>
          <w:tcPr>
            <w:tcW w:w="988" w:type="dxa"/>
            <w:noWrap/>
            <w:hideMark/>
          </w:tcPr>
          <w:p w14:paraId="72C45082" w14:textId="77777777" w:rsidR="00E47AB8" w:rsidRPr="008B2F8A" w:rsidRDefault="00E47AB8" w:rsidP="00D2496B">
            <w:pPr>
              <w:pStyle w:val="TableText0"/>
              <w:spacing w:before="40" w:after="80"/>
              <w:ind w:right="112"/>
              <w:jc w:val="right"/>
            </w:pPr>
            <w:r w:rsidRPr="008B2F8A">
              <w:t xml:space="preserve"> 709 </w:t>
            </w:r>
          </w:p>
        </w:tc>
        <w:tc>
          <w:tcPr>
            <w:tcW w:w="988" w:type="dxa"/>
            <w:noWrap/>
            <w:hideMark/>
          </w:tcPr>
          <w:p w14:paraId="70517E77" w14:textId="77777777" w:rsidR="00E47AB8" w:rsidRPr="008B2F8A" w:rsidRDefault="00E47AB8" w:rsidP="00D2496B">
            <w:pPr>
              <w:pStyle w:val="TableText0"/>
              <w:spacing w:before="40" w:after="80"/>
              <w:ind w:right="112"/>
              <w:jc w:val="right"/>
            </w:pPr>
            <w:r w:rsidRPr="008B2F8A">
              <w:t xml:space="preserve"> 1,082 </w:t>
            </w:r>
          </w:p>
        </w:tc>
        <w:tc>
          <w:tcPr>
            <w:tcW w:w="988" w:type="dxa"/>
            <w:noWrap/>
            <w:hideMark/>
          </w:tcPr>
          <w:p w14:paraId="016D8329" w14:textId="77777777" w:rsidR="00E47AB8" w:rsidRPr="008B2F8A" w:rsidRDefault="00E47AB8" w:rsidP="00D2496B">
            <w:pPr>
              <w:pStyle w:val="TableText0"/>
              <w:spacing w:before="40" w:after="80"/>
              <w:ind w:right="112"/>
              <w:jc w:val="right"/>
            </w:pPr>
            <w:r w:rsidRPr="008B2F8A">
              <w:t xml:space="preserve"> 1,467 </w:t>
            </w:r>
          </w:p>
        </w:tc>
        <w:tc>
          <w:tcPr>
            <w:tcW w:w="988" w:type="dxa"/>
            <w:noWrap/>
            <w:hideMark/>
          </w:tcPr>
          <w:p w14:paraId="614D6CF9" w14:textId="77777777" w:rsidR="00E47AB8" w:rsidRPr="008B2F8A" w:rsidRDefault="00E47AB8" w:rsidP="00D2496B">
            <w:pPr>
              <w:pStyle w:val="TableText0"/>
              <w:spacing w:before="40" w:after="80"/>
              <w:ind w:right="112"/>
              <w:jc w:val="right"/>
            </w:pPr>
            <w:r w:rsidRPr="008B2F8A">
              <w:t xml:space="preserve"> 1,865 </w:t>
            </w:r>
          </w:p>
        </w:tc>
        <w:tc>
          <w:tcPr>
            <w:tcW w:w="988" w:type="dxa"/>
            <w:noWrap/>
            <w:hideMark/>
          </w:tcPr>
          <w:p w14:paraId="725A6552" w14:textId="77777777" w:rsidR="00E47AB8" w:rsidRPr="008B2F8A" w:rsidRDefault="00E47AB8" w:rsidP="00D2496B">
            <w:pPr>
              <w:pStyle w:val="TableText0"/>
              <w:spacing w:before="40" w:after="80"/>
              <w:ind w:right="112"/>
              <w:jc w:val="right"/>
            </w:pPr>
            <w:r w:rsidRPr="008B2F8A">
              <w:t xml:space="preserve"> 2,071 </w:t>
            </w:r>
          </w:p>
        </w:tc>
      </w:tr>
      <w:tr w:rsidR="00E47AB8" w:rsidRPr="008B2F8A" w14:paraId="79716864" w14:textId="77777777" w:rsidTr="00D2496B">
        <w:tc>
          <w:tcPr>
            <w:tcW w:w="4186" w:type="dxa"/>
            <w:noWrap/>
            <w:hideMark/>
          </w:tcPr>
          <w:p w14:paraId="132D6655" w14:textId="77777777" w:rsidR="00E47AB8" w:rsidRPr="008B2F8A" w:rsidRDefault="00E47AB8" w:rsidP="00422306">
            <w:pPr>
              <w:pStyle w:val="TableText0"/>
              <w:spacing w:before="40" w:after="80" w:line="276" w:lineRule="auto"/>
            </w:pPr>
            <w:r w:rsidRPr="008B2F8A">
              <w:t>Number of true-positive findings with MRI</w:t>
            </w:r>
          </w:p>
        </w:tc>
        <w:tc>
          <w:tcPr>
            <w:tcW w:w="988" w:type="dxa"/>
            <w:noWrap/>
            <w:hideMark/>
          </w:tcPr>
          <w:p w14:paraId="4FBB9176" w14:textId="77777777" w:rsidR="00E47AB8" w:rsidRPr="008B2F8A" w:rsidRDefault="00E47AB8" w:rsidP="00D2496B">
            <w:pPr>
              <w:pStyle w:val="TableText0"/>
              <w:spacing w:before="40" w:after="80"/>
              <w:ind w:right="112"/>
              <w:jc w:val="right"/>
            </w:pPr>
            <w:r w:rsidRPr="008B2F8A">
              <w:t xml:space="preserve"> 6 </w:t>
            </w:r>
          </w:p>
        </w:tc>
        <w:tc>
          <w:tcPr>
            <w:tcW w:w="988" w:type="dxa"/>
            <w:noWrap/>
            <w:hideMark/>
          </w:tcPr>
          <w:p w14:paraId="69C839C0" w14:textId="77777777" w:rsidR="00E47AB8" w:rsidRPr="008B2F8A" w:rsidRDefault="00E47AB8" w:rsidP="00D2496B">
            <w:pPr>
              <w:pStyle w:val="TableText0"/>
              <w:spacing w:before="40" w:after="80"/>
              <w:ind w:right="112"/>
              <w:jc w:val="right"/>
            </w:pPr>
            <w:r w:rsidRPr="008B2F8A">
              <w:t xml:space="preserve"> 9 </w:t>
            </w:r>
          </w:p>
        </w:tc>
        <w:tc>
          <w:tcPr>
            <w:tcW w:w="988" w:type="dxa"/>
            <w:noWrap/>
            <w:hideMark/>
          </w:tcPr>
          <w:p w14:paraId="415C6B71" w14:textId="77777777" w:rsidR="00E47AB8" w:rsidRPr="008B2F8A" w:rsidRDefault="00E47AB8" w:rsidP="00D2496B">
            <w:pPr>
              <w:pStyle w:val="TableText0"/>
              <w:spacing w:before="40" w:after="80"/>
              <w:ind w:right="112"/>
              <w:jc w:val="right"/>
            </w:pPr>
            <w:r w:rsidRPr="008B2F8A">
              <w:t xml:space="preserve"> 12 </w:t>
            </w:r>
          </w:p>
        </w:tc>
        <w:tc>
          <w:tcPr>
            <w:tcW w:w="988" w:type="dxa"/>
            <w:noWrap/>
            <w:hideMark/>
          </w:tcPr>
          <w:p w14:paraId="1192AF16" w14:textId="77777777" w:rsidR="00E47AB8" w:rsidRPr="008B2F8A" w:rsidRDefault="00E47AB8" w:rsidP="00D2496B">
            <w:pPr>
              <w:pStyle w:val="TableText0"/>
              <w:spacing w:before="40" w:after="80"/>
              <w:ind w:right="112"/>
              <w:jc w:val="right"/>
            </w:pPr>
            <w:r w:rsidRPr="008B2F8A">
              <w:t xml:space="preserve"> 15 </w:t>
            </w:r>
          </w:p>
        </w:tc>
        <w:tc>
          <w:tcPr>
            <w:tcW w:w="988" w:type="dxa"/>
            <w:noWrap/>
            <w:hideMark/>
          </w:tcPr>
          <w:p w14:paraId="43539B16" w14:textId="77777777" w:rsidR="00E47AB8" w:rsidRPr="008B2F8A" w:rsidRDefault="00E47AB8" w:rsidP="00D2496B">
            <w:pPr>
              <w:pStyle w:val="TableText0"/>
              <w:spacing w:before="40" w:after="80"/>
              <w:ind w:right="112"/>
              <w:jc w:val="right"/>
            </w:pPr>
            <w:r w:rsidRPr="008B2F8A">
              <w:t xml:space="preserve"> 17 </w:t>
            </w:r>
          </w:p>
        </w:tc>
      </w:tr>
      <w:tr w:rsidR="00E47AB8" w:rsidRPr="008B2F8A" w14:paraId="1CE8C689" w14:textId="77777777" w:rsidTr="00D2496B">
        <w:tc>
          <w:tcPr>
            <w:tcW w:w="4186" w:type="dxa"/>
            <w:noWrap/>
            <w:hideMark/>
          </w:tcPr>
          <w:p w14:paraId="0EBEB686" w14:textId="77777777" w:rsidR="00E47AB8" w:rsidRPr="008B2F8A" w:rsidRDefault="00E47AB8" w:rsidP="00422306">
            <w:pPr>
              <w:pStyle w:val="TableText0"/>
              <w:spacing w:before="40" w:after="80" w:line="276" w:lineRule="auto"/>
            </w:pPr>
            <w:r w:rsidRPr="008B2F8A">
              <w:t>Number of true-positive findings with MAM</w:t>
            </w:r>
          </w:p>
        </w:tc>
        <w:tc>
          <w:tcPr>
            <w:tcW w:w="988" w:type="dxa"/>
            <w:noWrap/>
            <w:hideMark/>
          </w:tcPr>
          <w:p w14:paraId="456CDF43" w14:textId="77777777" w:rsidR="00E47AB8" w:rsidRPr="008B2F8A" w:rsidRDefault="00E47AB8" w:rsidP="00D2496B">
            <w:pPr>
              <w:pStyle w:val="TableText0"/>
              <w:spacing w:before="40" w:after="80"/>
              <w:ind w:right="112"/>
              <w:jc w:val="right"/>
            </w:pPr>
            <w:r w:rsidRPr="008B2F8A">
              <w:t xml:space="preserve"> 3 </w:t>
            </w:r>
          </w:p>
        </w:tc>
        <w:tc>
          <w:tcPr>
            <w:tcW w:w="988" w:type="dxa"/>
            <w:noWrap/>
            <w:hideMark/>
          </w:tcPr>
          <w:p w14:paraId="7CBDEA19" w14:textId="77777777" w:rsidR="00E47AB8" w:rsidRPr="008B2F8A" w:rsidRDefault="00E47AB8" w:rsidP="00D2496B">
            <w:pPr>
              <w:pStyle w:val="TableText0"/>
              <w:spacing w:before="40" w:after="80"/>
              <w:ind w:right="112"/>
              <w:jc w:val="right"/>
            </w:pPr>
            <w:r w:rsidRPr="008B2F8A">
              <w:t xml:space="preserve"> 4 </w:t>
            </w:r>
          </w:p>
        </w:tc>
        <w:tc>
          <w:tcPr>
            <w:tcW w:w="988" w:type="dxa"/>
            <w:noWrap/>
            <w:hideMark/>
          </w:tcPr>
          <w:p w14:paraId="1CCABC57" w14:textId="77777777" w:rsidR="00E47AB8" w:rsidRPr="008B2F8A" w:rsidRDefault="00E47AB8" w:rsidP="00D2496B">
            <w:pPr>
              <w:pStyle w:val="TableText0"/>
              <w:spacing w:before="40" w:after="80"/>
              <w:ind w:right="112"/>
              <w:jc w:val="right"/>
            </w:pPr>
            <w:r w:rsidRPr="008B2F8A">
              <w:t xml:space="preserve"> 6 </w:t>
            </w:r>
          </w:p>
        </w:tc>
        <w:tc>
          <w:tcPr>
            <w:tcW w:w="988" w:type="dxa"/>
            <w:noWrap/>
            <w:hideMark/>
          </w:tcPr>
          <w:p w14:paraId="28A827CE" w14:textId="77777777" w:rsidR="00E47AB8" w:rsidRPr="008B2F8A" w:rsidRDefault="00E47AB8" w:rsidP="00D2496B">
            <w:pPr>
              <w:pStyle w:val="TableText0"/>
              <w:spacing w:before="40" w:after="80"/>
              <w:ind w:right="112"/>
              <w:jc w:val="right"/>
            </w:pPr>
            <w:r w:rsidRPr="008B2F8A">
              <w:t xml:space="preserve"> 8 </w:t>
            </w:r>
          </w:p>
        </w:tc>
        <w:tc>
          <w:tcPr>
            <w:tcW w:w="988" w:type="dxa"/>
            <w:noWrap/>
            <w:hideMark/>
          </w:tcPr>
          <w:p w14:paraId="560BC747" w14:textId="77777777" w:rsidR="00E47AB8" w:rsidRPr="008B2F8A" w:rsidRDefault="00E47AB8" w:rsidP="00D2496B">
            <w:pPr>
              <w:pStyle w:val="TableText0"/>
              <w:spacing w:before="40" w:after="80"/>
              <w:ind w:right="112"/>
              <w:jc w:val="right"/>
            </w:pPr>
            <w:r w:rsidRPr="008B2F8A">
              <w:t xml:space="preserve"> 9 </w:t>
            </w:r>
          </w:p>
        </w:tc>
      </w:tr>
      <w:tr w:rsidR="00E47AB8" w:rsidRPr="008B2F8A" w14:paraId="1C3BB6DA" w14:textId="77777777" w:rsidTr="00D2496B">
        <w:tc>
          <w:tcPr>
            <w:tcW w:w="4186" w:type="dxa"/>
            <w:noWrap/>
            <w:hideMark/>
          </w:tcPr>
          <w:p w14:paraId="29154425" w14:textId="77777777" w:rsidR="00E47AB8" w:rsidRPr="008B2F8A" w:rsidRDefault="00E47AB8" w:rsidP="00422306">
            <w:pPr>
              <w:pStyle w:val="TableText0"/>
              <w:spacing w:before="40" w:after="80" w:line="276" w:lineRule="auto"/>
            </w:pPr>
            <w:r w:rsidRPr="008B2F8A">
              <w:t>Number of additional true-positive findings with MRI</w:t>
            </w:r>
          </w:p>
        </w:tc>
        <w:tc>
          <w:tcPr>
            <w:tcW w:w="988" w:type="dxa"/>
            <w:noWrap/>
            <w:hideMark/>
          </w:tcPr>
          <w:p w14:paraId="2FE41922" w14:textId="77777777" w:rsidR="00E47AB8" w:rsidRPr="008B2F8A" w:rsidRDefault="00E47AB8" w:rsidP="00D2496B">
            <w:pPr>
              <w:pStyle w:val="TableText0"/>
              <w:spacing w:before="40" w:after="80"/>
              <w:ind w:right="112"/>
              <w:jc w:val="right"/>
            </w:pPr>
            <w:r w:rsidRPr="008B2F8A">
              <w:t xml:space="preserve"> 3 </w:t>
            </w:r>
          </w:p>
        </w:tc>
        <w:tc>
          <w:tcPr>
            <w:tcW w:w="988" w:type="dxa"/>
            <w:noWrap/>
            <w:hideMark/>
          </w:tcPr>
          <w:p w14:paraId="5CA4F116" w14:textId="77777777" w:rsidR="00E47AB8" w:rsidRPr="008B2F8A" w:rsidRDefault="00E47AB8" w:rsidP="00D2496B">
            <w:pPr>
              <w:pStyle w:val="TableText0"/>
              <w:spacing w:before="40" w:after="80"/>
              <w:ind w:right="112"/>
              <w:jc w:val="right"/>
            </w:pPr>
            <w:r w:rsidRPr="008B2F8A">
              <w:t xml:space="preserve"> 4 </w:t>
            </w:r>
          </w:p>
        </w:tc>
        <w:tc>
          <w:tcPr>
            <w:tcW w:w="988" w:type="dxa"/>
            <w:noWrap/>
            <w:hideMark/>
          </w:tcPr>
          <w:p w14:paraId="3EC1BAA0" w14:textId="77777777" w:rsidR="00E47AB8" w:rsidRPr="008B2F8A" w:rsidRDefault="00E47AB8" w:rsidP="00D2496B">
            <w:pPr>
              <w:pStyle w:val="TableText0"/>
              <w:spacing w:before="40" w:after="80"/>
              <w:ind w:right="112"/>
              <w:jc w:val="right"/>
            </w:pPr>
            <w:r w:rsidRPr="008B2F8A">
              <w:t xml:space="preserve"> 6 </w:t>
            </w:r>
          </w:p>
        </w:tc>
        <w:tc>
          <w:tcPr>
            <w:tcW w:w="988" w:type="dxa"/>
            <w:noWrap/>
            <w:hideMark/>
          </w:tcPr>
          <w:p w14:paraId="2921599A" w14:textId="77777777" w:rsidR="00E47AB8" w:rsidRPr="008B2F8A" w:rsidRDefault="00E47AB8" w:rsidP="00D2496B">
            <w:pPr>
              <w:pStyle w:val="TableText0"/>
              <w:spacing w:before="40" w:after="80"/>
              <w:ind w:right="112"/>
              <w:jc w:val="right"/>
            </w:pPr>
            <w:r w:rsidRPr="008B2F8A">
              <w:t xml:space="preserve"> 8 </w:t>
            </w:r>
          </w:p>
        </w:tc>
        <w:tc>
          <w:tcPr>
            <w:tcW w:w="988" w:type="dxa"/>
            <w:noWrap/>
            <w:hideMark/>
          </w:tcPr>
          <w:p w14:paraId="7F773BBD" w14:textId="77777777" w:rsidR="00E47AB8" w:rsidRPr="008B2F8A" w:rsidRDefault="00E47AB8" w:rsidP="00D2496B">
            <w:pPr>
              <w:pStyle w:val="TableText0"/>
              <w:spacing w:before="40" w:after="80"/>
              <w:ind w:right="112"/>
              <w:jc w:val="right"/>
            </w:pPr>
            <w:r w:rsidRPr="008B2F8A">
              <w:t xml:space="preserve"> 8 </w:t>
            </w:r>
          </w:p>
        </w:tc>
      </w:tr>
      <w:tr w:rsidR="00E47AB8" w:rsidRPr="008B2F8A" w14:paraId="5529FBD6" w14:textId="77777777" w:rsidTr="00D2496B">
        <w:tc>
          <w:tcPr>
            <w:tcW w:w="4186" w:type="dxa"/>
            <w:noWrap/>
            <w:hideMark/>
          </w:tcPr>
          <w:p w14:paraId="39E27FF8" w14:textId="77777777" w:rsidR="00E47AB8" w:rsidRPr="008B2F8A" w:rsidRDefault="00E47AB8" w:rsidP="00422306">
            <w:pPr>
              <w:pStyle w:val="TableText0"/>
              <w:spacing w:before="40" w:after="80" w:line="276" w:lineRule="auto"/>
            </w:pPr>
            <w:r w:rsidRPr="008B2F8A">
              <w:t>Number of false-positive findings with MRI</w:t>
            </w:r>
          </w:p>
        </w:tc>
        <w:tc>
          <w:tcPr>
            <w:tcW w:w="988" w:type="dxa"/>
            <w:noWrap/>
            <w:hideMark/>
          </w:tcPr>
          <w:p w14:paraId="41541E77" w14:textId="77777777" w:rsidR="00E47AB8" w:rsidRPr="008B2F8A" w:rsidRDefault="00E47AB8" w:rsidP="00D2496B">
            <w:pPr>
              <w:pStyle w:val="TableText0"/>
              <w:spacing w:before="40" w:after="80"/>
              <w:ind w:right="112"/>
              <w:jc w:val="right"/>
            </w:pPr>
            <w:r w:rsidRPr="008B2F8A">
              <w:t xml:space="preserve"> 170 </w:t>
            </w:r>
          </w:p>
        </w:tc>
        <w:tc>
          <w:tcPr>
            <w:tcW w:w="988" w:type="dxa"/>
            <w:noWrap/>
            <w:hideMark/>
          </w:tcPr>
          <w:p w14:paraId="53219F1C" w14:textId="77777777" w:rsidR="00E47AB8" w:rsidRPr="008B2F8A" w:rsidRDefault="00E47AB8" w:rsidP="00D2496B">
            <w:pPr>
              <w:pStyle w:val="TableText0"/>
              <w:spacing w:before="40" w:after="80"/>
              <w:ind w:right="112"/>
              <w:jc w:val="right"/>
            </w:pPr>
            <w:r w:rsidRPr="008B2F8A">
              <w:t xml:space="preserve"> 260 </w:t>
            </w:r>
          </w:p>
        </w:tc>
        <w:tc>
          <w:tcPr>
            <w:tcW w:w="988" w:type="dxa"/>
            <w:noWrap/>
            <w:hideMark/>
          </w:tcPr>
          <w:p w14:paraId="4BE1D3E1" w14:textId="77777777" w:rsidR="00E47AB8" w:rsidRPr="008B2F8A" w:rsidRDefault="00E47AB8" w:rsidP="00D2496B">
            <w:pPr>
              <w:pStyle w:val="TableText0"/>
              <w:spacing w:before="40" w:after="80"/>
              <w:ind w:right="112"/>
              <w:jc w:val="right"/>
            </w:pPr>
            <w:r w:rsidRPr="008B2F8A">
              <w:t xml:space="preserve"> 352 </w:t>
            </w:r>
          </w:p>
        </w:tc>
        <w:tc>
          <w:tcPr>
            <w:tcW w:w="988" w:type="dxa"/>
            <w:noWrap/>
            <w:hideMark/>
          </w:tcPr>
          <w:p w14:paraId="318A4F5B" w14:textId="77777777" w:rsidR="00E47AB8" w:rsidRPr="008B2F8A" w:rsidRDefault="00E47AB8" w:rsidP="00D2496B">
            <w:pPr>
              <w:pStyle w:val="TableText0"/>
              <w:spacing w:before="40" w:after="80"/>
              <w:ind w:right="112"/>
              <w:jc w:val="right"/>
            </w:pPr>
            <w:r w:rsidRPr="008B2F8A">
              <w:t xml:space="preserve"> 447 </w:t>
            </w:r>
          </w:p>
        </w:tc>
        <w:tc>
          <w:tcPr>
            <w:tcW w:w="988" w:type="dxa"/>
            <w:noWrap/>
            <w:hideMark/>
          </w:tcPr>
          <w:p w14:paraId="22133020" w14:textId="77777777" w:rsidR="00E47AB8" w:rsidRPr="008B2F8A" w:rsidRDefault="00E47AB8" w:rsidP="00D2496B">
            <w:pPr>
              <w:pStyle w:val="TableText0"/>
              <w:spacing w:before="40" w:after="80"/>
              <w:ind w:right="112"/>
              <w:jc w:val="right"/>
            </w:pPr>
            <w:r w:rsidRPr="008B2F8A">
              <w:t xml:space="preserve"> 497 </w:t>
            </w:r>
          </w:p>
        </w:tc>
      </w:tr>
      <w:tr w:rsidR="00E47AB8" w:rsidRPr="008B2F8A" w14:paraId="5692A577" w14:textId="77777777" w:rsidTr="00D2496B">
        <w:tc>
          <w:tcPr>
            <w:tcW w:w="4186" w:type="dxa"/>
            <w:noWrap/>
            <w:hideMark/>
          </w:tcPr>
          <w:p w14:paraId="46AF3422" w14:textId="77777777" w:rsidR="00E47AB8" w:rsidRPr="008B2F8A" w:rsidRDefault="00E47AB8" w:rsidP="00422306">
            <w:pPr>
              <w:pStyle w:val="TableText0"/>
              <w:spacing w:before="40" w:after="80" w:line="276" w:lineRule="auto"/>
            </w:pPr>
            <w:r w:rsidRPr="008B2F8A">
              <w:t>Number of false-positive findings with MAM</w:t>
            </w:r>
          </w:p>
        </w:tc>
        <w:tc>
          <w:tcPr>
            <w:tcW w:w="988" w:type="dxa"/>
            <w:noWrap/>
            <w:hideMark/>
          </w:tcPr>
          <w:p w14:paraId="4A6FCBB3" w14:textId="77777777" w:rsidR="00E47AB8" w:rsidRPr="008B2F8A" w:rsidRDefault="00E47AB8" w:rsidP="00D2496B">
            <w:pPr>
              <w:pStyle w:val="TableText0"/>
              <w:spacing w:before="40" w:after="80"/>
              <w:ind w:right="112"/>
              <w:jc w:val="right"/>
            </w:pPr>
            <w:r w:rsidRPr="008B2F8A">
              <w:t xml:space="preserve"> 71 </w:t>
            </w:r>
          </w:p>
        </w:tc>
        <w:tc>
          <w:tcPr>
            <w:tcW w:w="988" w:type="dxa"/>
            <w:noWrap/>
            <w:hideMark/>
          </w:tcPr>
          <w:p w14:paraId="3DE67994" w14:textId="77777777" w:rsidR="00E47AB8" w:rsidRPr="008B2F8A" w:rsidRDefault="00E47AB8" w:rsidP="00D2496B">
            <w:pPr>
              <w:pStyle w:val="TableText0"/>
              <w:spacing w:before="40" w:after="80"/>
              <w:ind w:right="112"/>
              <w:jc w:val="right"/>
            </w:pPr>
            <w:r w:rsidRPr="008B2F8A">
              <w:t xml:space="preserve"> 108 </w:t>
            </w:r>
          </w:p>
        </w:tc>
        <w:tc>
          <w:tcPr>
            <w:tcW w:w="988" w:type="dxa"/>
            <w:noWrap/>
            <w:hideMark/>
          </w:tcPr>
          <w:p w14:paraId="4DD2FDA7" w14:textId="77777777" w:rsidR="00E47AB8" w:rsidRPr="008B2F8A" w:rsidRDefault="00E47AB8" w:rsidP="00D2496B">
            <w:pPr>
              <w:pStyle w:val="TableText0"/>
              <w:spacing w:before="40" w:after="80"/>
              <w:ind w:right="112"/>
              <w:jc w:val="right"/>
            </w:pPr>
            <w:r w:rsidRPr="008B2F8A">
              <w:t xml:space="preserve"> 147 </w:t>
            </w:r>
          </w:p>
        </w:tc>
        <w:tc>
          <w:tcPr>
            <w:tcW w:w="988" w:type="dxa"/>
            <w:noWrap/>
            <w:hideMark/>
          </w:tcPr>
          <w:p w14:paraId="3259D62C" w14:textId="77777777" w:rsidR="00E47AB8" w:rsidRPr="008B2F8A" w:rsidRDefault="00E47AB8" w:rsidP="00D2496B">
            <w:pPr>
              <w:pStyle w:val="TableText0"/>
              <w:spacing w:before="40" w:after="80"/>
              <w:ind w:right="112"/>
              <w:jc w:val="right"/>
            </w:pPr>
            <w:r w:rsidRPr="008B2F8A">
              <w:t xml:space="preserve"> 186 </w:t>
            </w:r>
          </w:p>
        </w:tc>
        <w:tc>
          <w:tcPr>
            <w:tcW w:w="988" w:type="dxa"/>
            <w:noWrap/>
            <w:hideMark/>
          </w:tcPr>
          <w:p w14:paraId="3B7A1C0B" w14:textId="77777777" w:rsidR="00E47AB8" w:rsidRPr="008B2F8A" w:rsidRDefault="00E47AB8" w:rsidP="00D2496B">
            <w:pPr>
              <w:pStyle w:val="TableText0"/>
              <w:spacing w:before="40" w:after="80"/>
              <w:ind w:right="112"/>
              <w:jc w:val="right"/>
            </w:pPr>
            <w:r w:rsidRPr="008B2F8A">
              <w:t xml:space="preserve"> 207 </w:t>
            </w:r>
          </w:p>
        </w:tc>
      </w:tr>
      <w:tr w:rsidR="00E47AB8" w:rsidRPr="008B2F8A" w14:paraId="7BCAE57E" w14:textId="77777777" w:rsidTr="00D2496B">
        <w:tc>
          <w:tcPr>
            <w:tcW w:w="4186" w:type="dxa"/>
            <w:noWrap/>
            <w:hideMark/>
          </w:tcPr>
          <w:p w14:paraId="52E2AD68" w14:textId="77777777" w:rsidR="00E47AB8" w:rsidRPr="008B2F8A" w:rsidRDefault="00E47AB8" w:rsidP="00422306">
            <w:pPr>
              <w:pStyle w:val="TableText0"/>
              <w:spacing w:before="40" w:after="80" w:line="276" w:lineRule="auto"/>
            </w:pPr>
            <w:r w:rsidRPr="008B2F8A">
              <w:t>Number of additional false-positive findings with MRI</w:t>
            </w:r>
          </w:p>
        </w:tc>
        <w:tc>
          <w:tcPr>
            <w:tcW w:w="988" w:type="dxa"/>
            <w:noWrap/>
            <w:hideMark/>
          </w:tcPr>
          <w:p w14:paraId="5D234D30" w14:textId="77777777" w:rsidR="00E47AB8" w:rsidRPr="008B2F8A" w:rsidRDefault="00E47AB8" w:rsidP="00D2496B">
            <w:pPr>
              <w:pStyle w:val="TableText0"/>
              <w:spacing w:before="40" w:after="80"/>
              <w:ind w:right="112"/>
              <w:jc w:val="right"/>
            </w:pPr>
            <w:r w:rsidRPr="008B2F8A">
              <w:t xml:space="preserve"> 99 </w:t>
            </w:r>
          </w:p>
        </w:tc>
        <w:tc>
          <w:tcPr>
            <w:tcW w:w="988" w:type="dxa"/>
            <w:noWrap/>
            <w:hideMark/>
          </w:tcPr>
          <w:p w14:paraId="2E55258C" w14:textId="77777777" w:rsidR="00E47AB8" w:rsidRPr="008B2F8A" w:rsidRDefault="00E47AB8" w:rsidP="00D2496B">
            <w:pPr>
              <w:pStyle w:val="TableText0"/>
              <w:spacing w:before="40" w:after="80"/>
              <w:ind w:right="112"/>
              <w:jc w:val="right"/>
            </w:pPr>
            <w:r w:rsidRPr="008B2F8A">
              <w:t xml:space="preserve"> 151 </w:t>
            </w:r>
          </w:p>
        </w:tc>
        <w:tc>
          <w:tcPr>
            <w:tcW w:w="988" w:type="dxa"/>
            <w:noWrap/>
            <w:hideMark/>
          </w:tcPr>
          <w:p w14:paraId="138E300C" w14:textId="77777777" w:rsidR="00E47AB8" w:rsidRPr="008B2F8A" w:rsidRDefault="00E47AB8" w:rsidP="00D2496B">
            <w:pPr>
              <w:pStyle w:val="TableText0"/>
              <w:spacing w:before="40" w:after="80"/>
              <w:ind w:right="112"/>
              <w:jc w:val="right"/>
            </w:pPr>
            <w:r w:rsidRPr="008B2F8A">
              <w:t xml:space="preserve"> 205 </w:t>
            </w:r>
          </w:p>
        </w:tc>
        <w:tc>
          <w:tcPr>
            <w:tcW w:w="988" w:type="dxa"/>
            <w:noWrap/>
            <w:hideMark/>
          </w:tcPr>
          <w:p w14:paraId="50D5FB13" w14:textId="77777777" w:rsidR="00E47AB8" w:rsidRPr="008B2F8A" w:rsidRDefault="00E47AB8" w:rsidP="00D2496B">
            <w:pPr>
              <w:pStyle w:val="TableText0"/>
              <w:spacing w:before="40" w:after="80"/>
              <w:ind w:right="112"/>
              <w:jc w:val="right"/>
            </w:pPr>
            <w:r w:rsidRPr="008B2F8A">
              <w:t xml:space="preserve"> 261 </w:t>
            </w:r>
          </w:p>
        </w:tc>
        <w:tc>
          <w:tcPr>
            <w:tcW w:w="988" w:type="dxa"/>
            <w:noWrap/>
            <w:hideMark/>
          </w:tcPr>
          <w:p w14:paraId="3C0DE304" w14:textId="77777777" w:rsidR="00E47AB8" w:rsidRPr="008B2F8A" w:rsidRDefault="00E47AB8" w:rsidP="00D2496B">
            <w:pPr>
              <w:pStyle w:val="TableText0"/>
              <w:spacing w:before="40" w:after="80"/>
              <w:ind w:right="112"/>
              <w:jc w:val="right"/>
            </w:pPr>
            <w:r w:rsidRPr="008B2F8A">
              <w:t xml:space="preserve"> 290 </w:t>
            </w:r>
          </w:p>
        </w:tc>
      </w:tr>
      <w:tr w:rsidR="00E47AB8" w:rsidRPr="008B2F8A" w14:paraId="1543E0CC" w14:textId="77777777" w:rsidTr="00D2496B">
        <w:tc>
          <w:tcPr>
            <w:tcW w:w="4186" w:type="dxa"/>
            <w:noWrap/>
            <w:hideMark/>
          </w:tcPr>
          <w:p w14:paraId="31D31932" w14:textId="77777777" w:rsidR="00E47AB8" w:rsidRPr="008B2F8A" w:rsidRDefault="00E47AB8" w:rsidP="00422306">
            <w:pPr>
              <w:pStyle w:val="TableText0"/>
              <w:spacing w:before="40" w:after="80" w:line="276" w:lineRule="auto"/>
            </w:pPr>
            <w:r w:rsidRPr="008B2F8A">
              <w:t>Number of additional positive findings with MRI</w:t>
            </w:r>
          </w:p>
        </w:tc>
        <w:tc>
          <w:tcPr>
            <w:tcW w:w="988" w:type="dxa"/>
            <w:noWrap/>
            <w:hideMark/>
          </w:tcPr>
          <w:p w14:paraId="0A7A67E9" w14:textId="77777777" w:rsidR="00E47AB8" w:rsidRPr="008B2F8A" w:rsidRDefault="00E47AB8" w:rsidP="00D2496B">
            <w:pPr>
              <w:pStyle w:val="TableText0"/>
              <w:spacing w:before="40" w:after="80"/>
              <w:ind w:right="112"/>
              <w:jc w:val="right"/>
            </w:pPr>
            <w:r w:rsidRPr="008B2F8A">
              <w:t xml:space="preserve"> 102 </w:t>
            </w:r>
          </w:p>
        </w:tc>
        <w:tc>
          <w:tcPr>
            <w:tcW w:w="988" w:type="dxa"/>
            <w:noWrap/>
            <w:hideMark/>
          </w:tcPr>
          <w:p w14:paraId="14F119D5" w14:textId="77777777" w:rsidR="00E47AB8" w:rsidRPr="008B2F8A" w:rsidRDefault="00E47AB8" w:rsidP="00D2496B">
            <w:pPr>
              <w:pStyle w:val="TableText0"/>
              <w:spacing w:before="40" w:after="80"/>
              <w:ind w:right="112"/>
              <w:jc w:val="right"/>
            </w:pPr>
            <w:r w:rsidRPr="008B2F8A">
              <w:t xml:space="preserve"> 156 </w:t>
            </w:r>
          </w:p>
        </w:tc>
        <w:tc>
          <w:tcPr>
            <w:tcW w:w="988" w:type="dxa"/>
            <w:noWrap/>
            <w:hideMark/>
          </w:tcPr>
          <w:p w14:paraId="0078BF19" w14:textId="77777777" w:rsidR="00E47AB8" w:rsidRPr="008B2F8A" w:rsidRDefault="00E47AB8" w:rsidP="00D2496B">
            <w:pPr>
              <w:pStyle w:val="TableText0"/>
              <w:spacing w:before="40" w:after="80"/>
              <w:ind w:right="112"/>
              <w:jc w:val="right"/>
            </w:pPr>
            <w:r w:rsidRPr="008B2F8A">
              <w:t xml:space="preserve"> 211 </w:t>
            </w:r>
          </w:p>
        </w:tc>
        <w:tc>
          <w:tcPr>
            <w:tcW w:w="988" w:type="dxa"/>
            <w:noWrap/>
            <w:hideMark/>
          </w:tcPr>
          <w:p w14:paraId="3347D6D5" w14:textId="77777777" w:rsidR="00E47AB8" w:rsidRPr="008B2F8A" w:rsidRDefault="00E47AB8" w:rsidP="00D2496B">
            <w:pPr>
              <w:pStyle w:val="TableText0"/>
              <w:spacing w:before="40" w:after="80"/>
              <w:ind w:right="112"/>
              <w:jc w:val="right"/>
            </w:pPr>
            <w:r w:rsidRPr="008B2F8A">
              <w:t xml:space="preserve"> 269 </w:t>
            </w:r>
          </w:p>
        </w:tc>
        <w:tc>
          <w:tcPr>
            <w:tcW w:w="988" w:type="dxa"/>
            <w:noWrap/>
            <w:hideMark/>
          </w:tcPr>
          <w:p w14:paraId="66097E6C" w14:textId="77777777" w:rsidR="00E47AB8" w:rsidRPr="008B2F8A" w:rsidRDefault="00E47AB8" w:rsidP="00D2496B">
            <w:pPr>
              <w:pStyle w:val="TableText0"/>
              <w:spacing w:before="40" w:after="80"/>
              <w:ind w:right="112"/>
              <w:jc w:val="right"/>
            </w:pPr>
            <w:r w:rsidRPr="008B2F8A">
              <w:t xml:space="preserve"> 298 </w:t>
            </w:r>
          </w:p>
        </w:tc>
      </w:tr>
    </w:tbl>
    <w:p w14:paraId="562B8CFF" w14:textId="32C47B48" w:rsidR="00E47AB8" w:rsidRPr="008B2F8A" w:rsidRDefault="00E47AB8" w:rsidP="00F56FD1">
      <w:pPr>
        <w:pStyle w:val="TableNotesFirst"/>
      </w:pPr>
      <w:r w:rsidRPr="008B2F8A">
        <w:t>DCIS = ductal carcinoma in situ; LCIS = lobular carcinoma in situ; FY = financial year; MAM = mammography; MRI = magnetic resonance imaging.</w:t>
      </w:r>
      <w:r w:rsidR="00F56FD1">
        <w:t xml:space="preserve"> </w:t>
      </w:r>
      <w:r w:rsidRPr="008B2F8A">
        <w:t>Note: Rounding has been applied.</w:t>
      </w:r>
    </w:p>
    <w:p w14:paraId="5FCD01FB" w14:textId="77777777" w:rsidR="00E47AB8" w:rsidRPr="008B2F8A" w:rsidRDefault="00E47AB8" w:rsidP="00422306">
      <w:pPr>
        <w:pStyle w:val="Caption"/>
      </w:pPr>
      <w:r w:rsidRPr="008B2F8A">
        <w:lastRenderedPageBreak/>
        <w:t>Women with a prior history of chest irradiation.</w:t>
      </w:r>
    </w:p>
    <w:tbl>
      <w:tblPr>
        <w:tblStyle w:val="TableGrid"/>
        <w:tblW w:w="9070" w:type="dxa"/>
        <w:tblCellMar>
          <w:left w:w="28" w:type="dxa"/>
          <w:right w:w="28" w:type="dxa"/>
        </w:tblCellMar>
        <w:tblLook w:val="04A0" w:firstRow="1" w:lastRow="0" w:firstColumn="1" w:lastColumn="0" w:noHBand="0" w:noVBand="1"/>
        <w:tblCaption w:val="Women with a prior history of chest irradiation."/>
      </w:tblPr>
      <w:tblGrid>
        <w:gridCol w:w="4186"/>
        <w:gridCol w:w="988"/>
        <w:gridCol w:w="988"/>
        <w:gridCol w:w="988"/>
        <w:gridCol w:w="988"/>
        <w:gridCol w:w="988"/>
      </w:tblGrid>
      <w:tr w:rsidR="00E47AB8" w:rsidRPr="008B2F8A" w14:paraId="604EF64A" w14:textId="77777777" w:rsidTr="00D2496B">
        <w:trPr>
          <w:tblHeader/>
        </w:trPr>
        <w:tc>
          <w:tcPr>
            <w:tcW w:w="4186" w:type="dxa"/>
            <w:noWrap/>
            <w:hideMark/>
          </w:tcPr>
          <w:p w14:paraId="56D1D0E0" w14:textId="77777777" w:rsidR="00E47AB8" w:rsidRPr="008B2F8A" w:rsidRDefault="00E47AB8" w:rsidP="00422306">
            <w:pPr>
              <w:pStyle w:val="TableText0"/>
              <w:spacing w:before="40" w:after="80" w:line="276" w:lineRule="auto"/>
              <w:rPr>
                <w:b/>
              </w:rPr>
            </w:pPr>
            <w:r w:rsidRPr="008B2F8A">
              <w:rPr>
                <w:b/>
              </w:rPr>
              <w:t>Population</w:t>
            </w:r>
          </w:p>
        </w:tc>
        <w:tc>
          <w:tcPr>
            <w:tcW w:w="988" w:type="dxa"/>
            <w:noWrap/>
            <w:hideMark/>
          </w:tcPr>
          <w:p w14:paraId="4A470148" w14:textId="77777777" w:rsidR="00E47AB8" w:rsidRPr="008B2F8A" w:rsidRDefault="00E47AB8" w:rsidP="00422306">
            <w:pPr>
              <w:pStyle w:val="TableText0"/>
              <w:spacing w:before="40" w:after="80" w:line="276" w:lineRule="auto"/>
              <w:jc w:val="center"/>
              <w:rPr>
                <w:b/>
              </w:rPr>
            </w:pPr>
            <w:r w:rsidRPr="008B2F8A">
              <w:rPr>
                <w:b/>
              </w:rPr>
              <w:t>FY 2015</w:t>
            </w:r>
          </w:p>
        </w:tc>
        <w:tc>
          <w:tcPr>
            <w:tcW w:w="988" w:type="dxa"/>
            <w:noWrap/>
            <w:hideMark/>
          </w:tcPr>
          <w:p w14:paraId="2109142E" w14:textId="77777777" w:rsidR="00E47AB8" w:rsidRPr="008B2F8A" w:rsidRDefault="00E47AB8" w:rsidP="00422306">
            <w:pPr>
              <w:pStyle w:val="TableText0"/>
              <w:spacing w:before="40" w:after="80" w:line="276" w:lineRule="auto"/>
              <w:jc w:val="center"/>
              <w:rPr>
                <w:b/>
              </w:rPr>
            </w:pPr>
            <w:r w:rsidRPr="008B2F8A">
              <w:rPr>
                <w:b/>
              </w:rPr>
              <w:t>FY 2016</w:t>
            </w:r>
          </w:p>
        </w:tc>
        <w:tc>
          <w:tcPr>
            <w:tcW w:w="988" w:type="dxa"/>
            <w:noWrap/>
            <w:hideMark/>
          </w:tcPr>
          <w:p w14:paraId="7457E733" w14:textId="77777777" w:rsidR="00E47AB8" w:rsidRPr="008B2F8A" w:rsidRDefault="00E47AB8" w:rsidP="00422306">
            <w:pPr>
              <w:pStyle w:val="TableText0"/>
              <w:spacing w:before="40" w:after="80" w:line="276" w:lineRule="auto"/>
              <w:jc w:val="center"/>
              <w:rPr>
                <w:b/>
              </w:rPr>
            </w:pPr>
            <w:r w:rsidRPr="008B2F8A">
              <w:rPr>
                <w:b/>
              </w:rPr>
              <w:t>FY 2017</w:t>
            </w:r>
          </w:p>
        </w:tc>
        <w:tc>
          <w:tcPr>
            <w:tcW w:w="988" w:type="dxa"/>
            <w:noWrap/>
            <w:hideMark/>
          </w:tcPr>
          <w:p w14:paraId="6B4D7C19" w14:textId="77777777" w:rsidR="00E47AB8" w:rsidRPr="008B2F8A" w:rsidRDefault="00E47AB8" w:rsidP="00422306">
            <w:pPr>
              <w:pStyle w:val="TableText0"/>
              <w:spacing w:before="40" w:after="80" w:line="276" w:lineRule="auto"/>
              <w:jc w:val="center"/>
              <w:rPr>
                <w:b/>
              </w:rPr>
            </w:pPr>
            <w:r w:rsidRPr="008B2F8A">
              <w:rPr>
                <w:b/>
              </w:rPr>
              <w:t>FY 2018</w:t>
            </w:r>
          </w:p>
        </w:tc>
        <w:tc>
          <w:tcPr>
            <w:tcW w:w="988" w:type="dxa"/>
            <w:noWrap/>
            <w:hideMark/>
          </w:tcPr>
          <w:p w14:paraId="169EAC91" w14:textId="77777777" w:rsidR="00E47AB8" w:rsidRPr="008B2F8A" w:rsidRDefault="00E47AB8" w:rsidP="00422306">
            <w:pPr>
              <w:pStyle w:val="TableText0"/>
              <w:spacing w:before="40" w:after="80" w:line="276" w:lineRule="auto"/>
              <w:jc w:val="center"/>
              <w:rPr>
                <w:b/>
              </w:rPr>
            </w:pPr>
            <w:r w:rsidRPr="008B2F8A">
              <w:rPr>
                <w:b/>
              </w:rPr>
              <w:t>FY 2019</w:t>
            </w:r>
          </w:p>
        </w:tc>
      </w:tr>
      <w:tr w:rsidR="00E47AB8" w:rsidRPr="008B2F8A" w14:paraId="73AF798D" w14:textId="77777777" w:rsidTr="00D2496B">
        <w:tc>
          <w:tcPr>
            <w:tcW w:w="4186" w:type="dxa"/>
            <w:noWrap/>
            <w:hideMark/>
          </w:tcPr>
          <w:p w14:paraId="504B56E3" w14:textId="77777777" w:rsidR="00E47AB8" w:rsidRPr="008B2F8A" w:rsidRDefault="00E47AB8" w:rsidP="00422306">
            <w:pPr>
              <w:pStyle w:val="TableText0"/>
              <w:spacing w:before="40" w:after="80" w:line="276" w:lineRule="auto"/>
            </w:pPr>
            <w:r w:rsidRPr="008B2F8A">
              <w:t>Number of women with a history of chest irradiation</w:t>
            </w:r>
          </w:p>
        </w:tc>
        <w:tc>
          <w:tcPr>
            <w:tcW w:w="988" w:type="dxa"/>
            <w:noWrap/>
            <w:hideMark/>
          </w:tcPr>
          <w:p w14:paraId="755132C8" w14:textId="77777777" w:rsidR="00E47AB8" w:rsidRPr="008B2F8A" w:rsidRDefault="00E47AB8" w:rsidP="00D2496B">
            <w:pPr>
              <w:pStyle w:val="TableText0"/>
              <w:spacing w:before="40" w:after="80"/>
              <w:ind w:right="148"/>
              <w:jc w:val="right"/>
            </w:pPr>
            <w:r w:rsidRPr="008B2F8A">
              <w:t xml:space="preserve"> 1,000 </w:t>
            </w:r>
          </w:p>
        </w:tc>
        <w:tc>
          <w:tcPr>
            <w:tcW w:w="988" w:type="dxa"/>
            <w:noWrap/>
            <w:hideMark/>
          </w:tcPr>
          <w:p w14:paraId="47160736" w14:textId="77777777" w:rsidR="00E47AB8" w:rsidRPr="008B2F8A" w:rsidRDefault="00E47AB8" w:rsidP="00D2496B">
            <w:pPr>
              <w:pStyle w:val="TableText0"/>
              <w:spacing w:before="40" w:after="80"/>
              <w:ind w:right="148"/>
              <w:jc w:val="right"/>
            </w:pPr>
            <w:r w:rsidRPr="008B2F8A">
              <w:t xml:space="preserve"> 1,017 </w:t>
            </w:r>
          </w:p>
        </w:tc>
        <w:tc>
          <w:tcPr>
            <w:tcW w:w="988" w:type="dxa"/>
            <w:noWrap/>
            <w:hideMark/>
          </w:tcPr>
          <w:p w14:paraId="331F7377" w14:textId="77777777" w:rsidR="00E47AB8" w:rsidRPr="008B2F8A" w:rsidRDefault="00E47AB8" w:rsidP="00D2496B">
            <w:pPr>
              <w:pStyle w:val="TableText0"/>
              <w:spacing w:before="40" w:after="80"/>
              <w:ind w:right="148"/>
              <w:jc w:val="right"/>
            </w:pPr>
            <w:r w:rsidRPr="008B2F8A">
              <w:t xml:space="preserve"> 1,034 </w:t>
            </w:r>
          </w:p>
        </w:tc>
        <w:tc>
          <w:tcPr>
            <w:tcW w:w="988" w:type="dxa"/>
            <w:noWrap/>
            <w:hideMark/>
          </w:tcPr>
          <w:p w14:paraId="589D75B2" w14:textId="77777777" w:rsidR="00E47AB8" w:rsidRPr="008B2F8A" w:rsidRDefault="00E47AB8" w:rsidP="00D2496B">
            <w:pPr>
              <w:pStyle w:val="TableText0"/>
              <w:spacing w:before="40" w:after="80"/>
              <w:ind w:right="148"/>
              <w:jc w:val="right"/>
            </w:pPr>
            <w:r w:rsidRPr="008B2F8A">
              <w:t xml:space="preserve"> 1,052 </w:t>
            </w:r>
          </w:p>
        </w:tc>
        <w:tc>
          <w:tcPr>
            <w:tcW w:w="988" w:type="dxa"/>
            <w:noWrap/>
            <w:hideMark/>
          </w:tcPr>
          <w:p w14:paraId="2BB902DC" w14:textId="77777777" w:rsidR="00E47AB8" w:rsidRPr="008B2F8A" w:rsidRDefault="00E47AB8" w:rsidP="00D2496B">
            <w:pPr>
              <w:pStyle w:val="TableText0"/>
              <w:spacing w:before="40" w:after="80"/>
              <w:ind w:right="148"/>
              <w:jc w:val="right"/>
            </w:pPr>
            <w:r w:rsidRPr="008B2F8A">
              <w:t xml:space="preserve"> 1,070 </w:t>
            </w:r>
          </w:p>
        </w:tc>
      </w:tr>
      <w:tr w:rsidR="00E47AB8" w:rsidRPr="008B2F8A" w14:paraId="16C639C2" w14:textId="77777777" w:rsidTr="00D2496B">
        <w:tc>
          <w:tcPr>
            <w:tcW w:w="4186" w:type="dxa"/>
            <w:noWrap/>
            <w:hideMark/>
          </w:tcPr>
          <w:p w14:paraId="2DD708F0" w14:textId="77777777" w:rsidR="00E47AB8" w:rsidRPr="008B2F8A" w:rsidRDefault="00E47AB8" w:rsidP="00422306">
            <w:pPr>
              <w:pStyle w:val="TableText0"/>
              <w:spacing w:before="40" w:after="80" w:line="276" w:lineRule="auto"/>
            </w:pPr>
            <w:r w:rsidRPr="008B2F8A">
              <w:t>Number who take up MRI screening</w:t>
            </w:r>
          </w:p>
        </w:tc>
        <w:tc>
          <w:tcPr>
            <w:tcW w:w="988" w:type="dxa"/>
            <w:noWrap/>
            <w:hideMark/>
          </w:tcPr>
          <w:p w14:paraId="2D7EBCA0" w14:textId="77777777" w:rsidR="00E47AB8" w:rsidRPr="008B2F8A" w:rsidRDefault="00E47AB8" w:rsidP="00D2496B">
            <w:pPr>
              <w:pStyle w:val="TableText0"/>
              <w:spacing w:before="40" w:after="80"/>
              <w:ind w:right="148"/>
              <w:jc w:val="right"/>
            </w:pPr>
            <w:r w:rsidRPr="008B2F8A">
              <w:t xml:space="preserve"> 70 </w:t>
            </w:r>
          </w:p>
        </w:tc>
        <w:tc>
          <w:tcPr>
            <w:tcW w:w="988" w:type="dxa"/>
            <w:noWrap/>
            <w:hideMark/>
          </w:tcPr>
          <w:p w14:paraId="72170D01" w14:textId="77777777" w:rsidR="00E47AB8" w:rsidRPr="008B2F8A" w:rsidRDefault="00E47AB8" w:rsidP="00D2496B">
            <w:pPr>
              <w:pStyle w:val="TableText0"/>
              <w:spacing w:before="40" w:after="80"/>
              <w:ind w:right="148"/>
              <w:jc w:val="right"/>
            </w:pPr>
            <w:r w:rsidRPr="008B2F8A">
              <w:t xml:space="preserve"> 142 </w:t>
            </w:r>
          </w:p>
        </w:tc>
        <w:tc>
          <w:tcPr>
            <w:tcW w:w="988" w:type="dxa"/>
            <w:noWrap/>
            <w:hideMark/>
          </w:tcPr>
          <w:p w14:paraId="795AD91E" w14:textId="77777777" w:rsidR="00E47AB8" w:rsidRPr="008B2F8A" w:rsidRDefault="00E47AB8" w:rsidP="00D2496B">
            <w:pPr>
              <w:pStyle w:val="TableText0"/>
              <w:spacing w:before="40" w:after="80"/>
              <w:ind w:right="148"/>
              <w:jc w:val="right"/>
            </w:pPr>
            <w:r w:rsidRPr="008B2F8A">
              <w:t xml:space="preserve"> 217 </w:t>
            </w:r>
          </w:p>
        </w:tc>
        <w:tc>
          <w:tcPr>
            <w:tcW w:w="988" w:type="dxa"/>
            <w:noWrap/>
            <w:hideMark/>
          </w:tcPr>
          <w:p w14:paraId="2D485A8C" w14:textId="77777777" w:rsidR="00E47AB8" w:rsidRPr="008B2F8A" w:rsidRDefault="00E47AB8" w:rsidP="00D2496B">
            <w:pPr>
              <w:pStyle w:val="TableText0"/>
              <w:spacing w:before="40" w:after="80"/>
              <w:ind w:right="148"/>
              <w:jc w:val="right"/>
            </w:pPr>
            <w:r w:rsidRPr="008B2F8A">
              <w:t xml:space="preserve"> 295 </w:t>
            </w:r>
          </w:p>
        </w:tc>
        <w:tc>
          <w:tcPr>
            <w:tcW w:w="988" w:type="dxa"/>
            <w:noWrap/>
            <w:hideMark/>
          </w:tcPr>
          <w:p w14:paraId="4BC67012" w14:textId="77777777" w:rsidR="00E47AB8" w:rsidRPr="008B2F8A" w:rsidRDefault="00E47AB8" w:rsidP="00D2496B">
            <w:pPr>
              <w:pStyle w:val="TableText0"/>
              <w:spacing w:before="40" w:after="80"/>
              <w:ind w:right="148"/>
              <w:jc w:val="right"/>
            </w:pPr>
            <w:r w:rsidRPr="008B2F8A">
              <w:t xml:space="preserve"> 341 </w:t>
            </w:r>
          </w:p>
        </w:tc>
      </w:tr>
      <w:tr w:rsidR="00E47AB8" w:rsidRPr="008B2F8A" w14:paraId="5E7CBC41" w14:textId="77777777" w:rsidTr="00D2496B">
        <w:tc>
          <w:tcPr>
            <w:tcW w:w="4186" w:type="dxa"/>
            <w:noWrap/>
            <w:hideMark/>
          </w:tcPr>
          <w:p w14:paraId="4DA28B70" w14:textId="77777777" w:rsidR="00E47AB8" w:rsidRPr="008B2F8A" w:rsidRDefault="00E47AB8" w:rsidP="00422306">
            <w:pPr>
              <w:pStyle w:val="TableText0"/>
              <w:spacing w:before="40" w:after="80" w:line="276" w:lineRule="auto"/>
            </w:pPr>
            <w:r w:rsidRPr="008B2F8A">
              <w:t>Number who have follow-up MRI</w:t>
            </w:r>
          </w:p>
        </w:tc>
        <w:tc>
          <w:tcPr>
            <w:tcW w:w="988" w:type="dxa"/>
            <w:noWrap/>
            <w:hideMark/>
          </w:tcPr>
          <w:p w14:paraId="6FCC17DC" w14:textId="77777777" w:rsidR="00E47AB8" w:rsidRPr="008B2F8A" w:rsidRDefault="00E47AB8" w:rsidP="00D2496B">
            <w:pPr>
              <w:pStyle w:val="TableText0"/>
              <w:spacing w:before="40" w:after="80"/>
              <w:ind w:right="148"/>
              <w:jc w:val="right"/>
            </w:pPr>
            <w:r w:rsidRPr="008B2F8A">
              <w:t xml:space="preserve"> 5 </w:t>
            </w:r>
          </w:p>
        </w:tc>
        <w:tc>
          <w:tcPr>
            <w:tcW w:w="988" w:type="dxa"/>
            <w:noWrap/>
            <w:hideMark/>
          </w:tcPr>
          <w:p w14:paraId="03BC3A67" w14:textId="77777777" w:rsidR="00E47AB8" w:rsidRPr="008B2F8A" w:rsidRDefault="00E47AB8" w:rsidP="00D2496B">
            <w:pPr>
              <w:pStyle w:val="TableText0"/>
              <w:spacing w:before="40" w:after="80"/>
              <w:ind w:right="148"/>
              <w:jc w:val="right"/>
            </w:pPr>
            <w:r w:rsidRPr="008B2F8A">
              <w:t xml:space="preserve"> 11 </w:t>
            </w:r>
          </w:p>
        </w:tc>
        <w:tc>
          <w:tcPr>
            <w:tcW w:w="988" w:type="dxa"/>
            <w:noWrap/>
            <w:hideMark/>
          </w:tcPr>
          <w:p w14:paraId="67192F0C" w14:textId="77777777" w:rsidR="00E47AB8" w:rsidRPr="008B2F8A" w:rsidRDefault="00E47AB8" w:rsidP="00D2496B">
            <w:pPr>
              <w:pStyle w:val="TableText0"/>
              <w:spacing w:before="40" w:after="80"/>
              <w:ind w:right="148"/>
              <w:jc w:val="right"/>
            </w:pPr>
            <w:r w:rsidRPr="008B2F8A">
              <w:t xml:space="preserve"> 16 </w:t>
            </w:r>
          </w:p>
        </w:tc>
        <w:tc>
          <w:tcPr>
            <w:tcW w:w="988" w:type="dxa"/>
            <w:noWrap/>
            <w:hideMark/>
          </w:tcPr>
          <w:p w14:paraId="4C2ED0F3" w14:textId="77777777" w:rsidR="00E47AB8" w:rsidRPr="008B2F8A" w:rsidRDefault="00E47AB8" w:rsidP="00D2496B">
            <w:pPr>
              <w:pStyle w:val="TableText0"/>
              <w:spacing w:before="40" w:after="80"/>
              <w:ind w:right="148"/>
              <w:jc w:val="right"/>
            </w:pPr>
            <w:r w:rsidRPr="008B2F8A">
              <w:t xml:space="preserve"> 22 </w:t>
            </w:r>
          </w:p>
        </w:tc>
        <w:tc>
          <w:tcPr>
            <w:tcW w:w="988" w:type="dxa"/>
            <w:noWrap/>
            <w:hideMark/>
          </w:tcPr>
          <w:p w14:paraId="3B12E234" w14:textId="77777777" w:rsidR="00E47AB8" w:rsidRPr="008B2F8A" w:rsidRDefault="00E47AB8" w:rsidP="00D2496B">
            <w:pPr>
              <w:pStyle w:val="TableText0"/>
              <w:spacing w:before="40" w:after="80"/>
              <w:ind w:right="148"/>
              <w:jc w:val="right"/>
            </w:pPr>
            <w:r w:rsidRPr="008B2F8A">
              <w:t xml:space="preserve"> 25 </w:t>
            </w:r>
          </w:p>
        </w:tc>
      </w:tr>
      <w:tr w:rsidR="00E47AB8" w:rsidRPr="008B2F8A" w14:paraId="3C823D49" w14:textId="77777777" w:rsidTr="00D2496B">
        <w:tc>
          <w:tcPr>
            <w:tcW w:w="4186" w:type="dxa"/>
            <w:noWrap/>
            <w:hideMark/>
          </w:tcPr>
          <w:p w14:paraId="724F01DF" w14:textId="77777777" w:rsidR="00E47AB8" w:rsidRPr="008B2F8A" w:rsidRDefault="00E47AB8" w:rsidP="00422306">
            <w:pPr>
              <w:pStyle w:val="TableText0"/>
              <w:spacing w:before="40" w:after="80" w:line="276" w:lineRule="auto"/>
            </w:pPr>
            <w:r w:rsidRPr="008B2F8A">
              <w:t>Number of ultrasounds replaced</w:t>
            </w:r>
          </w:p>
        </w:tc>
        <w:tc>
          <w:tcPr>
            <w:tcW w:w="988" w:type="dxa"/>
            <w:noWrap/>
            <w:hideMark/>
          </w:tcPr>
          <w:p w14:paraId="5C07B64E" w14:textId="77777777" w:rsidR="00E47AB8" w:rsidRPr="008B2F8A" w:rsidRDefault="00E47AB8" w:rsidP="00D2496B">
            <w:pPr>
              <w:pStyle w:val="TableText0"/>
              <w:spacing w:before="40" w:after="80"/>
              <w:ind w:right="148"/>
              <w:jc w:val="right"/>
            </w:pPr>
            <w:r w:rsidRPr="008B2F8A">
              <w:t xml:space="preserve"> 18 </w:t>
            </w:r>
          </w:p>
        </w:tc>
        <w:tc>
          <w:tcPr>
            <w:tcW w:w="988" w:type="dxa"/>
            <w:noWrap/>
            <w:hideMark/>
          </w:tcPr>
          <w:p w14:paraId="2EE9B690" w14:textId="77777777" w:rsidR="00E47AB8" w:rsidRPr="008B2F8A" w:rsidRDefault="00E47AB8" w:rsidP="00D2496B">
            <w:pPr>
              <w:pStyle w:val="TableText0"/>
              <w:spacing w:before="40" w:after="80"/>
              <w:ind w:right="148"/>
              <w:jc w:val="right"/>
            </w:pPr>
            <w:r w:rsidRPr="008B2F8A">
              <w:t xml:space="preserve"> 36 </w:t>
            </w:r>
          </w:p>
        </w:tc>
        <w:tc>
          <w:tcPr>
            <w:tcW w:w="988" w:type="dxa"/>
            <w:noWrap/>
            <w:hideMark/>
          </w:tcPr>
          <w:p w14:paraId="570D7F30" w14:textId="77777777" w:rsidR="00E47AB8" w:rsidRPr="008B2F8A" w:rsidRDefault="00E47AB8" w:rsidP="00D2496B">
            <w:pPr>
              <w:pStyle w:val="TableText0"/>
              <w:spacing w:before="40" w:after="80"/>
              <w:ind w:right="148"/>
              <w:jc w:val="right"/>
            </w:pPr>
            <w:r w:rsidRPr="008B2F8A">
              <w:t xml:space="preserve"> 54 </w:t>
            </w:r>
          </w:p>
        </w:tc>
        <w:tc>
          <w:tcPr>
            <w:tcW w:w="988" w:type="dxa"/>
            <w:noWrap/>
            <w:hideMark/>
          </w:tcPr>
          <w:p w14:paraId="3BD53C37" w14:textId="77777777" w:rsidR="00E47AB8" w:rsidRPr="008B2F8A" w:rsidRDefault="00E47AB8" w:rsidP="00D2496B">
            <w:pPr>
              <w:pStyle w:val="TableText0"/>
              <w:spacing w:before="40" w:after="80"/>
              <w:ind w:right="148"/>
              <w:jc w:val="right"/>
            </w:pPr>
            <w:r w:rsidRPr="008B2F8A">
              <w:t xml:space="preserve"> 74 </w:t>
            </w:r>
          </w:p>
        </w:tc>
        <w:tc>
          <w:tcPr>
            <w:tcW w:w="988" w:type="dxa"/>
            <w:noWrap/>
            <w:hideMark/>
          </w:tcPr>
          <w:p w14:paraId="7E73D368" w14:textId="77777777" w:rsidR="00E47AB8" w:rsidRPr="008B2F8A" w:rsidRDefault="00E47AB8" w:rsidP="00D2496B">
            <w:pPr>
              <w:pStyle w:val="TableText0"/>
              <w:spacing w:before="40" w:after="80"/>
              <w:ind w:right="148"/>
              <w:jc w:val="right"/>
            </w:pPr>
            <w:r w:rsidRPr="008B2F8A">
              <w:t xml:space="preserve"> 85 </w:t>
            </w:r>
          </w:p>
        </w:tc>
      </w:tr>
      <w:tr w:rsidR="00E47AB8" w:rsidRPr="008B2F8A" w14:paraId="100614AA" w14:textId="77777777" w:rsidTr="00D2496B">
        <w:tc>
          <w:tcPr>
            <w:tcW w:w="4186" w:type="dxa"/>
            <w:noWrap/>
            <w:hideMark/>
          </w:tcPr>
          <w:p w14:paraId="6B75E0C6" w14:textId="77777777" w:rsidR="00E47AB8" w:rsidRPr="008B2F8A" w:rsidRDefault="00E47AB8" w:rsidP="00422306">
            <w:pPr>
              <w:pStyle w:val="TableText0"/>
              <w:spacing w:before="40" w:after="80" w:line="276" w:lineRule="auto"/>
            </w:pPr>
            <w:r w:rsidRPr="008B2F8A">
              <w:t>Number of screened women with breast cancer</w:t>
            </w:r>
          </w:p>
        </w:tc>
        <w:tc>
          <w:tcPr>
            <w:tcW w:w="988" w:type="dxa"/>
            <w:noWrap/>
            <w:hideMark/>
          </w:tcPr>
          <w:p w14:paraId="243D022B"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5388F75F"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4886E9DA"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7AC63113"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2055A0C9" w14:textId="77777777" w:rsidR="00E47AB8" w:rsidRPr="008B2F8A" w:rsidRDefault="00E47AB8" w:rsidP="00D2496B">
            <w:pPr>
              <w:pStyle w:val="TableText0"/>
              <w:spacing w:before="40" w:after="80"/>
              <w:ind w:right="148"/>
              <w:jc w:val="right"/>
            </w:pPr>
            <w:r w:rsidRPr="008B2F8A">
              <w:t xml:space="preserve"> 0 </w:t>
            </w:r>
          </w:p>
        </w:tc>
      </w:tr>
      <w:tr w:rsidR="00E47AB8" w:rsidRPr="008B2F8A" w14:paraId="38F4B1A6" w14:textId="77777777" w:rsidTr="00D2496B">
        <w:tc>
          <w:tcPr>
            <w:tcW w:w="4186" w:type="dxa"/>
            <w:noWrap/>
            <w:hideMark/>
          </w:tcPr>
          <w:p w14:paraId="545388D6" w14:textId="77777777" w:rsidR="00E47AB8" w:rsidRPr="008B2F8A" w:rsidRDefault="00E47AB8" w:rsidP="00422306">
            <w:pPr>
              <w:pStyle w:val="TableText0"/>
              <w:spacing w:before="40" w:after="80" w:line="276" w:lineRule="auto"/>
            </w:pPr>
            <w:r w:rsidRPr="008B2F8A">
              <w:t>Number of screened women without breast cancer</w:t>
            </w:r>
          </w:p>
        </w:tc>
        <w:tc>
          <w:tcPr>
            <w:tcW w:w="988" w:type="dxa"/>
            <w:noWrap/>
            <w:hideMark/>
          </w:tcPr>
          <w:p w14:paraId="23B553BC" w14:textId="77777777" w:rsidR="00E47AB8" w:rsidRPr="008B2F8A" w:rsidRDefault="00E47AB8" w:rsidP="00D2496B">
            <w:pPr>
              <w:pStyle w:val="TableText0"/>
              <w:spacing w:before="40" w:after="80"/>
              <w:ind w:right="148"/>
              <w:jc w:val="right"/>
            </w:pPr>
            <w:r w:rsidRPr="008B2F8A">
              <w:t xml:space="preserve"> 70 </w:t>
            </w:r>
          </w:p>
        </w:tc>
        <w:tc>
          <w:tcPr>
            <w:tcW w:w="988" w:type="dxa"/>
            <w:noWrap/>
            <w:hideMark/>
          </w:tcPr>
          <w:p w14:paraId="7E5A0C8A" w14:textId="77777777" w:rsidR="00E47AB8" w:rsidRPr="008B2F8A" w:rsidRDefault="00E47AB8" w:rsidP="00D2496B">
            <w:pPr>
              <w:pStyle w:val="TableText0"/>
              <w:spacing w:before="40" w:after="80"/>
              <w:ind w:right="148"/>
              <w:jc w:val="right"/>
            </w:pPr>
            <w:r w:rsidRPr="008B2F8A">
              <w:t xml:space="preserve"> 142 </w:t>
            </w:r>
          </w:p>
        </w:tc>
        <w:tc>
          <w:tcPr>
            <w:tcW w:w="988" w:type="dxa"/>
            <w:noWrap/>
            <w:hideMark/>
          </w:tcPr>
          <w:p w14:paraId="5FA001A4" w14:textId="77777777" w:rsidR="00E47AB8" w:rsidRPr="008B2F8A" w:rsidRDefault="00E47AB8" w:rsidP="00D2496B">
            <w:pPr>
              <w:pStyle w:val="TableText0"/>
              <w:spacing w:before="40" w:after="80"/>
              <w:ind w:right="148"/>
              <w:jc w:val="right"/>
            </w:pPr>
            <w:r w:rsidRPr="008B2F8A">
              <w:t xml:space="preserve"> 217 </w:t>
            </w:r>
          </w:p>
        </w:tc>
        <w:tc>
          <w:tcPr>
            <w:tcW w:w="988" w:type="dxa"/>
            <w:noWrap/>
            <w:hideMark/>
          </w:tcPr>
          <w:p w14:paraId="186BE5FE" w14:textId="77777777" w:rsidR="00E47AB8" w:rsidRPr="008B2F8A" w:rsidRDefault="00E47AB8" w:rsidP="00D2496B">
            <w:pPr>
              <w:pStyle w:val="TableText0"/>
              <w:spacing w:before="40" w:after="80"/>
              <w:ind w:right="148"/>
              <w:jc w:val="right"/>
            </w:pPr>
            <w:r w:rsidRPr="008B2F8A">
              <w:t xml:space="preserve"> 295 </w:t>
            </w:r>
          </w:p>
        </w:tc>
        <w:tc>
          <w:tcPr>
            <w:tcW w:w="988" w:type="dxa"/>
            <w:noWrap/>
            <w:hideMark/>
          </w:tcPr>
          <w:p w14:paraId="7E630CF3" w14:textId="77777777" w:rsidR="00E47AB8" w:rsidRPr="008B2F8A" w:rsidRDefault="00E47AB8" w:rsidP="00D2496B">
            <w:pPr>
              <w:pStyle w:val="TableText0"/>
              <w:spacing w:before="40" w:after="80"/>
              <w:ind w:right="148"/>
              <w:jc w:val="right"/>
            </w:pPr>
            <w:r w:rsidRPr="008B2F8A">
              <w:t xml:space="preserve"> 341 </w:t>
            </w:r>
          </w:p>
        </w:tc>
      </w:tr>
      <w:tr w:rsidR="00E47AB8" w:rsidRPr="008B2F8A" w14:paraId="5FE8B6C3" w14:textId="77777777" w:rsidTr="00D2496B">
        <w:tc>
          <w:tcPr>
            <w:tcW w:w="4186" w:type="dxa"/>
            <w:noWrap/>
            <w:hideMark/>
          </w:tcPr>
          <w:p w14:paraId="1E501263" w14:textId="77777777" w:rsidR="00E47AB8" w:rsidRPr="008B2F8A" w:rsidRDefault="00E47AB8" w:rsidP="00422306">
            <w:pPr>
              <w:pStyle w:val="TableText0"/>
              <w:spacing w:before="40" w:after="80" w:line="276" w:lineRule="auto"/>
            </w:pPr>
            <w:r w:rsidRPr="008B2F8A">
              <w:t>Number of true-positive findings with MRI</w:t>
            </w:r>
          </w:p>
        </w:tc>
        <w:tc>
          <w:tcPr>
            <w:tcW w:w="988" w:type="dxa"/>
            <w:noWrap/>
            <w:hideMark/>
          </w:tcPr>
          <w:p w14:paraId="00DE14B8"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62CD8586"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018845BE"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63E843B7"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607ABE70" w14:textId="77777777" w:rsidR="00E47AB8" w:rsidRPr="008B2F8A" w:rsidRDefault="00E47AB8" w:rsidP="00D2496B">
            <w:pPr>
              <w:pStyle w:val="TableText0"/>
              <w:spacing w:before="40" w:after="80"/>
              <w:ind w:right="148"/>
              <w:jc w:val="right"/>
            </w:pPr>
            <w:r w:rsidRPr="008B2F8A">
              <w:t xml:space="preserve"> 0 </w:t>
            </w:r>
          </w:p>
        </w:tc>
      </w:tr>
      <w:tr w:rsidR="00E47AB8" w:rsidRPr="008B2F8A" w14:paraId="22CDB81D" w14:textId="77777777" w:rsidTr="00D2496B">
        <w:tc>
          <w:tcPr>
            <w:tcW w:w="4186" w:type="dxa"/>
            <w:noWrap/>
            <w:hideMark/>
          </w:tcPr>
          <w:p w14:paraId="7DB83C24" w14:textId="77777777" w:rsidR="00E47AB8" w:rsidRPr="008B2F8A" w:rsidRDefault="00E47AB8" w:rsidP="00422306">
            <w:pPr>
              <w:pStyle w:val="TableText0"/>
              <w:spacing w:before="40" w:after="80" w:line="276" w:lineRule="auto"/>
            </w:pPr>
            <w:r w:rsidRPr="008B2F8A">
              <w:t>Number of true-positive findings with MAM</w:t>
            </w:r>
          </w:p>
        </w:tc>
        <w:tc>
          <w:tcPr>
            <w:tcW w:w="988" w:type="dxa"/>
            <w:noWrap/>
            <w:hideMark/>
          </w:tcPr>
          <w:p w14:paraId="1FE82119"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274A84D7"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70D6EDE4"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0071301B"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114F1B0F" w14:textId="77777777" w:rsidR="00E47AB8" w:rsidRPr="008B2F8A" w:rsidRDefault="00E47AB8" w:rsidP="00D2496B">
            <w:pPr>
              <w:pStyle w:val="TableText0"/>
              <w:spacing w:before="40" w:after="80"/>
              <w:ind w:right="148"/>
              <w:jc w:val="right"/>
            </w:pPr>
            <w:r w:rsidRPr="008B2F8A">
              <w:t xml:space="preserve"> 0 </w:t>
            </w:r>
          </w:p>
        </w:tc>
      </w:tr>
      <w:tr w:rsidR="00E47AB8" w:rsidRPr="008B2F8A" w14:paraId="065D285B" w14:textId="77777777" w:rsidTr="00D2496B">
        <w:tc>
          <w:tcPr>
            <w:tcW w:w="4186" w:type="dxa"/>
            <w:noWrap/>
            <w:hideMark/>
          </w:tcPr>
          <w:p w14:paraId="491CEF36" w14:textId="77777777" w:rsidR="00E47AB8" w:rsidRPr="008B2F8A" w:rsidRDefault="00E47AB8" w:rsidP="00422306">
            <w:pPr>
              <w:pStyle w:val="TableText0"/>
              <w:spacing w:before="40" w:after="80" w:line="276" w:lineRule="auto"/>
            </w:pPr>
            <w:r w:rsidRPr="008B2F8A">
              <w:t>Number of additional true-positive findings with MRI</w:t>
            </w:r>
          </w:p>
        </w:tc>
        <w:tc>
          <w:tcPr>
            <w:tcW w:w="988" w:type="dxa"/>
            <w:noWrap/>
            <w:hideMark/>
          </w:tcPr>
          <w:p w14:paraId="7611D56D"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2535A0D9"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15686E31"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6257FA9B" w14:textId="77777777" w:rsidR="00E47AB8" w:rsidRPr="008B2F8A" w:rsidRDefault="00E47AB8" w:rsidP="00D2496B">
            <w:pPr>
              <w:pStyle w:val="TableText0"/>
              <w:spacing w:before="40" w:after="80"/>
              <w:ind w:right="148"/>
              <w:jc w:val="right"/>
            </w:pPr>
            <w:r w:rsidRPr="008B2F8A">
              <w:t xml:space="preserve"> 0 </w:t>
            </w:r>
          </w:p>
        </w:tc>
        <w:tc>
          <w:tcPr>
            <w:tcW w:w="988" w:type="dxa"/>
            <w:noWrap/>
            <w:hideMark/>
          </w:tcPr>
          <w:p w14:paraId="6435FDF9" w14:textId="77777777" w:rsidR="00E47AB8" w:rsidRPr="008B2F8A" w:rsidRDefault="00E47AB8" w:rsidP="00D2496B">
            <w:pPr>
              <w:pStyle w:val="TableText0"/>
              <w:spacing w:before="40" w:after="80"/>
              <w:ind w:right="148"/>
              <w:jc w:val="right"/>
            </w:pPr>
            <w:r w:rsidRPr="008B2F8A">
              <w:t xml:space="preserve"> 0 </w:t>
            </w:r>
          </w:p>
        </w:tc>
      </w:tr>
      <w:tr w:rsidR="00E47AB8" w:rsidRPr="008B2F8A" w14:paraId="5208564F" w14:textId="77777777" w:rsidTr="00D2496B">
        <w:tc>
          <w:tcPr>
            <w:tcW w:w="4186" w:type="dxa"/>
            <w:noWrap/>
            <w:hideMark/>
          </w:tcPr>
          <w:p w14:paraId="3EE1D7F1" w14:textId="77777777" w:rsidR="00E47AB8" w:rsidRPr="008B2F8A" w:rsidRDefault="00E47AB8" w:rsidP="00422306">
            <w:pPr>
              <w:pStyle w:val="TableText0"/>
              <w:spacing w:before="40" w:after="80" w:line="276" w:lineRule="auto"/>
            </w:pPr>
            <w:r w:rsidRPr="008B2F8A">
              <w:t>Number of false-positive findings with MRI</w:t>
            </w:r>
          </w:p>
        </w:tc>
        <w:tc>
          <w:tcPr>
            <w:tcW w:w="988" w:type="dxa"/>
            <w:noWrap/>
            <w:hideMark/>
          </w:tcPr>
          <w:p w14:paraId="79260AD2" w14:textId="77777777" w:rsidR="00E47AB8" w:rsidRPr="008B2F8A" w:rsidRDefault="00E47AB8" w:rsidP="00D2496B">
            <w:pPr>
              <w:pStyle w:val="TableText0"/>
              <w:spacing w:before="40" w:after="80"/>
              <w:ind w:right="148"/>
              <w:jc w:val="right"/>
            </w:pPr>
            <w:r w:rsidRPr="008B2F8A">
              <w:t xml:space="preserve"> 10 </w:t>
            </w:r>
          </w:p>
        </w:tc>
        <w:tc>
          <w:tcPr>
            <w:tcW w:w="988" w:type="dxa"/>
            <w:noWrap/>
            <w:hideMark/>
          </w:tcPr>
          <w:p w14:paraId="437A0510" w14:textId="77777777" w:rsidR="00E47AB8" w:rsidRPr="008B2F8A" w:rsidRDefault="00E47AB8" w:rsidP="00D2496B">
            <w:pPr>
              <w:pStyle w:val="TableText0"/>
              <w:spacing w:before="40" w:after="80"/>
              <w:ind w:right="148"/>
              <w:jc w:val="right"/>
            </w:pPr>
            <w:r w:rsidRPr="008B2F8A">
              <w:t xml:space="preserve"> 20 </w:t>
            </w:r>
          </w:p>
        </w:tc>
        <w:tc>
          <w:tcPr>
            <w:tcW w:w="988" w:type="dxa"/>
            <w:noWrap/>
            <w:hideMark/>
          </w:tcPr>
          <w:p w14:paraId="3B210A82" w14:textId="77777777" w:rsidR="00E47AB8" w:rsidRPr="008B2F8A" w:rsidRDefault="00E47AB8" w:rsidP="00D2496B">
            <w:pPr>
              <w:pStyle w:val="TableText0"/>
              <w:spacing w:before="40" w:after="80"/>
              <w:ind w:right="148"/>
              <w:jc w:val="right"/>
            </w:pPr>
            <w:r w:rsidRPr="008B2F8A">
              <w:t xml:space="preserve"> 30 </w:t>
            </w:r>
          </w:p>
        </w:tc>
        <w:tc>
          <w:tcPr>
            <w:tcW w:w="988" w:type="dxa"/>
            <w:noWrap/>
            <w:hideMark/>
          </w:tcPr>
          <w:p w14:paraId="7D9CF2F1" w14:textId="77777777" w:rsidR="00E47AB8" w:rsidRPr="008B2F8A" w:rsidRDefault="00E47AB8" w:rsidP="00D2496B">
            <w:pPr>
              <w:pStyle w:val="TableText0"/>
              <w:spacing w:before="40" w:after="80"/>
              <w:ind w:right="148"/>
              <w:jc w:val="right"/>
            </w:pPr>
            <w:r w:rsidRPr="008B2F8A">
              <w:t xml:space="preserve"> 41 </w:t>
            </w:r>
          </w:p>
        </w:tc>
        <w:tc>
          <w:tcPr>
            <w:tcW w:w="988" w:type="dxa"/>
            <w:noWrap/>
            <w:hideMark/>
          </w:tcPr>
          <w:p w14:paraId="0920FFF7" w14:textId="77777777" w:rsidR="00E47AB8" w:rsidRPr="008B2F8A" w:rsidRDefault="00E47AB8" w:rsidP="00D2496B">
            <w:pPr>
              <w:pStyle w:val="TableText0"/>
              <w:spacing w:before="40" w:after="80"/>
              <w:ind w:right="148"/>
              <w:jc w:val="right"/>
            </w:pPr>
            <w:r w:rsidRPr="008B2F8A">
              <w:t xml:space="preserve"> 48 </w:t>
            </w:r>
          </w:p>
        </w:tc>
      </w:tr>
      <w:tr w:rsidR="00E47AB8" w:rsidRPr="008B2F8A" w14:paraId="00CC8E80" w14:textId="77777777" w:rsidTr="00D2496B">
        <w:tc>
          <w:tcPr>
            <w:tcW w:w="4186" w:type="dxa"/>
            <w:noWrap/>
            <w:hideMark/>
          </w:tcPr>
          <w:p w14:paraId="24E3FBA7" w14:textId="77777777" w:rsidR="00E47AB8" w:rsidRPr="008B2F8A" w:rsidRDefault="00E47AB8" w:rsidP="00422306">
            <w:pPr>
              <w:pStyle w:val="TableText0"/>
              <w:spacing w:before="40" w:after="80" w:line="276" w:lineRule="auto"/>
            </w:pPr>
            <w:r w:rsidRPr="008B2F8A">
              <w:t>Number of false-positive findings with MAM</w:t>
            </w:r>
          </w:p>
        </w:tc>
        <w:tc>
          <w:tcPr>
            <w:tcW w:w="988" w:type="dxa"/>
            <w:noWrap/>
            <w:hideMark/>
          </w:tcPr>
          <w:p w14:paraId="5939FF2C" w14:textId="77777777" w:rsidR="00E47AB8" w:rsidRPr="008B2F8A" w:rsidRDefault="00E47AB8" w:rsidP="00D2496B">
            <w:pPr>
              <w:pStyle w:val="TableText0"/>
              <w:spacing w:before="40" w:after="80"/>
              <w:ind w:right="148"/>
              <w:jc w:val="right"/>
            </w:pPr>
            <w:r w:rsidRPr="008B2F8A">
              <w:t xml:space="preserve"> 6 </w:t>
            </w:r>
          </w:p>
        </w:tc>
        <w:tc>
          <w:tcPr>
            <w:tcW w:w="988" w:type="dxa"/>
            <w:noWrap/>
            <w:hideMark/>
          </w:tcPr>
          <w:p w14:paraId="20FF1C18" w14:textId="77777777" w:rsidR="00E47AB8" w:rsidRPr="008B2F8A" w:rsidRDefault="00E47AB8" w:rsidP="00D2496B">
            <w:pPr>
              <w:pStyle w:val="TableText0"/>
              <w:spacing w:before="40" w:after="80"/>
              <w:ind w:right="148"/>
              <w:jc w:val="right"/>
            </w:pPr>
            <w:r w:rsidRPr="008B2F8A">
              <w:t xml:space="preserve"> 11 </w:t>
            </w:r>
          </w:p>
        </w:tc>
        <w:tc>
          <w:tcPr>
            <w:tcW w:w="988" w:type="dxa"/>
            <w:noWrap/>
            <w:hideMark/>
          </w:tcPr>
          <w:p w14:paraId="75E587C7" w14:textId="77777777" w:rsidR="00E47AB8" w:rsidRPr="008B2F8A" w:rsidRDefault="00E47AB8" w:rsidP="00D2496B">
            <w:pPr>
              <w:pStyle w:val="TableText0"/>
              <w:spacing w:before="40" w:after="80"/>
              <w:ind w:right="148"/>
              <w:jc w:val="right"/>
            </w:pPr>
            <w:r w:rsidRPr="008B2F8A">
              <w:t xml:space="preserve"> 17 </w:t>
            </w:r>
          </w:p>
        </w:tc>
        <w:tc>
          <w:tcPr>
            <w:tcW w:w="988" w:type="dxa"/>
            <w:noWrap/>
            <w:hideMark/>
          </w:tcPr>
          <w:p w14:paraId="0196CCF1" w14:textId="77777777" w:rsidR="00E47AB8" w:rsidRPr="008B2F8A" w:rsidRDefault="00E47AB8" w:rsidP="00D2496B">
            <w:pPr>
              <w:pStyle w:val="TableText0"/>
              <w:spacing w:before="40" w:after="80"/>
              <w:ind w:right="148"/>
              <w:jc w:val="right"/>
            </w:pPr>
            <w:r w:rsidRPr="008B2F8A">
              <w:t xml:space="preserve"> 24 </w:t>
            </w:r>
          </w:p>
        </w:tc>
        <w:tc>
          <w:tcPr>
            <w:tcW w:w="988" w:type="dxa"/>
            <w:noWrap/>
            <w:hideMark/>
          </w:tcPr>
          <w:p w14:paraId="1140DF8B" w14:textId="77777777" w:rsidR="00E47AB8" w:rsidRPr="008B2F8A" w:rsidRDefault="00E47AB8" w:rsidP="00D2496B">
            <w:pPr>
              <w:pStyle w:val="TableText0"/>
              <w:spacing w:before="40" w:after="80"/>
              <w:ind w:right="148"/>
              <w:jc w:val="right"/>
            </w:pPr>
            <w:r w:rsidRPr="008B2F8A">
              <w:t xml:space="preserve"> 27 </w:t>
            </w:r>
          </w:p>
        </w:tc>
      </w:tr>
      <w:tr w:rsidR="00E47AB8" w:rsidRPr="008B2F8A" w14:paraId="755D8511" w14:textId="77777777" w:rsidTr="00D2496B">
        <w:tc>
          <w:tcPr>
            <w:tcW w:w="4186" w:type="dxa"/>
            <w:noWrap/>
            <w:hideMark/>
          </w:tcPr>
          <w:p w14:paraId="4283698D" w14:textId="77777777" w:rsidR="00E47AB8" w:rsidRPr="008B2F8A" w:rsidRDefault="00E47AB8" w:rsidP="00422306">
            <w:pPr>
              <w:pStyle w:val="TableText0"/>
              <w:spacing w:before="40" w:after="80" w:line="276" w:lineRule="auto"/>
            </w:pPr>
            <w:r w:rsidRPr="008B2F8A">
              <w:t>Number of additional false-positive findings with MRI</w:t>
            </w:r>
          </w:p>
        </w:tc>
        <w:tc>
          <w:tcPr>
            <w:tcW w:w="988" w:type="dxa"/>
            <w:noWrap/>
            <w:hideMark/>
          </w:tcPr>
          <w:p w14:paraId="46752C63" w14:textId="77777777" w:rsidR="00E47AB8" w:rsidRPr="008B2F8A" w:rsidRDefault="00E47AB8" w:rsidP="00D2496B">
            <w:pPr>
              <w:pStyle w:val="TableText0"/>
              <w:spacing w:before="40" w:after="80"/>
              <w:ind w:right="148"/>
              <w:jc w:val="right"/>
            </w:pPr>
            <w:r w:rsidRPr="008B2F8A">
              <w:t xml:space="preserve">4 </w:t>
            </w:r>
          </w:p>
        </w:tc>
        <w:tc>
          <w:tcPr>
            <w:tcW w:w="988" w:type="dxa"/>
            <w:noWrap/>
            <w:hideMark/>
          </w:tcPr>
          <w:p w14:paraId="1834BDB7" w14:textId="77777777" w:rsidR="00E47AB8" w:rsidRPr="008B2F8A" w:rsidRDefault="00E47AB8" w:rsidP="00D2496B">
            <w:pPr>
              <w:pStyle w:val="TableText0"/>
              <w:spacing w:before="40" w:after="80"/>
              <w:ind w:right="148"/>
              <w:jc w:val="right"/>
            </w:pPr>
            <w:r w:rsidRPr="008B2F8A">
              <w:t xml:space="preserve">9 </w:t>
            </w:r>
          </w:p>
        </w:tc>
        <w:tc>
          <w:tcPr>
            <w:tcW w:w="988" w:type="dxa"/>
            <w:noWrap/>
            <w:hideMark/>
          </w:tcPr>
          <w:p w14:paraId="3A5ED099" w14:textId="77777777" w:rsidR="00E47AB8" w:rsidRPr="008B2F8A" w:rsidRDefault="00E47AB8" w:rsidP="00D2496B">
            <w:pPr>
              <w:pStyle w:val="TableText0"/>
              <w:spacing w:before="40" w:after="80"/>
              <w:ind w:right="148"/>
              <w:jc w:val="right"/>
            </w:pPr>
            <w:r w:rsidRPr="008B2F8A">
              <w:t xml:space="preserve">13 </w:t>
            </w:r>
          </w:p>
        </w:tc>
        <w:tc>
          <w:tcPr>
            <w:tcW w:w="988" w:type="dxa"/>
            <w:noWrap/>
            <w:hideMark/>
          </w:tcPr>
          <w:p w14:paraId="6275637C" w14:textId="77777777" w:rsidR="00E47AB8" w:rsidRPr="008B2F8A" w:rsidRDefault="00E47AB8" w:rsidP="00D2496B">
            <w:pPr>
              <w:pStyle w:val="TableText0"/>
              <w:spacing w:before="40" w:after="80"/>
              <w:ind w:right="148"/>
              <w:jc w:val="right"/>
            </w:pPr>
            <w:r w:rsidRPr="008B2F8A">
              <w:t xml:space="preserve">18 </w:t>
            </w:r>
          </w:p>
        </w:tc>
        <w:tc>
          <w:tcPr>
            <w:tcW w:w="988" w:type="dxa"/>
            <w:noWrap/>
            <w:hideMark/>
          </w:tcPr>
          <w:p w14:paraId="4C766716" w14:textId="77777777" w:rsidR="00E47AB8" w:rsidRPr="008B2F8A" w:rsidRDefault="00E47AB8" w:rsidP="00D2496B">
            <w:pPr>
              <w:pStyle w:val="TableText0"/>
              <w:spacing w:before="40" w:after="80"/>
              <w:ind w:right="148"/>
              <w:jc w:val="right"/>
            </w:pPr>
            <w:r w:rsidRPr="008B2F8A">
              <w:t xml:space="preserve">20 </w:t>
            </w:r>
          </w:p>
        </w:tc>
      </w:tr>
      <w:tr w:rsidR="00E47AB8" w:rsidRPr="008B2F8A" w14:paraId="219DBF9A" w14:textId="77777777" w:rsidTr="00D2496B">
        <w:tc>
          <w:tcPr>
            <w:tcW w:w="4186" w:type="dxa"/>
            <w:noWrap/>
            <w:hideMark/>
          </w:tcPr>
          <w:p w14:paraId="1FC6C15B" w14:textId="77777777" w:rsidR="00E47AB8" w:rsidRPr="008B2F8A" w:rsidRDefault="00E47AB8" w:rsidP="00422306">
            <w:pPr>
              <w:pStyle w:val="TableText0"/>
              <w:spacing w:before="40" w:after="80" w:line="276" w:lineRule="auto"/>
            </w:pPr>
            <w:r w:rsidRPr="008B2F8A">
              <w:t>Number of additional positive findings with MRI</w:t>
            </w:r>
          </w:p>
        </w:tc>
        <w:tc>
          <w:tcPr>
            <w:tcW w:w="988" w:type="dxa"/>
            <w:noWrap/>
            <w:hideMark/>
          </w:tcPr>
          <w:p w14:paraId="26F4945B" w14:textId="77777777" w:rsidR="00E47AB8" w:rsidRPr="008B2F8A" w:rsidRDefault="00E47AB8" w:rsidP="00D2496B">
            <w:pPr>
              <w:pStyle w:val="TableText0"/>
              <w:spacing w:before="40" w:after="80"/>
              <w:ind w:right="148"/>
              <w:jc w:val="right"/>
            </w:pPr>
            <w:r w:rsidRPr="008B2F8A">
              <w:t xml:space="preserve">4 </w:t>
            </w:r>
          </w:p>
        </w:tc>
        <w:tc>
          <w:tcPr>
            <w:tcW w:w="988" w:type="dxa"/>
            <w:noWrap/>
            <w:hideMark/>
          </w:tcPr>
          <w:p w14:paraId="0FEC27CD" w14:textId="77777777" w:rsidR="00E47AB8" w:rsidRPr="008B2F8A" w:rsidRDefault="00E47AB8" w:rsidP="00D2496B">
            <w:pPr>
              <w:pStyle w:val="TableText0"/>
              <w:spacing w:before="40" w:after="80"/>
              <w:ind w:right="148"/>
              <w:jc w:val="right"/>
            </w:pPr>
            <w:r w:rsidRPr="008B2F8A">
              <w:t xml:space="preserve">9 </w:t>
            </w:r>
          </w:p>
        </w:tc>
        <w:tc>
          <w:tcPr>
            <w:tcW w:w="988" w:type="dxa"/>
            <w:noWrap/>
            <w:hideMark/>
          </w:tcPr>
          <w:p w14:paraId="71BF948C" w14:textId="77777777" w:rsidR="00E47AB8" w:rsidRPr="008B2F8A" w:rsidRDefault="00E47AB8" w:rsidP="00D2496B">
            <w:pPr>
              <w:pStyle w:val="TableText0"/>
              <w:spacing w:before="40" w:after="80"/>
              <w:ind w:right="148"/>
              <w:jc w:val="right"/>
            </w:pPr>
            <w:r w:rsidRPr="008B2F8A">
              <w:t xml:space="preserve">13 </w:t>
            </w:r>
          </w:p>
        </w:tc>
        <w:tc>
          <w:tcPr>
            <w:tcW w:w="988" w:type="dxa"/>
            <w:noWrap/>
            <w:hideMark/>
          </w:tcPr>
          <w:p w14:paraId="5DB2BE16" w14:textId="77777777" w:rsidR="00E47AB8" w:rsidRPr="008B2F8A" w:rsidRDefault="00E47AB8" w:rsidP="00D2496B">
            <w:pPr>
              <w:pStyle w:val="TableText0"/>
              <w:spacing w:before="40" w:after="80"/>
              <w:ind w:right="148"/>
              <w:jc w:val="right"/>
            </w:pPr>
            <w:r w:rsidRPr="008B2F8A">
              <w:t xml:space="preserve">18 </w:t>
            </w:r>
          </w:p>
        </w:tc>
        <w:tc>
          <w:tcPr>
            <w:tcW w:w="988" w:type="dxa"/>
            <w:noWrap/>
            <w:hideMark/>
          </w:tcPr>
          <w:p w14:paraId="2D333C51" w14:textId="77777777" w:rsidR="00E47AB8" w:rsidRPr="008B2F8A" w:rsidRDefault="00E47AB8" w:rsidP="00D2496B">
            <w:pPr>
              <w:pStyle w:val="TableText0"/>
              <w:spacing w:before="40" w:after="80"/>
              <w:ind w:right="148"/>
              <w:jc w:val="right"/>
            </w:pPr>
            <w:r w:rsidRPr="008B2F8A">
              <w:t xml:space="preserve">20 </w:t>
            </w:r>
          </w:p>
        </w:tc>
      </w:tr>
    </w:tbl>
    <w:p w14:paraId="248F6B5F" w14:textId="229C2E81" w:rsidR="00E47AB8" w:rsidRPr="008B2F8A" w:rsidRDefault="00E47AB8" w:rsidP="00F56FD1">
      <w:pPr>
        <w:pStyle w:val="TableNotesFirst"/>
      </w:pPr>
      <w:r w:rsidRPr="008B2F8A">
        <w:t>FY = financial year; MAM = mammography; MRI = magnetic resonance imaging.</w:t>
      </w:r>
      <w:r w:rsidR="00F56FD1">
        <w:t xml:space="preserve"> </w:t>
      </w:r>
      <w:r w:rsidRPr="008B2F8A">
        <w:t>Note: Rounding has been applied.</w:t>
      </w:r>
    </w:p>
    <w:p w14:paraId="2D16DFC6" w14:textId="77777777" w:rsidR="00E47AB8" w:rsidRPr="008B2F8A" w:rsidRDefault="00E47AB8" w:rsidP="00422306">
      <w:pPr>
        <w:rPr>
          <w:sz w:val="44"/>
          <w:szCs w:val="44"/>
        </w:rPr>
      </w:pPr>
      <w:r w:rsidRPr="008B2F8A">
        <w:br w:type="page"/>
      </w:r>
    </w:p>
    <w:p w14:paraId="6193749C" w14:textId="77777777" w:rsidR="00E47AB8" w:rsidRPr="008B2F8A" w:rsidRDefault="00E47AB8" w:rsidP="00422306">
      <w:pPr>
        <w:pStyle w:val="Heading1"/>
        <w:numPr>
          <w:ilvl w:val="0"/>
          <w:numId w:val="0"/>
        </w:numPr>
        <w:rPr>
          <w:lang w:eastAsia="en-AU"/>
        </w:rPr>
      </w:pPr>
      <w:bookmarkStart w:id="1518" w:name="_Toc383424556"/>
      <w:r w:rsidRPr="008B2F8A">
        <w:rPr>
          <w:lang w:eastAsia="en-AU"/>
        </w:rPr>
        <w:lastRenderedPageBreak/>
        <w:t>R</w:t>
      </w:r>
      <w:bookmarkEnd w:id="1495"/>
      <w:r w:rsidRPr="008B2F8A">
        <w:rPr>
          <w:lang w:eastAsia="en-AU"/>
        </w:rPr>
        <w:t>eferences</w:t>
      </w:r>
      <w:bookmarkEnd w:id="1518"/>
    </w:p>
    <w:p w14:paraId="70ED8206" w14:textId="77777777" w:rsidR="00E47AB8" w:rsidRPr="008B2F8A" w:rsidRDefault="00E47AB8" w:rsidP="00422306">
      <w:pPr>
        <w:rPr>
          <w:noProof/>
        </w:rPr>
      </w:pPr>
    </w:p>
    <w:p w14:paraId="62A21BF6" w14:textId="4B99035B" w:rsidR="00E47AB8" w:rsidRPr="008B2F8A" w:rsidRDefault="00E47AB8" w:rsidP="00422306">
      <w:pPr>
        <w:tabs>
          <w:tab w:val="right" w:pos="540"/>
          <w:tab w:val="left" w:pos="720"/>
        </w:tabs>
        <w:spacing w:after="240"/>
        <w:ind w:left="720" w:hanging="720"/>
        <w:rPr>
          <w:i/>
          <w:noProof/>
        </w:rPr>
      </w:pPr>
      <w:r w:rsidRPr="008B2F8A">
        <w:rPr>
          <w:noProof/>
        </w:rPr>
        <w:t>ABS</w:t>
      </w:r>
      <w:r>
        <w:rPr>
          <w:noProof/>
        </w:rPr>
        <w:t>,</w:t>
      </w:r>
      <w:r w:rsidRPr="008B2F8A">
        <w:rPr>
          <w:noProof/>
        </w:rPr>
        <w:t xml:space="preserve"> 2012, </w:t>
      </w:r>
      <w:r w:rsidRPr="008B2F8A">
        <w:rPr>
          <w:i/>
          <w:noProof/>
        </w:rPr>
        <w:t>Causes of Death, Australia, 2011.</w:t>
      </w:r>
      <w:r w:rsidRPr="0036011E">
        <w:rPr>
          <w:noProof/>
        </w:rPr>
        <w:t xml:space="preserve"> </w:t>
      </w:r>
      <w:r>
        <w:rPr>
          <w:noProof/>
        </w:rPr>
        <w:t xml:space="preserve">Canberra: </w:t>
      </w:r>
      <w:r w:rsidRPr="008B2F8A">
        <w:rPr>
          <w:noProof/>
        </w:rPr>
        <w:t>Australian Bureau of Statistics</w:t>
      </w:r>
    </w:p>
    <w:p w14:paraId="001788E8" w14:textId="5CD77DF8" w:rsidR="00E47AB8" w:rsidRPr="008B2F8A" w:rsidRDefault="00E47AB8" w:rsidP="00422306">
      <w:pPr>
        <w:tabs>
          <w:tab w:val="right" w:pos="540"/>
          <w:tab w:val="left" w:pos="720"/>
        </w:tabs>
        <w:spacing w:after="240"/>
        <w:ind w:left="720" w:hanging="720"/>
        <w:rPr>
          <w:noProof/>
        </w:rPr>
      </w:pPr>
      <w:r w:rsidRPr="008B2F8A">
        <w:rPr>
          <w:noProof/>
        </w:rPr>
        <w:t>ABS</w:t>
      </w:r>
      <w:r>
        <w:rPr>
          <w:noProof/>
        </w:rPr>
        <w:t>,</w:t>
      </w:r>
      <w:r w:rsidRPr="008B2F8A">
        <w:rPr>
          <w:noProof/>
        </w:rPr>
        <w:t xml:space="preserve"> 2013, </w:t>
      </w:r>
      <w:r w:rsidRPr="008B2F8A">
        <w:rPr>
          <w:i/>
          <w:noProof/>
        </w:rPr>
        <w:t>Population Projections, Australia, 2012 (base) to 2101.</w:t>
      </w:r>
      <w:r w:rsidRPr="0036011E">
        <w:rPr>
          <w:noProof/>
        </w:rPr>
        <w:t xml:space="preserve"> </w:t>
      </w:r>
      <w:r>
        <w:rPr>
          <w:noProof/>
        </w:rPr>
        <w:t xml:space="preserve">Canberra: </w:t>
      </w:r>
      <w:r w:rsidRPr="008B2F8A">
        <w:rPr>
          <w:noProof/>
        </w:rPr>
        <w:t>Australian Bureau of Statistics</w:t>
      </w:r>
      <w:r>
        <w:rPr>
          <w:noProof/>
        </w:rPr>
        <w:t>.</w:t>
      </w:r>
    </w:p>
    <w:p w14:paraId="21EBEC46" w14:textId="7C406AE9" w:rsidR="00E47AB8" w:rsidRPr="008B2F8A" w:rsidRDefault="00E47AB8" w:rsidP="00422306">
      <w:pPr>
        <w:tabs>
          <w:tab w:val="right" w:pos="540"/>
          <w:tab w:val="left" w:pos="720"/>
        </w:tabs>
        <w:spacing w:after="240"/>
        <w:ind w:left="720" w:hanging="720"/>
        <w:rPr>
          <w:i/>
          <w:noProof/>
        </w:rPr>
      </w:pPr>
      <w:r w:rsidRPr="008B2F8A">
        <w:rPr>
          <w:noProof/>
        </w:rPr>
        <w:t>ACR</w:t>
      </w:r>
      <w:r>
        <w:rPr>
          <w:noProof/>
        </w:rPr>
        <w:t>,</w:t>
      </w:r>
      <w:r w:rsidRPr="008B2F8A">
        <w:rPr>
          <w:noProof/>
        </w:rPr>
        <w:t xml:space="preserve"> 2011, </w:t>
      </w:r>
      <w:r w:rsidRPr="008B2F8A">
        <w:rPr>
          <w:i/>
          <w:noProof/>
        </w:rPr>
        <w:t>ACR Practice Guideline for Performing and Interpreting Magnetic Resonance Imaging (MRI). Revised 2011 (Resolution 19).</w:t>
      </w:r>
      <w:r w:rsidR="00B005D8">
        <w:rPr>
          <w:noProof/>
        </w:rPr>
        <w:t xml:space="preserve"> Available at </w:t>
      </w:r>
      <w:hyperlink r:id="rId78" w:tooltip="ACR, 2011, ACR Practice Guideline for Performing and Interpreting Magnetic Resonance Imaging (MRI). Revised 2011 (Resolution 19). " w:history="1">
        <w:r w:rsidR="00B005D8" w:rsidRPr="00CE359E">
          <w:rPr>
            <w:rStyle w:val="Hyperlink"/>
            <w:rFonts w:ascii="Calibri" w:hAnsi="Calibri"/>
            <w:noProof/>
          </w:rPr>
          <w:t>http://www.acr.org/~/media/EB54F56780AC4C6994B77078AA1D6612.pdf</w:t>
        </w:r>
      </w:hyperlink>
      <w:r w:rsidR="00B005D8">
        <w:rPr>
          <w:noProof/>
        </w:rPr>
        <w:t xml:space="preserve"> </w:t>
      </w:r>
      <w:r>
        <w:rPr>
          <w:noProof/>
        </w:rPr>
        <w:t xml:space="preserve">: </w:t>
      </w:r>
      <w:r w:rsidRPr="008B2F8A">
        <w:rPr>
          <w:noProof/>
        </w:rPr>
        <w:t>American College of Radiology</w:t>
      </w:r>
      <w:r w:rsidR="00B005D8">
        <w:rPr>
          <w:noProof/>
        </w:rPr>
        <w:t>. Accessed 21 March 2014.</w:t>
      </w:r>
    </w:p>
    <w:p w14:paraId="72D3F18D" w14:textId="371684F7" w:rsidR="00E47AB8" w:rsidRPr="008B2F8A" w:rsidRDefault="00E47AB8" w:rsidP="00422306">
      <w:pPr>
        <w:tabs>
          <w:tab w:val="right" w:pos="540"/>
          <w:tab w:val="left" w:pos="720"/>
        </w:tabs>
        <w:spacing w:after="240"/>
        <w:ind w:left="720" w:hanging="720"/>
        <w:rPr>
          <w:noProof/>
        </w:rPr>
      </w:pPr>
      <w:r w:rsidRPr="008B2F8A">
        <w:rPr>
          <w:noProof/>
        </w:rPr>
        <w:t>AIHW</w:t>
      </w:r>
      <w:r>
        <w:rPr>
          <w:noProof/>
        </w:rPr>
        <w:t>,</w:t>
      </w:r>
      <w:r w:rsidRPr="008B2F8A">
        <w:rPr>
          <w:noProof/>
        </w:rPr>
        <w:t xml:space="preserve"> 2012a, </w:t>
      </w:r>
      <w:r w:rsidRPr="008B2F8A">
        <w:rPr>
          <w:i/>
          <w:noProof/>
        </w:rPr>
        <w:t>Breast cancer in Australia: an overview.</w:t>
      </w:r>
      <w:r w:rsidRPr="008B2F8A">
        <w:rPr>
          <w:noProof/>
        </w:rPr>
        <w:t xml:space="preserve"> Cancer Series no. 71. Cat. no. CAN 67.</w:t>
      </w:r>
      <w:r>
        <w:rPr>
          <w:noProof/>
        </w:rPr>
        <w:t xml:space="preserve"> </w:t>
      </w:r>
      <w:r w:rsidRPr="008B2F8A">
        <w:rPr>
          <w:noProof/>
        </w:rPr>
        <w:t>Canberra:</w:t>
      </w:r>
      <w:r w:rsidRPr="00B0583C">
        <w:rPr>
          <w:noProof/>
        </w:rPr>
        <w:t xml:space="preserve"> </w:t>
      </w:r>
      <w:r w:rsidRPr="008B2F8A">
        <w:rPr>
          <w:noProof/>
        </w:rPr>
        <w:t>Australian Institute of Health and Welfare.</w:t>
      </w:r>
    </w:p>
    <w:p w14:paraId="47E69792" w14:textId="3C809E9F" w:rsidR="00E47AB8" w:rsidRPr="008B2F8A" w:rsidRDefault="00E47AB8" w:rsidP="00422306">
      <w:pPr>
        <w:tabs>
          <w:tab w:val="right" w:pos="540"/>
          <w:tab w:val="left" w:pos="720"/>
        </w:tabs>
        <w:spacing w:after="240"/>
        <w:ind w:left="720" w:hanging="720"/>
        <w:rPr>
          <w:noProof/>
        </w:rPr>
      </w:pPr>
      <w:r w:rsidRPr="008B2F8A">
        <w:rPr>
          <w:noProof/>
        </w:rPr>
        <w:t>AIHW</w:t>
      </w:r>
      <w:r>
        <w:rPr>
          <w:noProof/>
        </w:rPr>
        <w:t>,</w:t>
      </w:r>
      <w:r w:rsidRPr="008B2F8A">
        <w:rPr>
          <w:noProof/>
        </w:rPr>
        <w:t xml:space="preserve"> 2012b, </w:t>
      </w:r>
      <w:r w:rsidRPr="008B2F8A">
        <w:rPr>
          <w:i/>
          <w:noProof/>
        </w:rPr>
        <w:t>Cancer in Australia: an overview 2012.</w:t>
      </w:r>
      <w:r w:rsidRPr="008B2F8A">
        <w:rPr>
          <w:noProof/>
        </w:rPr>
        <w:t xml:space="preserve"> Cancer series no. 74. Cat. no. CAN 70.</w:t>
      </w:r>
      <w:r>
        <w:rPr>
          <w:noProof/>
        </w:rPr>
        <w:t xml:space="preserve"> </w:t>
      </w:r>
      <w:r w:rsidRPr="008B2F8A">
        <w:rPr>
          <w:noProof/>
        </w:rPr>
        <w:t>Canberra:</w:t>
      </w:r>
      <w:r w:rsidRPr="00B0583C">
        <w:rPr>
          <w:noProof/>
        </w:rPr>
        <w:t xml:space="preserve"> </w:t>
      </w:r>
      <w:r w:rsidRPr="008B2F8A">
        <w:rPr>
          <w:noProof/>
        </w:rPr>
        <w:t>Australian Institute of Health and Welfare.</w:t>
      </w:r>
    </w:p>
    <w:p w14:paraId="7451A4DC" w14:textId="2D5206B7" w:rsidR="00E47AB8" w:rsidRPr="003D4F1E" w:rsidRDefault="00E47AB8" w:rsidP="00422306">
      <w:pPr>
        <w:tabs>
          <w:tab w:val="right" w:pos="540"/>
          <w:tab w:val="left" w:pos="720"/>
        </w:tabs>
        <w:spacing w:after="240"/>
        <w:ind w:left="720" w:hanging="720"/>
        <w:rPr>
          <w:i/>
          <w:noProof/>
        </w:rPr>
      </w:pPr>
      <w:r w:rsidRPr="003D4F1E">
        <w:rPr>
          <w:noProof/>
        </w:rPr>
        <w:t xml:space="preserve">AIHW, 2013, </w:t>
      </w:r>
      <w:r w:rsidRPr="003D4F1E">
        <w:rPr>
          <w:i/>
          <w:noProof/>
        </w:rPr>
        <w:t>BreastScreen Australia monitoring report 2010</w:t>
      </w:r>
      <w:r w:rsidRPr="003D4F1E">
        <w:rPr>
          <w:rFonts w:hint="eastAsia"/>
          <w:i/>
          <w:noProof/>
        </w:rPr>
        <w:t>–</w:t>
      </w:r>
      <w:r w:rsidRPr="003D4F1E">
        <w:rPr>
          <w:i/>
          <w:noProof/>
        </w:rPr>
        <w:t>2011.</w:t>
      </w:r>
      <w:r w:rsidRPr="00D2496B">
        <w:rPr>
          <w:noProof/>
        </w:rPr>
        <w:t xml:space="preserve"> Cancer series no. 77.</w:t>
      </w:r>
      <w:r w:rsidRPr="003D4F1E">
        <w:rPr>
          <w:noProof/>
        </w:rPr>
        <w:t xml:space="preserve"> Canberra: Australian Insitute of Health and Welfare.</w:t>
      </w:r>
    </w:p>
    <w:p w14:paraId="7B2E908B" w14:textId="00C00ABC" w:rsidR="00E47AB8" w:rsidRPr="008B2F8A" w:rsidRDefault="00E47AB8" w:rsidP="00422306">
      <w:pPr>
        <w:tabs>
          <w:tab w:val="right" w:pos="540"/>
          <w:tab w:val="left" w:pos="720"/>
        </w:tabs>
        <w:spacing w:after="240"/>
        <w:ind w:left="720" w:hanging="720"/>
        <w:rPr>
          <w:noProof/>
        </w:rPr>
      </w:pPr>
      <w:r w:rsidRPr="008B2F8A">
        <w:rPr>
          <w:noProof/>
        </w:rPr>
        <w:t>AIHW</w:t>
      </w:r>
      <w:r w:rsidRPr="008B2F8A" w:rsidDel="00A5181A">
        <w:rPr>
          <w:noProof/>
        </w:rPr>
        <w:t xml:space="preserve"> </w:t>
      </w:r>
      <w:r w:rsidRPr="008B2F8A">
        <w:rPr>
          <w:noProof/>
        </w:rPr>
        <w:t xml:space="preserve">and </w:t>
      </w:r>
      <w:r>
        <w:rPr>
          <w:noProof/>
        </w:rPr>
        <w:t>NBOCC (</w:t>
      </w:r>
      <w:r w:rsidRPr="008B2F8A">
        <w:rPr>
          <w:noProof/>
        </w:rPr>
        <w:t>National Breast and Ovarian Cancer Centre</w:t>
      </w:r>
      <w:r>
        <w:rPr>
          <w:noProof/>
        </w:rPr>
        <w:t>),</w:t>
      </w:r>
      <w:r w:rsidRPr="008B2F8A">
        <w:rPr>
          <w:noProof/>
        </w:rPr>
        <w:t xml:space="preserve"> 2010, </w:t>
      </w:r>
      <w:r w:rsidRPr="008B2F8A">
        <w:rPr>
          <w:i/>
          <w:noProof/>
        </w:rPr>
        <w:t>Risk of invasive breast cancer in women diagnosed wtih ductal carcinoma in situ in Australia between 1995 and 2005.</w:t>
      </w:r>
      <w:r w:rsidRPr="008B2F8A">
        <w:rPr>
          <w:noProof/>
        </w:rPr>
        <w:t xml:space="preserve"> Cancer series no. 51. Cat. no. CAN 47.</w:t>
      </w:r>
      <w:r>
        <w:rPr>
          <w:noProof/>
        </w:rPr>
        <w:t xml:space="preserve"> </w:t>
      </w:r>
      <w:r w:rsidRPr="008B2F8A">
        <w:rPr>
          <w:noProof/>
        </w:rPr>
        <w:t>Canberra: Australian Institute of Health and Welfare.</w:t>
      </w:r>
    </w:p>
    <w:p w14:paraId="446C11D1" w14:textId="626891F5" w:rsidR="00E47AB8" w:rsidRPr="00D2496B" w:rsidRDefault="00E47AB8" w:rsidP="00422306">
      <w:pPr>
        <w:tabs>
          <w:tab w:val="right" w:pos="540"/>
          <w:tab w:val="left" w:pos="720"/>
        </w:tabs>
        <w:spacing w:after="240"/>
        <w:ind w:left="720" w:hanging="720"/>
        <w:rPr>
          <w:noProof/>
        </w:rPr>
      </w:pPr>
      <w:r w:rsidRPr="00D2496B">
        <w:rPr>
          <w:noProof/>
        </w:rPr>
        <w:t xml:space="preserve">Alm El-Din, MA, Hughes, KS et al, 2009. Breast cancer after treatment of Hodgkin’s lymphoma: risk factors that really matter, </w:t>
      </w:r>
      <w:r w:rsidRPr="00D2496B">
        <w:rPr>
          <w:i/>
          <w:noProof/>
        </w:rPr>
        <w:t>Int J Radiat Oncol Biol Phys</w:t>
      </w:r>
      <w:r w:rsidRPr="00D2496B">
        <w:rPr>
          <w:noProof/>
        </w:rPr>
        <w:t>, 73, 69–74.</w:t>
      </w:r>
    </w:p>
    <w:p w14:paraId="00F4595E" w14:textId="25C0BDDD" w:rsidR="00E47AB8" w:rsidRPr="008B2F8A" w:rsidRDefault="00E47AB8" w:rsidP="00422306">
      <w:pPr>
        <w:tabs>
          <w:tab w:val="right" w:pos="540"/>
          <w:tab w:val="left" w:pos="720"/>
        </w:tabs>
        <w:spacing w:after="240"/>
        <w:ind w:left="720" w:hanging="720"/>
        <w:rPr>
          <w:noProof/>
        </w:rPr>
      </w:pPr>
      <w:r w:rsidRPr="008B2F8A">
        <w:rPr>
          <w:noProof/>
        </w:rPr>
        <w:t xml:space="preserve">Anouk, P, Nadine, A et al, 2012. Exposure to diagnostic radiation and risk of breast cancer among carriers of </w:t>
      </w:r>
      <w:r w:rsidRPr="00D2496B">
        <w:rPr>
          <w:i/>
          <w:noProof/>
        </w:rPr>
        <w:t>BRCA1</w:t>
      </w:r>
      <w:r w:rsidRPr="008B2F8A">
        <w:rPr>
          <w:noProof/>
        </w:rPr>
        <w:t xml:space="preserve">/2 mutations: retrospective cohort study (GENE-RAD-RISK), </w:t>
      </w:r>
      <w:r w:rsidRPr="008B2F8A">
        <w:rPr>
          <w:i/>
          <w:noProof/>
        </w:rPr>
        <w:t>BMJ</w:t>
      </w:r>
      <w:r w:rsidRPr="008B2F8A">
        <w:rPr>
          <w:noProof/>
        </w:rPr>
        <w:t>, 345</w:t>
      </w:r>
      <w:r w:rsidR="00B005D8">
        <w:rPr>
          <w:noProof/>
        </w:rPr>
        <w:t>,</w:t>
      </w:r>
      <w:r w:rsidR="00B005D8" w:rsidRPr="00B005D8">
        <w:t xml:space="preserve"> </w:t>
      </w:r>
      <w:r w:rsidR="00B005D8" w:rsidRPr="00B005D8">
        <w:rPr>
          <w:noProof/>
        </w:rPr>
        <w:t>Article Number: e5660</w:t>
      </w:r>
      <w:r w:rsidR="00B005D8">
        <w:rPr>
          <w:noProof/>
        </w:rPr>
        <w:t>.</w:t>
      </w:r>
    </w:p>
    <w:p w14:paraId="391527D7" w14:textId="7DD5032E" w:rsidR="00E47AB8" w:rsidRPr="008B2F8A" w:rsidRDefault="00E47AB8" w:rsidP="00422306">
      <w:pPr>
        <w:tabs>
          <w:tab w:val="right" w:pos="540"/>
          <w:tab w:val="left" w:pos="720"/>
        </w:tabs>
        <w:spacing w:after="240"/>
        <w:ind w:left="720" w:hanging="720"/>
        <w:rPr>
          <w:noProof/>
        </w:rPr>
      </w:pPr>
      <w:r w:rsidRPr="008B2F8A">
        <w:rPr>
          <w:noProof/>
        </w:rPr>
        <w:t xml:space="preserve">Antoniou, A, Pharoah, PD et al, 2003. Average risks of breast and ovarian cancer associated with </w:t>
      </w:r>
      <w:r w:rsidRPr="00D2496B">
        <w:rPr>
          <w:i/>
          <w:noProof/>
        </w:rPr>
        <w:t>BRCA1</w:t>
      </w:r>
      <w:r w:rsidRPr="008B2F8A">
        <w:rPr>
          <w:noProof/>
        </w:rPr>
        <w:t xml:space="preserve"> or </w:t>
      </w:r>
      <w:r w:rsidRPr="00D2496B">
        <w:rPr>
          <w:i/>
          <w:noProof/>
        </w:rPr>
        <w:t>BRCA2</w:t>
      </w:r>
      <w:r w:rsidRPr="008B2F8A">
        <w:rPr>
          <w:noProof/>
        </w:rPr>
        <w:t xml:space="preserve"> mutations detected in case series unselected for family history: a combined analysis of 22 studies, </w:t>
      </w:r>
      <w:r w:rsidRPr="008B2F8A">
        <w:rPr>
          <w:i/>
          <w:noProof/>
        </w:rPr>
        <w:t>Am J Hum</w:t>
      </w:r>
      <w:r>
        <w:rPr>
          <w:i/>
          <w:noProof/>
        </w:rPr>
        <w:t xml:space="preserve"> </w:t>
      </w:r>
      <w:r w:rsidRPr="008B2F8A">
        <w:rPr>
          <w:i/>
          <w:noProof/>
        </w:rPr>
        <w:t>Genet</w:t>
      </w:r>
      <w:r w:rsidRPr="008B2F8A">
        <w:rPr>
          <w:noProof/>
        </w:rPr>
        <w:t>, 72 (5), 1117–1130.</w:t>
      </w:r>
    </w:p>
    <w:p w14:paraId="7BA641E3" w14:textId="2F67EC66" w:rsidR="00E47AB8" w:rsidRPr="008B2F8A" w:rsidRDefault="00E47AB8" w:rsidP="00422306">
      <w:pPr>
        <w:tabs>
          <w:tab w:val="right" w:pos="540"/>
          <w:tab w:val="left" w:pos="720"/>
        </w:tabs>
        <w:spacing w:after="240"/>
        <w:ind w:left="720" w:hanging="720"/>
        <w:rPr>
          <w:noProof/>
        </w:rPr>
      </w:pPr>
      <w:r w:rsidRPr="008B2F8A">
        <w:rPr>
          <w:noProof/>
        </w:rPr>
        <w:t xml:space="preserve">Arpino, G, Laucirica, R et al, 2005. Premalignant and in situ breast disease: biology and clinical implications, </w:t>
      </w:r>
      <w:r w:rsidRPr="008B2F8A">
        <w:rPr>
          <w:i/>
          <w:noProof/>
        </w:rPr>
        <w:t>Ann</w:t>
      </w:r>
      <w:r>
        <w:rPr>
          <w:i/>
          <w:noProof/>
        </w:rPr>
        <w:t xml:space="preserve"> </w:t>
      </w:r>
      <w:r w:rsidRPr="008B2F8A">
        <w:rPr>
          <w:i/>
          <w:noProof/>
        </w:rPr>
        <w:t>Intern</w:t>
      </w:r>
      <w:r>
        <w:rPr>
          <w:i/>
          <w:noProof/>
        </w:rPr>
        <w:t xml:space="preserve"> </w:t>
      </w:r>
      <w:r w:rsidRPr="008B2F8A">
        <w:rPr>
          <w:i/>
          <w:noProof/>
        </w:rPr>
        <w:t>Med</w:t>
      </w:r>
      <w:r w:rsidRPr="008B2F8A">
        <w:rPr>
          <w:noProof/>
        </w:rPr>
        <w:t>, 143 (6), 446–457.</w:t>
      </w:r>
    </w:p>
    <w:p w14:paraId="343AA484" w14:textId="51798AD1" w:rsidR="00E47AB8" w:rsidRPr="008B2F8A" w:rsidRDefault="00E47AB8" w:rsidP="00422306">
      <w:pPr>
        <w:tabs>
          <w:tab w:val="right" w:pos="540"/>
          <w:tab w:val="left" w:pos="720"/>
        </w:tabs>
        <w:spacing w:after="240"/>
        <w:ind w:left="720" w:hanging="720"/>
        <w:rPr>
          <w:noProof/>
        </w:rPr>
      </w:pPr>
      <w:r w:rsidRPr="008B2F8A">
        <w:rPr>
          <w:noProof/>
        </w:rPr>
        <w:t xml:space="preserve">Arvold, ND, Taghian, AG et al, 2011. Age, breast cancer subtype approximation, and local recurrence after breast-conserving therapy, </w:t>
      </w:r>
      <w:r w:rsidRPr="008B2F8A">
        <w:rPr>
          <w:i/>
          <w:noProof/>
        </w:rPr>
        <w:t>J Clin Oncol</w:t>
      </w:r>
      <w:r w:rsidRPr="008B2F8A">
        <w:rPr>
          <w:noProof/>
        </w:rPr>
        <w:t>, 29 (29), 3885–3891.</w:t>
      </w:r>
    </w:p>
    <w:p w14:paraId="48C629F4" w14:textId="3ECF557C" w:rsidR="00E47AB8" w:rsidRPr="008B2F8A" w:rsidRDefault="00E47AB8" w:rsidP="00422306">
      <w:pPr>
        <w:tabs>
          <w:tab w:val="right" w:pos="540"/>
          <w:tab w:val="left" w:pos="720"/>
        </w:tabs>
        <w:spacing w:after="240"/>
        <w:ind w:left="720" w:hanging="720"/>
        <w:rPr>
          <w:noProof/>
        </w:rPr>
      </w:pPr>
      <w:r w:rsidRPr="008B2F8A">
        <w:rPr>
          <w:noProof/>
        </w:rPr>
        <w:t xml:space="preserve">Bassett, LW, Dhaliwal, SG et al, 2008. National trends and practices in breast MRI, </w:t>
      </w:r>
      <w:r w:rsidRPr="008B2F8A">
        <w:rPr>
          <w:i/>
          <w:noProof/>
        </w:rPr>
        <w:t>Am J Roentgenol</w:t>
      </w:r>
      <w:r w:rsidRPr="008B2F8A">
        <w:rPr>
          <w:noProof/>
        </w:rPr>
        <w:t>, 191 (2), 332–339.</w:t>
      </w:r>
    </w:p>
    <w:p w14:paraId="754452D9" w14:textId="77777777" w:rsidR="00E47AB8" w:rsidRPr="008B2F8A" w:rsidRDefault="00E47AB8" w:rsidP="00422306">
      <w:pPr>
        <w:tabs>
          <w:tab w:val="right" w:pos="540"/>
          <w:tab w:val="left" w:pos="720"/>
        </w:tabs>
        <w:spacing w:after="240"/>
        <w:ind w:left="720" w:hanging="720"/>
        <w:rPr>
          <w:noProof/>
        </w:rPr>
      </w:pPr>
      <w:r w:rsidRPr="008B2F8A">
        <w:rPr>
          <w:noProof/>
        </w:rPr>
        <w:lastRenderedPageBreak/>
        <w:t xml:space="preserve">Belli, P, Pastore, G et al, 2002. Role of magnetic resonance imaging in the diagnosis of recurrence after breast conserving therapy, </w:t>
      </w:r>
      <w:r w:rsidRPr="008B2F8A">
        <w:rPr>
          <w:i/>
          <w:noProof/>
        </w:rPr>
        <w:t>Rays</w:t>
      </w:r>
      <w:r w:rsidRPr="008B2F8A">
        <w:rPr>
          <w:noProof/>
        </w:rPr>
        <w:t>, 27 (4), 241–257.</w:t>
      </w:r>
    </w:p>
    <w:p w14:paraId="592B4D89" w14:textId="213B2551" w:rsidR="00E47AB8" w:rsidRPr="008B2F8A" w:rsidRDefault="00E47AB8" w:rsidP="00422306">
      <w:pPr>
        <w:tabs>
          <w:tab w:val="right" w:pos="540"/>
          <w:tab w:val="left" w:pos="720"/>
        </w:tabs>
        <w:spacing w:after="240"/>
        <w:ind w:left="720" w:hanging="720"/>
        <w:rPr>
          <w:noProof/>
        </w:rPr>
      </w:pPr>
      <w:r w:rsidRPr="008B2F8A">
        <w:rPr>
          <w:noProof/>
        </w:rPr>
        <w:t xml:space="preserve">Berg, WA 2009. Tailored supplemental screening for breast cancer: what now and what next?, </w:t>
      </w:r>
      <w:r w:rsidRPr="008B2F8A">
        <w:rPr>
          <w:i/>
          <w:noProof/>
        </w:rPr>
        <w:t>Am J Roentgenol</w:t>
      </w:r>
      <w:r w:rsidRPr="008B2F8A">
        <w:rPr>
          <w:noProof/>
        </w:rPr>
        <w:t>, 192 (2), 390–399.</w:t>
      </w:r>
    </w:p>
    <w:p w14:paraId="6D4A609A" w14:textId="77777777" w:rsidR="00E47AB8" w:rsidRPr="008B2F8A" w:rsidRDefault="00E47AB8" w:rsidP="00422306">
      <w:pPr>
        <w:tabs>
          <w:tab w:val="right" w:pos="540"/>
          <w:tab w:val="left" w:pos="720"/>
        </w:tabs>
        <w:spacing w:after="240"/>
        <w:ind w:left="720" w:hanging="720"/>
        <w:rPr>
          <w:noProof/>
        </w:rPr>
      </w:pPr>
      <w:r w:rsidRPr="008B2F8A">
        <w:rPr>
          <w:noProof/>
        </w:rPr>
        <w:t xml:space="preserve">Berg, WA, Zhang, Z et al, 2012. Detection of breast cancer with addition of annual screening ultrasound or a single screening MRI to mammography in women with elevated breast cancer risk, </w:t>
      </w:r>
      <w:r w:rsidRPr="008B2F8A">
        <w:rPr>
          <w:i/>
          <w:noProof/>
        </w:rPr>
        <w:t>JAMA</w:t>
      </w:r>
      <w:r w:rsidRPr="008B2F8A">
        <w:rPr>
          <w:noProof/>
        </w:rPr>
        <w:t>, 307 (13), 1394–1404.</w:t>
      </w:r>
    </w:p>
    <w:p w14:paraId="5968D9FF" w14:textId="00BFCED3" w:rsidR="00E47AB8" w:rsidRPr="00D2496B" w:rsidRDefault="00E47AB8" w:rsidP="00422306">
      <w:pPr>
        <w:tabs>
          <w:tab w:val="right" w:pos="540"/>
          <w:tab w:val="left" w:pos="720"/>
        </w:tabs>
        <w:spacing w:after="240"/>
        <w:ind w:left="720" w:hanging="720"/>
        <w:rPr>
          <w:noProof/>
        </w:rPr>
      </w:pPr>
      <w:r w:rsidRPr="00D2496B">
        <w:rPr>
          <w:noProof/>
        </w:rPr>
        <w:t xml:space="preserve">Bhatia, S, Yasui, Y et al, 2003. High risk of subsequent neoplasms continues with extended follow-up of childhood Hodgkin’s disease: report from the Late Effects Study Group, </w:t>
      </w:r>
      <w:r w:rsidRPr="00D2496B">
        <w:rPr>
          <w:i/>
          <w:noProof/>
        </w:rPr>
        <w:t>J Clin Oncol</w:t>
      </w:r>
      <w:r w:rsidRPr="00D2496B">
        <w:rPr>
          <w:noProof/>
        </w:rPr>
        <w:t>, 21 (23), 4386–4394.</w:t>
      </w:r>
    </w:p>
    <w:p w14:paraId="267FF4C3" w14:textId="73427D6F" w:rsidR="00E47AB8" w:rsidRPr="008B2F8A" w:rsidRDefault="00E47AB8" w:rsidP="00422306">
      <w:pPr>
        <w:tabs>
          <w:tab w:val="right" w:pos="540"/>
          <w:tab w:val="left" w:pos="720"/>
        </w:tabs>
        <w:spacing w:after="240"/>
        <w:ind w:left="720" w:hanging="720"/>
        <w:rPr>
          <w:noProof/>
        </w:rPr>
      </w:pPr>
      <w:r w:rsidRPr="008B2F8A">
        <w:rPr>
          <w:noProof/>
        </w:rPr>
        <w:t xml:space="preserve">Bobo, JK, Lee, NC et al, 2000. Findings from 752,081 clinical breast examinations reported to a national screening program from 1995 through 1998, </w:t>
      </w:r>
      <w:r w:rsidRPr="008B2F8A">
        <w:rPr>
          <w:i/>
          <w:noProof/>
        </w:rPr>
        <w:t>J Natl</w:t>
      </w:r>
      <w:r>
        <w:rPr>
          <w:i/>
          <w:noProof/>
        </w:rPr>
        <w:t xml:space="preserve"> </w:t>
      </w:r>
      <w:r w:rsidRPr="008B2F8A">
        <w:rPr>
          <w:i/>
          <w:noProof/>
        </w:rPr>
        <w:t>Cancer Inst</w:t>
      </w:r>
      <w:r w:rsidRPr="008B2F8A">
        <w:rPr>
          <w:noProof/>
        </w:rPr>
        <w:t>, 92 (12), 971–976.</w:t>
      </w:r>
    </w:p>
    <w:p w14:paraId="15DDB09D" w14:textId="77777777" w:rsidR="00E47AB8" w:rsidRPr="008B2F8A" w:rsidRDefault="00E47AB8" w:rsidP="00422306">
      <w:pPr>
        <w:tabs>
          <w:tab w:val="right" w:pos="540"/>
          <w:tab w:val="left" w:pos="720"/>
        </w:tabs>
        <w:spacing w:after="240"/>
        <w:ind w:left="720" w:hanging="720"/>
        <w:rPr>
          <w:noProof/>
        </w:rPr>
      </w:pPr>
      <w:bookmarkStart w:id="1519" w:name="OLE_LINK947"/>
      <w:bookmarkStart w:id="1520" w:name="OLE_LINK948"/>
      <w:r w:rsidRPr="008B2F8A">
        <w:rPr>
          <w:noProof/>
        </w:rPr>
        <w:t>Bon</w:t>
      </w:r>
      <w:r>
        <w:rPr>
          <w:noProof/>
        </w:rPr>
        <w:t>é</w:t>
      </w:r>
      <w:r w:rsidRPr="008B2F8A">
        <w:rPr>
          <w:noProof/>
        </w:rPr>
        <w:t xml:space="preserve">, B, Aspelin, P et al, 1995. Contrast-enhanced MR </w:t>
      </w:r>
      <w:bookmarkEnd w:id="1519"/>
      <w:bookmarkEnd w:id="1520"/>
      <w:r w:rsidRPr="008B2F8A">
        <w:rPr>
          <w:noProof/>
        </w:rPr>
        <w:t xml:space="preserve">imaging of the breast in patients with breast implants after cancer surgery, </w:t>
      </w:r>
      <w:r w:rsidRPr="008B2F8A">
        <w:rPr>
          <w:i/>
          <w:noProof/>
        </w:rPr>
        <w:t>Acta Radiol</w:t>
      </w:r>
      <w:r w:rsidRPr="008B2F8A">
        <w:rPr>
          <w:noProof/>
        </w:rPr>
        <w:t>, 36 (2), 111–116.</w:t>
      </w:r>
    </w:p>
    <w:p w14:paraId="74CD2D5B" w14:textId="30630EC3" w:rsidR="00E47AB8" w:rsidRPr="008B2F8A" w:rsidRDefault="00E47AB8" w:rsidP="00422306">
      <w:pPr>
        <w:tabs>
          <w:tab w:val="right" w:pos="540"/>
          <w:tab w:val="left" w:pos="720"/>
        </w:tabs>
        <w:spacing w:after="240"/>
        <w:ind w:left="720" w:hanging="720"/>
        <w:rPr>
          <w:noProof/>
        </w:rPr>
      </w:pPr>
      <w:bookmarkStart w:id="1521" w:name="OLE_LINK550"/>
      <w:bookmarkStart w:id="1522" w:name="OLE_LINK551"/>
      <w:r w:rsidRPr="008B2F8A">
        <w:rPr>
          <w:noProof/>
        </w:rPr>
        <w:t>Br</w:t>
      </w:r>
      <w:r>
        <w:rPr>
          <w:noProof/>
        </w:rPr>
        <w:t>é</w:t>
      </w:r>
      <w:r w:rsidRPr="008B2F8A">
        <w:rPr>
          <w:noProof/>
        </w:rPr>
        <w:t xml:space="preserve">dart, A, Kop, JL et al, 2012a. Anxiety </w:t>
      </w:r>
      <w:bookmarkEnd w:id="1521"/>
      <w:bookmarkEnd w:id="1522"/>
      <w:r w:rsidRPr="008B2F8A">
        <w:rPr>
          <w:noProof/>
        </w:rPr>
        <w:t xml:space="preserve">and specific distress in women at intermediate and high risk of breast cancer before and after surveillance by magnetic resonance imaging and mammography versus standard mammography, </w:t>
      </w:r>
      <w:r w:rsidRPr="008B2F8A">
        <w:rPr>
          <w:i/>
          <w:noProof/>
        </w:rPr>
        <w:t>Psycho-Oncol</w:t>
      </w:r>
      <w:r w:rsidRPr="008B2F8A">
        <w:rPr>
          <w:noProof/>
        </w:rPr>
        <w:t>, 21 (11), 1185–1194.</w:t>
      </w:r>
    </w:p>
    <w:p w14:paraId="7E51F058" w14:textId="66600BEA" w:rsidR="00E47AB8" w:rsidRPr="008B2F8A" w:rsidRDefault="00E47AB8" w:rsidP="00422306">
      <w:pPr>
        <w:tabs>
          <w:tab w:val="right" w:pos="540"/>
          <w:tab w:val="left" w:pos="720"/>
        </w:tabs>
        <w:spacing w:after="240"/>
        <w:ind w:left="720" w:hanging="720"/>
        <w:rPr>
          <w:noProof/>
        </w:rPr>
      </w:pPr>
      <w:r w:rsidRPr="008B2F8A">
        <w:rPr>
          <w:noProof/>
        </w:rPr>
        <w:t>Br</w:t>
      </w:r>
      <w:r>
        <w:rPr>
          <w:noProof/>
        </w:rPr>
        <w:t>é</w:t>
      </w:r>
      <w:r w:rsidRPr="008B2F8A">
        <w:rPr>
          <w:noProof/>
        </w:rPr>
        <w:t xml:space="preserve">dart, A, Kop, JL et al, 2012b. Perception of care and experience of examination in women at risk of breast cancer undergoing intensive surveillance by standard imaging with or without MRI, </w:t>
      </w:r>
      <w:r w:rsidRPr="008B2F8A">
        <w:rPr>
          <w:i/>
          <w:noProof/>
        </w:rPr>
        <w:t>Patient Educ Counsel</w:t>
      </w:r>
      <w:r w:rsidRPr="008B2F8A">
        <w:rPr>
          <w:noProof/>
        </w:rPr>
        <w:t>, 86 (3), 405–413.</w:t>
      </w:r>
    </w:p>
    <w:p w14:paraId="287E5C94" w14:textId="17F86E93" w:rsidR="00E47AB8" w:rsidRPr="008B2F8A" w:rsidRDefault="00E47AB8" w:rsidP="00422306">
      <w:pPr>
        <w:tabs>
          <w:tab w:val="right" w:pos="540"/>
          <w:tab w:val="left" w:pos="720"/>
        </w:tabs>
        <w:spacing w:after="240"/>
        <w:ind w:left="720" w:hanging="720"/>
        <w:rPr>
          <w:noProof/>
        </w:rPr>
      </w:pPr>
      <w:r w:rsidRPr="008B2F8A">
        <w:rPr>
          <w:noProof/>
        </w:rPr>
        <w:t xml:space="preserve">Brekelmans, C and Seynaeve, C 2006. Survival and prognostic factors in </w:t>
      </w:r>
      <w:r w:rsidRPr="00D2496B">
        <w:rPr>
          <w:i/>
          <w:noProof/>
        </w:rPr>
        <w:t>BRCA1</w:t>
      </w:r>
      <w:r w:rsidRPr="008B2F8A">
        <w:rPr>
          <w:noProof/>
        </w:rPr>
        <w:t xml:space="preserve">-associated breast cancer, </w:t>
      </w:r>
      <w:r w:rsidRPr="008B2F8A">
        <w:rPr>
          <w:i/>
          <w:noProof/>
        </w:rPr>
        <w:t>Ann</w:t>
      </w:r>
      <w:r>
        <w:rPr>
          <w:i/>
          <w:noProof/>
        </w:rPr>
        <w:t xml:space="preserve"> </w:t>
      </w:r>
      <w:r w:rsidRPr="008B2F8A">
        <w:rPr>
          <w:i/>
          <w:noProof/>
        </w:rPr>
        <w:t>Oncol</w:t>
      </w:r>
      <w:r w:rsidRPr="008B2F8A">
        <w:rPr>
          <w:noProof/>
        </w:rPr>
        <w:t>, 17 (3), 391–400.</w:t>
      </w:r>
    </w:p>
    <w:p w14:paraId="12B24FF1" w14:textId="1962A8C3" w:rsidR="00E47AB8" w:rsidRPr="008B2F8A" w:rsidRDefault="00E47AB8" w:rsidP="00422306">
      <w:pPr>
        <w:tabs>
          <w:tab w:val="right" w:pos="540"/>
          <w:tab w:val="left" w:pos="720"/>
        </w:tabs>
        <w:spacing w:after="240"/>
        <w:ind w:left="720" w:hanging="720"/>
        <w:rPr>
          <w:noProof/>
        </w:rPr>
      </w:pPr>
      <w:r w:rsidRPr="008B2F8A">
        <w:rPr>
          <w:noProof/>
        </w:rPr>
        <w:t xml:space="preserve">Brennan, ME, Houssami, N et al, 2009. </w:t>
      </w:r>
      <w:r w:rsidRPr="00D2496B">
        <w:rPr>
          <w:noProof/>
        </w:rPr>
        <w:t xml:space="preserve">Magnetic </w:t>
      </w:r>
      <w:r w:rsidRPr="00CF3BAD">
        <w:rPr>
          <w:noProof/>
        </w:rPr>
        <w:t xml:space="preserve">resonance imaging screening of the contralateral breast in women with newly diagnosed breast cancer: systematic review and meta-analysis of incremental cancer detection and impact on surgical management, </w:t>
      </w:r>
      <w:r w:rsidRPr="00CF3BAD">
        <w:rPr>
          <w:i/>
          <w:noProof/>
        </w:rPr>
        <w:t>J Clin Oncol</w:t>
      </w:r>
      <w:r w:rsidRPr="00CF3BAD">
        <w:rPr>
          <w:noProof/>
        </w:rPr>
        <w:t>, 27 (33), 5640–5649.</w:t>
      </w:r>
    </w:p>
    <w:p w14:paraId="5DB1908A" w14:textId="0AEC4969" w:rsidR="00E47AB8" w:rsidRPr="00D2496B" w:rsidRDefault="00E47AB8" w:rsidP="00422306">
      <w:pPr>
        <w:tabs>
          <w:tab w:val="right" w:pos="540"/>
          <w:tab w:val="left" w:pos="720"/>
        </w:tabs>
        <w:spacing w:after="240"/>
        <w:ind w:left="720" w:hanging="720"/>
        <w:rPr>
          <w:noProof/>
        </w:rPr>
      </w:pPr>
      <w:r w:rsidRPr="00D2496B">
        <w:rPr>
          <w:noProof/>
        </w:rPr>
        <w:t xml:space="preserve">Broeders, M, Moss, S et al, 2012. The impact of mammographic screening on breast cancer mortality in Europe: a review of observational studies, </w:t>
      </w:r>
      <w:r w:rsidRPr="00D2496B">
        <w:rPr>
          <w:i/>
          <w:noProof/>
        </w:rPr>
        <w:t>J Med Screen</w:t>
      </w:r>
      <w:r w:rsidRPr="00D2496B">
        <w:rPr>
          <w:noProof/>
        </w:rPr>
        <w:t>, 19 (suppl 1), 14–25.</w:t>
      </w:r>
    </w:p>
    <w:p w14:paraId="0002DC9F" w14:textId="2B5A128B" w:rsidR="00E47AB8" w:rsidRPr="008B2F8A" w:rsidRDefault="00E47AB8" w:rsidP="00422306">
      <w:pPr>
        <w:tabs>
          <w:tab w:val="right" w:pos="540"/>
          <w:tab w:val="left" w:pos="720"/>
        </w:tabs>
        <w:spacing w:after="240"/>
        <w:ind w:left="720" w:hanging="720"/>
        <w:rPr>
          <w:noProof/>
        </w:rPr>
      </w:pPr>
      <w:r w:rsidRPr="008B2F8A">
        <w:rPr>
          <w:noProof/>
        </w:rPr>
        <w:t xml:space="preserve">Buist, DS, Abraham, LA et al, 2010. Diagnosis of second breast cancer events after initial diagnosis of early stage breast cancer, </w:t>
      </w:r>
      <w:r w:rsidRPr="008B2F8A">
        <w:rPr>
          <w:i/>
          <w:noProof/>
        </w:rPr>
        <w:t>Breast Cancer Res</w:t>
      </w:r>
      <w:r>
        <w:rPr>
          <w:i/>
          <w:noProof/>
        </w:rPr>
        <w:t xml:space="preserve"> </w:t>
      </w:r>
      <w:r w:rsidRPr="008B2F8A">
        <w:rPr>
          <w:i/>
          <w:noProof/>
        </w:rPr>
        <w:t>Treat</w:t>
      </w:r>
      <w:r w:rsidRPr="008B2F8A">
        <w:rPr>
          <w:noProof/>
        </w:rPr>
        <w:t>, 124 (3), 863–873.</w:t>
      </w:r>
    </w:p>
    <w:p w14:paraId="08D6751D" w14:textId="6D06AE98" w:rsidR="00E47AB8" w:rsidRDefault="00E47AB8" w:rsidP="00422306">
      <w:pPr>
        <w:tabs>
          <w:tab w:val="right" w:pos="540"/>
          <w:tab w:val="left" w:pos="720"/>
        </w:tabs>
        <w:spacing w:after="240"/>
        <w:ind w:left="720" w:hanging="720"/>
        <w:rPr>
          <w:noProof/>
        </w:rPr>
      </w:pPr>
      <w:r w:rsidRPr="00D2496B">
        <w:rPr>
          <w:noProof/>
        </w:rPr>
        <w:t xml:space="preserve">Burton, RC, Bell, RJ et al, 2012. Adjuvant therapy, not mammographic screening, accounts for most of the observed breast cancer specific mortality reductions in Australian women since the national screening program began in 1991, </w:t>
      </w:r>
      <w:r w:rsidRPr="00D2496B">
        <w:rPr>
          <w:i/>
          <w:noProof/>
        </w:rPr>
        <w:t>Breast Cancer Res Treat</w:t>
      </w:r>
      <w:r w:rsidRPr="00D2496B">
        <w:rPr>
          <w:noProof/>
        </w:rPr>
        <w:t>, 131 (3), 949–955.</w:t>
      </w:r>
    </w:p>
    <w:p w14:paraId="7F15F91A" w14:textId="66327537" w:rsidR="00E114B3" w:rsidRPr="00D2496B" w:rsidRDefault="00E114B3" w:rsidP="00422306">
      <w:pPr>
        <w:tabs>
          <w:tab w:val="right" w:pos="540"/>
          <w:tab w:val="left" w:pos="720"/>
        </w:tabs>
        <w:spacing w:after="240"/>
        <w:ind w:left="720" w:hanging="720"/>
        <w:rPr>
          <w:noProof/>
        </w:rPr>
      </w:pPr>
      <w:r w:rsidRPr="00E114B3">
        <w:rPr>
          <w:noProof/>
        </w:rPr>
        <w:t>Cerezo Espinosa de los Monteros JJ, Villegas Portero R</w:t>
      </w:r>
      <w:r>
        <w:rPr>
          <w:noProof/>
        </w:rPr>
        <w:t xml:space="preserve"> et al, 2008</w:t>
      </w:r>
      <w:r w:rsidRPr="00E114B3">
        <w:rPr>
          <w:noProof/>
        </w:rPr>
        <w:t xml:space="preserve">. Resonancia magnetica para el diagnostico de cancer de mama. Revision sistematica y evaluacion economica. [Magnetic </w:t>
      </w:r>
      <w:r w:rsidRPr="00E114B3">
        <w:rPr>
          <w:noProof/>
        </w:rPr>
        <w:lastRenderedPageBreak/>
        <w:t xml:space="preserve">Resonance imaging for breast cancer diagnostics. Systematic review and economic assessment] Seville: Andalusian Agency for Health Technology Assessment (AETSA). </w:t>
      </w:r>
    </w:p>
    <w:p w14:paraId="2657999A" w14:textId="233FDED7" w:rsidR="00E47AB8" w:rsidRPr="008B2F8A" w:rsidRDefault="00E47AB8" w:rsidP="00422306">
      <w:pPr>
        <w:tabs>
          <w:tab w:val="right" w:pos="540"/>
          <w:tab w:val="left" w:pos="720"/>
        </w:tabs>
        <w:spacing w:after="240"/>
        <w:ind w:left="720" w:hanging="720"/>
        <w:rPr>
          <w:noProof/>
        </w:rPr>
      </w:pPr>
      <w:r w:rsidRPr="008B2F8A">
        <w:rPr>
          <w:noProof/>
        </w:rPr>
        <w:t xml:space="preserve">Chen, S and Parmigiani, G 2007. Meta-analysis of </w:t>
      </w:r>
      <w:r w:rsidRPr="00D2496B">
        <w:rPr>
          <w:i/>
          <w:noProof/>
        </w:rPr>
        <w:t>BRCA1</w:t>
      </w:r>
      <w:r w:rsidRPr="008B2F8A">
        <w:rPr>
          <w:noProof/>
        </w:rPr>
        <w:t xml:space="preserve"> and </w:t>
      </w:r>
      <w:r w:rsidRPr="00D2496B">
        <w:rPr>
          <w:i/>
          <w:noProof/>
        </w:rPr>
        <w:t>BRCA2</w:t>
      </w:r>
      <w:r w:rsidRPr="008B2F8A">
        <w:rPr>
          <w:noProof/>
        </w:rPr>
        <w:t xml:space="preserve"> penetrance, </w:t>
      </w:r>
      <w:r w:rsidRPr="008B2F8A">
        <w:rPr>
          <w:i/>
          <w:noProof/>
        </w:rPr>
        <w:t>J Clin Oncol</w:t>
      </w:r>
      <w:r w:rsidRPr="008B2F8A">
        <w:rPr>
          <w:noProof/>
        </w:rPr>
        <w:t>, 25 (11), 1329–1333.</w:t>
      </w:r>
    </w:p>
    <w:p w14:paraId="09AC75DF" w14:textId="77777777" w:rsidR="00E47AB8" w:rsidRPr="008B2F8A" w:rsidRDefault="00E47AB8" w:rsidP="00422306">
      <w:pPr>
        <w:tabs>
          <w:tab w:val="right" w:pos="540"/>
          <w:tab w:val="left" w:pos="720"/>
        </w:tabs>
        <w:spacing w:after="240"/>
        <w:ind w:left="720" w:hanging="720"/>
        <w:rPr>
          <w:noProof/>
        </w:rPr>
      </w:pPr>
      <w:r w:rsidRPr="008B2F8A">
        <w:rPr>
          <w:noProof/>
        </w:rPr>
        <w:t xml:space="preserve">Claus, EB, Risch, N et al, 1994. Autosomal dominant inheritance of early-onset breast cancer. Implications for risk prediction, </w:t>
      </w:r>
      <w:r w:rsidRPr="008B2F8A">
        <w:rPr>
          <w:i/>
          <w:noProof/>
        </w:rPr>
        <w:t>Cancer</w:t>
      </w:r>
      <w:r w:rsidRPr="008B2F8A">
        <w:rPr>
          <w:noProof/>
        </w:rPr>
        <w:t>, 73 (3), 643–</w:t>
      </w:r>
      <w:r>
        <w:rPr>
          <w:noProof/>
        </w:rPr>
        <w:t>6</w:t>
      </w:r>
      <w:r w:rsidRPr="008B2F8A">
        <w:rPr>
          <w:noProof/>
        </w:rPr>
        <w:t>51.</w:t>
      </w:r>
    </w:p>
    <w:p w14:paraId="42AA26A4" w14:textId="63393E02" w:rsidR="00694E4E" w:rsidRDefault="00694E4E" w:rsidP="00422306">
      <w:pPr>
        <w:tabs>
          <w:tab w:val="right" w:pos="540"/>
          <w:tab w:val="left" w:pos="720"/>
        </w:tabs>
        <w:spacing w:after="240"/>
        <w:ind w:left="720" w:hanging="720"/>
        <w:rPr>
          <w:noProof/>
        </w:rPr>
      </w:pPr>
      <w:r>
        <w:rPr>
          <w:noProof/>
        </w:rPr>
        <w:t>Cott Chubiz, JE, Lee, JM et al,</w:t>
      </w:r>
      <w:r w:rsidRPr="00694E4E">
        <w:rPr>
          <w:noProof/>
        </w:rPr>
        <w:t xml:space="preserve"> 2012. Cost-effectiveness of alternating magnetic resonance imaging and digital mammography screening in BRCA1 a</w:t>
      </w:r>
      <w:r>
        <w:rPr>
          <w:noProof/>
        </w:rPr>
        <w:t>nd BRCA2 gene mutation carriers,</w:t>
      </w:r>
      <w:r w:rsidRPr="00694E4E">
        <w:rPr>
          <w:noProof/>
        </w:rPr>
        <w:t xml:space="preserve"> </w:t>
      </w:r>
      <w:r w:rsidRPr="00694E4E">
        <w:rPr>
          <w:i/>
          <w:iCs/>
          <w:noProof/>
        </w:rPr>
        <w:t>Cancer</w:t>
      </w:r>
      <w:r>
        <w:rPr>
          <w:rFonts w:ascii="Arial" w:hAnsi="Arial" w:cs="Arial"/>
          <w:color w:val="000000"/>
          <w:sz w:val="17"/>
          <w:szCs w:val="17"/>
          <w:shd w:val="clear" w:color="auto" w:fill="FFFFFF"/>
        </w:rPr>
        <w:t xml:space="preserve">, </w:t>
      </w:r>
      <w:r>
        <w:rPr>
          <w:iCs/>
          <w:noProof/>
        </w:rPr>
        <w:t xml:space="preserve">119 (6), </w:t>
      </w:r>
      <w:r w:rsidRPr="00694E4E">
        <w:rPr>
          <w:iCs/>
          <w:noProof/>
        </w:rPr>
        <w:t>1266-</w:t>
      </w:r>
      <w:r>
        <w:rPr>
          <w:iCs/>
          <w:noProof/>
        </w:rPr>
        <w:t>12</w:t>
      </w:r>
      <w:r w:rsidRPr="00694E4E">
        <w:rPr>
          <w:iCs/>
          <w:noProof/>
        </w:rPr>
        <w:t>76.</w:t>
      </w:r>
    </w:p>
    <w:p w14:paraId="3832ACFA" w14:textId="1E2B1724" w:rsidR="00E47AB8" w:rsidRPr="008B2F8A" w:rsidRDefault="00E47AB8" w:rsidP="00422306">
      <w:pPr>
        <w:tabs>
          <w:tab w:val="right" w:pos="540"/>
          <w:tab w:val="left" w:pos="720"/>
        </w:tabs>
        <w:spacing w:after="240"/>
        <w:ind w:left="720" w:hanging="720"/>
        <w:rPr>
          <w:noProof/>
        </w:rPr>
      </w:pPr>
      <w:r w:rsidRPr="008B2F8A">
        <w:rPr>
          <w:noProof/>
        </w:rPr>
        <w:t xml:space="preserve">Cutuli, B, Kanoun, S et al, 2012. Breast cancer occurred after Hodgkin’s disease: clinico-pathological features, treatments and outcome: analysis of 214 cases, </w:t>
      </w:r>
      <w:r w:rsidRPr="008B2F8A">
        <w:rPr>
          <w:i/>
          <w:noProof/>
        </w:rPr>
        <w:t>Crit Rev</w:t>
      </w:r>
      <w:r>
        <w:rPr>
          <w:i/>
          <w:noProof/>
        </w:rPr>
        <w:t xml:space="preserve"> </w:t>
      </w:r>
      <w:r w:rsidRPr="008B2F8A">
        <w:rPr>
          <w:i/>
          <w:noProof/>
        </w:rPr>
        <w:t>Oncol</w:t>
      </w:r>
      <w:r>
        <w:rPr>
          <w:i/>
          <w:noProof/>
        </w:rPr>
        <w:t xml:space="preserve"> </w:t>
      </w:r>
      <w:r w:rsidRPr="008B2F8A">
        <w:rPr>
          <w:i/>
          <w:noProof/>
        </w:rPr>
        <w:t>Hematol</w:t>
      </w:r>
      <w:r w:rsidRPr="008B2F8A">
        <w:rPr>
          <w:noProof/>
        </w:rPr>
        <w:t>, 81 (1), 29–37.</w:t>
      </w:r>
    </w:p>
    <w:p w14:paraId="0B22B8CF" w14:textId="7623847C" w:rsidR="00E47AB8" w:rsidRPr="008B2F8A" w:rsidRDefault="00E47AB8" w:rsidP="00422306">
      <w:pPr>
        <w:tabs>
          <w:tab w:val="right" w:pos="540"/>
          <w:tab w:val="left" w:pos="720"/>
        </w:tabs>
        <w:spacing w:after="240"/>
        <w:ind w:left="720" w:hanging="720"/>
        <w:rPr>
          <w:noProof/>
        </w:rPr>
      </w:pPr>
      <w:r w:rsidRPr="008B2F8A">
        <w:rPr>
          <w:noProof/>
        </w:rPr>
        <w:t xml:space="preserve">Cuzick, J, Powles, T et al, 2003. Overview of the main outcomes in breast-cancer prevention trials, </w:t>
      </w:r>
      <w:r w:rsidRPr="008B2F8A">
        <w:rPr>
          <w:i/>
          <w:noProof/>
        </w:rPr>
        <w:t>Lancet</w:t>
      </w:r>
      <w:r w:rsidRPr="008B2F8A">
        <w:rPr>
          <w:noProof/>
        </w:rPr>
        <w:t>, 361 (9354), 296–300.</w:t>
      </w:r>
    </w:p>
    <w:p w14:paraId="4E188356" w14:textId="268E3B33" w:rsidR="00E47AB8" w:rsidRPr="008B2F8A" w:rsidRDefault="00E47AB8" w:rsidP="00422306">
      <w:pPr>
        <w:tabs>
          <w:tab w:val="right" w:pos="540"/>
          <w:tab w:val="left" w:pos="720"/>
        </w:tabs>
        <w:spacing w:after="240"/>
        <w:ind w:left="720" w:hanging="720"/>
        <w:rPr>
          <w:noProof/>
        </w:rPr>
      </w:pPr>
      <w:r w:rsidRPr="008B2F8A">
        <w:rPr>
          <w:noProof/>
        </w:rPr>
        <w:t>Cuzick, J, Forbes, JF et al, 2007. Long-term results of tamoxifen prophylaxis for breast cancer</w:t>
      </w:r>
      <w:r>
        <w:rPr>
          <w:noProof/>
        </w:rPr>
        <w:t xml:space="preserve"> – </w:t>
      </w:r>
      <w:r w:rsidRPr="008B2F8A">
        <w:rPr>
          <w:noProof/>
        </w:rPr>
        <w:t xml:space="preserve">96-month follow-up of the randomized IBIS-I trial, </w:t>
      </w:r>
      <w:r w:rsidRPr="008B2F8A">
        <w:rPr>
          <w:i/>
          <w:noProof/>
        </w:rPr>
        <w:t>J Natl</w:t>
      </w:r>
      <w:r>
        <w:rPr>
          <w:i/>
          <w:noProof/>
        </w:rPr>
        <w:t xml:space="preserve"> </w:t>
      </w:r>
      <w:r w:rsidRPr="008B2F8A">
        <w:rPr>
          <w:i/>
          <w:noProof/>
        </w:rPr>
        <w:t>Cancer Inst</w:t>
      </w:r>
      <w:r w:rsidRPr="008B2F8A">
        <w:rPr>
          <w:noProof/>
        </w:rPr>
        <w:t>, 99 (4), 272–282.</w:t>
      </w:r>
    </w:p>
    <w:p w14:paraId="1D73658B" w14:textId="47D54852" w:rsidR="00E47AB8" w:rsidRPr="00D2496B" w:rsidRDefault="00E47AB8" w:rsidP="00422306">
      <w:pPr>
        <w:tabs>
          <w:tab w:val="right" w:pos="540"/>
          <w:tab w:val="left" w:pos="720"/>
        </w:tabs>
        <w:spacing w:after="240"/>
        <w:ind w:left="720" w:hanging="720"/>
        <w:rPr>
          <w:noProof/>
        </w:rPr>
      </w:pPr>
      <w:r w:rsidRPr="00D2496B">
        <w:rPr>
          <w:noProof/>
        </w:rPr>
        <w:t xml:space="preserve">De Bruin, ML, Sparidans, J et al, 2009. Breast cancer risk in female survivors of Hodgkin’s lymphoma: lower risk after smaller radiation volumes, </w:t>
      </w:r>
      <w:r w:rsidRPr="00D2496B">
        <w:rPr>
          <w:i/>
          <w:noProof/>
        </w:rPr>
        <w:t>J Clin Oncol</w:t>
      </w:r>
      <w:r w:rsidRPr="00D2496B">
        <w:rPr>
          <w:noProof/>
        </w:rPr>
        <w:t>, 27 (26), 4239–4246.</w:t>
      </w:r>
    </w:p>
    <w:p w14:paraId="6F0B3D2A" w14:textId="04371F0B" w:rsidR="00E47AB8" w:rsidRPr="008B2F8A" w:rsidRDefault="00E47AB8" w:rsidP="00422306">
      <w:pPr>
        <w:tabs>
          <w:tab w:val="right" w:pos="540"/>
          <w:tab w:val="left" w:pos="720"/>
        </w:tabs>
        <w:spacing w:after="240"/>
        <w:ind w:left="720" w:hanging="720"/>
        <w:rPr>
          <w:noProof/>
        </w:rPr>
      </w:pPr>
      <w:r w:rsidRPr="008B2F8A">
        <w:rPr>
          <w:noProof/>
        </w:rPr>
        <w:t xml:space="preserve">Diller, L, Madeiros Nancarrow, C et al, 2002. </w:t>
      </w:r>
      <w:r w:rsidRPr="00D2496B">
        <w:rPr>
          <w:noProof/>
        </w:rPr>
        <w:t xml:space="preserve">Breast </w:t>
      </w:r>
      <w:r w:rsidRPr="00B13881">
        <w:rPr>
          <w:noProof/>
        </w:rPr>
        <w:t xml:space="preserve">cancer screening in women previously treated for </w:t>
      </w:r>
      <w:r w:rsidRPr="00D2496B">
        <w:rPr>
          <w:noProof/>
        </w:rPr>
        <w:t>Hodgkin</w:t>
      </w:r>
      <w:r w:rsidRPr="00D2496B">
        <w:rPr>
          <w:rFonts w:hint="eastAsia"/>
          <w:noProof/>
        </w:rPr>
        <w:t>’</w:t>
      </w:r>
      <w:r w:rsidRPr="00D2496B">
        <w:rPr>
          <w:noProof/>
        </w:rPr>
        <w:t xml:space="preserve">s </w:t>
      </w:r>
      <w:r w:rsidRPr="00B13881">
        <w:rPr>
          <w:noProof/>
        </w:rPr>
        <w:t xml:space="preserve">disease: a prospective cohort study, </w:t>
      </w:r>
      <w:r w:rsidRPr="00B13881">
        <w:rPr>
          <w:i/>
          <w:noProof/>
        </w:rPr>
        <w:t>J Clin Oncol</w:t>
      </w:r>
      <w:r w:rsidRPr="00B13881">
        <w:rPr>
          <w:noProof/>
        </w:rPr>
        <w:t>, 20 (8), 2085–2091.</w:t>
      </w:r>
    </w:p>
    <w:p w14:paraId="1D3672E4" w14:textId="1BAA4C45" w:rsidR="00E47AB8" w:rsidRPr="008B2F8A" w:rsidRDefault="00E47AB8" w:rsidP="00422306">
      <w:pPr>
        <w:tabs>
          <w:tab w:val="right" w:pos="540"/>
          <w:tab w:val="left" w:pos="720"/>
        </w:tabs>
        <w:spacing w:after="240"/>
        <w:ind w:left="720" w:hanging="720"/>
        <w:rPr>
          <w:noProof/>
        </w:rPr>
      </w:pPr>
      <w:r w:rsidRPr="008B2F8A">
        <w:rPr>
          <w:noProof/>
        </w:rPr>
        <w:t xml:space="preserve">Drew, PJ, Kerin, MJ et al, 1998. Routine screening for local recurrence following breast-conserving therapy for cancer with dynamic contrast-enhanced magnetic resonance imaging of the breast, </w:t>
      </w:r>
      <w:r w:rsidRPr="008B2F8A">
        <w:rPr>
          <w:i/>
          <w:noProof/>
        </w:rPr>
        <w:t>Ann Surg Oncol</w:t>
      </w:r>
      <w:r w:rsidRPr="008B2F8A">
        <w:rPr>
          <w:noProof/>
        </w:rPr>
        <w:t>, 5 (3), 265–270.</w:t>
      </w:r>
    </w:p>
    <w:p w14:paraId="4CE24767" w14:textId="6F3CB7FF" w:rsidR="00E47AB8" w:rsidRPr="008B2F8A" w:rsidRDefault="00E47AB8" w:rsidP="00422306">
      <w:pPr>
        <w:tabs>
          <w:tab w:val="right" w:pos="540"/>
          <w:tab w:val="left" w:pos="720"/>
        </w:tabs>
        <w:spacing w:after="240"/>
        <w:ind w:left="720" w:hanging="720"/>
        <w:rPr>
          <w:noProof/>
        </w:rPr>
      </w:pPr>
      <w:r w:rsidRPr="008B2F8A">
        <w:rPr>
          <w:noProof/>
        </w:rPr>
        <w:t xml:space="preserve">EBCTCG </w:t>
      </w:r>
      <w:r>
        <w:rPr>
          <w:noProof/>
        </w:rPr>
        <w:t>(</w:t>
      </w:r>
      <w:r w:rsidRPr="008B2F8A">
        <w:rPr>
          <w:noProof/>
        </w:rPr>
        <w:t>Early Breast Cancer Trialists’ Collaborative Group)</w:t>
      </w:r>
      <w:r>
        <w:rPr>
          <w:noProof/>
        </w:rPr>
        <w:t>,</w:t>
      </w:r>
      <w:r w:rsidRPr="008B2F8A">
        <w:rPr>
          <w:noProof/>
        </w:rPr>
        <w:t xml:space="preserve"> 2005. Effects of radiotherapy and of differences in the extent of surgery for early breast cancer on local recurrence and 15-year survival: an overview of the randomised trials, </w:t>
      </w:r>
      <w:r w:rsidRPr="008B2F8A">
        <w:rPr>
          <w:i/>
          <w:noProof/>
        </w:rPr>
        <w:t>Lancet</w:t>
      </w:r>
      <w:r w:rsidRPr="008B2F8A">
        <w:rPr>
          <w:noProof/>
        </w:rPr>
        <w:t>, 366 (9503), 2087–2106.</w:t>
      </w:r>
    </w:p>
    <w:p w14:paraId="1FDA2B90" w14:textId="2D81F36F" w:rsidR="00E47AB8" w:rsidRPr="008B2F8A" w:rsidRDefault="00E47AB8" w:rsidP="00422306">
      <w:pPr>
        <w:tabs>
          <w:tab w:val="right" w:pos="540"/>
          <w:tab w:val="left" w:pos="720"/>
        </w:tabs>
        <w:spacing w:after="240"/>
        <w:ind w:left="720" w:hanging="720"/>
        <w:rPr>
          <w:noProof/>
        </w:rPr>
      </w:pPr>
      <w:r w:rsidRPr="008B2F8A">
        <w:rPr>
          <w:noProof/>
        </w:rPr>
        <w:t xml:space="preserve">Elmore, L and Margenthaler, JA 2010. Breast MRI surveillance in women with prior curative-intent therapy for breast cancer, </w:t>
      </w:r>
      <w:r w:rsidRPr="008B2F8A">
        <w:rPr>
          <w:i/>
          <w:noProof/>
        </w:rPr>
        <w:t>J Surg Res</w:t>
      </w:r>
      <w:r w:rsidRPr="008B2F8A">
        <w:rPr>
          <w:noProof/>
        </w:rPr>
        <w:t>, 163 (1), 58–62.</w:t>
      </w:r>
    </w:p>
    <w:p w14:paraId="0FC5F16E" w14:textId="6D64A20B" w:rsidR="00E47AB8" w:rsidRPr="00D2496B" w:rsidRDefault="00E47AB8" w:rsidP="00422306">
      <w:pPr>
        <w:tabs>
          <w:tab w:val="right" w:pos="540"/>
          <w:tab w:val="left" w:pos="720"/>
        </w:tabs>
        <w:spacing w:after="240"/>
        <w:ind w:left="720" w:hanging="720"/>
        <w:rPr>
          <w:rFonts w:cs="Tahoma"/>
          <w:noProof/>
        </w:rPr>
      </w:pPr>
      <w:r w:rsidRPr="008B2F8A">
        <w:rPr>
          <w:noProof/>
        </w:rPr>
        <w:t>Faculty of Radiation Oncology</w:t>
      </w:r>
      <w:r>
        <w:rPr>
          <w:noProof/>
        </w:rPr>
        <w:t>,</w:t>
      </w:r>
      <w:r w:rsidRPr="008B2F8A">
        <w:rPr>
          <w:noProof/>
        </w:rPr>
        <w:t xml:space="preserve"> 2010, </w:t>
      </w:r>
      <w:r w:rsidRPr="00D2496B">
        <w:rPr>
          <w:rFonts w:cs="Tahoma"/>
          <w:i/>
          <w:noProof/>
        </w:rPr>
        <w:t xml:space="preserve">Position </w:t>
      </w:r>
      <w:r w:rsidRPr="00B13881">
        <w:rPr>
          <w:rFonts w:cs="Tahoma"/>
          <w:i/>
          <w:noProof/>
        </w:rPr>
        <w:t>paper</w:t>
      </w:r>
      <w:r w:rsidRPr="00D2496B">
        <w:rPr>
          <w:rFonts w:cs="Tahoma"/>
          <w:i/>
          <w:noProof/>
        </w:rPr>
        <w:t xml:space="preserve">: </w:t>
      </w:r>
      <w:r w:rsidRPr="00B13881">
        <w:rPr>
          <w:rFonts w:cs="Tahoma"/>
          <w:i/>
          <w:noProof/>
        </w:rPr>
        <w:t xml:space="preserve">Breast </w:t>
      </w:r>
      <w:r w:rsidRPr="00D2496B">
        <w:rPr>
          <w:rFonts w:cs="Tahoma"/>
          <w:i/>
          <w:noProof/>
        </w:rPr>
        <w:t xml:space="preserve">cancer and late effects following radiotherapy and chemotherapy for Hodgkin’s </w:t>
      </w:r>
      <w:r w:rsidRPr="00B13881">
        <w:rPr>
          <w:rFonts w:cs="Tahoma"/>
          <w:i/>
          <w:noProof/>
        </w:rPr>
        <w:t>lymphoma</w:t>
      </w:r>
      <w:r w:rsidRPr="008B2F8A">
        <w:rPr>
          <w:i/>
          <w:noProof/>
        </w:rPr>
        <w:t>.</w:t>
      </w:r>
      <w:r w:rsidRPr="008B2F8A">
        <w:rPr>
          <w:noProof/>
        </w:rPr>
        <w:t xml:space="preserve"> </w:t>
      </w:r>
      <w:r w:rsidRPr="00D2496B">
        <w:rPr>
          <w:rFonts w:cs="Tahoma"/>
          <w:noProof/>
        </w:rPr>
        <w:t>Sydney: Royal Australian and New Zealand College of Radiologists.</w:t>
      </w:r>
    </w:p>
    <w:p w14:paraId="37CBD2B1" w14:textId="537961CC" w:rsidR="00E47AB8" w:rsidRPr="008B2F8A" w:rsidRDefault="00E47AB8" w:rsidP="00422306">
      <w:pPr>
        <w:tabs>
          <w:tab w:val="right" w:pos="540"/>
          <w:tab w:val="left" w:pos="720"/>
        </w:tabs>
        <w:spacing w:after="240"/>
        <w:ind w:left="720" w:hanging="720"/>
        <w:rPr>
          <w:noProof/>
        </w:rPr>
      </w:pPr>
      <w:r w:rsidRPr="008B2F8A">
        <w:rPr>
          <w:noProof/>
        </w:rPr>
        <w:t xml:space="preserve">Fisher, B, Costantino, JP et al, 1998. Tamoxifen for prevention of breast cancer: report of the National Surgical Adjuvant Breast and Bowel Project P-1 Study, </w:t>
      </w:r>
      <w:r w:rsidRPr="008B2F8A">
        <w:rPr>
          <w:i/>
          <w:noProof/>
        </w:rPr>
        <w:t xml:space="preserve">J </w:t>
      </w:r>
      <w:r>
        <w:rPr>
          <w:i/>
          <w:noProof/>
        </w:rPr>
        <w:t xml:space="preserve">Natl </w:t>
      </w:r>
      <w:r w:rsidRPr="008B2F8A">
        <w:rPr>
          <w:i/>
          <w:noProof/>
        </w:rPr>
        <w:t>Cancer Inst</w:t>
      </w:r>
      <w:r w:rsidRPr="008B2F8A">
        <w:rPr>
          <w:noProof/>
        </w:rPr>
        <w:t>, 90 (18), 1371–1388.</w:t>
      </w:r>
    </w:p>
    <w:p w14:paraId="215E9FF4" w14:textId="143A7315" w:rsidR="00E47AB8" w:rsidRPr="008B2F8A" w:rsidRDefault="00E47AB8" w:rsidP="00422306">
      <w:pPr>
        <w:tabs>
          <w:tab w:val="right" w:pos="540"/>
          <w:tab w:val="left" w:pos="720"/>
        </w:tabs>
        <w:spacing w:after="240"/>
        <w:ind w:left="720" w:hanging="720"/>
        <w:rPr>
          <w:noProof/>
        </w:rPr>
      </w:pPr>
      <w:r w:rsidRPr="008B2F8A">
        <w:rPr>
          <w:noProof/>
        </w:rPr>
        <w:lastRenderedPageBreak/>
        <w:t xml:space="preserve">Fisher, B, Costantino, JP et al, 2005. Tamoxifen for the prevention of breast cancer: current status of the National Surgical Adjuvant Breast and Bowel Project P-1 study, </w:t>
      </w:r>
      <w:r w:rsidRPr="008B2F8A">
        <w:rPr>
          <w:i/>
          <w:noProof/>
        </w:rPr>
        <w:t xml:space="preserve">J </w:t>
      </w:r>
      <w:r>
        <w:rPr>
          <w:i/>
          <w:noProof/>
        </w:rPr>
        <w:t xml:space="preserve">Natl </w:t>
      </w:r>
      <w:r w:rsidRPr="008B2F8A">
        <w:rPr>
          <w:i/>
          <w:noProof/>
        </w:rPr>
        <w:t>Cancer Inst</w:t>
      </w:r>
      <w:r w:rsidRPr="008B2F8A">
        <w:rPr>
          <w:noProof/>
        </w:rPr>
        <w:t>, 97 (22), 1652–1662.</w:t>
      </w:r>
    </w:p>
    <w:p w14:paraId="462B0A57" w14:textId="77777777" w:rsidR="00E47AB8" w:rsidRPr="008B2F8A" w:rsidRDefault="00E47AB8" w:rsidP="00422306">
      <w:pPr>
        <w:tabs>
          <w:tab w:val="right" w:pos="540"/>
          <w:tab w:val="left" w:pos="720"/>
        </w:tabs>
        <w:spacing w:after="240"/>
        <w:ind w:left="720" w:hanging="720"/>
        <w:rPr>
          <w:noProof/>
        </w:rPr>
      </w:pPr>
      <w:r w:rsidRPr="008B2F8A">
        <w:rPr>
          <w:noProof/>
        </w:rPr>
        <w:t xml:space="preserve">Freitas, V, Scaranelo, A et al, 2013. Added cancer yield of breast magnetic resonance imaging screening in women with a prior history of chest radiation therapy, </w:t>
      </w:r>
      <w:r w:rsidRPr="008B2F8A">
        <w:rPr>
          <w:i/>
          <w:noProof/>
        </w:rPr>
        <w:t>Cancer</w:t>
      </w:r>
      <w:r w:rsidRPr="008B2F8A">
        <w:rPr>
          <w:noProof/>
        </w:rPr>
        <w:t>, 119 (3), 495–503.</w:t>
      </w:r>
    </w:p>
    <w:p w14:paraId="7C387602" w14:textId="215D95EB" w:rsidR="00E47AB8" w:rsidRPr="008B2F8A" w:rsidRDefault="00E47AB8" w:rsidP="00422306">
      <w:pPr>
        <w:tabs>
          <w:tab w:val="right" w:pos="540"/>
          <w:tab w:val="left" w:pos="720"/>
        </w:tabs>
        <w:spacing w:after="240"/>
        <w:ind w:left="720" w:hanging="720"/>
        <w:rPr>
          <w:noProof/>
        </w:rPr>
      </w:pPr>
      <w:r w:rsidRPr="008B2F8A">
        <w:rPr>
          <w:noProof/>
        </w:rPr>
        <w:t xml:space="preserve">Friedrich, M 1998. MRI of the breast: state of the art, </w:t>
      </w:r>
      <w:r w:rsidRPr="008B2F8A">
        <w:rPr>
          <w:i/>
          <w:noProof/>
        </w:rPr>
        <w:t>Eur</w:t>
      </w:r>
      <w:r>
        <w:rPr>
          <w:i/>
          <w:noProof/>
        </w:rPr>
        <w:t xml:space="preserve"> </w:t>
      </w:r>
      <w:r w:rsidRPr="008B2F8A">
        <w:rPr>
          <w:i/>
          <w:noProof/>
        </w:rPr>
        <w:t>Radiol</w:t>
      </w:r>
      <w:r w:rsidRPr="008B2F8A">
        <w:rPr>
          <w:noProof/>
        </w:rPr>
        <w:t>, 8 (5), 707–725.</w:t>
      </w:r>
    </w:p>
    <w:p w14:paraId="1D1412BB" w14:textId="4F0E85E0" w:rsidR="00E47AB8" w:rsidRPr="008B2F8A" w:rsidRDefault="00E47AB8" w:rsidP="00422306">
      <w:pPr>
        <w:tabs>
          <w:tab w:val="right" w:pos="540"/>
          <w:tab w:val="left" w:pos="720"/>
        </w:tabs>
        <w:spacing w:after="240"/>
        <w:ind w:left="720" w:hanging="720"/>
        <w:rPr>
          <w:noProof/>
        </w:rPr>
      </w:pPr>
      <w:r w:rsidRPr="008B2F8A">
        <w:rPr>
          <w:noProof/>
        </w:rPr>
        <w:t xml:space="preserve">Gao, X, Fisher, SG et al, 2003. Risk of second primary cancer in the contralateral breast in women treated for early-stage breast cancer: a population-based study, </w:t>
      </w:r>
      <w:r w:rsidRPr="008B2F8A">
        <w:rPr>
          <w:i/>
          <w:noProof/>
        </w:rPr>
        <w:t>Int J Radiat Oncol</w:t>
      </w:r>
      <w:r>
        <w:rPr>
          <w:i/>
          <w:noProof/>
        </w:rPr>
        <w:t xml:space="preserve"> </w:t>
      </w:r>
      <w:r w:rsidRPr="008B2F8A">
        <w:rPr>
          <w:i/>
          <w:noProof/>
        </w:rPr>
        <w:t>Biol</w:t>
      </w:r>
      <w:r>
        <w:rPr>
          <w:i/>
          <w:noProof/>
        </w:rPr>
        <w:t xml:space="preserve"> </w:t>
      </w:r>
      <w:r w:rsidRPr="008B2F8A">
        <w:rPr>
          <w:i/>
          <w:noProof/>
        </w:rPr>
        <w:t>Phys</w:t>
      </w:r>
      <w:r w:rsidRPr="008B2F8A">
        <w:rPr>
          <w:noProof/>
        </w:rPr>
        <w:t>, 56 (4), 1038–1045.</w:t>
      </w:r>
    </w:p>
    <w:p w14:paraId="261F47E8" w14:textId="1726CDA3" w:rsidR="00E47AB8" w:rsidRDefault="00E47AB8" w:rsidP="00422306">
      <w:pPr>
        <w:tabs>
          <w:tab w:val="right" w:pos="540"/>
          <w:tab w:val="left" w:pos="720"/>
        </w:tabs>
        <w:spacing w:after="240"/>
        <w:ind w:left="720" w:hanging="720"/>
        <w:rPr>
          <w:noProof/>
        </w:rPr>
      </w:pPr>
      <w:r w:rsidRPr="008B2F8A">
        <w:rPr>
          <w:noProof/>
        </w:rPr>
        <w:t>G</w:t>
      </w:r>
      <w:r>
        <w:rPr>
          <w:noProof/>
        </w:rPr>
        <w:t>ø</w:t>
      </w:r>
      <w:r w:rsidRPr="008B2F8A">
        <w:rPr>
          <w:noProof/>
        </w:rPr>
        <w:t xml:space="preserve">tzsche, PC and Jorgensen, KJ 2013. Screening for breast cancer with mammography, </w:t>
      </w:r>
      <w:r w:rsidRPr="008B2F8A">
        <w:rPr>
          <w:i/>
          <w:noProof/>
        </w:rPr>
        <w:t>Cochrane</w:t>
      </w:r>
      <w:r>
        <w:rPr>
          <w:i/>
          <w:noProof/>
        </w:rPr>
        <w:t xml:space="preserve"> </w:t>
      </w:r>
      <w:r w:rsidRPr="008B2F8A">
        <w:rPr>
          <w:i/>
          <w:noProof/>
        </w:rPr>
        <w:t>Database</w:t>
      </w:r>
      <w:r>
        <w:rPr>
          <w:i/>
          <w:noProof/>
        </w:rPr>
        <w:t xml:space="preserve"> </w:t>
      </w:r>
      <w:r w:rsidRPr="008B2F8A">
        <w:rPr>
          <w:i/>
          <w:noProof/>
        </w:rPr>
        <w:t>Syst</w:t>
      </w:r>
      <w:r>
        <w:rPr>
          <w:i/>
          <w:noProof/>
        </w:rPr>
        <w:t xml:space="preserve"> </w:t>
      </w:r>
      <w:r w:rsidRPr="008B2F8A">
        <w:rPr>
          <w:i/>
          <w:noProof/>
        </w:rPr>
        <w:t>Rev</w:t>
      </w:r>
      <w:r w:rsidRPr="008B2F8A">
        <w:rPr>
          <w:noProof/>
        </w:rPr>
        <w:t>, 6</w:t>
      </w:r>
      <w:r>
        <w:rPr>
          <w:noProof/>
        </w:rPr>
        <w:t xml:space="preserve">, </w:t>
      </w:r>
      <w:r w:rsidRPr="008B2F8A">
        <w:rPr>
          <w:noProof/>
        </w:rPr>
        <w:t>CD001877.</w:t>
      </w:r>
    </w:p>
    <w:p w14:paraId="4C53612A" w14:textId="4C8D7EB5" w:rsidR="002813D0" w:rsidRPr="008B2F8A" w:rsidRDefault="002813D0" w:rsidP="00422306">
      <w:pPr>
        <w:tabs>
          <w:tab w:val="right" w:pos="540"/>
          <w:tab w:val="left" w:pos="720"/>
        </w:tabs>
        <w:spacing w:after="240"/>
        <w:ind w:left="720" w:hanging="720"/>
        <w:rPr>
          <w:noProof/>
        </w:rPr>
      </w:pPr>
      <w:r>
        <w:rPr>
          <w:noProof/>
        </w:rPr>
        <w:t>Grann, VR, Patel, PR</w:t>
      </w:r>
      <w:r w:rsidRPr="002813D0">
        <w:rPr>
          <w:noProof/>
        </w:rPr>
        <w:t>,</w:t>
      </w:r>
      <w:r>
        <w:rPr>
          <w:noProof/>
        </w:rPr>
        <w:t xml:space="preserve"> et al,</w:t>
      </w:r>
      <w:r w:rsidRPr="002813D0">
        <w:rPr>
          <w:noProof/>
        </w:rPr>
        <w:t xml:space="preserve"> 2011. Comparative effectiveness of screening and prevention strategies among BRCA1/2-affected mutation carriers. </w:t>
      </w:r>
      <w:r w:rsidRPr="002813D0">
        <w:rPr>
          <w:i/>
          <w:iCs/>
          <w:noProof/>
        </w:rPr>
        <w:t>Br</w:t>
      </w:r>
      <w:r>
        <w:rPr>
          <w:i/>
          <w:iCs/>
          <w:noProof/>
        </w:rPr>
        <w:t xml:space="preserve">east </w:t>
      </w:r>
      <w:r w:rsidRPr="002813D0">
        <w:rPr>
          <w:i/>
          <w:iCs/>
          <w:noProof/>
        </w:rPr>
        <w:t>Ca</w:t>
      </w:r>
      <w:r>
        <w:rPr>
          <w:i/>
          <w:iCs/>
          <w:noProof/>
        </w:rPr>
        <w:t>ncer Res</w:t>
      </w:r>
      <w:r w:rsidRPr="002813D0">
        <w:rPr>
          <w:i/>
          <w:iCs/>
          <w:noProof/>
        </w:rPr>
        <w:t xml:space="preserve"> Treat</w:t>
      </w:r>
      <w:r w:rsidRPr="002813D0">
        <w:rPr>
          <w:noProof/>
        </w:rPr>
        <w:t>, 125, (3) 837-847</w:t>
      </w:r>
      <w:r>
        <w:rPr>
          <w:noProof/>
        </w:rPr>
        <w:t>.</w:t>
      </w:r>
    </w:p>
    <w:p w14:paraId="19165D0F" w14:textId="1ADFC40F" w:rsidR="00E47AB8" w:rsidRPr="008B2F8A" w:rsidRDefault="00E47AB8" w:rsidP="00422306">
      <w:pPr>
        <w:tabs>
          <w:tab w:val="right" w:pos="540"/>
          <w:tab w:val="left" w:pos="720"/>
        </w:tabs>
        <w:spacing w:after="240"/>
        <w:ind w:left="720" w:hanging="720"/>
        <w:rPr>
          <w:noProof/>
        </w:rPr>
      </w:pPr>
      <w:r w:rsidRPr="008B2F8A">
        <w:rPr>
          <w:noProof/>
        </w:rPr>
        <w:t xml:space="preserve">Griebsch, I, Brown, J et al, 2006. </w:t>
      </w:r>
      <w:r w:rsidRPr="00D2496B">
        <w:rPr>
          <w:noProof/>
        </w:rPr>
        <w:t>Cost-effectiveness of screening with contrast enhanced magnetic resonance imaging vs x-ray mammography of women at a high familial risk of breast cancer</w:t>
      </w:r>
      <w:r w:rsidRPr="008B2F8A">
        <w:rPr>
          <w:noProof/>
        </w:rPr>
        <w:t xml:space="preserve">, </w:t>
      </w:r>
      <w:r w:rsidRPr="008B2F8A">
        <w:rPr>
          <w:i/>
          <w:noProof/>
        </w:rPr>
        <w:t>Br J Cancer</w:t>
      </w:r>
      <w:r w:rsidRPr="008B2F8A">
        <w:rPr>
          <w:noProof/>
        </w:rPr>
        <w:t>, 95</w:t>
      </w:r>
      <w:r>
        <w:rPr>
          <w:noProof/>
        </w:rPr>
        <w:t xml:space="preserve">, </w:t>
      </w:r>
      <w:r w:rsidRPr="008B2F8A">
        <w:rPr>
          <w:noProof/>
        </w:rPr>
        <w:t>801–810.</w:t>
      </w:r>
    </w:p>
    <w:p w14:paraId="09FCD0C2" w14:textId="66B287EF" w:rsidR="00E47AB8" w:rsidRPr="008B2F8A" w:rsidRDefault="00E47AB8" w:rsidP="00422306">
      <w:pPr>
        <w:tabs>
          <w:tab w:val="right" w:pos="540"/>
          <w:tab w:val="left" w:pos="720"/>
        </w:tabs>
        <w:spacing w:after="240"/>
        <w:ind w:left="720" w:hanging="720"/>
        <w:rPr>
          <w:noProof/>
        </w:rPr>
      </w:pPr>
      <w:r w:rsidRPr="008B2F8A">
        <w:rPr>
          <w:noProof/>
        </w:rPr>
        <w:t xml:space="preserve">Guillem, JG, Wood, WC et al, 2006. </w:t>
      </w:r>
      <w:r w:rsidRPr="00D2496B">
        <w:rPr>
          <w:noProof/>
        </w:rPr>
        <w:t xml:space="preserve">ASCO/SSO </w:t>
      </w:r>
      <w:r w:rsidRPr="00B13881">
        <w:rPr>
          <w:noProof/>
        </w:rPr>
        <w:t>review of current role of risk-reducing surgery in common hereditary cancer syndromes</w:t>
      </w:r>
      <w:r w:rsidRPr="008B2F8A">
        <w:rPr>
          <w:noProof/>
        </w:rPr>
        <w:t xml:space="preserve">, </w:t>
      </w:r>
      <w:r w:rsidRPr="008B2F8A">
        <w:rPr>
          <w:i/>
          <w:noProof/>
        </w:rPr>
        <w:t>J Clin Oncol</w:t>
      </w:r>
      <w:r w:rsidRPr="008B2F8A">
        <w:rPr>
          <w:noProof/>
        </w:rPr>
        <w:t>, 24 (28), 4642–4660.</w:t>
      </w:r>
    </w:p>
    <w:p w14:paraId="42E160D1" w14:textId="77777777" w:rsidR="00E47AB8" w:rsidRPr="00D2496B" w:rsidRDefault="00E47AB8" w:rsidP="00422306">
      <w:pPr>
        <w:tabs>
          <w:tab w:val="right" w:pos="540"/>
          <w:tab w:val="left" w:pos="720"/>
        </w:tabs>
        <w:spacing w:after="240"/>
        <w:ind w:left="720" w:hanging="720"/>
        <w:rPr>
          <w:noProof/>
        </w:rPr>
      </w:pPr>
      <w:r w:rsidRPr="00D2496B">
        <w:rPr>
          <w:noProof/>
        </w:rPr>
        <w:t xml:space="preserve">Hancock, SL, Tucker, MA et al, 1993. Breast cancer after treatment of Hodgkin’s disease, </w:t>
      </w:r>
      <w:r w:rsidRPr="00D2496B">
        <w:rPr>
          <w:i/>
          <w:noProof/>
        </w:rPr>
        <w:t>J Natl Cancer Inst</w:t>
      </w:r>
      <w:r w:rsidRPr="00D2496B">
        <w:rPr>
          <w:noProof/>
        </w:rPr>
        <w:t>, 85 (23), 31.</w:t>
      </w:r>
    </w:p>
    <w:p w14:paraId="633CDE3E" w14:textId="3EB4C56A" w:rsidR="00B4391A" w:rsidRDefault="00E47AB8" w:rsidP="00B4391A">
      <w:pPr>
        <w:tabs>
          <w:tab w:val="right" w:pos="540"/>
          <w:tab w:val="left" w:pos="720"/>
        </w:tabs>
        <w:spacing w:after="240"/>
        <w:ind w:left="720" w:hanging="720"/>
        <w:rPr>
          <w:noProof/>
        </w:rPr>
      </w:pPr>
      <w:r w:rsidRPr="008B2F8A">
        <w:rPr>
          <w:noProof/>
        </w:rPr>
        <w:t xml:space="preserve">Hawthorne, G and Osborne, R 2005. Population norms and meaningful differences for the Assessment of Quality of Life (AQoL) measure. </w:t>
      </w:r>
      <w:r w:rsidRPr="008B2F8A">
        <w:rPr>
          <w:i/>
          <w:noProof/>
        </w:rPr>
        <w:t>ANZ J Pub Health</w:t>
      </w:r>
      <w:r w:rsidRPr="008B2F8A">
        <w:rPr>
          <w:noProof/>
        </w:rPr>
        <w:t>, 29 (2), 136–142.</w:t>
      </w:r>
    </w:p>
    <w:p w14:paraId="1024279A" w14:textId="3B4E458C" w:rsidR="00E47AB8" w:rsidRDefault="00E47AB8" w:rsidP="00422306">
      <w:pPr>
        <w:tabs>
          <w:tab w:val="right" w:pos="540"/>
          <w:tab w:val="left" w:pos="720"/>
        </w:tabs>
        <w:spacing w:after="240"/>
        <w:ind w:left="720" w:hanging="720"/>
        <w:rPr>
          <w:noProof/>
        </w:rPr>
      </w:pPr>
      <w:r w:rsidRPr="008B2F8A">
        <w:rPr>
          <w:noProof/>
        </w:rPr>
        <w:t xml:space="preserve">Henderson, TO, Amsterdam, A et al, 2010. Systematic review: Surveillance for breast cancer in women treated with chest radiation for childhood, adolescent, or young adult cancer, </w:t>
      </w:r>
      <w:r w:rsidRPr="008B2F8A">
        <w:rPr>
          <w:i/>
          <w:noProof/>
        </w:rPr>
        <w:t>Ann Intern Med</w:t>
      </w:r>
      <w:r w:rsidRPr="008B2F8A">
        <w:rPr>
          <w:noProof/>
        </w:rPr>
        <w:t>, 152 (7), 444–455.</w:t>
      </w:r>
    </w:p>
    <w:p w14:paraId="380648C7" w14:textId="15B6826E" w:rsidR="00B4391A" w:rsidRPr="008B2F8A" w:rsidRDefault="00B4391A" w:rsidP="00B4391A">
      <w:pPr>
        <w:tabs>
          <w:tab w:val="right" w:pos="540"/>
          <w:tab w:val="left" w:pos="720"/>
        </w:tabs>
        <w:spacing w:after="240"/>
        <w:ind w:left="720" w:hanging="720"/>
        <w:rPr>
          <w:noProof/>
        </w:rPr>
      </w:pPr>
      <w:r>
        <w:rPr>
          <w:noProof/>
        </w:rPr>
        <w:t xml:space="preserve">Heywang-Köbrunner SH, Viehweg P et al 1997. Contrast enhanced MRI of the breast: accuracy, value, controversies, solutions. </w:t>
      </w:r>
      <w:r w:rsidRPr="00B4391A">
        <w:rPr>
          <w:i/>
          <w:noProof/>
        </w:rPr>
        <w:t>Eur J Radiol</w:t>
      </w:r>
      <w:r>
        <w:rPr>
          <w:noProof/>
        </w:rPr>
        <w:t xml:space="preserve"> 24 (2), 94–108.</w:t>
      </w:r>
    </w:p>
    <w:p w14:paraId="560FF6C4" w14:textId="4EC2278C" w:rsidR="00E47AB8" w:rsidRPr="008B2F8A" w:rsidRDefault="00E47AB8" w:rsidP="00422306">
      <w:pPr>
        <w:tabs>
          <w:tab w:val="right" w:pos="540"/>
          <w:tab w:val="left" w:pos="720"/>
        </w:tabs>
        <w:spacing w:after="240"/>
        <w:ind w:left="720" w:hanging="720"/>
        <w:rPr>
          <w:noProof/>
        </w:rPr>
      </w:pPr>
      <w:r w:rsidRPr="008B2F8A">
        <w:rPr>
          <w:noProof/>
        </w:rPr>
        <w:t>HIQA</w:t>
      </w:r>
      <w:r>
        <w:rPr>
          <w:noProof/>
        </w:rPr>
        <w:t>,</w:t>
      </w:r>
      <w:r w:rsidRPr="008B2F8A">
        <w:rPr>
          <w:noProof/>
        </w:rPr>
        <w:t xml:space="preserve"> 2013, </w:t>
      </w:r>
      <w:r w:rsidRPr="008B2F8A">
        <w:rPr>
          <w:i/>
          <w:noProof/>
        </w:rPr>
        <w:t>Health technology assessment (HTA) of surveillance of women aged less than 50 years at elevated risk of breast cancer: technical report.</w:t>
      </w:r>
      <w:r w:rsidRPr="008B2F8A">
        <w:rPr>
          <w:noProof/>
        </w:rPr>
        <w:t xml:space="preserve"> Dublin</w:t>
      </w:r>
      <w:r>
        <w:rPr>
          <w:noProof/>
        </w:rPr>
        <w:t>:</w:t>
      </w:r>
      <w:r w:rsidRPr="005B1697">
        <w:rPr>
          <w:noProof/>
        </w:rPr>
        <w:t xml:space="preserve"> </w:t>
      </w:r>
      <w:r w:rsidRPr="008B2F8A">
        <w:rPr>
          <w:noProof/>
        </w:rPr>
        <w:t>Health Information and Quality Authority.</w:t>
      </w:r>
    </w:p>
    <w:p w14:paraId="3D7AA368" w14:textId="0973F882" w:rsidR="00E47AB8" w:rsidRPr="008B2F8A" w:rsidRDefault="00E47AB8" w:rsidP="00422306">
      <w:pPr>
        <w:tabs>
          <w:tab w:val="right" w:pos="540"/>
          <w:tab w:val="left" w:pos="720"/>
        </w:tabs>
        <w:spacing w:after="240"/>
        <w:ind w:left="720" w:hanging="720"/>
        <w:rPr>
          <w:noProof/>
        </w:rPr>
      </w:pPr>
      <w:r w:rsidRPr="008B2F8A">
        <w:rPr>
          <w:noProof/>
        </w:rPr>
        <w:t xml:space="preserve">Houssami, N and Morrow, M 2013. Does preoperative MRI improve clinical outcomes in breast cancer?, </w:t>
      </w:r>
      <w:r w:rsidRPr="008B2F8A">
        <w:rPr>
          <w:i/>
          <w:noProof/>
        </w:rPr>
        <w:t>Breast Cancer Manage</w:t>
      </w:r>
      <w:r w:rsidRPr="008B2F8A">
        <w:rPr>
          <w:noProof/>
        </w:rPr>
        <w:t>, 2 (2), 115–122.</w:t>
      </w:r>
    </w:p>
    <w:p w14:paraId="24DB9D55" w14:textId="50D4C1EA" w:rsidR="00E47AB8" w:rsidRPr="008B2F8A" w:rsidRDefault="00E47AB8" w:rsidP="00422306">
      <w:pPr>
        <w:tabs>
          <w:tab w:val="right" w:pos="540"/>
          <w:tab w:val="left" w:pos="720"/>
        </w:tabs>
        <w:spacing w:after="240"/>
        <w:ind w:left="720" w:hanging="720"/>
        <w:rPr>
          <w:noProof/>
        </w:rPr>
      </w:pPr>
      <w:r w:rsidRPr="008B2F8A">
        <w:rPr>
          <w:noProof/>
        </w:rPr>
        <w:lastRenderedPageBreak/>
        <w:t xml:space="preserve">Houssami, N, Ciatto, S et al, 2008. Accuracy and surgical impact of magnetic resonance imaging in breast cancer staging: systematic review and meta-analysis in detection of multifocal and multicentric cancer, </w:t>
      </w:r>
      <w:r w:rsidRPr="008B2F8A">
        <w:rPr>
          <w:i/>
          <w:noProof/>
        </w:rPr>
        <w:t>J Clin</w:t>
      </w:r>
      <w:r>
        <w:rPr>
          <w:i/>
          <w:noProof/>
        </w:rPr>
        <w:t xml:space="preserve"> </w:t>
      </w:r>
      <w:r w:rsidRPr="008B2F8A">
        <w:rPr>
          <w:i/>
          <w:noProof/>
        </w:rPr>
        <w:t>Oncol</w:t>
      </w:r>
      <w:r w:rsidRPr="008B2F8A">
        <w:rPr>
          <w:noProof/>
        </w:rPr>
        <w:t>, 26 (19), 3248–3258.</w:t>
      </w:r>
    </w:p>
    <w:p w14:paraId="182F8379" w14:textId="0D1FFEA2" w:rsidR="00E47AB8" w:rsidRPr="008B2F8A" w:rsidRDefault="00E47AB8" w:rsidP="00422306">
      <w:pPr>
        <w:tabs>
          <w:tab w:val="right" w:pos="540"/>
          <w:tab w:val="left" w:pos="720"/>
        </w:tabs>
        <w:spacing w:after="240"/>
        <w:ind w:left="720" w:hanging="720"/>
        <w:rPr>
          <w:noProof/>
        </w:rPr>
      </w:pPr>
      <w:r w:rsidRPr="008B2F8A">
        <w:rPr>
          <w:noProof/>
        </w:rPr>
        <w:t xml:space="preserve">Houssami, N, Tresham, JJ et al, 2011. BreastScreen-based mammography screening in women with a personal history of breast cancer, Western Australian study, </w:t>
      </w:r>
      <w:r w:rsidRPr="008B2F8A">
        <w:rPr>
          <w:i/>
          <w:noProof/>
        </w:rPr>
        <w:t>Med J Aust</w:t>
      </w:r>
      <w:r w:rsidRPr="008B2F8A">
        <w:rPr>
          <w:noProof/>
        </w:rPr>
        <w:t>, 195 (8), 460–464.</w:t>
      </w:r>
    </w:p>
    <w:p w14:paraId="71D37845" w14:textId="65D80AB3" w:rsidR="00E47AB8" w:rsidRPr="008B2F8A" w:rsidRDefault="00E47AB8" w:rsidP="00422306">
      <w:pPr>
        <w:tabs>
          <w:tab w:val="right" w:pos="540"/>
          <w:tab w:val="left" w:pos="720"/>
        </w:tabs>
        <w:spacing w:after="240"/>
        <w:ind w:left="720" w:hanging="720"/>
        <w:rPr>
          <w:noProof/>
        </w:rPr>
      </w:pPr>
      <w:r w:rsidRPr="008B2F8A">
        <w:rPr>
          <w:noProof/>
        </w:rPr>
        <w:t xml:space="preserve">Howell, SJ and Sebek, EA 2009. </w:t>
      </w:r>
      <w:r w:rsidRPr="00D2496B">
        <w:rPr>
          <w:rFonts w:cs="Tahoma"/>
          <w:noProof/>
        </w:rPr>
        <w:t xml:space="preserve">The UK </w:t>
      </w:r>
      <w:r w:rsidRPr="00B13881">
        <w:rPr>
          <w:rFonts w:cs="Tahoma"/>
          <w:noProof/>
        </w:rPr>
        <w:t xml:space="preserve">National Breast Cancer Screening Programme </w:t>
      </w:r>
      <w:r w:rsidRPr="00D2496B">
        <w:rPr>
          <w:rFonts w:cs="Tahoma"/>
          <w:noProof/>
        </w:rPr>
        <w:t>for survivors of Hodgkin lymphoma detects breast cancer at an early stage</w:t>
      </w:r>
      <w:r w:rsidRPr="008B2F8A">
        <w:rPr>
          <w:noProof/>
        </w:rPr>
        <w:t xml:space="preserve">, </w:t>
      </w:r>
      <w:r w:rsidRPr="008B2F8A">
        <w:rPr>
          <w:i/>
          <w:noProof/>
        </w:rPr>
        <w:t>Br J Cancer</w:t>
      </w:r>
      <w:r w:rsidRPr="008B2F8A">
        <w:rPr>
          <w:noProof/>
        </w:rPr>
        <w:t>, 101 (4), 582–588.</w:t>
      </w:r>
    </w:p>
    <w:p w14:paraId="58B9DB90" w14:textId="77777777" w:rsidR="00E47AB8" w:rsidRPr="008B2F8A" w:rsidRDefault="00E47AB8" w:rsidP="00422306">
      <w:pPr>
        <w:tabs>
          <w:tab w:val="right" w:pos="540"/>
          <w:tab w:val="left" w:pos="720"/>
        </w:tabs>
        <w:spacing w:after="240"/>
        <w:ind w:left="720" w:hanging="720"/>
        <w:rPr>
          <w:noProof/>
        </w:rPr>
      </w:pPr>
      <w:r w:rsidRPr="008B2F8A">
        <w:rPr>
          <w:noProof/>
        </w:rPr>
        <w:t xml:space="preserve">IMS Health Pty Ltd for the Australian Government </w:t>
      </w:r>
      <w:r w:rsidRPr="00FD6882">
        <w:rPr>
          <w:noProof/>
        </w:rPr>
        <w:t xml:space="preserve">Department </w:t>
      </w:r>
      <w:r w:rsidRPr="008B2F8A">
        <w:rPr>
          <w:noProof/>
        </w:rPr>
        <w:t xml:space="preserve">of Health and Ageing 2009, </w:t>
      </w:r>
      <w:r w:rsidRPr="008B2F8A">
        <w:rPr>
          <w:i/>
          <w:noProof/>
        </w:rPr>
        <w:t>Breastscreen Australia evaluation: economic evaluation and modelling study.</w:t>
      </w:r>
      <w:r w:rsidRPr="008B2F8A">
        <w:rPr>
          <w:noProof/>
        </w:rPr>
        <w:t xml:space="preserve"> </w:t>
      </w:r>
      <w:r w:rsidRPr="00D2496B">
        <w:rPr>
          <w:noProof/>
        </w:rPr>
        <w:t>Screening Monograph No.</w:t>
      </w:r>
      <w:r>
        <w:rPr>
          <w:noProof/>
        </w:rPr>
        <w:t xml:space="preserve"> </w:t>
      </w:r>
      <w:r w:rsidRPr="00D2496B">
        <w:rPr>
          <w:noProof/>
        </w:rPr>
        <w:t>9/2009</w:t>
      </w:r>
      <w:r w:rsidRPr="008B2F8A">
        <w:rPr>
          <w:noProof/>
        </w:rPr>
        <w:t>.</w:t>
      </w:r>
      <w:r>
        <w:rPr>
          <w:noProof/>
        </w:rPr>
        <w:t xml:space="preserve"> </w:t>
      </w:r>
      <w:r w:rsidRPr="008B2F8A">
        <w:rPr>
          <w:noProof/>
        </w:rPr>
        <w:t xml:space="preserve">Canberra: </w:t>
      </w:r>
      <w:r w:rsidRPr="00D2496B">
        <w:rPr>
          <w:noProof/>
        </w:rPr>
        <w:t>Australian Government Department of Health and Ageing</w:t>
      </w:r>
      <w:r w:rsidRPr="008B2F8A">
        <w:rPr>
          <w:noProof/>
        </w:rPr>
        <w:t>.</w:t>
      </w:r>
    </w:p>
    <w:p w14:paraId="6D28FDC0" w14:textId="2C1F61E6" w:rsidR="00E47AB8" w:rsidRPr="00D2496B" w:rsidRDefault="00E47AB8" w:rsidP="00422306">
      <w:pPr>
        <w:tabs>
          <w:tab w:val="right" w:pos="540"/>
          <w:tab w:val="left" w:pos="720"/>
        </w:tabs>
        <w:spacing w:after="240"/>
        <w:ind w:left="720" w:hanging="720"/>
        <w:rPr>
          <w:noProof/>
        </w:rPr>
      </w:pPr>
      <w:r w:rsidRPr="00D2496B">
        <w:rPr>
          <w:noProof/>
        </w:rPr>
        <w:t xml:space="preserve">Independent UK Panel on Breast Cancer Screening 2012. The benefits and harms of breast cancer screening: an independent review, </w:t>
      </w:r>
      <w:r w:rsidRPr="00D2496B">
        <w:rPr>
          <w:i/>
          <w:noProof/>
        </w:rPr>
        <w:t>Lancet</w:t>
      </w:r>
      <w:r w:rsidRPr="00D2496B">
        <w:rPr>
          <w:noProof/>
        </w:rPr>
        <w:t>, 380 (9855), 1778–1786.</w:t>
      </w:r>
    </w:p>
    <w:p w14:paraId="589B91CE" w14:textId="4AFB8B79" w:rsidR="00E47AB8" w:rsidRPr="008B2F8A" w:rsidRDefault="00E47AB8" w:rsidP="00422306">
      <w:pPr>
        <w:tabs>
          <w:tab w:val="right" w:pos="540"/>
          <w:tab w:val="left" w:pos="720"/>
        </w:tabs>
        <w:spacing w:after="240"/>
        <w:ind w:left="720" w:hanging="720"/>
        <w:rPr>
          <w:noProof/>
        </w:rPr>
      </w:pPr>
      <w:r w:rsidRPr="008B2F8A">
        <w:rPr>
          <w:noProof/>
        </w:rPr>
        <w:t xml:space="preserve">Irwig, L, Glasziou, P et al, 1997, </w:t>
      </w:r>
      <w:r w:rsidRPr="008B2F8A">
        <w:rPr>
          <w:i/>
          <w:noProof/>
        </w:rPr>
        <w:t>Review of the evidence about the value of mammographic screening in 40–49 year old women.</w:t>
      </w:r>
      <w:r w:rsidRPr="008B2F8A">
        <w:rPr>
          <w:noProof/>
        </w:rPr>
        <w:t xml:space="preserve"> </w:t>
      </w:r>
      <w:r>
        <w:rPr>
          <w:noProof/>
        </w:rPr>
        <w:t>Sydney</w:t>
      </w:r>
      <w:r w:rsidRPr="008B2F8A">
        <w:rPr>
          <w:noProof/>
        </w:rPr>
        <w:t>: National Breast Cancer Centre.</w:t>
      </w:r>
    </w:p>
    <w:p w14:paraId="63356AC5" w14:textId="2F226F69" w:rsidR="00E47AB8" w:rsidRPr="008B2F8A" w:rsidRDefault="00E47AB8" w:rsidP="00422306">
      <w:pPr>
        <w:tabs>
          <w:tab w:val="right" w:pos="540"/>
          <w:tab w:val="left" w:pos="720"/>
        </w:tabs>
        <w:spacing w:after="240"/>
        <w:ind w:left="720" w:hanging="720"/>
        <w:rPr>
          <w:noProof/>
        </w:rPr>
      </w:pPr>
      <w:r w:rsidRPr="008B2F8A">
        <w:rPr>
          <w:noProof/>
        </w:rPr>
        <w:t xml:space="preserve">Irwig, L, Houssami, N et al, 2004. New technologies in screening for breast cancer: a systematic review of their accuracy, </w:t>
      </w:r>
      <w:r w:rsidRPr="008B2F8A">
        <w:rPr>
          <w:i/>
          <w:noProof/>
        </w:rPr>
        <w:t>Br</w:t>
      </w:r>
      <w:r>
        <w:rPr>
          <w:i/>
          <w:noProof/>
        </w:rPr>
        <w:t xml:space="preserve"> </w:t>
      </w:r>
      <w:r w:rsidRPr="008B2F8A">
        <w:rPr>
          <w:i/>
          <w:noProof/>
        </w:rPr>
        <w:t>J Cancer</w:t>
      </w:r>
      <w:r w:rsidRPr="008B2F8A">
        <w:rPr>
          <w:noProof/>
        </w:rPr>
        <w:t>, 90 (11), 2118–2122.</w:t>
      </w:r>
    </w:p>
    <w:p w14:paraId="134DE6BA" w14:textId="77777777" w:rsidR="00E47AB8" w:rsidRPr="008B2F8A" w:rsidRDefault="00E47AB8" w:rsidP="00422306">
      <w:pPr>
        <w:tabs>
          <w:tab w:val="right" w:pos="540"/>
          <w:tab w:val="left" w:pos="720"/>
        </w:tabs>
        <w:spacing w:after="240"/>
        <w:ind w:left="720" w:hanging="720"/>
        <w:rPr>
          <w:noProof/>
        </w:rPr>
      </w:pPr>
      <w:r w:rsidRPr="008B2F8A">
        <w:rPr>
          <w:noProof/>
        </w:rPr>
        <w:t xml:space="preserve">Jansen-van der Weide, M, Greuter, M et al, 2010. Exposure to low-dose radiation and the risk of breast cancer among women with a familial or genetic predisposition: a meta-analysis, </w:t>
      </w:r>
      <w:r w:rsidRPr="008B2F8A">
        <w:rPr>
          <w:i/>
          <w:noProof/>
        </w:rPr>
        <w:t>Eur Radiol</w:t>
      </w:r>
      <w:r w:rsidRPr="008B2F8A">
        <w:rPr>
          <w:noProof/>
        </w:rPr>
        <w:t>, 20 (11), 2547–2556.</w:t>
      </w:r>
    </w:p>
    <w:p w14:paraId="2E993B46" w14:textId="5718C970" w:rsidR="00E47AB8" w:rsidRPr="00D2496B" w:rsidRDefault="00E47AB8" w:rsidP="00422306">
      <w:pPr>
        <w:tabs>
          <w:tab w:val="right" w:pos="540"/>
          <w:tab w:val="left" w:pos="720"/>
        </w:tabs>
        <w:spacing w:after="240"/>
        <w:ind w:left="720" w:hanging="720"/>
        <w:rPr>
          <w:noProof/>
        </w:rPr>
      </w:pPr>
      <w:r w:rsidRPr="00D2496B">
        <w:rPr>
          <w:noProof/>
        </w:rPr>
        <w:t xml:space="preserve">Jatoi, I and Miller, AB 2003. Why is breast-cancer mortality declining?, </w:t>
      </w:r>
      <w:r w:rsidRPr="00D2496B">
        <w:rPr>
          <w:i/>
          <w:noProof/>
        </w:rPr>
        <w:t>Lancet Oncol</w:t>
      </w:r>
      <w:r w:rsidRPr="00D2496B">
        <w:rPr>
          <w:noProof/>
        </w:rPr>
        <w:t>, 4 (4), 251–254.</w:t>
      </w:r>
    </w:p>
    <w:p w14:paraId="4783ADC4" w14:textId="029D62C5" w:rsidR="00E47AB8" w:rsidRPr="008B2F8A" w:rsidRDefault="00E47AB8" w:rsidP="00422306">
      <w:pPr>
        <w:tabs>
          <w:tab w:val="right" w:pos="540"/>
          <w:tab w:val="left" w:pos="720"/>
        </w:tabs>
        <w:spacing w:after="240"/>
        <w:ind w:left="720" w:hanging="720"/>
        <w:rPr>
          <w:noProof/>
        </w:rPr>
      </w:pPr>
      <w:r w:rsidRPr="008B2F8A">
        <w:rPr>
          <w:noProof/>
        </w:rPr>
        <w:t xml:space="preserve">Johnson, MM 2012. Breast magnetic resonance imaging, </w:t>
      </w:r>
      <w:r w:rsidRPr="008B2F8A">
        <w:rPr>
          <w:i/>
          <w:noProof/>
        </w:rPr>
        <w:t>Radiol Technol</w:t>
      </w:r>
      <w:r w:rsidRPr="008B2F8A">
        <w:rPr>
          <w:noProof/>
        </w:rPr>
        <w:t>, 83 (3), 261M</w:t>
      </w:r>
      <w:r>
        <w:rPr>
          <w:noProof/>
        </w:rPr>
        <w:t>–</w:t>
      </w:r>
      <w:r w:rsidRPr="008B2F8A">
        <w:rPr>
          <w:noProof/>
        </w:rPr>
        <w:t>281M.</w:t>
      </w:r>
    </w:p>
    <w:p w14:paraId="21AE2108" w14:textId="77777777" w:rsidR="00E47AB8" w:rsidRPr="008B2F8A" w:rsidRDefault="00E47AB8" w:rsidP="00422306">
      <w:pPr>
        <w:tabs>
          <w:tab w:val="right" w:pos="540"/>
          <w:tab w:val="left" w:pos="720"/>
        </w:tabs>
        <w:spacing w:after="240"/>
        <w:ind w:left="720" w:hanging="720"/>
        <w:rPr>
          <w:noProof/>
        </w:rPr>
      </w:pPr>
      <w:r w:rsidRPr="008B2F8A">
        <w:rPr>
          <w:noProof/>
        </w:rPr>
        <w:t xml:space="preserve">Kerlikowske, K, Grady, D et al, 1996. Effect of age, breast density, and family history on the sensitivity of first screening mammography, </w:t>
      </w:r>
      <w:r w:rsidRPr="008B2F8A">
        <w:rPr>
          <w:i/>
          <w:noProof/>
        </w:rPr>
        <w:t>JAMA</w:t>
      </w:r>
      <w:r w:rsidRPr="008B2F8A">
        <w:rPr>
          <w:noProof/>
        </w:rPr>
        <w:t>, 276 (1), 33–</w:t>
      </w:r>
      <w:r>
        <w:rPr>
          <w:noProof/>
        </w:rPr>
        <w:t>3</w:t>
      </w:r>
      <w:r w:rsidRPr="008B2F8A">
        <w:rPr>
          <w:noProof/>
        </w:rPr>
        <w:t>8.</w:t>
      </w:r>
    </w:p>
    <w:p w14:paraId="3035E7CE" w14:textId="77777777" w:rsidR="00E47AB8" w:rsidRPr="008B2F8A" w:rsidRDefault="00E47AB8" w:rsidP="00422306">
      <w:pPr>
        <w:tabs>
          <w:tab w:val="right" w:pos="540"/>
          <w:tab w:val="left" w:pos="720"/>
        </w:tabs>
        <w:spacing w:after="240"/>
        <w:ind w:left="720" w:hanging="720"/>
        <w:rPr>
          <w:noProof/>
        </w:rPr>
      </w:pPr>
      <w:r w:rsidRPr="008B2F8A">
        <w:rPr>
          <w:noProof/>
        </w:rPr>
        <w:t xml:space="preserve">Kolb, TM, Lichy, J et al, 2002. Comparison of the performance of screening mammography, physical examination, and breast US and evaluation of factors that influence them: an analysis of 27,825 patient evaluations, </w:t>
      </w:r>
      <w:r w:rsidRPr="008B2F8A">
        <w:rPr>
          <w:i/>
          <w:noProof/>
        </w:rPr>
        <w:t>Radiology</w:t>
      </w:r>
      <w:r w:rsidRPr="008B2F8A">
        <w:rPr>
          <w:noProof/>
        </w:rPr>
        <w:t>, 225 (1), 165–175.</w:t>
      </w:r>
    </w:p>
    <w:p w14:paraId="1F0A90A5" w14:textId="679F8C31" w:rsidR="00E47AB8" w:rsidRPr="00B13881" w:rsidRDefault="00E47AB8" w:rsidP="00422306">
      <w:pPr>
        <w:tabs>
          <w:tab w:val="right" w:pos="540"/>
          <w:tab w:val="left" w:pos="720"/>
        </w:tabs>
        <w:spacing w:after="240"/>
        <w:ind w:left="720" w:hanging="720"/>
        <w:rPr>
          <w:noProof/>
        </w:rPr>
      </w:pPr>
      <w:r w:rsidRPr="008B2F8A">
        <w:rPr>
          <w:noProof/>
        </w:rPr>
        <w:t xml:space="preserve">Kösters, J. P.,Gøtzsche, P. 2008. </w:t>
      </w:r>
      <w:r w:rsidRPr="00B005D8">
        <w:rPr>
          <w:noProof/>
        </w:rPr>
        <w:t>Regular self-examination or clinical examination for early detection of breast cancer.</w:t>
      </w:r>
      <w:r>
        <w:rPr>
          <w:noProof/>
        </w:rPr>
        <w:t xml:space="preserve"> </w:t>
      </w:r>
      <w:r w:rsidR="00B005D8" w:rsidRPr="00B005D8">
        <w:rPr>
          <w:i/>
          <w:noProof/>
        </w:rPr>
        <w:t>Cochrane Database of Syst Rev</w:t>
      </w:r>
      <w:r w:rsidR="00B005D8" w:rsidRPr="00B005D8">
        <w:rPr>
          <w:noProof/>
        </w:rPr>
        <w:t xml:space="preserve"> 20</w:t>
      </w:r>
      <w:r w:rsidR="00B005D8">
        <w:rPr>
          <w:noProof/>
        </w:rPr>
        <w:t>03, Issue 2. Art. No.: CD003373</w:t>
      </w:r>
      <w:r w:rsidR="00B005D8" w:rsidRPr="00B005D8">
        <w:rPr>
          <w:noProof/>
        </w:rPr>
        <w:t>.</w:t>
      </w:r>
    </w:p>
    <w:p w14:paraId="735BD65E" w14:textId="77777777" w:rsidR="00E47AB8" w:rsidRPr="008B2F8A" w:rsidRDefault="00E47AB8" w:rsidP="00422306">
      <w:pPr>
        <w:tabs>
          <w:tab w:val="right" w:pos="540"/>
          <w:tab w:val="left" w:pos="720"/>
        </w:tabs>
        <w:spacing w:after="240"/>
        <w:ind w:left="720" w:hanging="720"/>
        <w:rPr>
          <w:noProof/>
        </w:rPr>
      </w:pPr>
      <w:r w:rsidRPr="008B2F8A">
        <w:rPr>
          <w:noProof/>
        </w:rPr>
        <w:t xml:space="preserve">Kriege, M, Brekelmans, CTM et al, 2006a. Differences between first and subsequent rounds of the MRISC breast cancer screening program for women with a familial or genetic predisposition, </w:t>
      </w:r>
      <w:r w:rsidRPr="008B2F8A">
        <w:rPr>
          <w:i/>
          <w:noProof/>
        </w:rPr>
        <w:t>Cancer</w:t>
      </w:r>
      <w:r w:rsidRPr="008B2F8A">
        <w:rPr>
          <w:noProof/>
        </w:rPr>
        <w:t>, 106 (11), 2318–2326.</w:t>
      </w:r>
    </w:p>
    <w:p w14:paraId="253BB87B" w14:textId="77777777" w:rsidR="00E47AB8" w:rsidRPr="008B2F8A" w:rsidRDefault="00E47AB8" w:rsidP="00422306">
      <w:pPr>
        <w:tabs>
          <w:tab w:val="right" w:pos="540"/>
          <w:tab w:val="left" w:pos="720"/>
        </w:tabs>
        <w:spacing w:after="240"/>
        <w:ind w:left="720" w:hanging="720"/>
        <w:rPr>
          <w:noProof/>
        </w:rPr>
      </w:pPr>
      <w:r w:rsidRPr="008B2F8A">
        <w:rPr>
          <w:noProof/>
        </w:rPr>
        <w:t xml:space="preserve">Kriege, M, Brekelmans, C et al, 2006b. Factors affecting sensitivity and specificity of screening mammography and MRI in women with an inherited risk for breast cancer, </w:t>
      </w:r>
      <w:r w:rsidRPr="008B2F8A">
        <w:rPr>
          <w:i/>
          <w:noProof/>
        </w:rPr>
        <w:t>Breast Cancer Res Treat</w:t>
      </w:r>
      <w:r w:rsidRPr="008B2F8A">
        <w:rPr>
          <w:noProof/>
        </w:rPr>
        <w:t>, 100 (1), 109–119.</w:t>
      </w:r>
    </w:p>
    <w:p w14:paraId="7F21028C" w14:textId="1865BA17" w:rsidR="00E47AB8" w:rsidRPr="00D2496B" w:rsidRDefault="00E47AB8" w:rsidP="00422306">
      <w:pPr>
        <w:tabs>
          <w:tab w:val="right" w:pos="540"/>
          <w:tab w:val="left" w:pos="720"/>
        </w:tabs>
        <w:spacing w:after="240"/>
        <w:ind w:left="720" w:hanging="720"/>
        <w:rPr>
          <w:noProof/>
        </w:rPr>
      </w:pPr>
      <w:r w:rsidRPr="00D2496B">
        <w:rPr>
          <w:noProof/>
        </w:rPr>
        <w:lastRenderedPageBreak/>
        <w:t xml:space="preserve">Kriege, M, Brekelmans, CTM et al, 2007. Tumor characteristics and detection method in the MRISC screening program for the early detection of hereditary breast cancer, </w:t>
      </w:r>
      <w:r w:rsidRPr="00D2496B">
        <w:rPr>
          <w:i/>
          <w:noProof/>
        </w:rPr>
        <w:t>Breast Cancer Res Treat</w:t>
      </w:r>
      <w:r w:rsidRPr="00D2496B">
        <w:rPr>
          <w:noProof/>
        </w:rPr>
        <w:t>, 102 (3), 357–363.</w:t>
      </w:r>
    </w:p>
    <w:p w14:paraId="306BBA15" w14:textId="68443FFE" w:rsidR="00E47AB8" w:rsidRPr="008B2F8A" w:rsidRDefault="00E47AB8" w:rsidP="00422306">
      <w:pPr>
        <w:tabs>
          <w:tab w:val="right" w:pos="540"/>
          <w:tab w:val="left" w:pos="720"/>
        </w:tabs>
        <w:spacing w:after="240"/>
        <w:ind w:left="720" w:hanging="720"/>
        <w:rPr>
          <w:noProof/>
        </w:rPr>
      </w:pPr>
      <w:r w:rsidRPr="008B2F8A">
        <w:rPr>
          <w:noProof/>
        </w:rPr>
        <w:t xml:space="preserve">Kuhl, CK, Schrading, S et al, 2005. Mammography, breast ultrasound, and magnetic resonance imaging for surveillance of women at high familial risk for breast cancer, </w:t>
      </w:r>
      <w:r w:rsidRPr="008B2F8A">
        <w:rPr>
          <w:i/>
          <w:noProof/>
        </w:rPr>
        <w:t>J Clin Oncol</w:t>
      </w:r>
      <w:r w:rsidRPr="008B2F8A">
        <w:rPr>
          <w:noProof/>
        </w:rPr>
        <w:t>, 23 (33), 8469–8476.</w:t>
      </w:r>
    </w:p>
    <w:p w14:paraId="2FCE8FF8" w14:textId="476CA7FB" w:rsidR="00E47AB8" w:rsidRPr="008B2F8A" w:rsidRDefault="00E47AB8" w:rsidP="00422306">
      <w:pPr>
        <w:tabs>
          <w:tab w:val="right" w:pos="540"/>
          <w:tab w:val="left" w:pos="720"/>
        </w:tabs>
        <w:spacing w:after="240"/>
        <w:ind w:left="720" w:hanging="720"/>
        <w:rPr>
          <w:noProof/>
        </w:rPr>
      </w:pPr>
      <w:r w:rsidRPr="008B2F8A">
        <w:rPr>
          <w:noProof/>
        </w:rPr>
        <w:t xml:space="preserve">Kwong, A, Hancock, S et al, 2008. </w:t>
      </w:r>
      <w:r w:rsidRPr="00D2496B">
        <w:rPr>
          <w:noProof/>
        </w:rPr>
        <w:t xml:space="preserve">Mammographic </w:t>
      </w:r>
      <w:r w:rsidRPr="00B13881">
        <w:rPr>
          <w:noProof/>
        </w:rPr>
        <w:t xml:space="preserve">screening in women at increased risk of breast cancer after treatment of </w:t>
      </w:r>
      <w:r w:rsidRPr="00D2496B">
        <w:rPr>
          <w:noProof/>
        </w:rPr>
        <w:t>Hodgkin</w:t>
      </w:r>
      <w:r>
        <w:rPr>
          <w:noProof/>
        </w:rPr>
        <w:t>’</w:t>
      </w:r>
      <w:r w:rsidRPr="00D2496B">
        <w:rPr>
          <w:noProof/>
        </w:rPr>
        <w:t xml:space="preserve">s </w:t>
      </w:r>
      <w:r w:rsidRPr="00B13881">
        <w:rPr>
          <w:noProof/>
        </w:rPr>
        <w:t>disease</w:t>
      </w:r>
      <w:r w:rsidRPr="008B2F8A">
        <w:rPr>
          <w:noProof/>
        </w:rPr>
        <w:t xml:space="preserve">, </w:t>
      </w:r>
      <w:r w:rsidRPr="008B2F8A">
        <w:rPr>
          <w:i/>
          <w:noProof/>
        </w:rPr>
        <w:t>Breast J</w:t>
      </w:r>
      <w:r w:rsidRPr="008B2F8A">
        <w:rPr>
          <w:noProof/>
        </w:rPr>
        <w:t>, 14 (1), 39–48.</w:t>
      </w:r>
    </w:p>
    <w:p w14:paraId="2275FCDB" w14:textId="2E752878" w:rsidR="00E47AB8" w:rsidRPr="008B2F8A" w:rsidRDefault="00E47AB8" w:rsidP="00422306">
      <w:pPr>
        <w:tabs>
          <w:tab w:val="right" w:pos="540"/>
          <w:tab w:val="left" w:pos="720"/>
        </w:tabs>
        <w:spacing w:after="240"/>
        <w:ind w:left="720" w:hanging="720"/>
        <w:rPr>
          <w:noProof/>
        </w:rPr>
      </w:pPr>
      <w:r w:rsidRPr="008B2F8A">
        <w:rPr>
          <w:noProof/>
        </w:rPr>
        <w:t xml:space="preserve">Leach, MO 2005. Screening with magnetic resonance imaging and mammography of a UK population at high familial risk of breast cancer: a prospective multicentre cohort study (MARIBS), </w:t>
      </w:r>
      <w:r w:rsidRPr="008B2F8A">
        <w:rPr>
          <w:i/>
          <w:noProof/>
        </w:rPr>
        <w:t>Lancet</w:t>
      </w:r>
      <w:r w:rsidRPr="008B2F8A">
        <w:rPr>
          <w:noProof/>
        </w:rPr>
        <w:t>, 365 (9473), 1769–1778.</w:t>
      </w:r>
    </w:p>
    <w:p w14:paraId="23721648" w14:textId="3C6DD955" w:rsidR="00E47AB8" w:rsidRDefault="00E47AB8" w:rsidP="00422306">
      <w:pPr>
        <w:tabs>
          <w:tab w:val="right" w:pos="540"/>
          <w:tab w:val="left" w:pos="720"/>
        </w:tabs>
        <w:spacing w:after="240"/>
        <w:ind w:left="720" w:hanging="720"/>
        <w:rPr>
          <w:noProof/>
        </w:rPr>
      </w:pPr>
      <w:r w:rsidRPr="008B2F8A">
        <w:rPr>
          <w:noProof/>
        </w:rPr>
        <w:t xml:space="preserve">Lee, L, Pintilie, M et al, 2008. </w:t>
      </w:r>
      <w:r w:rsidRPr="00D2496B">
        <w:rPr>
          <w:noProof/>
        </w:rPr>
        <w:t>Screening mammography for young women treated with supradiaphragmatic radiation for Hodgkin</w:t>
      </w:r>
      <w:r>
        <w:rPr>
          <w:noProof/>
        </w:rPr>
        <w:t>’</w:t>
      </w:r>
      <w:r w:rsidRPr="00D2496B">
        <w:rPr>
          <w:noProof/>
        </w:rPr>
        <w:t>s lymphoma</w:t>
      </w:r>
      <w:r w:rsidRPr="008B2F8A">
        <w:rPr>
          <w:noProof/>
        </w:rPr>
        <w:t xml:space="preserve">, </w:t>
      </w:r>
      <w:r w:rsidRPr="008B2F8A">
        <w:rPr>
          <w:i/>
          <w:noProof/>
        </w:rPr>
        <w:t>Ann Oncol</w:t>
      </w:r>
      <w:r w:rsidRPr="008B2F8A">
        <w:rPr>
          <w:noProof/>
        </w:rPr>
        <w:t>, 18</w:t>
      </w:r>
      <w:r>
        <w:rPr>
          <w:noProof/>
        </w:rPr>
        <w:t>,</w:t>
      </w:r>
      <w:r w:rsidRPr="008B2F8A">
        <w:rPr>
          <w:noProof/>
        </w:rPr>
        <w:t xml:space="preserve"> 62–67.</w:t>
      </w:r>
    </w:p>
    <w:p w14:paraId="6B42CCC7" w14:textId="151BC80E" w:rsidR="002813D0" w:rsidRPr="008B2F8A" w:rsidRDefault="002813D0" w:rsidP="00422306">
      <w:pPr>
        <w:tabs>
          <w:tab w:val="right" w:pos="540"/>
          <w:tab w:val="left" w:pos="720"/>
        </w:tabs>
        <w:spacing w:after="240"/>
        <w:ind w:left="720" w:hanging="720"/>
        <w:rPr>
          <w:noProof/>
        </w:rPr>
      </w:pPr>
      <w:r>
        <w:rPr>
          <w:noProof/>
        </w:rPr>
        <w:t>Lee, J</w:t>
      </w:r>
      <w:r w:rsidRPr="002813D0">
        <w:rPr>
          <w:noProof/>
        </w:rPr>
        <w:t>M</w:t>
      </w:r>
      <w:r>
        <w:rPr>
          <w:noProof/>
        </w:rPr>
        <w:t>, McMahon, PM</w:t>
      </w:r>
      <w:r w:rsidRPr="002813D0">
        <w:rPr>
          <w:noProof/>
        </w:rPr>
        <w:t xml:space="preserve">, </w:t>
      </w:r>
      <w:r>
        <w:rPr>
          <w:noProof/>
        </w:rPr>
        <w:t>et al,</w:t>
      </w:r>
      <w:r w:rsidRPr="002813D0">
        <w:rPr>
          <w:noProof/>
        </w:rPr>
        <w:t>2010. Cost-effectiveness of breast MR imaging and screen-film mammography for screening BRCA1 gene mutation carriers</w:t>
      </w:r>
      <w:r>
        <w:rPr>
          <w:noProof/>
        </w:rPr>
        <w:t>,</w:t>
      </w:r>
      <w:r w:rsidRPr="002813D0">
        <w:rPr>
          <w:noProof/>
        </w:rPr>
        <w:t xml:space="preserve"> </w:t>
      </w:r>
      <w:r w:rsidRPr="002813D0">
        <w:rPr>
          <w:i/>
          <w:iCs/>
          <w:noProof/>
        </w:rPr>
        <w:t>Radiology</w:t>
      </w:r>
      <w:r>
        <w:rPr>
          <w:noProof/>
        </w:rPr>
        <w:t>, 254 (3),</w:t>
      </w:r>
      <w:r w:rsidRPr="002813D0">
        <w:rPr>
          <w:noProof/>
        </w:rPr>
        <w:t xml:space="preserve"> 793-800</w:t>
      </w:r>
      <w:r>
        <w:rPr>
          <w:noProof/>
        </w:rPr>
        <w:t>.</w:t>
      </w:r>
    </w:p>
    <w:p w14:paraId="6ACD8EE3" w14:textId="77777777" w:rsidR="00E47AB8" w:rsidRDefault="00E47AB8" w:rsidP="00422306">
      <w:pPr>
        <w:tabs>
          <w:tab w:val="right" w:pos="540"/>
          <w:tab w:val="left" w:pos="720"/>
        </w:tabs>
        <w:spacing w:after="240"/>
        <w:ind w:left="720" w:hanging="720"/>
        <w:rPr>
          <w:noProof/>
        </w:rPr>
      </w:pPr>
      <w:r w:rsidRPr="008B2F8A">
        <w:rPr>
          <w:noProof/>
        </w:rPr>
        <w:t xml:space="preserve">Lehman, CD, Blume, JD et al, 2005. Screening women at high risk for breast cancer with mammography and magnetic resonance imaging, </w:t>
      </w:r>
      <w:r w:rsidRPr="008B2F8A">
        <w:rPr>
          <w:i/>
          <w:noProof/>
        </w:rPr>
        <w:t>Cancer</w:t>
      </w:r>
      <w:r w:rsidRPr="008B2F8A">
        <w:rPr>
          <w:noProof/>
        </w:rPr>
        <w:t>, 103 (9), 1898–1905.</w:t>
      </w:r>
    </w:p>
    <w:p w14:paraId="43B82CA9" w14:textId="77BFE705" w:rsidR="00503CE9" w:rsidRPr="008B2F8A" w:rsidRDefault="00503CE9" w:rsidP="00422306">
      <w:pPr>
        <w:tabs>
          <w:tab w:val="right" w:pos="540"/>
          <w:tab w:val="left" w:pos="720"/>
        </w:tabs>
        <w:spacing w:after="240"/>
        <w:ind w:left="720" w:hanging="720"/>
        <w:rPr>
          <w:noProof/>
        </w:rPr>
      </w:pPr>
      <w:r>
        <w:rPr>
          <w:noProof/>
        </w:rPr>
        <w:t>Lehman, CD, Isaacs, C</w:t>
      </w:r>
      <w:r w:rsidRPr="00503CE9">
        <w:rPr>
          <w:noProof/>
        </w:rPr>
        <w:t xml:space="preserve">, </w:t>
      </w:r>
      <w:r>
        <w:rPr>
          <w:noProof/>
        </w:rPr>
        <w:t>et al,</w:t>
      </w:r>
      <w:r w:rsidRPr="00503CE9">
        <w:rPr>
          <w:noProof/>
        </w:rPr>
        <w:t xml:space="preserve"> 2007. Cancer yield of mammography, MR, and US in high-risk women: Prospective multi-institution breast cancer screening study. </w:t>
      </w:r>
      <w:r w:rsidRPr="00503CE9">
        <w:rPr>
          <w:i/>
          <w:iCs/>
          <w:noProof/>
        </w:rPr>
        <w:t>Radiology</w:t>
      </w:r>
      <w:r w:rsidRPr="00503CE9">
        <w:rPr>
          <w:noProof/>
        </w:rPr>
        <w:t>, 244, (2) 381-388</w:t>
      </w:r>
      <w:r>
        <w:rPr>
          <w:noProof/>
        </w:rPr>
        <w:t>.</w:t>
      </w:r>
    </w:p>
    <w:p w14:paraId="6AEF8649" w14:textId="7F4FE948" w:rsidR="00E47AB8" w:rsidRPr="008B2F8A" w:rsidRDefault="00E47AB8" w:rsidP="00422306">
      <w:pPr>
        <w:tabs>
          <w:tab w:val="right" w:pos="540"/>
          <w:tab w:val="left" w:pos="720"/>
        </w:tabs>
        <w:spacing w:after="240"/>
        <w:ind w:left="720" w:hanging="720"/>
        <w:rPr>
          <w:noProof/>
        </w:rPr>
      </w:pPr>
      <w:r w:rsidRPr="008B2F8A">
        <w:rPr>
          <w:noProof/>
        </w:rPr>
        <w:t xml:space="preserve">Li, CI, Daling, JR et al, 2005. Age-specific incidence rates of in situ breast carcinomas by histologic type, 1980 to 2001, </w:t>
      </w:r>
      <w:r w:rsidRPr="008B2F8A">
        <w:rPr>
          <w:i/>
          <w:noProof/>
        </w:rPr>
        <w:t>Cancer Epidemiol</w:t>
      </w:r>
      <w:r>
        <w:rPr>
          <w:i/>
          <w:noProof/>
        </w:rPr>
        <w:t xml:space="preserve"> </w:t>
      </w:r>
      <w:r w:rsidRPr="008B2F8A">
        <w:rPr>
          <w:i/>
          <w:noProof/>
        </w:rPr>
        <w:t>Biomarkers Prev</w:t>
      </w:r>
      <w:r w:rsidRPr="008B2F8A">
        <w:rPr>
          <w:noProof/>
        </w:rPr>
        <w:t>, 14(4), 1008–1011.</w:t>
      </w:r>
    </w:p>
    <w:p w14:paraId="01FF870C" w14:textId="37B56CD0" w:rsidR="00E47AB8" w:rsidRPr="00D2496B" w:rsidRDefault="00E47AB8" w:rsidP="00422306">
      <w:pPr>
        <w:tabs>
          <w:tab w:val="right" w:pos="540"/>
          <w:tab w:val="left" w:pos="720"/>
        </w:tabs>
        <w:spacing w:after="240"/>
        <w:ind w:left="720" w:hanging="720"/>
        <w:rPr>
          <w:noProof/>
        </w:rPr>
      </w:pPr>
      <w:r w:rsidRPr="00D2496B">
        <w:rPr>
          <w:noProof/>
        </w:rPr>
        <w:t xml:space="preserve">Lord, SJ, Lei, W et al, 2007. A systematic review of the effectiveness of magnetic resonance imaging (MRI) as an addition to mammography and ultrasound in screening young women at high risk of breast cancer, </w:t>
      </w:r>
      <w:r w:rsidRPr="00D2496B">
        <w:rPr>
          <w:i/>
          <w:noProof/>
        </w:rPr>
        <w:t>Eur J Cancer</w:t>
      </w:r>
      <w:r w:rsidRPr="00D2496B">
        <w:rPr>
          <w:noProof/>
        </w:rPr>
        <w:t>, 43 (13), 1905–1917.</w:t>
      </w:r>
    </w:p>
    <w:p w14:paraId="42EC99D2" w14:textId="77777777" w:rsidR="00E47AB8" w:rsidRPr="008B2F8A" w:rsidRDefault="00E47AB8" w:rsidP="00422306">
      <w:pPr>
        <w:tabs>
          <w:tab w:val="right" w:pos="540"/>
          <w:tab w:val="left" w:pos="720"/>
        </w:tabs>
        <w:spacing w:after="240"/>
        <w:ind w:left="720" w:hanging="720"/>
        <w:rPr>
          <w:noProof/>
        </w:rPr>
      </w:pPr>
      <w:r w:rsidRPr="008B2F8A">
        <w:rPr>
          <w:noProof/>
        </w:rPr>
        <w:t xml:space="preserve">Macura, KJ, Ouwerkerk, R et al, 2006. Patterns of enhancement on breast MR images: interpretation and imaging pitfalls, </w:t>
      </w:r>
      <w:r w:rsidRPr="008B2F8A">
        <w:rPr>
          <w:i/>
          <w:noProof/>
        </w:rPr>
        <w:t>Radiographics</w:t>
      </w:r>
      <w:r w:rsidRPr="008B2F8A">
        <w:rPr>
          <w:noProof/>
        </w:rPr>
        <w:t>, 26 (6), 1719–1734.</w:t>
      </w:r>
    </w:p>
    <w:p w14:paraId="595595B2" w14:textId="1AA28E7E" w:rsidR="00503CE9" w:rsidRDefault="00E47AB8" w:rsidP="00422306">
      <w:pPr>
        <w:tabs>
          <w:tab w:val="right" w:pos="540"/>
          <w:tab w:val="left" w:pos="720"/>
        </w:tabs>
        <w:spacing w:after="240"/>
        <w:ind w:left="720" w:hanging="720"/>
      </w:pPr>
      <w:r w:rsidRPr="008B2F8A">
        <w:rPr>
          <w:noProof/>
        </w:rPr>
        <w:t xml:space="preserve">Malone, KE, Begg, CB et al, 2010. Population-based study of the risk of second primary contralateral breast cancer associated with carrying a mutation in </w:t>
      </w:r>
      <w:r w:rsidRPr="00D2496B">
        <w:rPr>
          <w:i/>
          <w:noProof/>
        </w:rPr>
        <w:t>BRCA1</w:t>
      </w:r>
      <w:r w:rsidRPr="008B2F8A">
        <w:rPr>
          <w:noProof/>
        </w:rPr>
        <w:t xml:space="preserve"> and </w:t>
      </w:r>
      <w:r w:rsidRPr="00D2496B">
        <w:rPr>
          <w:i/>
          <w:noProof/>
        </w:rPr>
        <w:t>BRCA2</w:t>
      </w:r>
      <w:r w:rsidRPr="008B2F8A">
        <w:rPr>
          <w:noProof/>
        </w:rPr>
        <w:t xml:space="preserve">, </w:t>
      </w:r>
      <w:r w:rsidRPr="008B2F8A">
        <w:rPr>
          <w:i/>
          <w:noProof/>
        </w:rPr>
        <w:t>J Clin Oncol</w:t>
      </w:r>
      <w:r w:rsidRPr="008B2F8A">
        <w:rPr>
          <w:noProof/>
        </w:rPr>
        <w:t>, 28 (22), 2404–2410.</w:t>
      </w:r>
      <w:r w:rsidR="00503CE9" w:rsidRPr="00503CE9">
        <w:t xml:space="preserve"> </w:t>
      </w:r>
    </w:p>
    <w:p w14:paraId="09D5EB8E" w14:textId="76F8C67F" w:rsidR="00E47AB8" w:rsidRDefault="00F80E4A" w:rsidP="00422306">
      <w:pPr>
        <w:tabs>
          <w:tab w:val="right" w:pos="540"/>
          <w:tab w:val="left" w:pos="720"/>
        </w:tabs>
        <w:spacing w:after="240"/>
        <w:ind w:left="720" w:hanging="720"/>
        <w:rPr>
          <w:noProof/>
        </w:rPr>
      </w:pPr>
      <w:r>
        <w:rPr>
          <w:noProof/>
        </w:rPr>
        <w:t xml:space="preserve">Maurice, A, Evans, DG et al, 2006. </w:t>
      </w:r>
      <w:r w:rsidR="00503CE9" w:rsidRPr="00503CE9">
        <w:rPr>
          <w:noProof/>
        </w:rPr>
        <w:t>Screening younger women with a family history of breast cancer--does e</w:t>
      </w:r>
      <w:r>
        <w:rPr>
          <w:noProof/>
        </w:rPr>
        <w:t>arly detection improve outcome?,</w:t>
      </w:r>
      <w:r w:rsidR="00503CE9" w:rsidRPr="00503CE9">
        <w:rPr>
          <w:noProof/>
        </w:rPr>
        <w:t xml:space="preserve"> </w:t>
      </w:r>
      <w:r w:rsidR="00503CE9" w:rsidRPr="00503CE9">
        <w:rPr>
          <w:i/>
          <w:noProof/>
        </w:rPr>
        <w:t>Eur J Cancer</w:t>
      </w:r>
      <w:r>
        <w:rPr>
          <w:i/>
          <w:noProof/>
        </w:rPr>
        <w:t>,</w:t>
      </w:r>
      <w:r>
        <w:rPr>
          <w:noProof/>
        </w:rPr>
        <w:t xml:space="preserve"> 42 (</w:t>
      </w:r>
      <w:r w:rsidR="00503CE9" w:rsidRPr="00503CE9">
        <w:rPr>
          <w:noProof/>
        </w:rPr>
        <w:t>10</w:t>
      </w:r>
      <w:r>
        <w:rPr>
          <w:noProof/>
        </w:rPr>
        <w:t>)</w:t>
      </w:r>
      <w:r w:rsidR="00503CE9" w:rsidRPr="00503CE9">
        <w:rPr>
          <w:noProof/>
        </w:rPr>
        <w:t xml:space="preserve"> 1385-90.</w:t>
      </w:r>
    </w:p>
    <w:p w14:paraId="04CA3538" w14:textId="79ACFF0A" w:rsidR="00F80E4A" w:rsidRPr="008B2F8A" w:rsidRDefault="00F80E4A" w:rsidP="00422306">
      <w:pPr>
        <w:tabs>
          <w:tab w:val="right" w:pos="540"/>
          <w:tab w:val="left" w:pos="720"/>
        </w:tabs>
        <w:spacing w:after="240"/>
        <w:ind w:left="720" w:hanging="720"/>
        <w:rPr>
          <w:noProof/>
        </w:rPr>
      </w:pPr>
      <w:r>
        <w:rPr>
          <w:noProof/>
        </w:rPr>
        <w:t>Maurice, A, Evans, DG</w:t>
      </w:r>
      <w:r w:rsidRPr="00F80E4A">
        <w:rPr>
          <w:noProof/>
        </w:rPr>
        <w:t xml:space="preserve">, </w:t>
      </w:r>
      <w:r>
        <w:rPr>
          <w:noProof/>
        </w:rPr>
        <w:t>et al, 2012</w:t>
      </w:r>
      <w:r w:rsidRPr="00F80E4A">
        <w:rPr>
          <w:noProof/>
        </w:rPr>
        <w:t xml:space="preserve">. Surveillance of women at increased risk of breast cancer using mammography and clinical breast examination: further evidence of benefit. </w:t>
      </w:r>
      <w:r w:rsidRPr="00F80E4A">
        <w:rPr>
          <w:i/>
          <w:noProof/>
        </w:rPr>
        <w:t>Int</w:t>
      </w:r>
      <w:r>
        <w:rPr>
          <w:i/>
          <w:noProof/>
        </w:rPr>
        <w:t xml:space="preserve"> J</w:t>
      </w:r>
      <w:r w:rsidRPr="00F80E4A">
        <w:rPr>
          <w:i/>
          <w:noProof/>
        </w:rPr>
        <w:t xml:space="preserve"> Cancer</w:t>
      </w:r>
      <w:r>
        <w:rPr>
          <w:noProof/>
        </w:rPr>
        <w:t>, 131 (2)</w:t>
      </w:r>
      <w:r w:rsidRPr="00F80E4A">
        <w:rPr>
          <w:noProof/>
        </w:rPr>
        <w:t xml:space="preserve"> 417-425.</w:t>
      </w:r>
    </w:p>
    <w:p w14:paraId="6EBA5E08" w14:textId="76B1F276" w:rsidR="00E47AB8" w:rsidRPr="008B2F8A" w:rsidRDefault="00E47AB8" w:rsidP="00422306">
      <w:pPr>
        <w:tabs>
          <w:tab w:val="right" w:pos="540"/>
          <w:tab w:val="left" w:pos="720"/>
        </w:tabs>
        <w:spacing w:after="240"/>
        <w:ind w:left="720" w:hanging="720"/>
        <w:rPr>
          <w:noProof/>
        </w:rPr>
      </w:pPr>
      <w:r w:rsidRPr="008B2F8A">
        <w:rPr>
          <w:noProof/>
        </w:rPr>
        <w:lastRenderedPageBreak/>
        <w:t>McPherson, K, Steel, CM et al, 2000. ABC of breast diseases. Breast cancer</w:t>
      </w:r>
      <w:r>
        <w:rPr>
          <w:noProof/>
        </w:rPr>
        <w:t xml:space="preserve"> – </w:t>
      </w:r>
      <w:r w:rsidRPr="008B2F8A">
        <w:rPr>
          <w:noProof/>
        </w:rPr>
        <w:t xml:space="preserve">epidemiology, risk factors, and genetics, </w:t>
      </w:r>
      <w:r w:rsidRPr="008B2F8A">
        <w:rPr>
          <w:i/>
          <w:noProof/>
        </w:rPr>
        <w:t>BMJ</w:t>
      </w:r>
      <w:r w:rsidRPr="008B2F8A">
        <w:rPr>
          <w:noProof/>
        </w:rPr>
        <w:t>, 321 (7261), 624–628.</w:t>
      </w:r>
    </w:p>
    <w:p w14:paraId="7EB642A0" w14:textId="3E40626F" w:rsidR="00E47AB8" w:rsidRPr="008B2F8A" w:rsidRDefault="00E47AB8" w:rsidP="00422306">
      <w:pPr>
        <w:tabs>
          <w:tab w:val="right" w:pos="540"/>
          <w:tab w:val="left" w:pos="720"/>
        </w:tabs>
        <w:spacing w:after="240"/>
        <w:ind w:left="720" w:hanging="720"/>
        <w:rPr>
          <w:noProof/>
        </w:rPr>
      </w:pPr>
      <w:bookmarkStart w:id="1523" w:name="OLE_LINK910"/>
      <w:bookmarkStart w:id="1524" w:name="OLE_LINK911"/>
      <w:r w:rsidRPr="008B2F8A">
        <w:rPr>
          <w:noProof/>
        </w:rPr>
        <w:t xml:space="preserve">Medical Advisory Secretariat </w:t>
      </w:r>
      <w:bookmarkEnd w:id="1523"/>
      <w:bookmarkEnd w:id="1524"/>
      <w:r w:rsidRPr="008B2F8A">
        <w:rPr>
          <w:noProof/>
        </w:rPr>
        <w:t xml:space="preserve">2010, </w:t>
      </w:r>
      <w:r w:rsidRPr="008B2F8A">
        <w:rPr>
          <w:i/>
          <w:noProof/>
        </w:rPr>
        <w:t>Cancer screening with digital mammography for women at average risk for breast cancer, magnetic resonance imaging (MRI) for women at high risk: an evidence-based analysis.</w:t>
      </w:r>
      <w:r w:rsidRPr="008B2F8A">
        <w:rPr>
          <w:noProof/>
        </w:rPr>
        <w:t xml:space="preserve"> </w:t>
      </w:r>
      <w:r w:rsidRPr="00D2496B">
        <w:rPr>
          <w:i/>
          <w:noProof/>
        </w:rPr>
        <w:t>Ontario Health Technol Assess Ser</w:t>
      </w:r>
      <w:r w:rsidRPr="008B2F8A">
        <w:rPr>
          <w:noProof/>
        </w:rPr>
        <w:t xml:space="preserve"> 10(3):</w:t>
      </w:r>
      <w:r>
        <w:rPr>
          <w:noProof/>
        </w:rPr>
        <w:t xml:space="preserve"> </w:t>
      </w:r>
      <w:r w:rsidRPr="008B2F8A">
        <w:rPr>
          <w:noProof/>
        </w:rPr>
        <w:t>1–55.</w:t>
      </w:r>
    </w:p>
    <w:p w14:paraId="3126FFB8" w14:textId="470D1D35" w:rsidR="00E47AB8" w:rsidRPr="008B2F8A" w:rsidRDefault="00E47AB8" w:rsidP="00422306">
      <w:pPr>
        <w:tabs>
          <w:tab w:val="right" w:pos="540"/>
          <w:tab w:val="left" w:pos="720"/>
        </w:tabs>
        <w:spacing w:after="240"/>
        <w:ind w:left="720" w:hanging="720"/>
        <w:rPr>
          <w:noProof/>
        </w:rPr>
      </w:pPr>
      <w:r w:rsidRPr="008B2F8A">
        <w:rPr>
          <w:noProof/>
        </w:rPr>
        <w:t xml:space="preserve">Monticciolo, DL 2011. Magnetic resonance imaging of the breast for cancer diagnosis and staging, </w:t>
      </w:r>
      <w:r w:rsidRPr="008B2F8A">
        <w:rPr>
          <w:i/>
          <w:noProof/>
        </w:rPr>
        <w:t>Semin</w:t>
      </w:r>
      <w:r>
        <w:rPr>
          <w:i/>
          <w:noProof/>
        </w:rPr>
        <w:t xml:space="preserve"> </w:t>
      </w:r>
      <w:r w:rsidRPr="008B2F8A">
        <w:rPr>
          <w:i/>
          <w:noProof/>
        </w:rPr>
        <w:t>Ultrasound CT MR</w:t>
      </w:r>
      <w:r w:rsidRPr="008B2F8A">
        <w:rPr>
          <w:noProof/>
        </w:rPr>
        <w:t>, 32 (4), 319–330.</w:t>
      </w:r>
    </w:p>
    <w:p w14:paraId="402CF89B" w14:textId="79F57C58" w:rsidR="00E47AB8" w:rsidRPr="008B2F8A" w:rsidRDefault="00E47AB8" w:rsidP="00422306">
      <w:pPr>
        <w:tabs>
          <w:tab w:val="right" w:pos="540"/>
          <w:tab w:val="left" w:pos="720"/>
        </w:tabs>
        <w:spacing w:after="240"/>
        <w:ind w:left="720" w:hanging="720"/>
        <w:rPr>
          <w:noProof/>
        </w:rPr>
      </w:pPr>
      <w:r w:rsidRPr="008B2F8A">
        <w:rPr>
          <w:noProof/>
        </w:rPr>
        <w:t xml:space="preserve">Moore, SG, Pareen, JS et al, 2009. </w:t>
      </w:r>
      <w:r w:rsidRPr="00D2496B">
        <w:rPr>
          <w:noProof/>
        </w:rPr>
        <w:t>Cost-effectiveness of MRI compared to mammography for breast cancer screening in a high risk population</w:t>
      </w:r>
      <w:r w:rsidRPr="008B2F8A">
        <w:rPr>
          <w:noProof/>
        </w:rPr>
        <w:t xml:space="preserve">, </w:t>
      </w:r>
      <w:r w:rsidRPr="008B2F8A">
        <w:rPr>
          <w:i/>
          <w:noProof/>
        </w:rPr>
        <w:t xml:space="preserve">BMC Health Serv Res, </w:t>
      </w:r>
      <w:r w:rsidRPr="008B2F8A">
        <w:rPr>
          <w:noProof/>
        </w:rPr>
        <w:t xml:space="preserve">9 (9), </w:t>
      </w:r>
      <w:r>
        <w:rPr>
          <w:noProof/>
        </w:rPr>
        <w:t>doi:10.1186/1472-6963-9-</w:t>
      </w:r>
      <w:r w:rsidRPr="008B2F8A">
        <w:rPr>
          <w:noProof/>
        </w:rPr>
        <w:t>9.</w:t>
      </w:r>
    </w:p>
    <w:p w14:paraId="184A2615" w14:textId="77777777" w:rsidR="00E47AB8" w:rsidRPr="008B2F8A" w:rsidRDefault="00E47AB8" w:rsidP="00422306">
      <w:pPr>
        <w:tabs>
          <w:tab w:val="right" w:pos="540"/>
          <w:tab w:val="left" w:pos="720"/>
        </w:tabs>
        <w:spacing w:after="240"/>
        <w:ind w:left="720" w:hanging="720"/>
        <w:rPr>
          <w:noProof/>
        </w:rPr>
      </w:pPr>
      <w:r w:rsidRPr="008B2F8A">
        <w:rPr>
          <w:noProof/>
        </w:rPr>
        <w:t xml:space="preserve">MSAC </w:t>
      </w:r>
      <w:r>
        <w:rPr>
          <w:noProof/>
        </w:rPr>
        <w:t>(</w:t>
      </w:r>
      <w:r w:rsidRPr="008B2F8A">
        <w:rPr>
          <w:noProof/>
        </w:rPr>
        <w:t xml:space="preserve">Medical Services Advisory Committee) 2006, </w:t>
      </w:r>
      <w:r w:rsidRPr="008B2F8A">
        <w:rPr>
          <w:i/>
          <w:noProof/>
        </w:rPr>
        <w:t>Breast magnetic resonance imaging.</w:t>
      </w:r>
      <w:r w:rsidRPr="008B2F8A">
        <w:rPr>
          <w:noProof/>
        </w:rPr>
        <w:t xml:space="preserve"> MSAC application 1098.</w:t>
      </w:r>
      <w:r>
        <w:rPr>
          <w:noProof/>
        </w:rPr>
        <w:t xml:space="preserve"> </w:t>
      </w:r>
      <w:r w:rsidRPr="008B2F8A">
        <w:rPr>
          <w:noProof/>
        </w:rPr>
        <w:t>Canberra: Department of Health and Ageing.</w:t>
      </w:r>
    </w:p>
    <w:p w14:paraId="6FA3A9F3" w14:textId="77777777" w:rsidR="00E47AB8" w:rsidRPr="008B2F8A" w:rsidRDefault="00E47AB8" w:rsidP="00422306">
      <w:pPr>
        <w:tabs>
          <w:tab w:val="right" w:pos="540"/>
          <w:tab w:val="left" w:pos="720"/>
        </w:tabs>
        <w:spacing w:after="240"/>
        <w:ind w:left="720" w:hanging="720"/>
        <w:rPr>
          <w:noProof/>
        </w:rPr>
      </w:pPr>
      <w:r w:rsidRPr="008B2F8A">
        <w:rPr>
          <w:noProof/>
        </w:rPr>
        <w:t xml:space="preserve">Mumtaz, H, Davidson, T et al, 1997. Comparison of magnetic resonance imaging and conventional triple assessment in locally recurrent breast cancer, </w:t>
      </w:r>
      <w:r w:rsidRPr="008B2F8A">
        <w:rPr>
          <w:i/>
          <w:noProof/>
        </w:rPr>
        <w:t>Br J Surg</w:t>
      </w:r>
      <w:r w:rsidRPr="008B2F8A">
        <w:rPr>
          <w:noProof/>
        </w:rPr>
        <w:t>, 84 (8), 1147–1151.</w:t>
      </w:r>
    </w:p>
    <w:p w14:paraId="74BBC390" w14:textId="77777777" w:rsidR="00E47AB8" w:rsidRPr="008B2F8A" w:rsidRDefault="00E47AB8" w:rsidP="00422306">
      <w:pPr>
        <w:tabs>
          <w:tab w:val="right" w:pos="540"/>
          <w:tab w:val="left" w:pos="720"/>
        </w:tabs>
        <w:spacing w:after="240"/>
        <w:ind w:left="720" w:hanging="720"/>
        <w:rPr>
          <w:noProof/>
        </w:rPr>
      </w:pPr>
      <w:r w:rsidRPr="008B2F8A">
        <w:rPr>
          <w:noProof/>
        </w:rPr>
        <w:t>National Collaborating Centre for Cancer</w:t>
      </w:r>
      <w:r>
        <w:rPr>
          <w:noProof/>
        </w:rPr>
        <w:t>,</w:t>
      </w:r>
      <w:r w:rsidRPr="008B2F8A">
        <w:rPr>
          <w:noProof/>
        </w:rPr>
        <w:t xml:space="preserve"> 2009, </w:t>
      </w:r>
      <w:r w:rsidRPr="008B2F8A">
        <w:rPr>
          <w:i/>
          <w:noProof/>
        </w:rPr>
        <w:t>Early and locally advance breast cancer: diagnosis and treatment.</w:t>
      </w:r>
      <w:r w:rsidRPr="008B2F8A">
        <w:rPr>
          <w:noProof/>
        </w:rPr>
        <w:t xml:space="preserve"> NICE Clinical Guidelines No.</w:t>
      </w:r>
      <w:r>
        <w:rPr>
          <w:noProof/>
        </w:rPr>
        <w:t xml:space="preserve"> </w:t>
      </w:r>
      <w:r w:rsidRPr="008B2F8A">
        <w:rPr>
          <w:noProof/>
        </w:rPr>
        <w:t>80.</w:t>
      </w:r>
      <w:r>
        <w:rPr>
          <w:noProof/>
        </w:rPr>
        <w:t xml:space="preserve"> </w:t>
      </w:r>
      <w:r w:rsidRPr="008B2F8A">
        <w:rPr>
          <w:noProof/>
        </w:rPr>
        <w:t>Cardiff.</w:t>
      </w:r>
    </w:p>
    <w:p w14:paraId="624A67EB" w14:textId="10D8E319" w:rsidR="00E47AB8" w:rsidRPr="008B2F8A" w:rsidRDefault="00E47AB8" w:rsidP="00422306">
      <w:pPr>
        <w:tabs>
          <w:tab w:val="right" w:pos="540"/>
          <w:tab w:val="left" w:pos="720"/>
        </w:tabs>
        <w:spacing w:after="240"/>
        <w:ind w:left="720" w:hanging="720"/>
        <w:rPr>
          <w:noProof/>
        </w:rPr>
      </w:pPr>
      <w:r w:rsidRPr="008B2F8A">
        <w:rPr>
          <w:noProof/>
        </w:rPr>
        <w:t>National Collaborating Centre for Primary Care</w:t>
      </w:r>
      <w:r>
        <w:rPr>
          <w:noProof/>
        </w:rPr>
        <w:t>,</w:t>
      </w:r>
      <w:r w:rsidRPr="008B2F8A">
        <w:rPr>
          <w:noProof/>
        </w:rPr>
        <w:t xml:space="preserve"> 2006, </w:t>
      </w:r>
      <w:r w:rsidRPr="008B2F8A">
        <w:rPr>
          <w:i/>
          <w:noProof/>
        </w:rPr>
        <w:t>Chapter 5 Cost-utility analysis. In ‘Familial breast cancer: the classification and care of women at risk of familial breast cancer in primary, secondary and tertiary care (partial update of CG14).</w:t>
      </w:r>
      <w:r w:rsidRPr="008B2F8A">
        <w:rPr>
          <w:noProof/>
        </w:rPr>
        <w:t xml:space="preserve"> London: Royal College of General Practitioners.</w:t>
      </w:r>
    </w:p>
    <w:p w14:paraId="5B817EE8" w14:textId="64AF85D5" w:rsidR="00E47AB8" w:rsidRPr="008B2F8A" w:rsidRDefault="00E47AB8" w:rsidP="00422306">
      <w:pPr>
        <w:tabs>
          <w:tab w:val="right" w:pos="540"/>
          <w:tab w:val="left" w:pos="720"/>
        </w:tabs>
        <w:spacing w:after="240"/>
        <w:ind w:left="720" w:hanging="720"/>
        <w:rPr>
          <w:noProof/>
        </w:rPr>
      </w:pPr>
      <w:bookmarkStart w:id="1525" w:name="OLE_LINK461"/>
      <w:bookmarkStart w:id="1526" w:name="OLE_LINK462"/>
      <w:r w:rsidRPr="008B2F8A">
        <w:rPr>
          <w:noProof/>
        </w:rPr>
        <w:t>NBCC</w:t>
      </w:r>
      <w:r>
        <w:rPr>
          <w:noProof/>
        </w:rPr>
        <w:t>,</w:t>
      </w:r>
      <w:r w:rsidRPr="008B2F8A">
        <w:rPr>
          <w:noProof/>
        </w:rPr>
        <w:t xml:space="preserve"> 2000, </w:t>
      </w:r>
      <w:r w:rsidRPr="008B2F8A">
        <w:rPr>
          <w:i/>
          <w:noProof/>
        </w:rPr>
        <w:t>Advice about familial aspects of breast cancer and ovarian cancer: a guide for health professionals.</w:t>
      </w:r>
      <w:r w:rsidRPr="008B2F8A">
        <w:rPr>
          <w:noProof/>
        </w:rPr>
        <w:t xml:space="preserve"> </w:t>
      </w:r>
      <w:r>
        <w:rPr>
          <w:noProof/>
        </w:rPr>
        <w:t xml:space="preserve">Sydney: </w:t>
      </w:r>
      <w:r w:rsidRPr="008B2F8A">
        <w:rPr>
          <w:noProof/>
        </w:rPr>
        <w:t>National Breast Cancer Centre.</w:t>
      </w:r>
    </w:p>
    <w:p w14:paraId="11EE70A3" w14:textId="53F8278F" w:rsidR="00E47AB8" w:rsidRPr="008B2F8A" w:rsidRDefault="00E47AB8" w:rsidP="00422306">
      <w:pPr>
        <w:tabs>
          <w:tab w:val="right" w:pos="540"/>
          <w:tab w:val="left" w:pos="720"/>
        </w:tabs>
        <w:spacing w:after="240"/>
        <w:ind w:left="720" w:hanging="720"/>
        <w:rPr>
          <w:noProof/>
        </w:rPr>
      </w:pPr>
      <w:r w:rsidRPr="008B2F8A">
        <w:rPr>
          <w:noProof/>
        </w:rPr>
        <w:t>NBCC</w:t>
      </w:r>
      <w:r>
        <w:rPr>
          <w:noProof/>
        </w:rPr>
        <w:t>,</w:t>
      </w:r>
      <w:r w:rsidRPr="008B2F8A">
        <w:rPr>
          <w:noProof/>
        </w:rPr>
        <w:t xml:space="preserve"> 2002, </w:t>
      </w:r>
      <w:r w:rsidRPr="008B2F8A">
        <w:rPr>
          <w:i/>
          <w:noProof/>
        </w:rPr>
        <w:t>Breast imaging: a guide for practice.</w:t>
      </w:r>
      <w:r w:rsidRPr="008B2F8A">
        <w:rPr>
          <w:noProof/>
        </w:rPr>
        <w:t xml:space="preserve"> </w:t>
      </w:r>
      <w:r>
        <w:rPr>
          <w:noProof/>
        </w:rPr>
        <w:t>Sydney</w:t>
      </w:r>
      <w:r w:rsidRPr="008B2F8A">
        <w:rPr>
          <w:noProof/>
        </w:rPr>
        <w:t>: National Breast Cancer Centre.</w:t>
      </w:r>
    </w:p>
    <w:p w14:paraId="0363D557" w14:textId="180905D7" w:rsidR="00E47AB8" w:rsidRPr="008B2F8A" w:rsidRDefault="00E47AB8" w:rsidP="00422306">
      <w:pPr>
        <w:tabs>
          <w:tab w:val="right" w:pos="540"/>
          <w:tab w:val="left" w:pos="720"/>
        </w:tabs>
        <w:spacing w:after="240"/>
        <w:ind w:left="720" w:hanging="720"/>
        <w:rPr>
          <w:noProof/>
        </w:rPr>
      </w:pPr>
      <w:r>
        <w:rPr>
          <w:noProof/>
        </w:rPr>
        <w:t>NBOCC,</w:t>
      </w:r>
      <w:r w:rsidRPr="008B2F8A">
        <w:rPr>
          <w:noProof/>
        </w:rPr>
        <w:t xml:space="preserve"> 2009, </w:t>
      </w:r>
      <w:r w:rsidRPr="008B2F8A">
        <w:rPr>
          <w:i/>
          <w:noProof/>
        </w:rPr>
        <w:t>Breast cancer risk factors: a review of the evidence.</w:t>
      </w:r>
      <w:r w:rsidRPr="008B2F8A">
        <w:rPr>
          <w:noProof/>
        </w:rPr>
        <w:t xml:space="preserve"> </w:t>
      </w:r>
      <w:r>
        <w:rPr>
          <w:noProof/>
        </w:rPr>
        <w:t>Sydney</w:t>
      </w:r>
      <w:r w:rsidRPr="008B2F8A">
        <w:rPr>
          <w:noProof/>
        </w:rPr>
        <w:t>: National Breast and Ovarian Cancer Centre.</w:t>
      </w:r>
    </w:p>
    <w:p w14:paraId="27FC1FF5" w14:textId="499AADF9" w:rsidR="00E47AB8" w:rsidRPr="008B2F8A" w:rsidRDefault="00E47AB8" w:rsidP="00422306">
      <w:pPr>
        <w:tabs>
          <w:tab w:val="right" w:pos="540"/>
          <w:tab w:val="left" w:pos="720"/>
        </w:tabs>
        <w:spacing w:after="240"/>
        <w:ind w:left="720" w:hanging="720"/>
        <w:rPr>
          <w:noProof/>
        </w:rPr>
      </w:pPr>
      <w:r w:rsidRPr="008B2F8A">
        <w:rPr>
          <w:noProof/>
        </w:rPr>
        <w:t>NBOCC</w:t>
      </w:r>
      <w:r>
        <w:rPr>
          <w:noProof/>
        </w:rPr>
        <w:t>,</w:t>
      </w:r>
      <w:r w:rsidRPr="008B2F8A">
        <w:rPr>
          <w:noProof/>
        </w:rPr>
        <w:t xml:space="preserve"> 2010, </w:t>
      </w:r>
      <w:r w:rsidRPr="008B2F8A">
        <w:rPr>
          <w:i/>
          <w:noProof/>
        </w:rPr>
        <w:t>Advice about familial aspects of breast cancer and epithelial ovariance cancer: a guide for health professionals.</w:t>
      </w:r>
      <w:r w:rsidRPr="008B2F8A">
        <w:rPr>
          <w:noProof/>
        </w:rPr>
        <w:t xml:space="preserve"> </w:t>
      </w:r>
      <w:r>
        <w:rPr>
          <w:noProof/>
        </w:rPr>
        <w:t>Sydney:</w:t>
      </w:r>
      <w:r w:rsidRPr="00A76972">
        <w:rPr>
          <w:noProof/>
        </w:rPr>
        <w:t xml:space="preserve"> </w:t>
      </w:r>
      <w:r w:rsidRPr="008B2F8A">
        <w:rPr>
          <w:noProof/>
        </w:rPr>
        <w:t>National Breast and Ovarian Cancer Centre.</w:t>
      </w:r>
    </w:p>
    <w:bookmarkEnd w:id="1525"/>
    <w:bookmarkEnd w:id="1526"/>
    <w:p w14:paraId="0E62BA12" w14:textId="4E110F49" w:rsidR="00E47AB8" w:rsidRPr="00D2496B" w:rsidRDefault="00E47AB8" w:rsidP="00422306">
      <w:pPr>
        <w:tabs>
          <w:tab w:val="right" w:pos="540"/>
          <w:tab w:val="left" w:pos="720"/>
        </w:tabs>
        <w:spacing w:after="240"/>
        <w:ind w:left="720" w:hanging="720"/>
        <w:rPr>
          <w:noProof/>
        </w:rPr>
      </w:pPr>
      <w:r w:rsidRPr="00D2496B">
        <w:rPr>
          <w:noProof/>
        </w:rPr>
        <w:t xml:space="preserve">Ng, AK, Bernardo, MV et al, 2002. Second malignancy after Hodgkin disease treated with radiation therapy with or without chemotherapy: long-term risks and risk factors, </w:t>
      </w:r>
      <w:r w:rsidRPr="00D2496B">
        <w:rPr>
          <w:i/>
          <w:noProof/>
        </w:rPr>
        <w:t>Blood</w:t>
      </w:r>
      <w:r w:rsidRPr="00D2496B">
        <w:rPr>
          <w:noProof/>
        </w:rPr>
        <w:t>, 100, 1989–1996.</w:t>
      </w:r>
    </w:p>
    <w:p w14:paraId="7C8903A0" w14:textId="7E6BCC99" w:rsidR="00E47AB8" w:rsidRPr="008B2F8A" w:rsidRDefault="00E47AB8" w:rsidP="00422306">
      <w:pPr>
        <w:tabs>
          <w:tab w:val="right" w:pos="540"/>
          <w:tab w:val="left" w:pos="720"/>
        </w:tabs>
        <w:spacing w:after="240"/>
        <w:ind w:left="720" w:hanging="720"/>
        <w:rPr>
          <w:noProof/>
        </w:rPr>
      </w:pPr>
      <w:r w:rsidRPr="008B2F8A">
        <w:rPr>
          <w:noProof/>
        </w:rPr>
        <w:t xml:space="preserve">Ng, AK, Garber, JE et al, 2013. Prospective study of the efficacy of breast magnetic resonance maging and mammographic screening in survivors of Hodgkin lymphoma, </w:t>
      </w:r>
      <w:r w:rsidRPr="008B2F8A">
        <w:rPr>
          <w:i/>
          <w:noProof/>
        </w:rPr>
        <w:t>J Clin Oncol</w:t>
      </w:r>
      <w:r w:rsidRPr="008B2F8A">
        <w:rPr>
          <w:noProof/>
        </w:rPr>
        <w:t>, 31 (18), 2282–2288.</w:t>
      </w:r>
    </w:p>
    <w:p w14:paraId="2F5D0F15" w14:textId="59600D49" w:rsidR="00E47AB8" w:rsidRPr="008B2F8A" w:rsidRDefault="00E47AB8" w:rsidP="00422306">
      <w:pPr>
        <w:tabs>
          <w:tab w:val="right" w:pos="540"/>
          <w:tab w:val="left" w:pos="720"/>
        </w:tabs>
        <w:spacing w:after="240"/>
        <w:ind w:left="720" w:hanging="720"/>
        <w:rPr>
          <w:noProof/>
        </w:rPr>
      </w:pPr>
      <w:r w:rsidRPr="008B2F8A">
        <w:rPr>
          <w:noProof/>
        </w:rPr>
        <w:lastRenderedPageBreak/>
        <w:t>NICE</w:t>
      </w:r>
      <w:r>
        <w:rPr>
          <w:noProof/>
        </w:rPr>
        <w:t>,</w:t>
      </w:r>
      <w:r w:rsidRPr="008B2F8A">
        <w:rPr>
          <w:noProof/>
        </w:rPr>
        <w:t xml:space="preserve"> 2006, </w:t>
      </w:r>
      <w:r w:rsidRPr="00D2496B">
        <w:rPr>
          <w:i/>
          <w:noProof/>
        </w:rPr>
        <w:t xml:space="preserve">Familial breast cancer: the classification and care of women at risk of familial breast cancer in primary, secondary and tertiary care (NICE </w:t>
      </w:r>
      <w:r w:rsidRPr="004F2F20">
        <w:rPr>
          <w:i/>
          <w:noProof/>
        </w:rPr>
        <w:t xml:space="preserve">Clinical Guideline </w:t>
      </w:r>
      <w:r w:rsidRPr="00D2496B">
        <w:rPr>
          <w:i/>
          <w:noProof/>
        </w:rPr>
        <w:t>41)</w:t>
      </w:r>
      <w:r w:rsidRPr="008B2F8A">
        <w:rPr>
          <w:i/>
          <w:noProof/>
        </w:rPr>
        <w:t>.</w:t>
      </w:r>
      <w:r>
        <w:rPr>
          <w:noProof/>
        </w:rPr>
        <w:t xml:space="preserve"> London: </w:t>
      </w:r>
      <w:r w:rsidRPr="008B2F8A">
        <w:rPr>
          <w:noProof/>
        </w:rPr>
        <w:t>National Institute for Health and Clinical Excellence</w:t>
      </w:r>
      <w:r>
        <w:rPr>
          <w:noProof/>
        </w:rPr>
        <w:t>.</w:t>
      </w:r>
    </w:p>
    <w:p w14:paraId="6120A2FA" w14:textId="30A9E9E6" w:rsidR="00E47AB8" w:rsidRPr="008B2F8A" w:rsidRDefault="00E47AB8" w:rsidP="00422306">
      <w:pPr>
        <w:tabs>
          <w:tab w:val="right" w:pos="540"/>
          <w:tab w:val="left" w:pos="720"/>
        </w:tabs>
        <w:spacing w:after="240"/>
        <w:ind w:left="720" w:hanging="720"/>
        <w:rPr>
          <w:noProof/>
        </w:rPr>
      </w:pPr>
      <w:r w:rsidRPr="008B2F8A">
        <w:rPr>
          <w:noProof/>
        </w:rPr>
        <w:t>NICE</w:t>
      </w:r>
      <w:r>
        <w:rPr>
          <w:noProof/>
        </w:rPr>
        <w:t>,</w:t>
      </w:r>
      <w:r w:rsidRPr="008B2F8A" w:rsidDel="00E07C61">
        <w:rPr>
          <w:noProof/>
        </w:rPr>
        <w:t xml:space="preserve"> </w:t>
      </w:r>
      <w:r w:rsidRPr="008B2F8A">
        <w:rPr>
          <w:noProof/>
        </w:rPr>
        <w:t xml:space="preserve">2013, </w:t>
      </w:r>
      <w:r w:rsidRPr="008B2F8A">
        <w:rPr>
          <w:i/>
          <w:noProof/>
        </w:rPr>
        <w:t>Familial breast cancer: Classification and care of people at risk of familial breast cancer and management of breast cancer and related risks in people with a family history of breast cancer.</w:t>
      </w:r>
      <w:r w:rsidRPr="008B2F8A">
        <w:rPr>
          <w:noProof/>
        </w:rPr>
        <w:t xml:space="preserve"> CG164.</w:t>
      </w:r>
      <w:r>
        <w:rPr>
          <w:noProof/>
        </w:rPr>
        <w:t xml:space="preserve"> </w:t>
      </w:r>
      <w:r w:rsidRPr="008B2F8A">
        <w:rPr>
          <w:noProof/>
        </w:rPr>
        <w:t>London: National Institute of Clinical Excellence.</w:t>
      </w:r>
    </w:p>
    <w:p w14:paraId="3C19360D" w14:textId="4C6FB2AE" w:rsidR="00E47AB8" w:rsidRPr="008B2F8A" w:rsidRDefault="00E47AB8" w:rsidP="00422306">
      <w:pPr>
        <w:tabs>
          <w:tab w:val="right" w:pos="540"/>
          <w:tab w:val="left" w:pos="720"/>
        </w:tabs>
        <w:spacing w:after="240"/>
        <w:ind w:left="720" w:hanging="720"/>
        <w:rPr>
          <w:noProof/>
        </w:rPr>
      </w:pPr>
      <w:r w:rsidRPr="008B2F8A">
        <w:rPr>
          <w:noProof/>
        </w:rPr>
        <w:t xml:space="preserve">Nichols, HB, de González, AB et al, 2011. Declining incidence of contralateral breast cancer in the United States from 1975 to 2006, </w:t>
      </w:r>
      <w:r w:rsidRPr="008B2F8A">
        <w:rPr>
          <w:i/>
          <w:noProof/>
        </w:rPr>
        <w:t>J Clin Oncol</w:t>
      </w:r>
      <w:r w:rsidRPr="008B2F8A">
        <w:rPr>
          <w:noProof/>
        </w:rPr>
        <w:t>, 29 (12), 1564–1569.</w:t>
      </w:r>
    </w:p>
    <w:p w14:paraId="2E3B5369" w14:textId="77777777" w:rsidR="00E47AB8" w:rsidRPr="008B2F8A" w:rsidRDefault="00E47AB8" w:rsidP="00422306">
      <w:pPr>
        <w:tabs>
          <w:tab w:val="right" w:pos="540"/>
          <w:tab w:val="left" w:pos="720"/>
        </w:tabs>
        <w:spacing w:after="240"/>
        <w:ind w:left="720" w:hanging="720"/>
        <w:rPr>
          <w:noProof/>
        </w:rPr>
      </w:pPr>
      <w:r w:rsidRPr="008B2F8A">
        <w:rPr>
          <w:noProof/>
        </w:rPr>
        <w:t xml:space="preserve">Norman, RP, Evans, DG et al, 2007. The cost-utility of magnetic resonance imaging for breast cancer in </w:t>
      </w:r>
      <w:r w:rsidRPr="00D2496B">
        <w:rPr>
          <w:i/>
          <w:noProof/>
        </w:rPr>
        <w:t>BRCA1</w:t>
      </w:r>
      <w:r w:rsidRPr="008B2F8A">
        <w:rPr>
          <w:noProof/>
        </w:rPr>
        <w:t xml:space="preserve"> mutation carriers aged 30–49, </w:t>
      </w:r>
      <w:r w:rsidRPr="008B2F8A">
        <w:rPr>
          <w:i/>
          <w:noProof/>
        </w:rPr>
        <w:t>Eur J Health Econ</w:t>
      </w:r>
      <w:r w:rsidRPr="008B2F8A">
        <w:rPr>
          <w:noProof/>
        </w:rPr>
        <w:t>, 8 (2), 137–144.</w:t>
      </w:r>
    </w:p>
    <w:p w14:paraId="34FBAFF2" w14:textId="7426898F" w:rsidR="00E47AB8" w:rsidRPr="008B2F8A" w:rsidRDefault="00E47AB8" w:rsidP="00422306">
      <w:pPr>
        <w:tabs>
          <w:tab w:val="right" w:pos="540"/>
          <w:tab w:val="left" w:pos="720"/>
        </w:tabs>
        <w:spacing w:after="240"/>
        <w:ind w:left="720" w:hanging="720"/>
        <w:rPr>
          <w:noProof/>
        </w:rPr>
      </w:pPr>
      <w:r w:rsidRPr="008B2F8A">
        <w:rPr>
          <w:noProof/>
        </w:rPr>
        <w:t xml:space="preserve">Nunes, LW, Schnall, MD et al, 1997. Diagnostic performance characteristics of architectural features revealed by high spatial-resolution MR imaging of the breast, </w:t>
      </w:r>
      <w:r w:rsidRPr="008B2F8A">
        <w:rPr>
          <w:i/>
          <w:noProof/>
        </w:rPr>
        <w:t>Am J Roentgenol</w:t>
      </w:r>
      <w:r w:rsidRPr="008B2F8A">
        <w:rPr>
          <w:noProof/>
        </w:rPr>
        <w:t>, 169 (2), 409–415.</w:t>
      </w:r>
    </w:p>
    <w:p w14:paraId="3699B7B9" w14:textId="6FD64AC2" w:rsidR="00E47AB8" w:rsidRPr="00D2496B" w:rsidRDefault="00E47AB8" w:rsidP="00422306">
      <w:pPr>
        <w:tabs>
          <w:tab w:val="right" w:pos="540"/>
          <w:tab w:val="left" w:pos="720"/>
        </w:tabs>
        <w:spacing w:after="240"/>
        <w:ind w:left="720" w:hanging="720"/>
        <w:rPr>
          <w:noProof/>
        </w:rPr>
      </w:pPr>
      <w:r w:rsidRPr="00D2496B">
        <w:rPr>
          <w:noProof/>
        </w:rPr>
        <w:t xml:space="preserve">Odle, TG 2011. Breast cancer survivorship and surveillance, </w:t>
      </w:r>
      <w:r w:rsidRPr="00D2496B">
        <w:rPr>
          <w:i/>
          <w:noProof/>
        </w:rPr>
        <w:t>Radiol Technol</w:t>
      </w:r>
      <w:r w:rsidRPr="00D2496B">
        <w:rPr>
          <w:noProof/>
        </w:rPr>
        <w:t>, 83 (1), 63M–87M.</w:t>
      </w:r>
    </w:p>
    <w:p w14:paraId="422A01C2" w14:textId="0AFEF25C" w:rsidR="00E47AB8" w:rsidRPr="00D2496B" w:rsidRDefault="00E47AB8" w:rsidP="00422306">
      <w:pPr>
        <w:tabs>
          <w:tab w:val="right" w:pos="540"/>
          <w:tab w:val="left" w:pos="720"/>
        </w:tabs>
        <w:spacing w:after="240"/>
        <w:ind w:left="720" w:hanging="720"/>
        <w:rPr>
          <w:noProof/>
        </w:rPr>
      </w:pPr>
      <w:r w:rsidRPr="00D2496B">
        <w:rPr>
          <w:noProof/>
        </w:rPr>
        <w:t xml:space="preserve">Ojeda-Fournier, H and Comstock, CE 2009. MRI for breast cancer: current indications, </w:t>
      </w:r>
      <w:r w:rsidRPr="00D2496B">
        <w:rPr>
          <w:i/>
          <w:noProof/>
        </w:rPr>
        <w:t>Indian J Radiol Imag</w:t>
      </w:r>
      <w:r w:rsidRPr="00D2496B">
        <w:rPr>
          <w:noProof/>
        </w:rPr>
        <w:t>, 19 (2), 161–169.</w:t>
      </w:r>
    </w:p>
    <w:p w14:paraId="6092493D" w14:textId="71A46CE4" w:rsidR="00E47AB8" w:rsidRPr="008B2F8A" w:rsidRDefault="00E47AB8" w:rsidP="00422306">
      <w:pPr>
        <w:tabs>
          <w:tab w:val="right" w:pos="540"/>
          <w:tab w:val="left" w:pos="720"/>
        </w:tabs>
        <w:spacing w:after="240"/>
        <w:ind w:left="720" w:hanging="720"/>
        <w:rPr>
          <w:noProof/>
        </w:rPr>
      </w:pPr>
      <w:r w:rsidRPr="008B2F8A">
        <w:rPr>
          <w:noProof/>
        </w:rPr>
        <w:t xml:space="preserve">Olsen, ML, Morton, MJ et al, 2012. Is there a role for magnetic resonance imaging in diagnosing palpable breast masses when mammogram and ultrasound are negative?, </w:t>
      </w:r>
      <w:r w:rsidRPr="008B2F8A">
        <w:rPr>
          <w:i/>
          <w:noProof/>
        </w:rPr>
        <w:t>J Womens Health (Larchmt)</w:t>
      </w:r>
      <w:r w:rsidRPr="008B2F8A">
        <w:rPr>
          <w:noProof/>
        </w:rPr>
        <w:t>, 21 (11), 1149–1154.</w:t>
      </w:r>
    </w:p>
    <w:p w14:paraId="67109A3A" w14:textId="297C3CB7" w:rsidR="00E47AB8" w:rsidRPr="008B2F8A" w:rsidRDefault="00E47AB8" w:rsidP="00422306">
      <w:pPr>
        <w:tabs>
          <w:tab w:val="right" w:pos="540"/>
          <w:tab w:val="left" w:pos="720"/>
        </w:tabs>
        <w:spacing w:after="240"/>
        <w:ind w:left="720" w:hanging="720"/>
        <w:rPr>
          <w:noProof/>
        </w:rPr>
      </w:pPr>
      <w:r w:rsidRPr="008B2F8A">
        <w:rPr>
          <w:noProof/>
        </w:rPr>
        <w:t xml:space="preserve">Page, DL, Kidd, TE, Jr. et al, 1991. Lobular neoplasia of the breast: higher risk for subsequent nvasive cancer predicted by more extensive disease, </w:t>
      </w:r>
      <w:r w:rsidRPr="008B2F8A">
        <w:rPr>
          <w:i/>
          <w:noProof/>
        </w:rPr>
        <w:t>Hum</w:t>
      </w:r>
      <w:r>
        <w:rPr>
          <w:i/>
          <w:noProof/>
        </w:rPr>
        <w:t xml:space="preserve"> </w:t>
      </w:r>
      <w:r w:rsidRPr="008B2F8A">
        <w:rPr>
          <w:i/>
          <w:noProof/>
        </w:rPr>
        <w:t>Pathol</w:t>
      </w:r>
      <w:r w:rsidRPr="008B2F8A">
        <w:rPr>
          <w:noProof/>
        </w:rPr>
        <w:t>, 22 (12), 1232–1239.</w:t>
      </w:r>
    </w:p>
    <w:p w14:paraId="02F98096" w14:textId="7EF627FD" w:rsidR="00E47AB8" w:rsidRPr="008B2F8A" w:rsidRDefault="00E47AB8" w:rsidP="00422306">
      <w:pPr>
        <w:tabs>
          <w:tab w:val="right" w:pos="540"/>
          <w:tab w:val="left" w:pos="720"/>
        </w:tabs>
        <w:spacing w:after="240"/>
        <w:ind w:left="720" w:hanging="720"/>
        <w:rPr>
          <w:noProof/>
        </w:rPr>
      </w:pPr>
      <w:r w:rsidRPr="008B2F8A">
        <w:rPr>
          <w:noProof/>
        </w:rPr>
        <w:t xml:space="preserve">Passaperuma, K, Warner, E et al, 2012. Long-term results of screening with magnetic resonance imaging in women with </w:t>
      </w:r>
      <w:r w:rsidRPr="00D2496B">
        <w:rPr>
          <w:i/>
          <w:noProof/>
        </w:rPr>
        <w:t>BRCA</w:t>
      </w:r>
      <w:r w:rsidRPr="008B2F8A">
        <w:rPr>
          <w:noProof/>
        </w:rPr>
        <w:t xml:space="preserve"> mutations, </w:t>
      </w:r>
      <w:r w:rsidRPr="008B2F8A">
        <w:rPr>
          <w:i/>
          <w:noProof/>
        </w:rPr>
        <w:t>Br J Cancer</w:t>
      </w:r>
      <w:r w:rsidRPr="008B2F8A">
        <w:rPr>
          <w:noProof/>
        </w:rPr>
        <w:t>, 107 (1), 24–30.</w:t>
      </w:r>
    </w:p>
    <w:p w14:paraId="2F59BCFD" w14:textId="796A227D" w:rsidR="000642CE" w:rsidRDefault="000642CE" w:rsidP="00422306">
      <w:pPr>
        <w:tabs>
          <w:tab w:val="right" w:pos="540"/>
          <w:tab w:val="left" w:pos="720"/>
        </w:tabs>
        <w:spacing w:after="240"/>
        <w:ind w:left="720" w:hanging="720"/>
        <w:rPr>
          <w:noProof/>
        </w:rPr>
      </w:pPr>
      <w:r w:rsidRPr="000642CE">
        <w:rPr>
          <w:noProof/>
        </w:rPr>
        <w:t>Pataky R, Armstrong L</w:t>
      </w:r>
      <w:r>
        <w:rPr>
          <w:noProof/>
        </w:rPr>
        <w:t xml:space="preserve"> et al, 2013.</w:t>
      </w:r>
      <w:r w:rsidRPr="000642CE">
        <w:rPr>
          <w:noProof/>
        </w:rPr>
        <w:t> Cost-effectiveness of MRI for breast cancer screening in BRCA1/2 mutation carriers. </w:t>
      </w:r>
      <w:r w:rsidRPr="000642CE">
        <w:rPr>
          <w:i/>
          <w:iCs/>
          <w:noProof/>
        </w:rPr>
        <w:t>BMC Cancer</w:t>
      </w:r>
      <w:r w:rsidRPr="000642CE">
        <w:rPr>
          <w:noProof/>
        </w:rPr>
        <w:t> </w:t>
      </w:r>
      <w:r>
        <w:rPr>
          <w:noProof/>
        </w:rPr>
        <w:t xml:space="preserve"> (</w:t>
      </w:r>
      <w:r w:rsidRPr="000642CE">
        <w:rPr>
          <w:bCs/>
          <w:noProof/>
        </w:rPr>
        <w:t>13</w:t>
      </w:r>
      <w:r>
        <w:rPr>
          <w:noProof/>
        </w:rPr>
        <w:t xml:space="preserve">) </w:t>
      </w:r>
      <w:r w:rsidRPr="000642CE">
        <w:rPr>
          <w:noProof/>
        </w:rPr>
        <w:t>339.</w:t>
      </w:r>
    </w:p>
    <w:p w14:paraId="38C6A1FB" w14:textId="5A3F5AE6" w:rsidR="00E47AB8" w:rsidRPr="008B2F8A" w:rsidRDefault="00E47AB8" w:rsidP="00422306">
      <w:pPr>
        <w:tabs>
          <w:tab w:val="right" w:pos="540"/>
          <w:tab w:val="left" w:pos="720"/>
        </w:tabs>
        <w:spacing w:after="240"/>
        <w:ind w:left="720" w:hanging="720"/>
        <w:rPr>
          <w:noProof/>
        </w:rPr>
      </w:pPr>
      <w:r w:rsidRPr="008B2F8A">
        <w:rPr>
          <w:noProof/>
        </w:rPr>
        <w:t xml:space="preserve">Peasgood, T, Ward, SE et al, 2010. Health-state utility values in breast cancer, </w:t>
      </w:r>
      <w:r w:rsidRPr="008B2F8A">
        <w:rPr>
          <w:i/>
          <w:noProof/>
        </w:rPr>
        <w:t>Expert Rev Pharmacoeconomics and Outcomes Res</w:t>
      </w:r>
      <w:r w:rsidRPr="008B2F8A">
        <w:rPr>
          <w:noProof/>
        </w:rPr>
        <w:t>, 10</w:t>
      </w:r>
      <w:r>
        <w:rPr>
          <w:noProof/>
        </w:rPr>
        <w:t>,</w:t>
      </w:r>
      <w:r w:rsidRPr="008B2F8A">
        <w:rPr>
          <w:noProof/>
        </w:rPr>
        <w:t xml:space="preserve"> 553–566.</w:t>
      </w:r>
    </w:p>
    <w:p w14:paraId="3740E976" w14:textId="0E9BCDFA" w:rsidR="00E47AB8" w:rsidRPr="00D2496B" w:rsidRDefault="00E47AB8" w:rsidP="00422306">
      <w:pPr>
        <w:tabs>
          <w:tab w:val="right" w:pos="540"/>
          <w:tab w:val="left" w:pos="720"/>
        </w:tabs>
        <w:spacing w:after="240"/>
        <w:ind w:left="720" w:hanging="720"/>
        <w:rPr>
          <w:noProof/>
        </w:rPr>
      </w:pPr>
      <w:r w:rsidRPr="00D2496B">
        <w:rPr>
          <w:noProof/>
        </w:rPr>
        <w:t xml:space="preserve">Peto, J and Houlston, RS 2001. Genetics and the common cancers, </w:t>
      </w:r>
      <w:r w:rsidRPr="00D2496B">
        <w:rPr>
          <w:i/>
          <w:noProof/>
        </w:rPr>
        <w:t>Eur J Cancer</w:t>
      </w:r>
      <w:r w:rsidRPr="00D2496B">
        <w:rPr>
          <w:noProof/>
        </w:rPr>
        <w:t>, 37 Suppl 8, S88–S96.</w:t>
      </w:r>
    </w:p>
    <w:p w14:paraId="50492517" w14:textId="62B2CFD4" w:rsidR="00E47AB8" w:rsidRPr="008B2F8A" w:rsidRDefault="00E47AB8" w:rsidP="00422306">
      <w:pPr>
        <w:tabs>
          <w:tab w:val="right" w:pos="540"/>
          <w:tab w:val="left" w:pos="720"/>
        </w:tabs>
        <w:spacing w:after="240"/>
        <w:ind w:left="720" w:hanging="720"/>
        <w:rPr>
          <w:noProof/>
        </w:rPr>
      </w:pPr>
      <w:r w:rsidRPr="008B2F8A">
        <w:rPr>
          <w:noProof/>
        </w:rPr>
        <w:t xml:space="preserve">Phillips, KA, Milne, RL et al, 2013. Tamoxifen and risk of contralateral breast cancer for </w:t>
      </w:r>
      <w:r w:rsidRPr="00D2496B">
        <w:rPr>
          <w:i/>
          <w:noProof/>
        </w:rPr>
        <w:t>BRCA1</w:t>
      </w:r>
      <w:r w:rsidRPr="008B2F8A">
        <w:rPr>
          <w:noProof/>
        </w:rPr>
        <w:t xml:space="preserve"> and </w:t>
      </w:r>
      <w:r w:rsidRPr="00D2496B">
        <w:rPr>
          <w:i/>
          <w:noProof/>
        </w:rPr>
        <w:t>BRCA2</w:t>
      </w:r>
      <w:r w:rsidRPr="008B2F8A">
        <w:rPr>
          <w:noProof/>
        </w:rPr>
        <w:t xml:space="preserve"> mutation carriers, </w:t>
      </w:r>
      <w:r w:rsidRPr="008B2F8A">
        <w:rPr>
          <w:i/>
          <w:noProof/>
        </w:rPr>
        <w:t>J Clin</w:t>
      </w:r>
      <w:r>
        <w:rPr>
          <w:i/>
          <w:noProof/>
        </w:rPr>
        <w:t xml:space="preserve"> </w:t>
      </w:r>
      <w:r w:rsidRPr="008B2F8A">
        <w:rPr>
          <w:i/>
          <w:noProof/>
        </w:rPr>
        <w:t>Oncol</w:t>
      </w:r>
      <w:r w:rsidRPr="008B2F8A">
        <w:rPr>
          <w:noProof/>
        </w:rPr>
        <w:t>, 31 (25), 3091–3099.</w:t>
      </w:r>
    </w:p>
    <w:p w14:paraId="2120B94D" w14:textId="77777777" w:rsidR="00E47AB8" w:rsidRPr="008B2F8A" w:rsidRDefault="00E47AB8" w:rsidP="00422306">
      <w:pPr>
        <w:tabs>
          <w:tab w:val="right" w:pos="540"/>
          <w:tab w:val="left" w:pos="720"/>
        </w:tabs>
        <w:spacing w:after="240"/>
        <w:ind w:left="720" w:hanging="720"/>
        <w:rPr>
          <w:noProof/>
        </w:rPr>
      </w:pPr>
      <w:r w:rsidRPr="008B2F8A">
        <w:rPr>
          <w:noProof/>
        </w:rPr>
        <w:t xml:space="preserve">Plevritis, SK, Kurian, AW et al, 2006. </w:t>
      </w:r>
      <w:r w:rsidRPr="008B2F8A">
        <w:rPr>
          <w:rFonts w:ascii="Syntax-Bold" w:hAnsi="Syntax-Bold"/>
          <w:noProof/>
        </w:rPr>
        <w:t xml:space="preserve">Cost-effectiveness of screening </w:t>
      </w:r>
      <w:r w:rsidRPr="008B2F8A">
        <w:rPr>
          <w:rFonts w:ascii="Syntax-BoldItalic" w:hAnsi="Syntax-BoldItalic"/>
          <w:i/>
          <w:noProof/>
        </w:rPr>
        <w:t xml:space="preserve">BRCA1/2 </w:t>
      </w:r>
      <w:r w:rsidRPr="008B2F8A">
        <w:rPr>
          <w:rFonts w:ascii="Syntax-Bold" w:hAnsi="Syntax-Bold"/>
          <w:noProof/>
        </w:rPr>
        <w:t>mutation carriers with breast magnetic resonance imaging</w:t>
      </w:r>
      <w:r w:rsidRPr="008B2F8A">
        <w:rPr>
          <w:noProof/>
        </w:rPr>
        <w:t xml:space="preserve">, </w:t>
      </w:r>
      <w:r w:rsidRPr="008B2F8A">
        <w:rPr>
          <w:i/>
          <w:noProof/>
        </w:rPr>
        <w:t>JAMA</w:t>
      </w:r>
      <w:r w:rsidRPr="008B2F8A">
        <w:rPr>
          <w:noProof/>
        </w:rPr>
        <w:t>, 295 (20), 2374–2384.</w:t>
      </w:r>
    </w:p>
    <w:p w14:paraId="7F717F8F" w14:textId="0E19B8B2" w:rsidR="00E47AB8" w:rsidRPr="008B2F8A" w:rsidRDefault="00E47AB8" w:rsidP="00422306">
      <w:pPr>
        <w:tabs>
          <w:tab w:val="right" w:pos="540"/>
          <w:tab w:val="left" w:pos="720"/>
        </w:tabs>
        <w:spacing w:after="240"/>
        <w:ind w:left="720" w:hanging="720"/>
        <w:rPr>
          <w:noProof/>
        </w:rPr>
      </w:pPr>
      <w:r w:rsidRPr="008B2F8A">
        <w:rPr>
          <w:noProof/>
        </w:rPr>
        <w:lastRenderedPageBreak/>
        <w:t xml:space="preserve">Powles, TJ, Ashley, S et al, 2007. Twenty-year follow-up of the Royal Marsden randomized, double-blinded tamoxifen breast cancer prevention trial, </w:t>
      </w:r>
      <w:r w:rsidRPr="008B2F8A">
        <w:rPr>
          <w:i/>
          <w:noProof/>
        </w:rPr>
        <w:t>J Natl</w:t>
      </w:r>
      <w:r>
        <w:rPr>
          <w:i/>
          <w:noProof/>
        </w:rPr>
        <w:t xml:space="preserve"> </w:t>
      </w:r>
      <w:r w:rsidRPr="008B2F8A">
        <w:rPr>
          <w:i/>
          <w:noProof/>
        </w:rPr>
        <w:t>Cancer Inst</w:t>
      </w:r>
      <w:r w:rsidRPr="008B2F8A">
        <w:rPr>
          <w:noProof/>
        </w:rPr>
        <w:t>, 99 (4), 283–290.</w:t>
      </w:r>
    </w:p>
    <w:p w14:paraId="403780D1" w14:textId="219629DF" w:rsidR="00E47AB8" w:rsidRPr="008B2F8A" w:rsidRDefault="00E47AB8" w:rsidP="00422306">
      <w:pPr>
        <w:tabs>
          <w:tab w:val="right" w:pos="540"/>
          <w:tab w:val="left" w:pos="720"/>
        </w:tabs>
        <w:spacing w:after="240"/>
        <w:ind w:left="720" w:hanging="720"/>
        <w:rPr>
          <w:noProof/>
        </w:rPr>
      </w:pPr>
      <w:r w:rsidRPr="008B2F8A">
        <w:rPr>
          <w:noProof/>
        </w:rPr>
        <w:t>RANZCR</w:t>
      </w:r>
      <w:r>
        <w:rPr>
          <w:noProof/>
        </w:rPr>
        <w:t>,</w:t>
      </w:r>
      <w:r w:rsidRPr="008B2F8A">
        <w:rPr>
          <w:noProof/>
        </w:rPr>
        <w:t xml:space="preserve"> 2009, </w:t>
      </w:r>
      <w:r w:rsidRPr="008B2F8A">
        <w:rPr>
          <w:i/>
          <w:noProof/>
        </w:rPr>
        <w:t>RANZCR Guidelines on the use of gadolinium-containing MRI contrast agents.</w:t>
      </w:r>
      <w:r w:rsidRPr="008B2F8A">
        <w:rPr>
          <w:noProof/>
        </w:rPr>
        <w:t xml:space="preserve"> Version October 2009.</w:t>
      </w:r>
      <w:r>
        <w:rPr>
          <w:noProof/>
        </w:rPr>
        <w:t xml:space="preserve"> </w:t>
      </w:r>
      <w:r w:rsidRPr="008B2F8A">
        <w:rPr>
          <w:noProof/>
        </w:rPr>
        <w:t>Sydney NSW: Royal Australian and New Zealand College of Radiologists Policy Library.</w:t>
      </w:r>
    </w:p>
    <w:p w14:paraId="2C55B31C" w14:textId="77777777" w:rsidR="00E47AB8" w:rsidRPr="008B2F8A" w:rsidRDefault="00E47AB8" w:rsidP="00422306">
      <w:pPr>
        <w:tabs>
          <w:tab w:val="right" w:pos="540"/>
          <w:tab w:val="left" w:pos="720"/>
        </w:tabs>
        <w:spacing w:after="240"/>
        <w:ind w:left="720" w:hanging="720"/>
        <w:rPr>
          <w:noProof/>
        </w:rPr>
      </w:pPr>
      <w:r w:rsidRPr="008B2F8A">
        <w:rPr>
          <w:noProof/>
        </w:rPr>
        <w:t xml:space="preserve">Rausch, DR and Hendrick, RE 2006. How to optimize clinical breast MR imaging practices and techniques on your 1.5-T system, </w:t>
      </w:r>
      <w:r w:rsidRPr="008B2F8A">
        <w:rPr>
          <w:i/>
          <w:noProof/>
        </w:rPr>
        <w:t>Radiographics</w:t>
      </w:r>
      <w:r w:rsidRPr="008B2F8A">
        <w:rPr>
          <w:noProof/>
        </w:rPr>
        <w:t>, 26 (5), 1469–1484.</w:t>
      </w:r>
    </w:p>
    <w:p w14:paraId="6EC50333" w14:textId="7D71ED2F" w:rsidR="00E47AB8" w:rsidRPr="008B2F8A" w:rsidRDefault="00E47AB8" w:rsidP="00422306">
      <w:pPr>
        <w:tabs>
          <w:tab w:val="right" w:pos="540"/>
          <w:tab w:val="left" w:pos="720"/>
        </w:tabs>
        <w:spacing w:after="240"/>
        <w:ind w:left="720" w:hanging="720"/>
        <w:rPr>
          <w:noProof/>
        </w:rPr>
      </w:pPr>
      <w:r w:rsidRPr="008B2F8A">
        <w:rPr>
          <w:noProof/>
        </w:rPr>
        <w:t xml:space="preserve">Rieber, A, Merkle, E et al, 1997. Value of MR mammography in the detection and exclusion of recurrent breast carcinoma, </w:t>
      </w:r>
      <w:r w:rsidRPr="008B2F8A">
        <w:rPr>
          <w:i/>
          <w:noProof/>
        </w:rPr>
        <w:t>J Comput Assist Tomogr</w:t>
      </w:r>
      <w:r w:rsidRPr="008B2F8A">
        <w:rPr>
          <w:noProof/>
        </w:rPr>
        <w:t>, 21 (5),</w:t>
      </w:r>
      <w:r w:rsidR="00AF592B" w:rsidRPr="00AF592B">
        <w:t xml:space="preserve"> </w:t>
      </w:r>
      <w:r w:rsidR="00AF592B">
        <w:rPr>
          <w:noProof/>
        </w:rPr>
        <w:t>780-784</w:t>
      </w:r>
      <w:r>
        <w:rPr>
          <w:noProof/>
        </w:rPr>
        <w:t>.</w:t>
      </w:r>
    </w:p>
    <w:p w14:paraId="1718A70D" w14:textId="77777777" w:rsidR="00E47AB8" w:rsidRPr="008B2F8A" w:rsidRDefault="00E47AB8" w:rsidP="00422306">
      <w:pPr>
        <w:tabs>
          <w:tab w:val="right" w:pos="540"/>
          <w:tab w:val="left" w:pos="720"/>
        </w:tabs>
        <w:spacing w:after="240"/>
        <w:ind w:left="720" w:hanging="720"/>
        <w:rPr>
          <w:noProof/>
        </w:rPr>
      </w:pPr>
      <w:r w:rsidRPr="008B2F8A">
        <w:rPr>
          <w:noProof/>
        </w:rPr>
        <w:t xml:space="preserve">Rijnsburger, AJ, Essink-Bot, ML et al, 2004. Impact of screening for breast cancer in high-risk women on health-related quality of life, </w:t>
      </w:r>
      <w:r w:rsidRPr="008B2F8A">
        <w:rPr>
          <w:i/>
          <w:noProof/>
        </w:rPr>
        <w:t>Br J Cancer</w:t>
      </w:r>
      <w:r w:rsidRPr="008B2F8A">
        <w:rPr>
          <w:noProof/>
        </w:rPr>
        <w:t>, 91 (1), 69–76.</w:t>
      </w:r>
    </w:p>
    <w:p w14:paraId="27CD6A60" w14:textId="08BD01FE" w:rsidR="00E47AB8" w:rsidRPr="008B2F8A" w:rsidRDefault="00E47AB8" w:rsidP="00422306">
      <w:pPr>
        <w:tabs>
          <w:tab w:val="right" w:pos="540"/>
          <w:tab w:val="left" w:pos="720"/>
        </w:tabs>
        <w:spacing w:after="240"/>
        <w:ind w:left="720" w:hanging="720"/>
        <w:rPr>
          <w:noProof/>
        </w:rPr>
      </w:pPr>
      <w:r w:rsidRPr="008B2F8A">
        <w:rPr>
          <w:noProof/>
        </w:rPr>
        <w:t xml:space="preserve">Rijnsburger, AJ, Obdeijn, IM et al, 2010. </w:t>
      </w:r>
      <w:r w:rsidRPr="00D2496B">
        <w:rPr>
          <w:i/>
          <w:noProof/>
        </w:rPr>
        <w:t>BRCA1</w:t>
      </w:r>
      <w:r w:rsidRPr="008B2F8A">
        <w:rPr>
          <w:noProof/>
        </w:rPr>
        <w:t xml:space="preserve">-associated breast cancers present differently from </w:t>
      </w:r>
      <w:r w:rsidRPr="00D2496B">
        <w:rPr>
          <w:i/>
          <w:noProof/>
        </w:rPr>
        <w:t>BRCA2</w:t>
      </w:r>
      <w:r w:rsidRPr="008B2F8A">
        <w:rPr>
          <w:noProof/>
        </w:rPr>
        <w:t xml:space="preserve">-associated and familial cases: Long-term follow-up of the Dutch MRISC screening study, </w:t>
      </w:r>
      <w:r w:rsidRPr="008B2F8A">
        <w:rPr>
          <w:i/>
          <w:noProof/>
        </w:rPr>
        <w:t>J Clin Oncol</w:t>
      </w:r>
      <w:r w:rsidRPr="008B2F8A">
        <w:rPr>
          <w:noProof/>
        </w:rPr>
        <w:t>, 28 (36), 5265–5273.</w:t>
      </w:r>
    </w:p>
    <w:p w14:paraId="0E76B7C0" w14:textId="297025C7" w:rsidR="00E47AB8" w:rsidRPr="008B2F8A" w:rsidRDefault="00E47AB8" w:rsidP="00422306">
      <w:pPr>
        <w:tabs>
          <w:tab w:val="right" w:pos="540"/>
          <w:tab w:val="left" w:pos="720"/>
        </w:tabs>
        <w:spacing w:after="240"/>
        <w:ind w:left="720" w:hanging="720"/>
        <w:rPr>
          <w:noProof/>
        </w:rPr>
      </w:pPr>
      <w:r w:rsidRPr="008B2F8A">
        <w:rPr>
          <w:noProof/>
        </w:rPr>
        <w:t xml:space="preserve">Robertson, C, Arcot Ragupathy, S et al, 2011a. The clinical effectiveness and cost-effectiveness of different surveillance mammography regimens after the treatment for primary breast cancer: systematic reviews, registry database analyses and economic evaluation, </w:t>
      </w:r>
      <w:r w:rsidRPr="008B2F8A">
        <w:rPr>
          <w:i/>
          <w:noProof/>
        </w:rPr>
        <w:t>Health Technol Assess</w:t>
      </w:r>
      <w:r w:rsidRPr="008B2F8A">
        <w:rPr>
          <w:noProof/>
        </w:rPr>
        <w:t>, 15 (34), 322.</w:t>
      </w:r>
    </w:p>
    <w:p w14:paraId="7B73F02D" w14:textId="77777777" w:rsidR="00E47AB8" w:rsidRPr="008B2F8A" w:rsidRDefault="00E47AB8" w:rsidP="00422306">
      <w:pPr>
        <w:tabs>
          <w:tab w:val="right" w:pos="540"/>
          <w:tab w:val="left" w:pos="720"/>
        </w:tabs>
        <w:spacing w:after="240"/>
        <w:ind w:left="720" w:hanging="720"/>
        <w:rPr>
          <w:noProof/>
        </w:rPr>
      </w:pPr>
      <w:r w:rsidRPr="008B2F8A">
        <w:rPr>
          <w:noProof/>
        </w:rPr>
        <w:t xml:space="preserve">Robertson, C, Ragupathy, SK et al, 2011b. Surveillance mammography for detecting ipsilateral breast tumour recurrence and metachronous contralateral breast cancer: a systematic review, </w:t>
      </w:r>
      <w:r w:rsidRPr="008B2F8A">
        <w:rPr>
          <w:i/>
          <w:noProof/>
        </w:rPr>
        <w:t>Eur Radiol</w:t>
      </w:r>
      <w:r w:rsidRPr="008B2F8A">
        <w:rPr>
          <w:noProof/>
        </w:rPr>
        <w:t>, 21 (12), 2484–2491.</w:t>
      </w:r>
    </w:p>
    <w:p w14:paraId="29D1EDBA" w14:textId="77777777" w:rsidR="00E47AB8" w:rsidRPr="008B2F8A" w:rsidRDefault="00E47AB8" w:rsidP="00422306">
      <w:pPr>
        <w:tabs>
          <w:tab w:val="right" w:pos="540"/>
          <w:tab w:val="left" w:pos="720"/>
        </w:tabs>
        <w:spacing w:after="240"/>
        <w:ind w:left="720" w:hanging="720"/>
        <w:rPr>
          <w:noProof/>
        </w:rPr>
      </w:pPr>
      <w:r w:rsidRPr="008B2F8A">
        <w:rPr>
          <w:noProof/>
        </w:rPr>
        <w:t xml:space="preserve">Saadatmand, S, Tilanus-Linthorst, M et al, 2013. Cost-effectiveness of screening women with familial risk for breast cancer with magnetic resonance imaging, </w:t>
      </w:r>
      <w:r w:rsidRPr="008B2F8A">
        <w:rPr>
          <w:i/>
          <w:noProof/>
        </w:rPr>
        <w:t>J Natl Cancer Inst</w:t>
      </w:r>
      <w:r w:rsidRPr="008B2F8A">
        <w:rPr>
          <w:noProof/>
        </w:rPr>
        <w:t>, 105 (17), 1314–</w:t>
      </w:r>
      <w:r>
        <w:rPr>
          <w:noProof/>
        </w:rPr>
        <w:t>13</w:t>
      </w:r>
      <w:r w:rsidRPr="008B2F8A">
        <w:rPr>
          <w:noProof/>
        </w:rPr>
        <w:t>21.</w:t>
      </w:r>
    </w:p>
    <w:p w14:paraId="7599CA50" w14:textId="3DF718D8" w:rsidR="00E47AB8" w:rsidRPr="008B2F8A" w:rsidRDefault="00E47AB8" w:rsidP="00422306">
      <w:pPr>
        <w:tabs>
          <w:tab w:val="right" w:pos="540"/>
          <w:tab w:val="left" w:pos="720"/>
        </w:tabs>
        <w:spacing w:after="240"/>
        <w:ind w:left="720" w:hanging="720"/>
        <w:rPr>
          <w:noProof/>
        </w:rPr>
      </w:pPr>
      <w:r w:rsidRPr="008B2F8A">
        <w:rPr>
          <w:noProof/>
        </w:rPr>
        <w:t xml:space="preserve">Sardanelli, F, Podo, F et al, 2011. Multicenter surveillance of women at high genetic breast cancer risk using mammography, ultrasonography, and contrast-enhanced magnetic resonance imaging (the High Breast Cancer Risk Italian 1 study): final results, </w:t>
      </w:r>
      <w:r w:rsidRPr="008B2F8A">
        <w:rPr>
          <w:i/>
          <w:noProof/>
        </w:rPr>
        <w:t>Investig Radiol</w:t>
      </w:r>
      <w:r w:rsidRPr="008B2F8A">
        <w:rPr>
          <w:noProof/>
        </w:rPr>
        <w:t>, 46 (2), 94–105.</w:t>
      </w:r>
    </w:p>
    <w:p w14:paraId="27F365C9" w14:textId="4B80E97D" w:rsidR="00E47AB8" w:rsidRPr="008B2F8A" w:rsidRDefault="00E47AB8" w:rsidP="00422306">
      <w:pPr>
        <w:tabs>
          <w:tab w:val="right" w:pos="540"/>
          <w:tab w:val="left" w:pos="720"/>
        </w:tabs>
        <w:spacing w:after="240"/>
        <w:ind w:left="720" w:hanging="720"/>
        <w:rPr>
          <w:noProof/>
        </w:rPr>
      </w:pPr>
      <w:r w:rsidRPr="008B2F8A">
        <w:rPr>
          <w:noProof/>
        </w:rPr>
        <w:t xml:space="preserve">Saslow, D, Boetes, C et al, 2007. American Cancer Society guidelines for breast screening with MRI as an adjunct to mammography, </w:t>
      </w:r>
      <w:r w:rsidRPr="008B2F8A">
        <w:rPr>
          <w:i/>
          <w:noProof/>
        </w:rPr>
        <w:t>CA Cancer J Clin</w:t>
      </w:r>
      <w:r w:rsidRPr="008B2F8A">
        <w:rPr>
          <w:noProof/>
        </w:rPr>
        <w:t>, 57 (2), 75–89.</w:t>
      </w:r>
    </w:p>
    <w:p w14:paraId="3F949A46" w14:textId="77777777" w:rsidR="00E47AB8" w:rsidRPr="008B2F8A" w:rsidRDefault="00E47AB8" w:rsidP="00422306">
      <w:pPr>
        <w:tabs>
          <w:tab w:val="right" w:pos="540"/>
          <w:tab w:val="left" w:pos="720"/>
        </w:tabs>
        <w:spacing w:after="240"/>
        <w:ind w:left="720" w:hanging="720"/>
        <w:rPr>
          <w:noProof/>
        </w:rPr>
      </w:pPr>
      <w:r w:rsidRPr="008B2F8A">
        <w:rPr>
          <w:noProof/>
        </w:rPr>
        <w:t xml:space="preserve">Schnall, MD, Blume, J et al, 2006. Diagnostic architectural and dynamic features at breast MR maging: multicenter study, </w:t>
      </w:r>
      <w:r w:rsidRPr="008B2F8A">
        <w:rPr>
          <w:i/>
          <w:noProof/>
        </w:rPr>
        <w:t>Radiology</w:t>
      </w:r>
      <w:r w:rsidRPr="008B2F8A">
        <w:rPr>
          <w:noProof/>
        </w:rPr>
        <w:t>, 238 (1), 42–53.</w:t>
      </w:r>
    </w:p>
    <w:p w14:paraId="42EF497E" w14:textId="7264E9D9" w:rsidR="00E47AB8" w:rsidRPr="008B2F8A" w:rsidRDefault="00E47AB8" w:rsidP="00422306">
      <w:pPr>
        <w:tabs>
          <w:tab w:val="right" w:pos="540"/>
          <w:tab w:val="left" w:pos="720"/>
        </w:tabs>
        <w:spacing w:after="240"/>
        <w:ind w:left="720" w:hanging="720"/>
        <w:rPr>
          <w:noProof/>
        </w:rPr>
      </w:pPr>
      <w:r w:rsidRPr="008B2F8A">
        <w:rPr>
          <w:noProof/>
        </w:rPr>
        <w:t xml:space="preserve">Scott, CL, Jenkins, MA et al, 2003. Average age-specific cumulative risk of breast cancer according to type and site of germline mutations in </w:t>
      </w:r>
      <w:r w:rsidRPr="00D2496B">
        <w:rPr>
          <w:i/>
          <w:noProof/>
        </w:rPr>
        <w:t>BRCA1</w:t>
      </w:r>
      <w:r w:rsidRPr="008B2F8A">
        <w:rPr>
          <w:noProof/>
        </w:rPr>
        <w:t xml:space="preserve"> and </w:t>
      </w:r>
      <w:r w:rsidRPr="00D2496B">
        <w:rPr>
          <w:i/>
          <w:noProof/>
        </w:rPr>
        <w:t>BRCA2</w:t>
      </w:r>
      <w:r w:rsidRPr="008B2F8A">
        <w:rPr>
          <w:noProof/>
        </w:rPr>
        <w:t xml:space="preserve"> estimated from multiple-case breast cancer families attending Australian family cancer clinics, </w:t>
      </w:r>
      <w:r w:rsidRPr="008B2F8A">
        <w:rPr>
          <w:i/>
          <w:noProof/>
        </w:rPr>
        <w:t>Hum</w:t>
      </w:r>
      <w:r>
        <w:rPr>
          <w:i/>
          <w:noProof/>
        </w:rPr>
        <w:t xml:space="preserve"> </w:t>
      </w:r>
      <w:r w:rsidRPr="008B2F8A">
        <w:rPr>
          <w:i/>
          <w:noProof/>
        </w:rPr>
        <w:t>Genet</w:t>
      </w:r>
      <w:r w:rsidRPr="008B2F8A">
        <w:rPr>
          <w:noProof/>
        </w:rPr>
        <w:t>, 112 (5–6), 542–551.</w:t>
      </w:r>
    </w:p>
    <w:p w14:paraId="70E34D59" w14:textId="246C22B2" w:rsidR="00E47AB8" w:rsidRPr="008B2F8A" w:rsidRDefault="00E47AB8" w:rsidP="00422306">
      <w:pPr>
        <w:tabs>
          <w:tab w:val="right" w:pos="540"/>
          <w:tab w:val="left" w:pos="720"/>
        </w:tabs>
        <w:spacing w:after="240"/>
        <w:ind w:left="720" w:hanging="720"/>
        <w:rPr>
          <w:noProof/>
        </w:rPr>
      </w:pPr>
      <w:r w:rsidRPr="008B2F8A">
        <w:rPr>
          <w:noProof/>
        </w:rPr>
        <w:lastRenderedPageBreak/>
        <w:t xml:space="preserve">Shah, SK, Shah, SK et al, 2005. Current role of magnetic resonance imaging in breast imaging: a primer for the primary care physician, </w:t>
      </w:r>
      <w:r w:rsidRPr="008B2F8A">
        <w:rPr>
          <w:i/>
          <w:noProof/>
        </w:rPr>
        <w:t>J Am Board Fam Pract</w:t>
      </w:r>
      <w:r w:rsidRPr="008B2F8A">
        <w:rPr>
          <w:noProof/>
        </w:rPr>
        <w:t>, 18 (6), 478–490.</w:t>
      </w:r>
    </w:p>
    <w:p w14:paraId="5B1B42B8" w14:textId="637BB9B0" w:rsidR="00E47AB8" w:rsidRPr="008B2F8A" w:rsidRDefault="00E47AB8" w:rsidP="00422306">
      <w:pPr>
        <w:tabs>
          <w:tab w:val="right" w:pos="540"/>
          <w:tab w:val="left" w:pos="720"/>
        </w:tabs>
        <w:spacing w:after="240"/>
        <w:ind w:left="720" w:hanging="720"/>
        <w:rPr>
          <w:noProof/>
        </w:rPr>
      </w:pPr>
      <w:r w:rsidRPr="008B2F8A">
        <w:rPr>
          <w:noProof/>
        </w:rPr>
        <w:t xml:space="preserve">Soerjomataram, I, Lortet-Tieulent, J et al, 2012. Global burden of cancer in 2008: a systematic analysis of disability-adjusted life-years in 12 world regions, </w:t>
      </w:r>
      <w:r w:rsidRPr="008B2F8A">
        <w:rPr>
          <w:i/>
          <w:noProof/>
        </w:rPr>
        <w:t>Lancet</w:t>
      </w:r>
      <w:r w:rsidRPr="008B2F8A">
        <w:rPr>
          <w:noProof/>
        </w:rPr>
        <w:t>, 380 (9856), 1840–1850.</w:t>
      </w:r>
    </w:p>
    <w:p w14:paraId="3FDB828E" w14:textId="77777777" w:rsidR="00E47AB8" w:rsidRPr="008B2F8A" w:rsidRDefault="00E47AB8" w:rsidP="00422306">
      <w:pPr>
        <w:tabs>
          <w:tab w:val="right" w:pos="540"/>
          <w:tab w:val="left" w:pos="720"/>
        </w:tabs>
        <w:spacing w:after="240"/>
        <w:ind w:left="720" w:hanging="720"/>
        <w:rPr>
          <w:noProof/>
        </w:rPr>
      </w:pPr>
      <w:r w:rsidRPr="008B2F8A">
        <w:rPr>
          <w:noProof/>
        </w:rPr>
        <w:t xml:space="preserve">Sung, JS, Lee, CH et al, 2011a. Screening breast MR imaging in women with a history of chest rradiation, </w:t>
      </w:r>
      <w:r w:rsidRPr="008B2F8A">
        <w:rPr>
          <w:i/>
          <w:noProof/>
        </w:rPr>
        <w:t>Radiology</w:t>
      </w:r>
      <w:r w:rsidRPr="008B2F8A">
        <w:rPr>
          <w:noProof/>
        </w:rPr>
        <w:t>, 259 (1), 65–71.</w:t>
      </w:r>
    </w:p>
    <w:p w14:paraId="632C6923" w14:textId="77777777" w:rsidR="00E47AB8" w:rsidRPr="008B2F8A" w:rsidRDefault="00E47AB8" w:rsidP="00422306">
      <w:pPr>
        <w:tabs>
          <w:tab w:val="right" w:pos="540"/>
          <w:tab w:val="left" w:pos="720"/>
        </w:tabs>
        <w:spacing w:after="240"/>
        <w:ind w:left="720" w:hanging="720"/>
        <w:rPr>
          <w:noProof/>
        </w:rPr>
      </w:pPr>
      <w:r w:rsidRPr="008B2F8A">
        <w:rPr>
          <w:noProof/>
        </w:rPr>
        <w:t xml:space="preserve">Sung, JS, Malak, SF et al, 2011b. Screening breast MR imaging in women with a history of obular carcinoma in situ, </w:t>
      </w:r>
      <w:r w:rsidRPr="008B2F8A">
        <w:rPr>
          <w:i/>
          <w:noProof/>
        </w:rPr>
        <w:t>Radiology</w:t>
      </w:r>
      <w:r w:rsidRPr="008B2F8A">
        <w:rPr>
          <w:noProof/>
        </w:rPr>
        <w:t>, 261 (2), 414–420.</w:t>
      </w:r>
    </w:p>
    <w:p w14:paraId="39CA3E9B" w14:textId="499BCBCC" w:rsidR="00E47AB8" w:rsidRPr="00D2496B" w:rsidRDefault="00E47AB8" w:rsidP="00422306">
      <w:pPr>
        <w:tabs>
          <w:tab w:val="right" w:pos="540"/>
          <w:tab w:val="left" w:pos="720"/>
        </w:tabs>
        <w:spacing w:after="240"/>
        <w:ind w:left="720" w:hanging="720"/>
        <w:rPr>
          <w:noProof/>
        </w:rPr>
      </w:pPr>
      <w:r w:rsidRPr="00D2496B">
        <w:rPr>
          <w:noProof/>
        </w:rPr>
        <w:t xml:space="preserve">Swerdlow, AJ, Cooke, R et al, 2012. Breast cancer risk after supradiaphragmatic radiotherapy for Hodgkin’s lymphoma in England and Wales: a national cohort study, </w:t>
      </w:r>
      <w:r w:rsidRPr="00D2496B">
        <w:rPr>
          <w:i/>
          <w:noProof/>
        </w:rPr>
        <w:t>J Clin Oncol</w:t>
      </w:r>
      <w:r w:rsidRPr="00D2496B">
        <w:rPr>
          <w:noProof/>
        </w:rPr>
        <w:t>, 30 (22), 2745–2752.</w:t>
      </w:r>
    </w:p>
    <w:p w14:paraId="1ED08073" w14:textId="510A6DF5" w:rsidR="00E47AB8" w:rsidRDefault="00E47AB8" w:rsidP="00422306">
      <w:pPr>
        <w:tabs>
          <w:tab w:val="right" w:pos="540"/>
          <w:tab w:val="left" w:pos="720"/>
        </w:tabs>
        <w:spacing w:after="240"/>
        <w:ind w:left="720" w:hanging="720"/>
        <w:rPr>
          <w:noProof/>
        </w:rPr>
      </w:pPr>
      <w:r w:rsidRPr="008B2F8A">
        <w:rPr>
          <w:noProof/>
        </w:rPr>
        <w:t>Taneja, C, Edelsberg, J et al, 200</w:t>
      </w:r>
      <w:r w:rsidR="00EA377B">
        <w:rPr>
          <w:noProof/>
        </w:rPr>
        <w:t>9</w:t>
      </w:r>
      <w:r w:rsidRPr="008B2F8A">
        <w:rPr>
          <w:noProof/>
        </w:rPr>
        <w:t xml:space="preserve">. Cost effectiveness of breast cancer screening with contrast-enhanced MRI in high-risk women, </w:t>
      </w:r>
      <w:r w:rsidRPr="008B2F8A">
        <w:rPr>
          <w:i/>
          <w:noProof/>
        </w:rPr>
        <w:t>J Am Coll Radiol</w:t>
      </w:r>
      <w:r w:rsidRPr="008B2F8A">
        <w:rPr>
          <w:noProof/>
        </w:rPr>
        <w:t>, 6</w:t>
      </w:r>
      <w:r w:rsidR="00E114B3">
        <w:rPr>
          <w:noProof/>
        </w:rPr>
        <w:t xml:space="preserve"> (3),</w:t>
      </w:r>
      <w:r>
        <w:rPr>
          <w:noProof/>
        </w:rPr>
        <w:t xml:space="preserve"> </w:t>
      </w:r>
      <w:r w:rsidRPr="008B2F8A">
        <w:rPr>
          <w:noProof/>
        </w:rPr>
        <w:t>171–179.</w:t>
      </w:r>
    </w:p>
    <w:p w14:paraId="3FDC81D6" w14:textId="77777777" w:rsidR="00E47AB8" w:rsidRPr="00D2496B" w:rsidRDefault="00E47AB8" w:rsidP="00422306">
      <w:pPr>
        <w:tabs>
          <w:tab w:val="right" w:pos="540"/>
          <w:tab w:val="left" w:pos="720"/>
        </w:tabs>
        <w:spacing w:after="240"/>
        <w:ind w:left="720" w:hanging="720"/>
        <w:rPr>
          <w:noProof/>
        </w:rPr>
      </w:pPr>
      <w:r w:rsidRPr="00D2496B">
        <w:rPr>
          <w:noProof/>
        </w:rPr>
        <w:t xml:space="preserve">Taylor, AJ, Winter, DL et al, 2007. Risk of breast cancer in female survivors of childhood Hodgkin’s disease in Britain: a population-based study, </w:t>
      </w:r>
      <w:r w:rsidRPr="00D2496B">
        <w:rPr>
          <w:i/>
          <w:noProof/>
        </w:rPr>
        <w:t>Int J Cancer</w:t>
      </w:r>
      <w:r w:rsidRPr="00D2496B">
        <w:rPr>
          <w:noProof/>
        </w:rPr>
        <w:t>, 120 (2), 384–391.</w:t>
      </w:r>
    </w:p>
    <w:p w14:paraId="096DC237" w14:textId="6C5FD4B4" w:rsidR="00E47AB8" w:rsidRDefault="00E47AB8" w:rsidP="00422306">
      <w:pPr>
        <w:tabs>
          <w:tab w:val="right" w:pos="540"/>
          <w:tab w:val="left" w:pos="720"/>
        </w:tabs>
        <w:spacing w:after="240"/>
        <w:ind w:left="720" w:hanging="720"/>
        <w:rPr>
          <w:noProof/>
        </w:rPr>
      </w:pPr>
      <w:r w:rsidRPr="00D2496B">
        <w:rPr>
          <w:noProof/>
        </w:rPr>
        <w:t xml:space="preserve">Travis, LB, Hill, D et al, 2005. Cumulative absolute breast cancer risk for young women treated for Hodgkin lymphoma, </w:t>
      </w:r>
      <w:r w:rsidRPr="00D2496B">
        <w:rPr>
          <w:i/>
          <w:noProof/>
        </w:rPr>
        <w:t>J Natl Cancer Inst</w:t>
      </w:r>
      <w:r w:rsidRPr="00D2496B">
        <w:rPr>
          <w:noProof/>
        </w:rPr>
        <w:t>, 97 (19), 1428–1437.</w:t>
      </w:r>
    </w:p>
    <w:p w14:paraId="180E912C" w14:textId="1775367E" w:rsidR="00503CE9" w:rsidRPr="00D2496B" w:rsidRDefault="00503CE9" w:rsidP="00422306">
      <w:pPr>
        <w:tabs>
          <w:tab w:val="right" w:pos="540"/>
          <w:tab w:val="left" w:pos="720"/>
        </w:tabs>
        <w:spacing w:after="240"/>
        <w:ind w:left="720" w:hanging="720"/>
        <w:rPr>
          <w:noProof/>
        </w:rPr>
      </w:pPr>
      <w:r>
        <w:rPr>
          <w:noProof/>
        </w:rPr>
        <w:t>Trecate, G, Vergnaghi, D</w:t>
      </w:r>
      <w:r w:rsidRPr="00503CE9">
        <w:rPr>
          <w:noProof/>
        </w:rPr>
        <w:t xml:space="preserve">, </w:t>
      </w:r>
      <w:r>
        <w:rPr>
          <w:noProof/>
        </w:rPr>
        <w:t>et al,</w:t>
      </w:r>
      <w:r w:rsidRPr="00503CE9">
        <w:rPr>
          <w:noProof/>
        </w:rPr>
        <w:t xml:space="preserve"> 2006. MRI in the early detection of breast cancer in women with high genetic risk. </w:t>
      </w:r>
      <w:r w:rsidRPr="00503CE9">
        <w:rPr>
          <w:i/>
          <w:iCs/>
          <w:noProof/>
        </w:rPr>
        <w:t>Tumori</w:t>
      </w:r>
      <w:r w:rsidRPr="00503CE9">
        <w:rPr>
          <w:noProof/>
        </w:rPr>
        <w:t>, 92, (6) 517-523</w:t>
      </w:r>
      <w:r>
        <w:rPr>
          <w:noProof/>
        </w:rPr>
        <w:t>.</w:t>
      </w:r>
    </w:p>
    <w:p w14:paraId="52C078CB" w14:textId="678C228E" w:rsidR="00E47AB8" w:rsidRPr="00D2496B" w:rsidRDefault="00E47AB8" w:rsidP="00422306">
      <w:pPr>
        <w:tabs>
          <w:tab w:val="right" w:pos="540"/>
          <w:tab w:val="left" w:pos="720"/>
        </w:tabs>
        <w:spacing w:after="240"/>
        <w:ind w:left="720" w:hanging="720"/>
        <w:rPr>
          <w:noProof/>
        </w:rPr>
      </w:pPr>
      <w:r w:rsidRPr="00D2496B">
        <w:rPr>
          <w:noProof/>
        </w:rPr>
        <w:t xml:space="preserve">Turati, F, Edefonti, V et al, 2013. Family history of cancer and the risk of cancer: a network of case-control studies, </w:t>
      </w:r>
      <w:r w:rsidRPr="00D2496B">
        <w:rPr>
          <w:i/>
          <w:noProof/>
        </w:rPr>
        <w:t>Ann Oncol</w:t>
      </w:r>
      <w:r w:rsidRPr="00D2496B">
        <w:rPr>
          <w:noProof/>
        </w:rPr>
        <w:t>, 24 (10), 2651–2656.</w:t>
      </w:r>
    </w:p>
    <w:p w14:paraId="3CE6E228" w14:textId="718C55AB" w:rsidR="00E47AB8" w:rsidRPr="00D2496B" w:rsidRDefault="00E47AB8" w:rsidP="00422306">
      <w:pPr>
        <w:tabs>
          <w:tab w:val="right" w:pos="540"/>
          <w:tab w:val="left" w:pos="720"/>
        </w:tabs>
        <w:spacing w:after="240"/>
        <w:ind w:left="720" w:hanging="720"/>
        <w:rPr>
          <w:noProof/>
        </w:rPr>
      </w:pPr>
      <w:r w:rsidRPr="00D2496B">
        <w:rPr>
          <w:noProof/>
        </w:rPr>
        <w:t>US</w:t>
      </w:r>
      <w:r>
        <w:rPr>
          <w:noProof/>
        </w:rPr>
        <w:t xml:space="preserve"> </w:t>
      </w:r>
      <w:r w:rsidRPr="00D2496B">
        <w:rPr>
          <w:noProof/>
        </w:rPr>
        <w:t xml:space="preserve">PSTF (Preventive Services Task Force), 2005. Genetic risk assessment and </w:t>
      </w:r>
      <w:r w:rsidRPr="00D2496B">
        <w:rPr>
          <w:i/>
          <w:noProof/>
        </w:rPr>
        <w:t>BRCA</w:t>
      </w:r>
      <w:r w:rsidRPr="00D2496B">
        <w:rPr>
          <w:noProof/>
        </w:rPr>
        <w:t xml:space="preserve"> mutation testing for breast and ovarian cancer susceptibility: recommendation statement, </w:t>
      </w:r>
      <w:r w:rsidRPr="00D2496B">
        <w:rPr>
          <w:i/>
          <w:noProof/>
        </w:rPr>
        <w:t>Ann Intern Med</w:t>
      </w:r>
      <w:r w:rsidRPr="00D2496B">
        <w:rPr>
          <w:noProof/>
        </w:rPr>
        <w:t>, 143 (5), 355–361.</w:t>
      </w:r>
    </w:p>
    <w:p w14:paraId="007EED48" w14:textId="26E6F8E4" w:rsidR="00E47AB8" w:rsidRPr="008B2F8A" w:rsidRDefault="00E47AB8" w:rsidP="00422306">
      <w:pPr>
        <w:tabs>
          <w:tab w:val="right" w:pos="540"/>
          <w:tab w:val="left" w:pos="720"/>
        </w:tabs>
        <w:spacing w:after="240"/>
        <w:ind w:left="720" w:hanging="720"/>
        <w:rPr>
          <w:noProof/>
        </w:rPr>
      </w:pPr>
      <w:r w:rsidRPr="008B2F8A">
        <w:rPr>
          <w:noProof/>
        </w:rPr>
        <w:t>US</w:t>
      </w:r>
      <w:r>
        <w:rPr>
          <w:noProof/>
        </w:rPr>
        <w:t xml:space="preserve"> PSTF</w:t>
      </w:r>
      <w:r w:rsidRPr="008B2F8A">
        <w:rPr>
          <w:noProof/>
        </w:rPr>
        <w:t xml:space="preserve"> </w:t>
      </w:r>
      <w:r>
        <w:rPr>
          <w:noProof/>
        </w:rPr>
        <w:t>(</w:t>
      </w:r>
      <w:r w:rsidRPr="008B2F8A">
        <w:rPr>
          <w:noProof/>
        </w:rPr>
        <w:t>Preventive Services Task Force</w:t>
      </w:r>
      <w:r>
        <w:rPr>
          <w:noProof/>
        </w:rPr>
        <w:t>)</w:t>
      </w:r>
      <w:r w:rsidRPr="008B2F8A">
        <w:rPr>
          <w:noProof/>
        </w:rPr>
        <w:t xml:space="preserve">, 2009. Screening for breast cancer: U.S. Preventive Services Task Force Recommendation Statement, </w:t>
      </w:r>
      <w:r w:rsidRPr="008B2F8A">
        <w:rPr>
          <w:i/>
          <w:noProof/>
        </w:rPr>
        <w:t>Ann Intern Med</w:t>
      </w:r>
      <w:r w:rsidRPr="008B2F8A">
        <w:rPr>
          <w:noProof/>
        </w:rPr>
        <w:t>, 151 (10), 716–726.</w:t>
      </w:r>
    </w:p>
    <w:p w14:paraId="206180FB" w14:textId="05E705E5" w:rsidR="00E47AB8" w:rsidRPr="008B2F8A" w:rsidRDefault="00E47AB8" w:rsidP="00422306">
      <w:pPr>
        <w:tabs>
          <w:tab w:val="right" w:pos="540"/>
          <w:tab w:val="left" w:pos="720"/>
        </w:tabs>
        <w:spacing w:after="240"/>
        <w:ind w:left="720" w:hanging="720"/>
        <w:rPr>
          <w:noProof/>
        </w:rPr>
      </w:pPr>
      <w:r w:rsidRPr="008B2F8A">
        <w:rPr>
          <w:noProof/>
        </w:rPr>
        <w:t xml:space="preserve">van Dooren, S, Seynaeve, C et al, 2005. Exploring the course of psychological distress around two successive control visits in women at hereditary risk of breast cancer, </w:t>
      </w:r>
      <w:r w:rsidRPr="008B2F8A">
        <w:rPr>
          <w:i/>
          <w:noProof/>
        </w:rPr>
        <w:t>Eur</w:t>
      </w:r>
      <w:r>
        <w:rPr>
          <w:i/>
          <w:noProof/>
        </w:rPr>
        <w:t xml:space="preserve"> </w:t>
      </w:r>
      <w:r w:rsidRPr="008B2F8A">
        <w:rPr>
          <w:i/>
          <w:noProof/>
        </w:rPr>
        <w:t>J Cancer</w:t>
      </w:r>
      <w:r w:rsidRPr="008B2F8A">
        <w:rPr>
          <w:noProof/>
        </w:rPr>
        <w:t>, 41 (10), 1416–1425.</w:t>
      </w:r>
    </w:p>
    <w:p w14:paraId="579DDBE6" w14:textId="5F6B8F5F" w:rsidR="00E47AB8" w:rsidRPr="008B2F8A" w:rsidRDefault="00E47AB8" w:rsidP="00422306">
      <w:pPr>
        <w:tabs>
          <w:tab w:val="right" w:pos="540"/>
          <w:tab w:val="left" w:pos="720"/>
        </w:tabs>
        <w:spacing w:after="240"/>
        <w:ind w:left="720" w:hanging="720"/>
        <w:rPr>
          <w:noProof/>
        </w:rPr>
      </w:pPr>
      <w:r w:rsidRPr="008B2F8A">
        <w:rPr>
          <w:noProof/>
        </w:rPr>
        <w:t xml:space="preserve">Veronesi, U, Maisonneuve, P et al, 2007. Tamoxifen for the prevention of breast cancer: late results of the Italian Randomized Tamoxifen Prevention Trial among women with hysterectomy, </w:t>
      </w:r>
      <w:r w:rsidRPr="008B2F8A">
        <w:rPr>
          <w:i/>
          <w:noProof/>
        </w:rPr>
        <w:t>J Natl</w:t>
      </w:r>
      <w:r>
        <w:rPr>
          <w:i/>
          <w:noProof/>
        </w:rPr>
        <w:t xml:space="preserve"> </w:t>
      </w:r>
      <w:r w:rsidRPr="008B2F8A">
        <w:rPr>
          <w:i/>
          <w:noProof/>
        </w:rPr>
        <w:t>Cancer Inst</w:t>
      </w:r>
      <w:r w:rsidRPr="008B2F8A">
        <w:rPr>
          <w:noProof/>
        </w:rPr>
        <w:t>, 99 (9), 727–737.</w:t>
      </w:r>
    </w:p>
    <w:p w14:paraId="5E09ED2B" w14:textId="77777777" w:rsidR="00E47AB8" w:rsidRPr="008B2F8A" w:rsidRDefault="00E47AB8" w:rsidP="00422306">
      <w:pPr>
        <w:tabs>
          <w:tab w:val="right" w:pos="540"/>
          <w:tab w:val="left" w:pos="720"/>
        </w:tabs>
        <w:spacing w:after="240"/>
        <w:ind w:left="720" w:hanging="720"/>
        <w:rPr>
          <w:noProof/>
        </w:rPr>
      </w:pPr>
      <w:r w:rsidRPr="008B2F8A">
        <w:rPr>
          <w:noProof/>
        </w:rPr>
        <w:lastRenderedPageBreak/>
        <w:t xml:space="preserve">Verry, H, Lord, SJ et al, 2012. Effectiveness and cost-effectiveness of sentinel lymph node biopsy compared with axillary node dissection in patients with early-stage breast cancer: a decision model analysis., </w:t>
      </w:r>
      <w:r w:rsidRPr="008B2F8A">
        <w:rPr>
          <w:i/>
          <w:noProof/>
        </w:rPr>
        <w:t>Br J Cancer</w:t>
      </w:r>
      <w:r w:rsidRPr="008B2F8A">
        <w:rPr>
          <w:noProof/>
        </w:rPr>
        <w:t>, 106 (6), 1045–</w:t>
      </w:r>
      <w:r>
        <w:rPr>
          <w:noProof/>
        </w:rPr>
        <w:t>10</w:t>
      </w:r>
      <w:r w:rsidRPr="008B2F8A">
        <w:rPr>
          <w:noProof/>
        </w:rPr>
        <w:t>52.</w:t>
      </w:r>
    </w:p>
    <w:p w14:paraId="3DDC6E47" w14:textId="77777777" w:rsidR="00E47AB8" w:rsidRPr="008B2F8A" w:rsidRDefault="00E47AB8" w:rsidP="00422306">
      <w:pPr>
        <w:tabs>
          <w:tab w:val="right" w:pos="540"/>
          <w:tab w:val="left" w:pos="720"/>
        </w:tabs>
        <w:spacing w:after="240"/>
        <w:ind w:left="720" w:hanging="720"/>
        <w:rPr>
          <w:noProof/>
        </w:rPr>
      </w:pPr>
      <w:r w:rsidRPr="008B2F8A">
        <w:rPr>
          <w:noProof/>
        </w:rPr>
        <w:t xml:space="preserve">Viehweg, P, Rotter, K et al, 2004. MR imaging of the contralateral breast in patients after breast-conserving therapy, </w:t>
      </w:r>
      <w:r w:rsidRPr="008B2F8A">
        <w:rPr>
          <w:i/>
          <w:noProof/>
        </w:rPr>
        <w:t>Eur Radiol</w:t>
      </w:r>
      <w:r w:rsidRPr="008B2F8A">
        <w:rPr>
          <w:noProof/>
        </w:rPr>
        <w:t>, 14 (3), 402–408.</w:t>
      </w:r>
    </w:p>
    <w:p w14:paraId="4C7F6399" w14:textId="77777777" w:rsidR="00E47AB8" w:rsidRPr="008B2F8A" w:rsidRDefault="00E47AB8" w:rsidP="00422306">
      <w:pPr>
        <w:tabs>
          <w:tab w:val="right" w:pos="540"/>
          <w:tab w:val="left" w:pos="720"/>
        </w:tabs>
        <w:spacing w:after="240"/>
        <w:ind w:left="720" w:hanging="720"/>
        <w:rPr>
          <w:noProof/>
        </w:rPr>
      </w:pPr>
      <w:r w:rsidRPr="008B2F8A">
        <w:rPr>
          <w:noProof/>
        </w:rPr>
        <w:t xml:space="preserve">Virnig, B, Shamliyan, T et al, 2013, </w:t>
      </w:r>
      <w:r w:rsidRPr="008B2F8A">
        <w:rPr>
          <w:i/>
          <w:noProof/>
        </w:rPr>
        <w:t>Diagnosis and Management of Ductal Carcinoma in Situ (DCIS).</w:t>
      </w:r>
      <w:r w:rsidRPr="008B2F8A">
        <w:rPr>
          <w:noProof/>
        </w:rPr>
        <w:t xml:space="preserve"> Evidence Report/Technology Assessment No.</w:t>
      </w:r>
      <w:r>
        <w:rPr>
          <w:noProof/>
        </w:rPr>
        <w:t xml:space="preserve"> </w:t>
      </w:r>
      <w:r w:rsidRPr="008B2F8A">
        <w:rPr>
          <w:noProof/>
        </w:rPr>
        <w:t>185 (prepared by the Minnesota Evidence-based Practic</w:t>
      </w:r>
      <w:r>
        <w:rPr>
          <w:noProof/>
        </w:rPr>
        <w:t>e Centre under Contract No. 290-02-</w:t>
      </w:r>
      <w:r w:rsidRPr="008B2F8A">
        <w:rPr>
          <w:noProof/>
        </w:rPr>
        <w:t>10064-I) AHRQ Publication No. 09-E018.</w:t>
      </w:r>
      <w:r>
        <w:rPr>
          <w:noProof/>
        </w:rPr>
        <w:t xml:space="preserve"> </w:t>
      </w:r>
      <w:r w:rsidRPr="008B2F8A">
        <w:rPr>
          <w:noProof/>
        </w:rPr>
        <w:t>Rockville, MD</w:t>
      </w:r>
      <w:r>
        <w:rPr>
          <w:noProof/>
        </w:rPr>
        <w:t>, USA</w:t>
      </w:r>
      <w:r w:rsidRPr="008B2F8A">
        <w:rPr>
          <w:noProof/>
        </w:rPr>
        <w:t>: Agency for Healthcare Research and Quality.</w:t>
      </w:r>
    </w:p>
    <w:p w14:paraId="4E1CBB33" w14:textId="6628A9B9" w:rsidR="00E47AB8" w:rsidRPr="008B2F8A" w:rsidRDefault="00E47AB8" w:rsidP="00422306">
      <w:pPr>
        <w:tabs>
          <w:tab w:val="right" w:pos="540"/>
          <w:tab w:val="left" w:pos="720"/>
        </w:tabs>
        <w:spacing w:after="240"/>
        <w:ind w:left="720" w:hanging="720"/>
        <w:rPr>
          <w:noProof/>
        </w:rPr>
      </w:pPr>
      <w:r w:rsidRPr="008B2F8A">
        <w:rPr>
          <w:noProof/>
        </w:rPr>
        <w:t xml:space="preserve">Warner, E, Plewes, DB et al, 2004. Surveillance of </w:t>
      </w:r>
      <w:r w:rsidRPr="00D2496B">
        <w:rPr>
          <w:i/>
          <w:noProof/>
        </w:rPr>
        <w:t>BRCA1</w:t>
      </w:r>
      <w:r w:rsidRPr="008B2F8A">
        <w:rPr>
          <w:noProof/>
        </w:rPr>
        <w:t xml:space="preserve"> and </w:t>
      </w:r>
      <w:r w:rsidRPr="00D2496B">
        <w:rPr>
          <w:i/>
          <w:noProof/>
        </w:rPr>
        <w:t>BRCA2</w:t>
      </w:r>
      <w:r w:rsidRPr="008B2F8A">
        <w:rPr>
          <w:noProof/>
        </w:rPr>
        <w:t xml:space="preserve"> mutation carriers with magnetic resonance imaging, ultrasound, mammography, and clinical breast examination, </w:t>
      </w:r>
      <w:r>
        <w:rPr>
          <w:i/>
          <w:noProof/>
        </w:rPr>
        <w:t>JAMA</w:t>
      </w:r>
      <w:r w:rsidRPr="008B2F8A">
        <w:rPr>
          <w:noProof/>
        </w:rPr>
        <w:t>, 292 (11), 1317–1325.</w:t>
      </w:r>
    </w:p>
    <w:p w14:paraId="3F466C78" w14:textId="78B97F39" w:rsidR="00E47AB8" w:rsidRPr="008B2F8A" w:rsidRDefault="00E47AB8" w:rsidP="00422306">
      <w:pPr>
        <w:tabs>
          <w:tab w:val="right" w:pos="540"/>
          <w:tab w:val="left" w:pos="720"/>
        </w:tabs>
        <w:spacing w:after="240"/>
        <w:ind w:left="720" w:hanging="720"/>
        <w:rPr>
          <w:noProof/>
        </w:rPr>
      </w:pPr>
      <w:r w:rsidRPr="008B2F8A">
        <w:rPr>
          <w:noProof/>
        </w:rPr>
        <w:t xml:space="preserve">Warner, E, Messersmith, H et al, 2008. Systematic review: using magnetic resonance imaging to screen women at high risk for breast cancer (structured abstract), </w:t>
      </w:r>
      <w:r w:rsidRPr="008B2F8A">
        <w:rPr>
          <w:i/>
          <w:noProof/>
        </w:rPr>
        <w:t>Ann Intern Med</w:t>
      </w:r>
      <w:r w:rsidRPr="008B2F8A">
        <w:rPr>
          <w:noProof/>
        </w:rPr>
        <w:t>, 148</w:t>
      </w:r>
      <w:r>
        <w:rPr>
          <w:noProof/>
        </w:rPr>
        <w:t xml:space="preserve">, </w:t>
      </w:r>
      <w:r w:rsidRPr="008B2F8A">
        <w:rPr>
          <w:noProof/>
        </w:rPr>
        <w:t>671–679.</w:t>
      </w:r>
    </w:p>
    <w:p w14:paraId="0BBC0260" w14:textId="21D5562B" w:rsidR="00E47AB8" w:rsidRPr="008B2F8A" w:rsidRDefault="00E47AB8" w:rsidP="00422306">
      <w:pPr>
        <w:tabs>
          <w:tab w:val="right" w:pos="540"/>
          <w:tab w:val="left" w:pos="720"/>
        </w:tabs>
        <w:spacing w:after="240"/>
        <w:ind w:left="720" w:hanging="720"/>
        <w:rPr>
          <w:noProof/>
        </w:rPr>
      </w:pPr>
      <w:r w:rsidRPr="008B2F8A">
        <w:rPr>
          <w:noProof/>
        </w:rPr>
        <w:t xml:space="preserve">Warner, E, Hill, K et al, 2011. Prospective study of breast cancer incidence in women with a </w:t>
      </w:r>
      <w:r w:rsidRPr="00D2496B">
        <w:rPr>
          <w:i/>
          <w:noProof/>
        </w:rPr>
        <w:t>BRCA1</w:t>
      </w:r>
      <w:r w:rsidRPr="008B2F8A">
        <w:rPr>
          <w:noProof/>
        </w:rPr>
        <w:t xml:space="preserve"> or </w:t>
      </w:r>
      <w:r w:rsidRPr="00D2496B">
        <w:rPr>
          <w:i/>
          <w:noProof/>
        </w:rPr>
        <w:t>BRCA2</w:t>
      </w:r>
      <w:r w:rsidRPr="008B2F8A">
        <w:rPr>
          <w:noProof/>
        </w:rPr>
        <w:t xml:space="preserve"> mutation under surveillance with and without magnetic resonance imaging, </w:t>
      </w:r>
      <w:r w:rsidRPr="008B2F8A">
        <w:rPr>
          <w:i/>
          <w:noProof/>
        </w:rPr>
        <w:t>J Clin</w:t>
      </w:r>
      <w:r>
        <w:rPr>
          <w:i/>
          <w:noProof/>
        </w:rPr>
        <w:t xml:space="preserve"> </w:t>
      </w:r>
      <w:r w:rsidRPr="008B2F8A">
        <w:rPr>
          <w:i/>
          <w:noProof/>
        </w:rPr>
        <w:t>Oncol</w:t>
      </w:r>
      <w:r w:rsidRPr="008B2F8A">
        <w:rPr>
          <w:noProof/>
        </w:rPr>
        <w:t>, 29 (13), 1664–1669.</w:t>
      </w:r>
    </w:p>
    <w:p w14:paraId="46B3DAFE" w14:textId="083311B3" w:rsidR="00E47AB8" w:rsidRPr="008B2F8A" w:rsidRDefault="00E47AB8" w:rsidP="00422306">
      <w:pPr>
        <w:tabs>
          <w:tab w:val="right" w:pos="540"/>
          <w:tab w:val="left" w:pos="720"/>
        </w:tabs>
        <w:spacing w:after="240"/>
        <w:ind w:left="720" w:hanging="720"/>
        <w:rPr>
          <w:noProof/>
        </w:rPr>
      </w:pPr>
      <w:bookmarkStart w:id="1527" w:name="OLE_LINK562"/>
      <w:bookmarkStart w:id="1528" w:name="OLE_LINK563"/>
      <w:r w:rsidRPr="008B2F8A">
        <w:rPr>
          <w:noProof/>
        </w:rPr>
        <w:t>Weedon-Fekj</w:t>
      </w:r>
      <w:r>
        <w:rPr>
          <w:noProof/>
        </w:rPr>
        <w:t>æ</w:t>
      </w:r>
      <w:r w:rsidRPr="008B2F8A">
        <w:rPr>
          <w:noProof/>
        </w:rPr>
        <w:t>r, H, Lindqvist</w:t>
      </w:r>
      <w:bookmarkEnd w:id="1527"/>
      <w:bookmarkEnd w:id="1528"/>
      <w:r w:rsidRPr="008B2F8A">
        <w:rPr>
          <w:noProof/>
        </w:rPr>
        <w:t xml:space="preserve">, BH et al, 2008. Breast cancer tumour growth estimated through mammography screening data, </w:t>
      </w:r>
      <w:r w:rsidRPr="008B2F8A">
        <w:rPr>
          <w:i/>
          <w:noProof/>
        </w:rPr>
        <w:t>Breast Cancer Res</w:t>
      </w:r>
      <w:r w:rsidRPr="008B2F8A">
        <w:rPr>
          <w:noProof/>
        </w:rPr>
        <w:t>, 10 (3), R41.</w:t>
      </w:r>
    </w:p>
    <w:p w14:paraId="7CE50C00" w14:textId="3ACAED59" w:rsidR="00E47AB8" w:rsidRPr="008B2F8A" w:rsidRDefault="00E47AB8" w:rsidP="00422306">
      <w:pPr>
        <w:tabs>
          <w:tab w:val="right" w:pos="540"/>
          <w:tab w:val="left" w:pos="720"/>
        </w:tabs>
        <w:spacing w:after="240"/>
        <w:ind w:left="720" w:hanging="720"/>
        <w:rPr>
          <w:noProof/>
        </w:rPr>
      </w:pPr>
      <w:r w:rsidRPr="008B2F8A">
        <w:rPr>
          <w:noProof/>
        </w:rPr>
        <w:t xml:space="preserve">Whiting, PF, Rutjes, AWS et al, 2011. QUADAS-2: A Revised Tool for the </w:t>
      </w:r>
      <w:bookmarkStart w:id="1529" w:name="OLE_LINK483"/>
      <w:bookmarkStart w:id="1530" w:name="OLE_LINK484"/>
      <w:r w:rsidRPr="008B2F8A">
        <w:rPr>
          <w:noProof/>
        </w:rPr>
        <w:t>Quality Assessment of Diagnostic Accuracy Studies</w:t>
      </w:r>
      <w:bookmarkEnd w:id="1529"/>
      <w:bookmarkEnd w:id="1530"/>
      <w:r w:rsidRPr="008B2F8A">
        <w:rPr>
          <w:noProof/>
        </w:rPr>
        <w:t xml:space="preserve">, </w:t>
      </w:r>
      <w:r w:rsidRPr="008B2F8A">
        <w:rPr>
          <w:i/>
          <w:noProof/>
        </w:rPr>
        <w:t>Ann Intern Med</w:t>
      </w:r>
      <w:r w:rsidRPr="008B2F8A">
        <w:rPr>
          <w:noProof/>
        </w:rPr>
        <w:t>, 155 (8), 529–536.</w:t>
      </w:r>
    </w:p>
    <w:p w14:paraId="7A0A5202" w14:textId="45C85F50" w:rsidR="007A17DB" w:rsidRDefault="00E47AB8" w:rsidP="00E47AB8">
      <w:pPr>
        <w:tabs>
          <w:tab w:val="right" w:pos="540"/>
          <w:tab w:val="left" w:pos="720"/>
        </w:tabs>
        <w:ind w:left="720" w:hanging="720"/>
        <w:rPr>
          <w:noProof/>
        </w:rPr>
      </w:pPr>
      <w:r w:rsidRPr="00D2496B">
        <w:rPr>
          <w:noProof/>
        </w:rPr>
        <w:t xml:space="preserve">Wolden, SL, Lamborn, KR et al, 1998. Second cancers following pediatric Hodgkin’s disease, </w:t>
      </w:r>
      <w:r w:rsidRPr="00D2496B">
        <w:rPr>
          <w:i/>
          <w:noProof/>
        </w:rPr>
        <w:t>J Clin Oncol</w:t>
      </w:r>
      <w:r w:rsidRPr="00D2496B">
        <w:rPr>
          <w:noProof/>
        </w:rPr>
        <w:t>, 16, 536–544.</w:t>
      </w:r>
    </w:p>
    <w:sectPr w:rsidR="007A17DB" w:rsidSect="00422306">
      <w:headerReference w:type="default" r:id="rId79"/>
      <w:footerReference w:type="default" r:id="rId8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F21F6" w14:textId="77777777" w:rsidR="002E62C9" w:rsidRDefault="002E62C9" w:rsidP="00E47AB8">
      <w:pPr>
        <w:spacing w:after="0" w:line="240" w:lineRule="auto"/>
      </w:pPr>
      <w:r>
        <w:separator/>
      </w:r>
    </w:p>
  </w:endnote>
  <w:endnote w:type="continuationSeparator" w:id="0">
    <w:p w14:paraId="06B8397F" w14:textId="77777777" w:rsidR="002E62C9" w:rsidRDefault="002E62C9" w:rsidP="00E47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saka">
    <w:charset w:val="4E"/>
    <w:family w:val="auto"/>
    <w:pitch w:val="variable"/>
    <w:sig w:usb0="00000001" w:usb1="08070000" w:usb2="00000010" w:usb3="00000000" w:csb0="0002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TPro-Roman">
    <w:altName w:val="Helvetica Neue"/>
    <w:panose1 w:val="00000000000000000000"/>
    <w:charset w:val="00"/>
    <w:family w:val="swiss"/>
    <w:notTrueType/>
    <w:pitch w:val="default"/>
    <w:sig w:usb0="00000003" w:usb1="00000000" w:usb2="00000000" w:usb3="00000000" w:csb0="00000001" w:csb1="00000000"/>
  </w:font>
  <w:font w:name="Univers-Light">
    <w:altName w:val="UniversLight"/>
    <w:panose1 w:val="00000000000000000000"/>
    <w:charset w:val="00"/>
    <w:family w:val="swiss"/>
    <w:notTrueType/>
    <w:pitch w:val="default"/>
    <w:sig w:usb0="00000003" w:usb1="00000000" w:usb2="00000000" w:usb3="00000000" w:csb0="00000001" w:csb1="00000000"/>
  </w:font>
  <w:font w:name="Syntax-Bold">
    <w:altName w:val="Calibri"/>
    <w:panose1 w:val="00000000000000000000"/>
    <w:charset w:val="00"/>
    <w:family w:val="roman"/>
    <w:notTrueType/>
    <w:pitch w:val="default"/>
  </w:font>
  <w:font w:name="Syntax-BoldItalic">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C685" w14:textId="77777777" w:rsidR="000C000B" w:rsidRPr="00F568FA" w:rsidRDefault="000C000B" w:rsidP="00422306">
    <w:pPr>
      <w:pStyle w:val="Footer"/>
      <w:pBdr>
        <w:top w:val="single" w:sz="4" w:space="1" w:color="auto"/>
      </w:pBdr>
      <w:tabs>
        <w:tab w:val="clear" w:pos="9026"/>
        <w:tab w:val="left" w:pos="714"/>
        <w:tab w:val="left" w:pos="3402"/>
        <w:tab w:val="left" w:pos="6521"/>
        <w:tab w:val="right" w:pos="9043"/>
      </w:tabs>
      <w:rPr>
        <w:rStyle w:val="PageNumber"/>
        <w:rFonts w:ascii="Arial" w:hAnsi="Arial" w:cs="Arial"/>
        <w:b w:val="0"/>
      </w:rPr>
    </w:pPr>
    <w:r w:rsidRPr="00F568FA">
      <w:rPr>
        <w:rStyle w:val="PageNumber"/>
        <w:rFonts w:ascii="Arial" w:hAnsi="Arial" w:cs="Arial"/>
        <w:snapToGrid w:val="0"/>
      </w:rPr>
      <w:t xml:space="preserve">Page </w:t>
    </w:r>
    <w:r w:rsidRPr="00F568FA">
      <w:rPr>
        <w:rStyle w:val="PageNumber"/>
        <w:rFonts w:ascii="Arial" w:hAnsi="Arial" w:cs="Arial"/>
        <w:b w:val="0"/>
        <w:snapToGrid w:val="0"/>
      </w:rPr>
      <w:fldChar w:fldCharType="begin"/>
    </w:r>
    <w:r w:rsidRPr="00F568FA">
      <w:rPr>
        <w:rStyle w:val="PageNumber"/>
        <w:rFonts w:ascii="Arial" w:hAnsi="Arial" w:cs="Arial"/>
        <w:snapToGrid w:val="0"/>
      </w:rPr>
      <w:instrText xml:space="preserve"> PAGE </w:instrText>
    </w:r>
    <w:r w:rsidRPr="00F568FA">
      <w:rPr>
        <w:rStyle w:val="PageNumber"/>
        <w:rFonts w:ascii="Arial" w:hAnsi="Arial" w:cs="Arial"/>
        <w:b w:val="0"/>
        <w:snapToGrid w:val="0"/>
      </w:rPr>
      <w:fldChar w:fldCharType="separate"/>
    </w:r>
    <w:r>
      <w:rPr>
        <w:rStyle w:val="PageNumber"/>
        <w:rFonts w:ascii="Arial" w:hAnsi="Arial" w:cs="Arial"/>
        <w:noProof/>
        <w:snapToGrid w:val="0"/>
      </w:rPr>
      <w:t>34</w:t>
    </w:r>
    <w:r w:rsidRPr="00F568FA">
      <w:rPr>
        <w:rStyle w:val="PageNumber"/>
        <w:rFonts w:ascii="Arial" w:hAnsi="Arial" w:cs="Arial"/>
        <w:b w:val="0"/>
        <w:snapToGrid w:val="0"/>
      </w:rPr>
      <w:fldChar w:fldCharType="end"/>
    </w:r>
    <w:r w:rsidRPr="00F568FA">
      <w:rPr>
        <w:rStyle w:val="PageNumber"/>
        <w:rFonts w:ascii="Arial" w:hAnsi="Arial" w:cs="Arial"/>
        <w:snapToGrid w:val="0"/>
      </w:rPr>
      <w:t xml:space="preserve"> of </w:t>
    </w:r>
    <w:r w:rsidRPr="00F568FA">
      <w:rPr>
        <w:rStyle w:val="PageNumber"/>
        <w:rFonts w:ascii="Arial" w:hAnsi="Arial" w:cs="Arial"/>
        <w:b w:val="0"/>
        <w:snapToGrid w:val="0"/>
      </w:rPr>
      <w:fldChar w:fldCharType="begin"/>
    </w:r>
    <w:r w:rsidRPr="00F568FA">
      <w:rPr>
        <w:rStyle w:val="PageNumber"/>
        <w:rFonts w:ascii="Arial" w:hAnsi="Arial" w:cs="Arial"/>
        <w:snapToGrid w:val="0"/>
      </w:rPr>
      <w:instrText xml:space="preserve"> NUMPAGES </w:instrText>
    </w:r>
    <w:r w:rsidRPr="00F568FA">
      <w:rPr>
        <w:rStyle w:val="PageNumber"/>
        <w:rFonts w:ascii="Arial" w:hAnsi="Arial" w:cs="Arial"/>
        <w:b w:val="0"/>
        <w:snapToGrid w:val="0"/>
      </w:rPr>
      <w:fldChar w:fldCharType="separate"/>
    </w:r>
    <w:r>
      <w:rPr>
        <w:rStyle w:val="PageNumber"/>
        <w:rFonts w:ascii="Arial" w:hAnsi="Arial" w:cs="Arial"/>
        <w:noProof/>
        <w:snapToGrid w:val="0"/>
      </w:rPr>
      <w:t>191</w:t>
    </w:r>
    <w:r w:rsidRPr="00F568FA">
      <w:rPr>
        <w:rStyle w:val="PageNumber"/>
        <w:rFonts w:ascii="Arial" w:hAnsi="Arial" w:cs="Arial"/>
        <w:b w:val="0"/>
        <w:snapToGrid w:val="0"/>
      </w:rPr>
      <w:fldChar w:fldCharType="end"/>
    </w:r>
    <w:r w:rsidRPr="00F568FA">
      <w:rPr>
        <w:rStyle w:val="PageNumber"/>
        <w:rFonts w:ascii="Arial" w:hAnsi="Arial" w:cs="Arial"/>
      </w:rPr>
      <w:tab/>
      <w:t xml:space="preserve">Version No. XX DD/MM/YYYY </w:t>
    </w:r>
    <w:r w:rsidRPr="00F568FA">
      <w:rPr>
        <w:rStyle w:val="PageNumber"/>
        <w:rFonts w:ascii="Arial" w:hAnsi="Arial" w:cs="Arial"/>
      </w:rPr>
      <w:tab/>
    </w:r>
    <w:r>
      <w:rPr>
        <w:rStyle w:val="PageNumber"/>
        <w:rFonts w:ascii="Arial" w:hAnsi="Arial" w:cs="Arial"/>
      </w:rPr>
      <w:tab/>
    </w:r>
    <w:r w:rsidRPr="00014EC1">
      <w:rPr>
        <w:rStyle w:val="PageNumber"/>
        <w:rFonts w:ascii="Arial" w:hAnsi="Arial" w:cs="Arial"/>
      </w:rPr>
      <w:t>Application Name &amp; No</w:t>
    </w:r>
    <w:r w:rsidRPr="00014EC1">
      <w:rPr>
        <w:rStyle w:val="PageNumber"/>
        <w:rFonts w:ascii="Arial" w:hAnsi="Arial"/>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367E" w14:textId="77777777" w:rsidR="000C000B" w:rsidRPr="004A5985" w:rsidRDefault="000C000B" w:rsidP="00422306">
    <w:pPr>
      <w:pStyle w:val="Footer"/>
      <w:pBdr>
        <w:top w:val="single" w:sz="4" w:space="1" w:color="auto"/>
      </w:pBdr>
      <w:rPr>
        <w:sz w:val="18"/>
        <w:szCs w:val="18"/>
      </w:rPr>
    </w:pPr>
    <w:r w:rsidRPr="004A5985">
      <w:rPr>
        <w:rFonts w:cs="Arial"/>
        <w:sz w:val="18"/>
        <w:szCs w:val="18"/>
      </w:rPr>
      <w:t xml:space="preserve">Breast </w:t>
    </w:r>
    <w:r w:rsidRPr="00A56D6C">
      <w:rPr>
        <w:rFonts w:cs="Arial"/>
        <w:sz w:val="18"/>
        <w:szCs w:val="18"/>
      </w:rPr>
      <w:t>Magnetic Resonance Imaging</w:t>
    </w:r>
    <w:r w:rsidRPr="004A5985">
      <w:rPr>
        <w:rFonts w:cs="Arial"/>
        <w:sz w:val="18"/>
        <w:szCs w:val="18"/>
      </w:rPr>
      <w:t xml:space="preserve"> 1098.1</w:t>
    </w:r>
    <w:r w:rsidRPr="004A5985">
      <w:rPr>
        <w:rFonts w:cs="Arial"/>
        <w:sz w:val="18"/>
        <w:szCs w:val="18"/>
      </w:rPr>
      <w:tab/>
    </w:r>
    <w:r w:rsidRPr="004A5985">
      <w:rPr>
        <w:rFonts w:cs="Arial"/>
        <w:sz w:val="18"/>
        <w:szCs w:val="18"/>
      </w:rPr>
      <w:tab/>
    </w:r>
    <w:r w:rsidRPr="004A5985">
      <w:rPr>
        <w:rFonts w:cs="Arial"/>
        <w:sz w:val="18"/>
        <w:szCs w:val="18"/>
      </w:rPr>
      <w:fldChar w:fldCharType="begin"/>
    </w:r>
    <w:r w:rsidRPr="004A5985">
      <w:rPr>
        <w:rFonts w:cs="Arial"/>
        <w:sz w:val="18"/>
        <w:szCs w:val="18"/>
      </w:rPr>
      <w:instrText xml:space="preserve"> PAGE   \* MERGEFORMAT </w:instrText>
    </w:r>
    <w:r w:rsidRPr="004A5985">
      <w:rPr>
        <w:rFonts w:cs="Arial"/>
        <w:sz w:val="18"/>
        <w:szCs w:val="18"/>
      </w:rPr>
      <w:fldChar w:fldCharType="separate"/>
    </w:r>
    <w:r w:rsidR="005839BC">
      <w:rPr>
        <w:rFonts w:cs="Arial"/>
        <w:noProof/>
        <w:sz w:val="18"/>
        <w:szCs w:val="18"/>
      </w:rPr>
      <w:t>165</w:t>
    </w:r>
    <w:r w:rsidRPr="004A5985">
      <w:rPr>
        <w:rFonts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4698D" w14:textId="77777777" w:rsidR="000C000B" w:rsidRPr="004A5985" w:rsidRDefault="000C000B" w:rsidP="00422306">
    <w:pPr>
      <w:pStyle w:val="Footer"/>
      <w:pBdr>
        <w:top w:val="single" w:sz="4" w:space="1" w:color="auto"/>
      </w:pBdr>
      <w:rPr>
        <w:sz w:val="18"/>
        <w:szCs w:val="18"/>
      </w:rPr>
    </w:pPr>
    <w:bookmarkStart w:id="6" w:name="OLE_LINK210"/>
    <w:bookmarkStart w:id="7" w:name="OLE_LINK211"/>
    <w:r w:rsidRPr="004A5985">
      <w:rPr>
        <w:rFonts w:cs="Arial"/>
        <w:sz w:val="18"/>
        <w:szCs w:val="18"/>
      </w:rPr>
      <w:t xml:space="preserve">Breast </w:t>
    </w:r>
    <w:r w:rsidRPr="00A56D6C">
      <w:rPr>
        <w:rFonts w:cs="Arial"/>
        <w:sz w:val="18"/>
        <w:szCs w:val="18"/>
      </w:rPr>
      <w:t>Magnetic Resonance Imaging</w:t>
    </w:r>
    <w:r w:rsidRPr="004A5985">
      <w:rPr>
        <w:rFonts w:cs="Arial"/>
        <w:sz w:val="18"/>
        <w:szCs w:val="18"/>
      </w:rPr>
      <w:t xml:space="preserve"> 1098.1</w:t>
    </w:r>
    <w:r w:rsidRPr="004A5985">
      <w:rPr>
        <w:rFonts w:cs="Arial"/>
        <w:sz w:val="18"/>
        <w:szCs w:val="18"/>
      </w:rPr>
      <w:tab/>
    </w:r>
    <w:r w:rsidRPr="004A5985">
      <w:rPr>
        <w:rFonts w:cs="Arial"/>
        <w:sz w:val="18"/>
        <w:szCs w:val="18"/>
      </w:rPr>
      <w:tab/>
    </w:r>
    <w:r w:rsidRPr="004A5985">
      <w:rPr>
        <w:rFonts w:cs="Arial"/>
        <w:sz w:val="18"/>
        <w:szCs w:val="18"/>
      </w:rPr>
      <w:fldChar w:fldCharType="begin"/>
    </w:r>
    <w:r w:rsidRPr="004A5985">
      <w:rPr>
        <w:rFonts w:cs="Arial"/>
        <w:sz w:val="18"/>
        <w:szCs w:val="18"/>
      </w:rPr>
      <w:instrText xml:space="preserve"> PAGE   \* MERGEFORMAT </w:instrText>
    </w:r>
    <w:r w:rsidRPr="004A5985">
      <w:rPr>
        <w:rFonts w:cs="Arial"/>
        <w:sz w:val="18"/>
        <w:szCs w:val="18"/>
      </w:rPr>
      <w:fldChar w:fldCharType="separate"/>
    </w:r>
    <w:r w:rsidR="005839BC">
      <w:rPr>
        <w:rFonts w:cs="Arial"/>
        <w:noProof/>
        <w:sz w:val="18"/>
        <w:szCs w:val="18"/>
      </w:rPr>
      <w:t>vi</w:t>
    </w:r>
    <w:r w:rsidRPr="004A5985">
      <w:rPr>
        <w:rFonts w:cs="Arial"/>
        <w:noProof/>
        <w:sz w:val="18"/>
        <w:szCs w:val="18"/>
      </w:rPr>
      <w:fldChar w:fldCharType="end"/>
    </w:r>
    <w:bookmarkEnd w:id="6"/>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F60AB" w14:textId="77777777" w:rsidR="000C000B" w:rsidRPr="004A5985" w:rsidRDefault="000C000B" w:rsidP="00422306">
    <w:pPr>
      <w:pStyle w:val="Footer"/>
      <w:pBdr>
        <w:top w:val="single" w:sz="4" w:space="1" w:color="auto"/>
      </w:pBdr>
      <w:rPr>
        <w:sz w:val="18"/>
        <w:szCs w:val="18"/>
      </w:rPr>
    </w:pPr>
    <w:r w:rsidRPr="004A5985">
      <w:rPr>
        <w:rFonts w:cs="Arial"/>
        <w:sz w:val="18"/>
        <w:szCs w:val="18"/>
      </w:rPr>
      <w:t xml:space="preserve">Breast </w:t>
    </w:r>
    <w:r w:rsidRPr="00A56D6C">
      <w:rPr>
        <w:rFonts w:cs="Arial"/>
        <w:sz w:val="18"/>
        <w:szCs w:val="18"/>
      </w:rPr>
      <w:t>Magnetic Resonance Imaging</w:t>
    </w:r>
    <w:r w:rsidRPr="004A5985">
      <w:rPr>
        <w:rFonts w:cs="Arial"/>
        <w:sz w:val="18"/>
        <w:szCs w:val="18"/>
      </w:rPr>
      <w:t xml:space="preserve"> 1098.1</w:t>
    </w:r>
    <w:r w:rsidRPr="004A5985">
      <w:rPr>
        <w:rFonts w:cs="Arial"/>
        <w:sz w:val="18"/>
        <w:szCs w:val="18"/>
      </w:rPr>
      <w:tab/>
    </w:r>
    <w:r w:rsidRPr="004A5985">
      <w:rPr>
        <w:rFonts w:cs="Arial"/>
        <w:sz w:val="18"/>
        <w:szCs w:val="18"/>
      </w:rPr>
      <w:tab/>
    </w:r>
    <w:r w:rsidRPr="004A5985">
      <w:rPr>
        <w:rFonts w:cs="Arial"/>
        <w:sz w:val="18"/>
        <w:szCs w:val="18"/>
      </w:rPr>
      <w:fldChar w:fldCharType="begin"/>
    </w:r>
    <w:r w:rsidRPr="004A5985">
      <w:rPr>
        <w:rFonts w:cs="Arial"/>
        <w:sz w:val="18"/>
        <w:szCs w:val="18"/>
      </w:rPr>
      <w:instrText xml:space="preserve"> PAGE   \* MERGEFORMAT </w:instrText>
    </w:r>
    <w:r w:rsidRPr="004A5985">
      <w:rPr>
        <w:rFonts w:cs="Arial"/>
        <w:sz w:val="18"/>
        <w:szCs w:val="18"/>
      </w:rPr>
      <w:fldChar w:fldCharType="separate"/>
    </w:r>
    <w:r w:rsidR="005839BC">
      <w:rPr>
        <w:rFonts w:cs="Arial"/>
        <w:noProof/>
        <w:sz w:val="18"/>
        <w:szCs w:val="18"/>
      </w:rPr>
      <w:t>68</w:t>
    </w:r>
    <w:r w:rsidRPr="004A5985">
      <w:rPr>
        <w:rFonts w:cs="Arial"/>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3C753" w14:textId="77777777" w:rsidR="000C000B" w:rsidRPr="004A5985" w:rsidRDefault="000C000B" w:rsidP="000A7364">
    <w:pPr>
      <w:pStyle w:val="Footer"/>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034E4" w14:textId="77777777" w:rsidR="000C000B" w:rsidRPr="004A5985" w:rsidRDefault="000C000B" w:rsidP="00422306">
    <w:pPr>
      <w:pStyle w:val="Footer"/>
      <w:pBdr>
        <w:top w:val="single" w:sz="4" w:space="1" w:color="auto"/>
      </w:pBdr>
      <w:rPr>
        <w:sz w:val="18"/>
        <w:szCs w:val="18"/>
      </w:rPr>
    </w:pPr>
    <w:r w:rsidRPr="004A5985">
      <w:rPr>
        <w:rFonts w:cs="Arial"/>
        <w:sz w:val="18"/>
        <w:szCs w:val="18"/>
      </w:rPr>
      <w:t xml:space="preserve">Breast </w:t>
    </w:r>
    <w:r w:rsidRPr="00A56D6C">
      <w:rPr>
        <w:rFonts w:cs="Arial"/>
        <w:sz w:val="18"/>
        <w:szCs w:val="18"/>
      </w:rPr>
      <w:t>Magnetic Resonance Imaging</w:t>
    </w:r>
    <w:r w:rsidRPr="004A5985">
      <w:rPr>
        <w:rFonts w:cs="Arial"/>
        <w:sz w:val="18"/>
        <w:szCs w:val="18"/>
      </w:rPr>
      <w:t xml:space="preserve"> 1098.1</w:t>
    </w:r>
    <w:r w:rsidRPr="004A5985">
      <w:rPr>
        <w:rFonts w:cs="Arial"/>
        <w:sz w:val="18"/>
        <w:szCs w:val="18"/>
      </w:rPr>
      <w:tab/>
    </w:r>
    <w:r w:rsidRPr="004A5985">
      <w:rPr>
        <w:rFonts w:cs="Arial"/>
        <w:sz w:val="18"/>
        <w:szCs w:val="18"/>
      </w:rPr>
      <w:tab/>
    </w:r>
    <w:r w:rsidRPr="004A5985">
      <w:rPr>
        <w:rFonts w:cs="Arial"/>
        <w:sz w:val="18"/>
        <w:szCs w:val="18"/>
      </w:rPr>
      <w:fldChar w:fldCharType="begin"/>
    </w:r>
    <w:r w:rsidRPr="004A5985">
      <w:rPr>
        <w:rFonts w:cs="Arial"/>
        <w:sz w:val="18"/>
        <w:szCs w:val="18"/>
      </w:rPr>
      <w:instrText xml:space="preserve"> PAGE   \* MERGEFORMAT </w:instrText>
    </w:r>
    <w:r w:rsidRPr="004A5985">
      <w:rPr>
        <w:rFonts w:cs="Arial"/>
        <w:sz w:val="18"/>
        <w:szCs w:val="18"/>
      </w:rPr>
      <w:fldChar w:fldCharType="separate"/>
    </w:r>
    <w:r w:rsidR="005839BC">
      <w:rPr>
        <w:rFonts w:cs="Arial"/>
        <w:noProof/>
        <w:sz w:val="18"/>
        <w:szCs w:val="18"/>
      </w:rPr>
      <w:t>73</w:t>
    </w:r>
    <w:r w:rsidRPr="004A5985">
      <w:rPr>
        <w:rFonts w:cs="Arial"/>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6AE64" w14:textId="77777777" w:rsidR="000C000B" w:rsidRPr="008A4005" w:rsidRDefault="000C000B" w:rsidP="004223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11871" w14:textId="77777777" w:rsidR="000C000B" w:rsidRPr="004A5985" w:rsidRDefault="000C000B" w:rsidP="00422306">
    <w:pPr>
      <w:pStyle w:val="Footer"/>
      <w:pBdr>
        <w:top w:val="single" w:sz="4" w:space="1" w:color="auto"/>
      </w:pBdr>
      <w:rPr>
        <w:sz w:val="18"/>
        <w:szCs w:val="18"/>
      </w:rPr>
    </w:pPr>
    <w:r w:rsidRPr="004A5985">
      <w:rPr>
        <w:rFonts w:cs="Arial"/>
        <w:sz w:val="18"/>
        <w:szCs w:val="18"/>
      </w:rPr>
      <w:t xml:space="preserve">Breast </w:t>
    </w:r>
    <w:r w:rsidRPr="00A56D6C">
      <w:rPr>
        <w:rFonts w:cs="Arial"/>
        <w:sz w:val="18"/>
        <w:szCs w:val="18"/>
      </w:rPr>
      <w:t>Magnetic Resonance Imaging</w:t>
    </w:r>
    <w:r w:rsidRPr="004A5985">
      <w:rPr>
        <w:rFonts w:cs="Arial"/>
        <w:sz w:val="18"/>
        <w:szCs w:val="18"/>
      </w:rPr>
      <w:t xml:space="preserve"> 1098.1</w:t>
    </w:r>
    <w:r w:rsidRPr="004A5985">
      <w:rPr>
        <w:rFonts w:cs="Arial"/>
        <w:sz w:val="18"/>
        <w:szCs w:val="18"/>
      </w:rPr>
      <w:tab/>
    </w:r>
    <w:r w:rsidRPr="004A5985">
      <w:rPr>
        <w:rFonts w:cs="Arial"/>
        <w:sz w:val="18"/>
        <w:szCs w:val="18"/>
      </w:rPr>
      <w:tab/>
    </w:r>
    <w:r w:rsidRPr="004A5985">
      <w:rPr>
        <w:rFonts w:cs="Arial"/>
        <w:sz w:val="18"/>
        <w:szCs w:val="18"/>
      </w:rPr>
      <w:fldChar w:fldCharType="begin"/>
    </w:r>
    <w:r w:rsidRPr="004A5985">
      <w:rPr>
        <w:rFonts w:cs="Arial"/>
        <w:sz w:val="18"/>
        <w:szCs w:val="18"/>
      </w:rPr>
      <w:instrText xml:space="preserve"> PAGE   \* MERGEFORMAT </w:instrText>
    </w:r>
    <w:r w:rsidRPr="004A5985">
      <w:rPr>
        <w:rFonts w:cs="Arial"/>
        <w:sz w:val="18"/>
        <w:szCs w:val="18"/>
      </w:rPr>
      <w:fldChar w:fldCharType="separate"/>
    </w:r>
    <w:r w:rsidR="005839BC">
      <w:rPr>
        <w:rFonts w:cs="Arial"/>
        <w:noProof/>
        <w:sz w:val="18"/>
        <w:szCs w:val="18"/>
      </w:rPr>
      <w:t>95</w:t>
    </w:r>
    <w:r w:rsidRPr="004A5985">
      <w:rPr>
        <w:rFonts w:cs="Arial"/>
        <w:noProof/>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0494E" w14:textId="77777777" w:rsidR="000C000B" w:rsidRPr="008A4005" w:rsidRDefault="000C000B" w:rsidP="0042230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05B47" w14:textId="77777777" w:rsidR="000C000B" w:rsidRPr="004A5985" w:rsidRDefault="000C000B" w:rsidP="00422306">
    <w:pPr>
      <w:pStyle w:val="Footer"/>
      <w:pBdr>
        <w:top w:val="single" w:sz="4" w:space="1" w:color="auto"/>
      </w:pBdr>
      <w:rPr>
        <w:sz w:val="18"/>
        <w:szCs w:val="18"/>
      </w:rPr>
    </w:pPr>
    <w:r w:rsidRPr="004A5985">
      <w:rPr>
        <w:rFonts w:cs="Arial"/>
        <w:sz w:val="18"/>
        <w:szCs w:val="18"/>
      </w:rPr>
      <w:t xml:space="preserve">Breast </w:t>
    </w:r>
    <w:r w:rsidRPr="00A56D6C">
      <w:rPr>
        <w:rFonts w:cs="Arial"/>
        <w:sz w:val="18"/>
        <w:szCs w:val="18"/>
      </w:rPr>
      <w:t>Magnetic Resonance Imaging</w:t>
    </w:r>
    <w:r w:rsidRPr="004A5985">
      <w:rPr>
        <w:rFonts w:cs="Arial"/>
        <w:sz w:val="18"/>
        <w:szCs w:val="18"/>
      </w:rPr>
      <w:t xml:space="preserve"> 1098.1</w:t>
    </w:r>
    <w:r w:rsidRPr="004A5985">
      <w:rPr>
        <w:rFonts w:cs="Arial"/>
        <w:sz w:val="18"/>
        <w:szCs w:val="18"/>
      </w:rPr>
      <w:tab/>
    </w:r>
    <w:r w:rsidRPr="004A5985">
      <w:rPr>
        <w:rFonts w:cs="Arial"/>
        <w:sz w:val="18"/>
        <w:szCs w:val="18"/>
      </w:rPr>
      <w:tab/>
    </w:r>
    <w:r w:rsidRPr="004A5985">
      <w:rPr>
        <w:rFonts w:cs="Arial"/>
        <w:sz w:val="18"/>
        <w:szCs w:val="18"/>
      </w:rPr>
      <w:fldChar w:fldCharType="begin"/>
    </w:r>
    <w:r w:rsidRPr="004A5985">
      <w:rPr>
        <w:rFonts w:cs="Arial"/>
        <w:sz w:val="18"/>
        <w:szCs w:val="18"/>
      </w:rPr>
      <w:instrText xml:space="preserve"> PAGE   \* MERGEFORMAT </w:instrText>
    </w:r>
    <w:r w:rsidRPr="004A5985">
      <w:rPr>
        <w:rFonts w:cs="Arial"/>
        <w:sz w:val="18"/>
        <w:szCs w:val="18"/>
      </w:rPr>
      <w:fldChar w:fldCharType="separate"/>
    </w:r>
    <w:r w:rsidR="005839BC">
      <w:rPr>
        <w:rFonts w:cs="Arial"/>
        <w:noProof/>
        <w:sz w:val="18"/>
        <w:szCs w:val="18"/>
      </w:rPr>
      <w:t>147</w:t>
    </w:r>
    <w:r w:rsidRPr="004A5985">
      <w:rPr>
        <w:rFonts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15C38" w14:textId="77777777" w:rsidR="002E62C9" w:rsidRDefault="002E62C9" w:rsidP="00E47AB8">
      <w:pPr>
        <w:spacing w:after="0" w:line="240" w:lineRule="auto"/>
      </w:pPr>
      <w:r>
        <w:separator/>
      </w:r>
    </w:p>
  </w:footnote>
  <w:footnote w:type="continuationSeparator" w:id="0">
    <w:p w14:paraId="0C265667" w14:textId="77777777" w:rsidR="002E62C9" w:rsidRDefault="002E62C9" w:rsidP="00E47AB8">
      <w:pPr>
        <w:spacing w:after="0" w:line="240" w:lineRule="auto"/>
      </w:pPr>
      <w:r>
        <w:continuationSeparator/>
      </w:r>
    </w:p>
  </w:footnote>
  <w:footnote w:id="1">
    <w:p w14:paraId="561FD4DB" w14:textId="68B25B73" w:rsidR="000C000B" w:rsidRDefault="000C000B" w:rsidP="00422306">
      <w:pPr>
        <w:pStyle w:val="FootnoteText"/>
      </w:pPr>
      <w:r>
        <w:rPr>
          <w:rStyle w:val="FootnoteReference"/>
        </w:rPr>
        <w:footnoteRef/>
      </w:r>
      <w:r>
        <w:t xml:space="preserve"> The age adjustments made in the model convert the probabilities into hazards (odds), apply the age-specific </w:t>
      </w:r>
      <w:r w:rsidRPr="00B766E6">
        <w:t>odds ratio</w:t>
      </w:r>
      <w:r>
        <w:t xml:space="preserve"> and convert back to probabilities. For illustration a </w:t>
      </w:r>
      <w:r w:rsidRPr="007A30BA">
        <w:t>relative risk</w:t>
      </w:r>
      <w:r>
        <w:t xml:space="preserve"> approach is described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751AE" w14:textId="77777777" w:rsidR="000C000B" w:rsidRDefault="000C0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C7EB" w14:textId="6E244C13" w:rsidR="000C000B" w:rsidRDefault="000C00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40E8E" w14:textId="77777777" w:rsidR="000C000B" w:rsidRDefault="000C00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05B88" w14:textId="6511E84B" w:rsidR="000C000B" w:rsidRDefault="000C00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9176B" w14:textId="77777777" w:rsidR="000C000B" w:rsidRDefault="000C00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C5F6A" w14:textId="68BB1B05" w:rsidR="000C000B" w:rsidRDefault="000C00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4E716" w14:textId="77777777" w:rsidR="000C000B" w:rsidRDefault="000C00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28175" w14:textId="77777777" w:rsidR="000C000B" w:rsidRDefault="000C0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A2F4E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24FAD28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A2D0B850"/>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9"/>
    <w:multiLevelType w:val="singleLevel"/>
    <w:tmpl w:val="C3F872CE"/>
    <w:lvl w:ilvl="0">
      <w:start w:val="1"/>
      <w:numFmt w:val="bullet"/>
      <w:pStyle w:val="ListBullet"/>
      <w:lvlText w:val=""/>
      <w:lvlJc w:val="left"/>
      <w:pPr>
        <w:tabs>
          <w:tab w:val="num" w:pos="1440"/>
        </w:tabs>
        <w:ind w:left="1440" w:hanging="720"/>
      </w:pPr>
      <w:rPr>
        <w:rFonts w:ascii="Symbol" w:hAnsi="Symbol" w:hint="default"/>
      </w:rPr>
    </w:lvl>
  </w:abstractNum>
  <w:abstractNum w:abstractNumId="4">
    <w:nsid w:val="00000001"/>
    <w:multiLevelType w:val="singleLevel"/>
    <w:tmpl w:val="00000000"/>
    <w:lvl w:ilvl="0">
      <w:start w:val="1"/>
      <w:numFmt w:val="bullet"/>
      <w:pStyle w:val="Bulletpoint"/>
      <w:lvlText w:val=""/>
      <w:lvlJc w:val="left"/>
      <w:pPr>
        <w:tabs>
          <w:tab w:val="num" w:pos="360"/>
        </w:tabs>
        <w:ind w:left="360" w:hanging="360"/>
      </w:pPr>
      <w:rPr>
        <w:rFonts w:ascii="Symbol" w:hAnsi="Symbol" w:hint="default"/>
      </w:rPr>
    </w:lvl>
  </w:abstractNum>
  <w:abstractNum w:abstractNumId="5">
    <w:nsid w:val="006971CA"/>
    <w:multiLevelType w:val="hybridMultilevel"/>
    <w:tmpl w:val="5A9C9FE6"/>
    <w:lvl w:ilvl="0" w:tplc="DD94F8A4">
      <w:start w:val="1"/>
      <w:numFmt w:val="bullet"/>
      <w:pStyle w:val="BoxBullet"/>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10E2510"/>
    <w:multiLevelType w:val="hybridMultilevel"/>
    <w:tmpl w:val="FF74C63E"/>
    <w:lvl w:ilvl="0" w:tplc="6234E94A">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24B3076"/>
    <w:multiLevelType w:val="hybridMultilevel"/>
    <w:tmpl w:val="AB489344"/>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2B92592"/>
    <w:multiLevelType w:val="hybridMultilevel"/>
    <w:tmpl w:val="0824B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3034BB1"/>
    <w:multiLevelType w:val="hybridMultilevel"/>
    <w:tmpl w:val="1A86E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4FB484C"/>
    <w:multiLevelType w:val="hybridMultilevel"/>
    <w:tmpl w:val="8B50E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7E51A9"/>
    <w:multiLevelType w:val="hybridMultilevel"/>
    <w:tmpl w:val="F4F4C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5170E1"/>
    <w:multiLevelType w:val="hybridMultilevel"/>
    <w:tmpl w:val="5BBCB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9F54C7"/>
    <w:multiLevelType w:val="hybridMultilevel"/>
    <w:tmpl w:val="42B21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DF940AB"/>
    <w:multiLevelType w:val="multilevel"/>
    <w:tmpl w:val="3908473C"/>
    <w:lvl w:ilvl="0">
      <w:start w:val="1"/>
      <w:numFmt w:val="decimal"/>
      <w:lvlText w:val="%1."/>
      <w:lvlJc w:val="left"/>
      <w:pPr>
        <w:ind w:left="720" w:hanging="360"/>
      </w:pPr>
      <w:rPr>
        <w:rFonts w:hint="default"/>
      </w:rPr>
    </w:lvl>
    <w:lvl w:ilvl="1">
      <w:start w:val="1"/>
      <w:numFmt w:val="decimal"/>
      <w:lvlText w:val="%1.%2"/>
      <w:lvlJc w:val="left"/>
      <w:pPr>
        <w:ind w:left="360" w:firstLine="0"/>
      </w:pPr>
      <w:rPr>
        <w:rFonts w:hint="default"/>
      </w:rPr>
    </w:lvl>
    <w:lvl w:ilvl="2">
      <w:start w:val="1"/>
      <w:numFmt w:val="decimal"/>
      <w:lvlText w:val="%1.%2.%3"/>
      <w:lvlJc w:val="left"/>
      <w:pPr>
        <w:ind w:left="360" w:firstLine="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0E0346B2"/>
    <w:multiLevelType w:val="multilevel"/>
    <w:tmpl w:val="22F4761E"/>
    <w:lvl w:ilvl="0">
      <w:start w:val="5"/>
      <w:numFmt w:val="upperLetter"/>
      <w:pStyle w:val="Heading1"/>
      <w:lvlText w:val="%1"/>
      <w:lvlJc w:val="left"/>
      <w:pPr>
        <w:ind w:left="432" w:hanging="432"/>
      </w:pPr>
      <w:rPr>
        <w:rFonts w:hint="default"/>
      </w:rPr>
    </w:lvl>
    <w:lvl w:ilvl="1">
      <w:start w:val="1"/>
      <w:numFmt w:val="decimal"/>
      <w:lvlText w:val="%1.%2"/>
      <w:lvlJc w:val="left"/>
      <w:pPr>
        <w:ind w:left="718"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0F391EDD"/>
    <w:multiLevelType w:val="hybridMultilevel"/>
    <w:tmpl w:val="F0244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FE15A30"/>
    <w:multiLevelType w:val="multilevel"/>
    <w:tmpl w:val="B802B0F4"/>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276732B"/>
    <w:multiLevelType w:val="multilevel"/>
    <w:tmpl w:val="25E2CDF6"/>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3263F73"/>
    <w:multiLevelType w:val="hybridMultilevel"/>
    <w:tmpl w:val="BC685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3D21FF2"/>
    <w:multiLevelType w:val="multilevel"/>
    <w:tmpl w:val="D7A0990E"/>
    <w:lvl w:ilvl="0">
      <w:start w:val="3"/>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3FA04E6"/>
    <w:multiLevelType w:val="hybridMultilevel"/>
    <w:tmpl w:val="4344DEF6"/>
    <w:lvl w:ilvl="0" w:tplc="0C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4B341AC"/>
    <w:multiLevelType w:val="hybridMultilevel"/>
    <w:tmpl w:val="57AE1FDC"/>
    <w:lvl w:ilvl="0" w:tplc="6400C8F6">
      <w:start w:val="1"/>
      <w:numFmt w:val="bullet"/>
      <w:pStyle w:val="Bullet1"/>
      <w:lvlText w:val="•"/>
      <w:lvlJc w:val="left"/>
      <w:pPr>
        <w:tabs>
          <w:tab w:val="num" w:pos="397"/>
        </w:tabs>
        <w:ind w:left="397" w:hanging="397"/>
      </w:pPr>
      <w:rPr>
        <w:rFonts w:ascii="Book Antiqua" w:hAnsi="Book Antiqua" w:hint="default"/>
        <w:b w:val="0"/>
        <w:i w:val="0"/>
        <w:color w:val="000000"/>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155759BA"/>
    <w:multiLevelType w:val="hybridMultilevel"/>
    <w:tmpl w:val="F22AE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6BF625C"/>
    <w:multiLevelType w:val="hybridMultilevel"/>
    <w:tmpl w:val="49664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7A65F90"/>
    <w:multiLevelType w:val="hybridMultilevel"/>
    <w:tmpl w:val="E0FCC4C8"/>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6">
    <w:nsid w:val="18ED7A10"/>
    <w:multiLevelType w:val="hybridMultilevel"/>
    <w:tmpl w:val="0DFCDE7A"/>
    <w:lvl w:ilvl="0" w:tplc="9F8C644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8F35623"/>
    <w:multiLevelType w:val="multilevel"/>
    <w:tmpl w:val="F6C45E88"/>
    <w:lvl w:ilvl="0">
      <w:start w:val="2"/>
      <w:numFmt w:val="upperLetter"/>
      <w:lvlText w:val="Section %1"/>
      <w:lvlJc w:val="left"/>
      <w:pPr>
        <w:ind w:left="360" w:hanging="360"/>
      </w:pPr>
      <w:rPr>
        <w:rFonts w:hint="default"/>
      </w:rPr>
    </w:lvl>
    <w:lvl w:ilvl="1">
      <w:start w:val="1"/>
      <w:numFmt w:val="decimal"/>
      <w:pStyle w:val="Heading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93A70E4"/>
    <w:multiLevelType w:val="hybridMultilevel"/>
    <w:tmpl w:val="63843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970188C"/>
    <w:multiLevelType w:val="hybridMultilevel"/>
    <w:tmpl w:val="C89CC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B164FB2"/>
    <w:multiLevelType w:val="hybridMultilevel"/>
    <w:tmpl w:val="CD664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B681A8F"/>
    <w:multiLevelType w:val="hybridMultilevel"/>
    <w:tmpl w:val="06C63484"/>
    <w:lvl w:ilvl="0" w:tplc="BC020814">
      <w:start w:val="1"/>
      <w:numFmt w:val="bullet"/>
      <w:pStyle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1B997779"/>
    <w:multiLevelType w:val="hybridMultilevel"/>
    <w:tmpl w:val="3DB8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1BD27543"/>
    <w:multiLevelType w:val="multilevel"/>
    <w:tmpl w:val="25E2CDF6"/>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C5B7A46"/>
    <w:multiLevelType w:val="hybridMultilevel"/>
    <w:tmpl w:val="68923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1E845655"/>
    <w:multiLevelType w:val="hybridMultilevel"/>
    <w:tmpl w:val="8F10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1EA95DF2"/>
    <w:multiLevelType w:val="hybridMultilevel"/>
    <w:tmpl w:val="DBB42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34D7809"/>
    <w:multiLevelType w:val="hybridMultilevel"/>
    <w:tmpl w:val="980C6B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288F3722"/>
    <w:multiLevelType w:val="hybridMultilevel"/>
    <w:tmpl w:val="C7D4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90B48E8"/>
    <w:multiLevelType w:val="hybridMultilevel"/>
    <w:tmpl w:val="6BE6F4DA"/>
    <w:lvl w:ilvl="0" w:tplc="2200DBC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2A1A5E9F"/>
    <w:multiLevelType w:val="hybridMultilevel"/>
    <w:tmpl w:val="9B967346"/>
    <w:lvl w:ilvl="0" w:tplc="9F8C644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B6A2F26"/>
    <w:multiLevelType w:val="hybridMultilevel"/>
    <w:tmpl w:val="096CE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BA641FE"/>
    <w:multiLevelType w:val="hybridMultilevel"/>
    <w:tmpl w:val="74D803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2C963F67"/>
    <w:multiLevelType w:val="hybridMultilevel"/>
    <w:tmpl w:val="1FBC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606DDD"/>
    <w:multiLevelType w:val="hybridMultilevel"/>
    <w:tmpl w:val="FC06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2D9A19EE"/>
    <w:multiLevelType w:val="hybridMultilevel"/>
    <w:tmpl w:val="C8EC91C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306C659A"/>
    <w:multiLevelType w:val="hybridMultilevel"/>
    <w:tmpl w:val="859E6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3B57005"/>
    <w:multiLevelType w:val="hybridMultilevel"/>
    <w:tmpl w:val="5AA6F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4C942CD"/>
    <w:multiLevelType w:val="hybridMultilevel"/>
    <w:tmpl w:val="F3B61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nsid w:val="35677F5E"/>
    <w:multiLevelType w:val="multilevel"/>
    <w:tmpl w:val="B802B0F4"/>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36297E5F"/>
    <w:multiLevelType w:val="hybridMultilevel"/>
    <w:tmpl w:val="C8F6F99A"/>
    <w:lvl w:ilvl="0" w:tplc="2200DBC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3B8636DA"/>
    <w:multiLevelType w:val="hybridMultilevel"/>
    <w:tmpl w:val="F9689686"/>
    <w:lvl w:ilvl="0" w:tplc="D7E28952">
      <w:start w:val="1"/>
      <w:numFmt w:val="bullet"/>
      <w:pStyle w:val="Bullet6"/>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3E410F34"/>
    <w:multiLevelType w:val="hybridMultilevel"/>
    <w:tmpl w:val="EC00834E"/>
    <w:lvl w:ilvl="0" w:tplc="0C09000F">
      <w:start w:val="1"/>
      <w:numFmt w:val="decimal"/>
      <w:lvlText w:val="%1."/>
      <w:lvlJc w:val="left"/>
      <w:pPr>
        <w:ind w:left="720" w:hanging="360"/>
      </w:pPr>
      <w:rPr>
        <w:rFonts w:hint="default"/>
      </w:rPr>
    </w:lvl>
    <w:lvl w:ilvl="1" w:tplc="D9341ED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3FEE5410"/>
    <w:multiLevelType w:val="hybridMultilevel"/>
    <w:tmpl w:val="8354D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0605BC6"/>
    <w:multiLevelType w:val="hybridMultilevel"/>
    <w:tmpl w:val="FD7AE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2033AAE"/>
    <w:multiLevelType w:val="multilevel"/>
    <w:tmpl w:val="DF1A9AA0"/>
    <w:styleLink w:val="Style11"/>
    <w:lvl w:ilvl="0">
      <w:start w:val="1"/>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4890D84"/>
    <w:multiLevelType w:val="hybridMultilevel"/>
    <w:tmpl w:val="5E14A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5395D3D"/>
    <w:multiLevelType w:val="hybridMultilevel"/>
    <w:tmpl w:val="5CE062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nsid w:val="454B100D"/>
    <w:multiLevelType w:val="multilevel"/>
    <w:tmpl w:val="B596C34E"/>
    <w:lvl w:ilvl="0">
      <w:start w:val="1"/>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58A769B"/>
    <w:multiLevelType w:val="hybridMultilevel"/>
    <w:tmpl w:val="CD364A4E"/>
    <w:lvl w:ilvl="0" w:tplc="2200DBC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nsid w:val="471E18E0"/>
    <w:multiLevelType w:val="multilevel"/>
    <w:tmpl w:val="00F4D5B4"/>
    <w:lvl w:ilvl="0">
      <w:start w:val="1"/>
      <w:numFmt w:val="lowerLetter"/>
      <w:lvlText w:val="%1)"/>
      <w:lvlJc w:val="left"/>
      <w:pPr>
        <w:ind w:left="1496" w:hanging="360"/>
      </w:pPr>
      <w:rPr>
        <w:rFonts w:hint="default"/>
      </w:rPr>
    </w:lvl>
    <w:lvl w:ilvl="1">
      <w:start w:val="1"/>
      <w:numFmt w:val="decimal"/>
      <w:lvlText w:val="%1.%2"/>
      <w:lvlJc w:val="left"/>
      <w:pPr>
        <w:ind w:left="1136" w:firstLine="0"/>
      </w:pPr>
      <w:rPr>
        <w:rFonts w:hint="default"/>
      </w:rPr>
    </w:lvl>
    <w:lvl w:ilvl="2">
      <w:start w:val="1"/>
      <w:numFmt w:val="decimal"/>
      <w:lvlText w:val="%1.%2.%3"/>
      <w:lvlJc w:val="left"/>
      <w:pPr>
        <w:ind w:left="1136" w:firstLine="0"/>
      </w:pPr>
      <w:rPr>
        <w:rFonts w:hint="default"/>
      </w:rPr>
    </w:lvl>
    <w:lvl w:ilvl="3">
      <w:start w:val="1"/>
      <w:numFmt w:val="lowerLetter"/>
      <w:lvlText w:val="(%4)"/>
      <w:lvlJc w:val="left"/>
      <w:pPr>
        <w:ind w:left="1136" w:firstLine="357"/>
      </w:pPr>
      <w:rPr>
        <w:rFonts w:hint="default"/>
      </w:rPr>
    </w:lvl>
    <w:lvl w:ilvl="4">
      <w:start w:val="1"/>
      <w:numFmt w:val="lowerLetter"/>
      <w:lvlText w:val="(%5)"/>
      <w:lvlJc w:val="left"/>
      <w:pPr>
        <w:ind w:left="2936" w:hanging="360"/>
      </w:pPr>
      <w:rPr>
        <w:rFonts w:hint="default"/>
      </w:rPr>
    </w:lvl>
    <w:lvl w:ilvl="5">
      <w:start w:val="1"/>
      <w:numFmt w:val="lowerRoman"/>
      <w:lvlText w:val="(%6)"/>
      <w:lvlJc w:val="left"/>
      <w:pPr>
        <w:ind w:left="3296" w:hanging="360"/>
      </w:pPr>
      <w:rPr>
        <w:rFonts w:hint="default"/>
      </w:rPr>
    </w:lvl>
    <w:lvl w:ilvl="6">
      <w:start w:val="1"/>
      <w:numFmt w:val="decimal"/>
      <w:lvlText w:val="%7."/>
      <w:lvlJc w:val="left"/>
      <w:pPr>
        <w:ind w:left="3656" w:hanging="360"/>
      </w:pPr>
      <w:rPr>
        <w:rFonts w:hint="default"/>
      </w:rPr>
    </w:lvl>
    <w:lvl w:ilvl="7">
      <w:start w:val="1"/>
      <w:numFmt w:val="lowerLetter"/>
      <w:lvlText w:val="%8."/>
      <w:lvlJc w:val="left"/>
      <w:pPr>
        <w:ind w:left="4016" w:hanging="360"/>
      </w:pPr>
      <w:rPr>
        <w:rFonts w:hint="default"/>
      </w:rPr>
    </w:lvl>
    <w:lvl w:ilvl="8">
      <w:start w:val="1"/>
      <w:numFmt w:val="lowerRoman"/>
      <w:lvlText w:val="%9."/>
      <w:lvlJc w:val="left"/>
      <w:pPr>
        <w:ind w:left="4376" w:hanging="360"/>
      </w:pPr>
      <w:rPr>
        <w:rFonts w:hint="default"/>
      </w:rPr>
    </w:lvl>
  </w:abstractNum>
  <w:abstractNum w:abstractNumId="62">
    <w:nsid w:val="47D16605"/>
    <w:multiLevelType w:val="multilevel"/>
    <w:tmpl w:val="25E2CDF6"/>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96B6077"/>
    <w:multiLevelType w:val="hybridMultilevel"/>
    <w:tmpl w:val="061E01C2"/>
    <w:lvl w:ilvl="0" w:tplc="2200DBC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4A20707F"/>
    <w:multiLevelType w:val="hybridMultilevel"/>
    <w:tmpl w:val="025A7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4B04150D"/>
    <w:multiLevelType w:val="hybridMultilevel"/>
    <w:tmpl w:val="83DE7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B890D9C"/>
    <w:multiLevelType w:val="hybridMultilevel"/>
    <w:tmpl w:val="93C43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BB234B3"/>
    <w:multiLevelType w:val="hybridMultilevel"/>
    <w:tmpl w:val="E828C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nsid w:val="4C481AEA"/>
    <w:multiLevelType w:val="hybridMultilevel"/>
    <w:tmpl w:val="6AA262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4D6C7502"/>
    <w:multiLevelType w:val="hybridMultilevel"/>
    <w:tmpl w:val="1760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4E8A4AA1"/>
    <w:multiLevelType w:val="hybridMultilevel"/>
    <w:tmpl w:val="CD664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4F217893"/>
    <w:multiLevelType w:val="multilevel"/>
    <w:tmpl w:val="B802B0F4"/>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F844AEB"/>
    <w:multiLevelType w:val="hybridMultilevel"/>
    <w:tmpl w:val="E0A6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51BD0DD1"/>
    <w:multiLevelType w:val="hybridMultilevel"/>
    <w:tmpl w:val="7DA6D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523E66E7"/>
    <w:multiLevelType w:val="hybridMultilevel"/>
    <w:tmpl w:val="FC32C744"/>
    <w:lvl w:ilvl="0" w:tplc="2200DBC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nsid w:val="52A07BEC"/>
    <w:multiLevelType w:val="multilevel"/>
    <w:tmpl w:val="0EC269F4"/>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3CF7746"/>
    <w:multiLevelType w:val="hybridMultilevel"/>
    <w:tmpl w:val="E5463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550D1B3F"/>
    <w:multiLevelType w:val="multilevel"/>
    <w:tmpl w:val="B802B0F4"/>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CFC01A7"/>
    <w:multiLevelType w:val="multilevel"/>
    <w:tmpl w:val="C4EC21A8"/>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E2B5CD6"/>
    <w:multiLevelType w:val="multilevel"/>
    <w:tmpl w:val="0C090025"/>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5E6C1BEA"/>
    <w:multiLevelType w:val="hybridMultilevel"/>
    <w:tmpl w:val="3D26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5EDA25B1"/>
    <w:multiLevelType w:val="hybridMultilevel"/>
    <w:tmpl w:val="83A4B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608213C1"/>
    <w:multiLevelType w:val="hybridMultilevel"/>
    <w:tmpl w:val="00B0D7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60E5008C"/>
    <w:multiLevelType w:val="multilevel"/>
    <w:tmpl w:val="030A0480"/>
    <w:lvl w:ilvl="0">
      <w:start w:val="1"/>
      <w:numFmt w:val="decimal"/>
      <w:lvlText w:val="%1."/>
      <w:lvlJc w:val="left"/>
      <w:pPr>
        <w:ind w:left="644" w:hanging="36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284" w:firstLine="0"/>
      </w:pPr>
      <w:rPr>
        <w:rFonts w:hint="default"/>
      </w:rPr>
    </w:lvl>
    <w:lvl w:ilvl="3">
      <w:start w:val="1"/>
      <w:numFmt w:val="lowerLetter"/>
      <w:lvlText w:val="(%4)"/>
      <w:lvlJc w:val="left"/>
      <w:pPr>
        <w:ind w:left="284" w:firstLine="357"/>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4">
    <w:nsid w:val="61001ACD"/>
    <w:multiLevelType w:val="hybridMultilevel"/>
    <w:tmpl w:val="DFC4FA0A"/>
    <w:lvl w:ilvl="0" w:tplc="9F8C644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61972AC0"/>
    <w:multiLevelType w:val="hybridMultilevel"/>
    <w:tmpl w:val="2EACD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642F342E"/>
    <w:multiLevelType w:val="hybridMultilevel"/>
    <w:tmpl w:val="31F8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668D736B"/>
    <w:multiLevelType w:val="hybridMultilevel"/>
    <w:tmpl w:val="F16A36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66936BF3"/>
    <w:multiLevelType w:val="hybridMultilevel"/>
    <w:tmpl w:val="1D327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6C1C35AB"/>
    <w:multiLevelType w:val="hybridMultilevel"/>
    <w:tmpl w:val="2AD8F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6F880942"/>
    <w:multiLevelType w:val="hybridMultilevel"/>
    <w:tmpl w:val="CC86C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717D11F2"/>
    <w:multiLevelType w:val="hybridMultilevel"/>
    <w:tmpl w:val="4400FF6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72667F1E"/>
    <w:multiLevelType w:val="hybridMultilevel"/>
    <w:tmpl w:val="4AF4E4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nsid w:val="72980D37"/>
    <w:multiLevelType w:val="hybridMultilevel"/>
    <w:tmpl w:val="FF4EE08A"/>
    <w:lvl w:ilvl="0" w:tplc="0C090001">
      <w:start w:val="1"/>
      <w:numFmt w:val="bullet"/>
      <w:lvlText w:val=""/>
      <w:lvlJc w:val="left"/>
      <w:pPr>
        <w:ind w:left="720" w:hanging="360"/>
      </w:pPr>
      <w:rPr>
        <w:rFonts w:ascii="Symbol" w:hAnsi="Symbol" w:hint="default"/>
      </w:rPr>
    </w:lvl>
    <w:lvl w:ilvl="1" w:tplc="2200DBC8">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73666C6B"/>
    <w:multiLevelType w:val="hybridMultilevel"/>
    <w:tmpl w:val="9F40F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76EE54DE"/>
    <w:multiLevelType w:val="hybridMultilevel"/>
    <w:tmpl w:val="EA820848"/>
    <w:lvl w:ilvl="0" w:tplc="0C090001">
      <w:start w:val="1"/>
      <w:numFmt w:val="bullet"/>
      <w:pStyle w:val="TOCHeading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76F15017"/>
    <w:multiLevelType w:val="hybridMultilevel"/>
    <w:tmpl w:val="808AC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798B197E"/>
    <w:multiLevelType w:val="hybridMultilevel"/>
    <w:tmpl w:val="71D43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nsid w:val="7B5677A6"/>
    <w:multiLevelType w:val="hybridMultilevel"/>
    <w:tmpl w:val="BEAC54EA"/>
    <w:lvl w:ilvl="0" w:tplc="2200DBC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nsid w:val="7B8319D3"/>
    <w:multiLevelType w:val="multilevel"/>
    <w:tmpl w:val="B802B0F4"/>
    <w:lvl w:ilvl="0">
      <w:start w:val="2"/>
      <w:numFmt w:val="upperLetter"/>
      <w:lvlText w:val="Section %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Letter"/>
      <w:lvlText w:val="(%4)"/>
      <w:lvlJc w:val="left"/>
      <w:pPr>
        <w:ind w:left="0" w:firstLine="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7ECC1DE4"/>
    <w:multiLevelType w:val="hybridMultilevel"/>
    <w:tmpl w:val="CA2EC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4"/>
  </w:num>
  <w:num w:numId="5">
    <w:abstractNumId w:val="3"/>
  </w:num>
  <w:num w:numId="6">
    <w:abstractNumId w:val="3"/>
  </w:num>
  <w:num w:numId="7">
    <w:abstractNumId w:val="3"/>
  </w:num>
  <w:num w:numId="8">
    <w:abstractNumId w:val="3"/>
  </w:num>
  <w:num w:numId="9">
    <w:abstractNumId w:val="3"/>
  </w:num>
  <w:num w:numId="10">
    <w:abstractNumId w:val="55"/>
  </w:num>
  <w:num w:numId="11">
    <w:abstractNumId w:val="5"/>
  </w:num>
  <w:num w:numId="12">
    <w:abstractNumId w:val="51"/>
  </w:num>
  <w:num w:numId="13">
    <w:abstractNumId w:val="0"/>
  </w:num>
  <w:num w:numId="14">
    <w:abstractNumId w:val="60"/>
  </w:num>
  <w:num w:numId="15">
    <w:abstractNumId w:val="22"/>
  </w:num>
  <w:num w:numId="16">
    <w:abstractNumId w:val="48"/>
  </w:num>
  <w:num w:numId="17">
    <w:abstractNumId w:val="14"/>
  </w:num>
  <w:num w:numId="18">
    <w:abstractNumId w:val="7"/>
  </w:num>
  <w:num w:numId="19">
    <w:abstractNumId w:val="13"/>
  </w:num>
  <w:num w:numId="20">
    <w:abstractNumId w:val="45"/>
  </w:num>
  <w:num w:numId="21">
    <w:abstractNumId w:val="85"/>
  </w:num>
  <w:num w:numId="22">
    <w:abstractNumId w:val="93"/>
  </w:num>
  <w:num w:numId="23">
    <w:abstractNumId w:val="24"/>
  </w:num>
  <w:num w:numId="24">
    <w:abstractNumId w:val="10"/>
  </w:num>
  <w:num w:numId="25">
    <w:abstractNumId w:val="90"/>
  </w:num>
  <w:num w:numId="26">
    <w:abstractNumId w:val="11"/>
  </w:num>
  <w:num w:numId="27">
    <w:abstractNumId w:val="34"/>
  </w:num>
  <w:num w:numId="28">
    <w:abstractNumId w:val="32"/>
  </w:num>
  <w:num w:numId="29">
    <w:abstractNumId w:val="36"/>
  </w:num>
  <w:num w:numId="30">
    <w:abstractNumId w:val="96"/>
  </w:num>
  <w:num w:numId="31">
    <w:abstractNumId w:val="16"/>
  </w:num>
  <w:num w:numId="32">
    <w:abstractNumId w:val="92"/>
  </w:num>
  <w:num w:numId="33">
    <w:abstractNumId w:val="63"/>
  </w:num>
  <w:num w:numId="34">
    <w:abstractNumId w:val="39"/>
  </w:num>
  <w:num w:numId="35">
    <w:abstractNumId w:val="98"/>
  </w:num>
  <w:num w:numId="36">
    <w:abstractNumId w:val="59"/>
  </w:num>
  <w:num w:numId="37">
    <w:abstractNumId w:val="74"/>
  </w:num>
  <w:num w:numId="38">
    <w:abstractNumId w:val="50"/>
  </w:num>
  <w:num w:numId="39">
    <w:abstractNumId w:val="37"/>
  </w:num>
  <w:num w:numId="40">
    <w:abstractNumId w:val="82"/>
  </w:num>
  <w:num w:numId="41">
    <w:abstractNumId w:val="57"/>
  </w:num>
  <w:num w:numId="42">
    <w:abstractNumId w:val="27"/>
  </w:num>
  <w:num w:numId="43">
    <w:abstractNumId w:val="58"/>
  </w:num>
  <w:num w:numId="44">
    <w:abstractNumId w:val="75"/>
  </w:num>
  <w:num w:numId="45">
    <w:abstractNumId w:val="83"/>
  </w:num>
  <w:num w:numId="46">
    <w:abstractNumId w:val="25"/>
  </w:num>
  <w:num w:numId="47">
    <w:abstractNumId w:val="20"/>
  </w:num>
  <w:num w:numId="48">
    <w:abstractNumId w:val="76"/>
  </w:num>
  <w:num w:numId="49">
    <w:abstractNumId w:val="44"/>
  </w:num>
  <w:num w:numId="50">
    <w:abstractNumId w:val="64"/>
  </w:num>
  <w:num w:numId="51">
    <w:abstractNumId w:val="79"/>
  </w:num>
  <w:num w:numId="52">
    <w:abstractNumId w:val="15"/>
  </w:num>
  <w:num w:numId="53">
    <w:abstractNumId w:val="1"/>
  </w:num>
  <w:num w:numId="54">
    <w:abstractNumId w:val="95"/>
  </w:num>
  <w:num w:numId="55">
    <w:abstractNumId w:val="31"/>
  </w:num>
  <w:num w:numId="56">
    <w:abstractNumId w:val="38"/>
  </w:num>
  <w:num w:numId="57">
    <w:abstractNumId w:val="9"/>
  </w:num>
  <w:num w:numId="58">
    <w:abstractNumId w:val="30"/>
  </w:num>
  <w:num w:numId="59">
    <w:abstractNumId w:val="81"/>
  </w:num>
  <w:num w:numId="60">
    <w:abstractNumId w:val="52"/>
  </w:num>
  <w:num w:numId="61">
    <w:abstractNumId w:val="19"/>
  </w:num>
  <w:num w:numId="62">
    <w:abstractNumId w:val="88"/>
  </w:num>
  <w:num w:numId="63">
    <w:abstractNumId w:val="28"/>
  </w:num>
  <w:num w:numId="64">
    <w:abstractNumId w:val="89"/>
  </w:num>
  <w:num w:numId="65">
    <w:abstractNumId w:val="69"/>
  </w:num>
  <w:num w:numId="66">
    <w:abstractNumId w:val="84"/>
  </w:num>
  <w:num w:numId="67">
    <w:abstractNumId w:val="26"/>
  </w:num>
  <w:num w:numId="68">
    <w:abstractNumId w:val="40"/>
  </w:num>
  <w:num w:numId="69">
    <w:abstractNumId w:val="6"/>
  </w:num>
  <w:num w:numId="70">
    <w:abstractNumId w:val="2"/>
  </w:num>
  <w:num w:numId="71">
    <w:abstractNumId w:val="67"/>
  </w:num>
  <w:num w:numId="72">
    <w:abstractNumId w:val="91"/>
  </w:num>
  <w:num w:numId="73">
    <w:abstractNumId w:val="54"/>
  </w:num>
  <w:num w:numId="74">
    <w:abstractNumId w:val="56"/>
  </w:num>
  <w:num w:numId="75">
    <w:abstractNumId w:val="46"/>
  </w:num>
  <w:num w:numId="76">
    <w:abstractNumId w:val="29"/>
  </w:num>
  <w:num w:numId="77">
    <w:abstractNumId w:val="97"/>
  </w:num>
  <w:num w:numId="78">
    <w:abstractNumId w:val="100"/>
  </w:num>
  <w:num w:numId="79">
    <w:abstractNumId w:val="23"/>
  </w:num>
  <w:num w:numId="80">
    <w:abstractNumId w:val="47"/>
  </w:num>
  <w:num w:numId="81">
    <w:abstractNumId w:val="53"/>
  </w:num>
  <w:num w:numId="82">
    <w:abstractNumId w:val="41"/>
  </w:num>
  <w:num w:numId="83">
    <w:abstractNumId w:val="86"/>
  </w:num>
  <w:num w:numId="84">
    <w:abstractNumId w:val="61"/>
  </w:num>
  <w:num w:numId="85">
    <w:abstractNumId w:val="73"/>
  </w:num>
  <w:num w:numId="86">
    <w:abstractNumId w:val="68"/>
  </w:num>
  <w:num w:numId="87">
    <w:abstractNumId w:val="12"/>
  </w:num>
  <w:num w:numId="88">
    <w:abstractNumId w:val="94"/>
  </w:num>
  <w:num w:numId="89">
    <w:abstractNumId w:val="8"/>
  </w:num>
  <w:num w:numId="90">
    <w:abstractNumId w:val="35"/>
  </w:num>
  <w:num w:numId="91">
    <w:abstractNumId w:val="66"/>
  </w:num>
  <w:num w:numId="92">
    <w:abstractNumId w:val="65"/>
  </w:num>
  <w:num w:numId="93">
    <w:abstractNumId w:val="80"/>
  </w:num>
  <w:num w:numId="94">
    <w:abstractNumId w:val="72"/>
  </w:num>
  <w:num w:numId="95">
    <w:abstractNumId w:val="18"/>
  </w:num>
  <w:num w:numId="96">
    <w:abstractNumId w:val="33"/>
  </w:num>
  <w:num w:numId="97">
    <w:abstractNumId w:val="78"/>
  </w:num>
  <w:num w:numId="98">
    <w:abstractNumId w:val="62"/>
  </w:num>
  <w:num w:numId="99">
    <w:abstractNumId w:val="43"/>
  </w:num>
  <w:num w:numId="100">
    <w:abstractNumId w:val="99"/>
  </w:num>
  <w:num w:numId="101">
    <w:abstractNumId w:val="49"/>
  </w:num>
  <w:num w:numId="102">
    <w:abstractNumId w:val="71"/>
  </w:num>
  <w:num w:numId="103">
    <w:abstractNumId w:val="17"/>
  </w:num>
  <w:num w:numId="104">
    <w:abstractNumId w:val="77"/>
  </w:num>
  <w:num w:numId="105">
    <w:abstractNumId w:val="21"/>
  </w:num>
  <w:num w:numId="106">
    <w:abstractNumId w:val="5"/>
  </w:num>
  <w:num w:numId="107">
    <w:abstractNumId w:val="31"/>
  </w:num>
  <w:num w:numId="108">
    <w:abstractNumId w:val="22"/>
  </w:num>
  <w:num w:numId="109">
    <w:abstractNumId w:val="51"/>
  </w:num>
  <w:num w:numId="110">
    <w:abstractNumId w:val="51"/>
  </w:num>
  <w:num w:numId="111">
    <w:abstractNumId w:val="15"/>
  </w:num>
  <w:num w:numId="112">
    <w:abstractNumId w:val="27"/>
  </w:num>
  <w:num w:numId="113">
    <w:abstractNumId w:val="27"/>
  </w:num>
  <w:num w:numId="114">
    <w:abstractNumId w:val="15"/>
  </w:num>
  <w:num w:numId="115">
    <w:abstractNumId w:val="15"/>
  </w:num>
  <w:num w:numId="116">
    <w:abstractNumId w:val="15"/>
  </w:num>
  <w:num w:numId="117">
    <w:abstractNumId w:val="15"/>
  </w:num>
  <w:num w:numId="118">
    <w:abstractNumId w:val="15"/>
  </w:num>
  <w:num w:numId="119">
    <w:abstractNumId w:val="3"/>
  </w:num>
  <w:num w:numId="120">
    <w:abstractNumId w:val="2"/>
  </w:num>
  <w:num w:numId="121">
    <w:abstractNumId w:val="1"/>
  </w:num>
  <w:num w:numId="122">
    <w:abstractNumId w:val="0"/>
  </w:num>
  <w:num w:numId="123">
    <w:abstractNumId w:val="79"/>
  </w:num>
  <w:num w:numId="124">
    <w:abstractNumId w:val="55"/>
  </w:num>
  <w:num w:numId="125">
    <w:abstractNumId w:val="60"/>
  </w:num>
  <w:num w:numId="126">
    <w:abstractNumId w:val="15"/>
  </w:num>
  <w:num w:numId="127">
    <w:abstractNumId w:val="95"/>
  </w:num>
  <w:num w:numId="128">
    <w:abstractNumId w:val="70"/>
  </w:num>
  <w:num w:numId="129">
    <w:abstractNumId w:val="42"/>
  </w:num>
  <w:num w:numId="130">
    <w:abstractNumId w:val="8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indowHeight" w:val="1462"/>
    <w:docVar w:name="WindowLeft" w:val="538"/>
    <w:docVar w:name="WindowState" w:val="1"/>
    <w:docVar w:name="WindowTop" w:val="0"/>
    <w:docVar w:name="WindowWidth" w:val="958"/>
    <w:docVar w:name="WindowZoom" w:val="100"/>
  </w:docVars>
  <w:rsids>
    <w:rsidRoot w:val="00E47AB8"/>
    <w:rsid w:val="00002208"/>
    <w:rsid w:val="00003049"/>
    <w:rsid w:val="00013C44"/>
    <w:rsid w:val="000260A1"/>
    <w:rsid w:val="00041B86"/>
    <w:rsid w:val="00045468"/>
    <w:rsid w:val="000642CE"/>
    <w:rsid w:val="000A7364"/>
    <w:rsid w:val="000C000B"/>
    <w:rsid w:val="000E4C37"/>
    <w:rsid w:val="00141137"/>
    <w:rsid w:val="001532E7"/>
    <w:rsid w:val="00155B54"/>
    <w:rsid w:val="00162264"/>
    <w:rsid w:val="001A7001"/>
    <w:rsid w:val="001E79A9"/>
    <w:rsid w:val="002813D0"/>
    <w:rsid w:val="0028513C"/>
    <w:rsid w:val="002D45F6"/>
    <w:rsid w:val="002E5F0F"/>
    <w:rsid w:val="002E62C9"/>
    <w:rsid w:val="002F59CC"/>
    <w:rsid w:val="003105F5"/>
    <w:rsid w:val="0032194D"/>
    <w:rsid w:val="00336085"/>
    <w:rsid w:val="0038042F"/>
    <w:rsid w:val="00394473"/>
    <w:rsid w:val="003B2A6B"/>
    <w:rsid w:val="003E5BCE"/>
    <w:rsid w:val="00422306"/>
    <w:rsid w:val="00426E6B"/>
    <w:rsid w:val="004422C7"/>
    <w:rsid w:val="004B524B"/>
    <w:rsid w:val="004E7861"/>
    <w:rsid w:val="00503CE9"/>
    <w:rsid w:val="00516D89"/>
    <w:rsid w:val="005305A2"/>
    <w:rsid w:val="005839BC"/>
    <w:rsid w:val="00590B8C"/>
    <w:rsid w:val="005923BE"/>
    <w:rsid w:val="005A75A9"/>
    <w:rsid w:val="005C534F"/>
    <w:rsid w:val="005D75C6"/>
    <w:rsid w:val="00604D4F"/>
    <w:rsid w:val="00641928"/>
    <w:rsid w:val="006516AC"/>
    <w:rsid w:val="00667218"/>
    <w:rsid w:val="0068160E"/>
    <w:rsid w:val="006841AB"/>
    <w:rsid w:val="00693BE5"/>
    <w:rsid w:val="00694E4E"/>
    <w:rsid w:val="006B77ED"/>
    <w:rsid w:val="00703F10"/>
    <w:rsid w:val="0071000B"/>
    <w:rsid w:val="007146A9"/>
    <w:rsid w:val="0074140A"/>
    <w:rsid w:val="007572A1"/>
    <w:rsid w:val="00775ACC"/>
    <w:rsid w:val="00792697"/>
    <w:rsid w:val="007A17DB"/>
    <w:rsid w:val="007B6507"/>
    <w:rsid w:val="007C6E89"/>
    <w:rsid w:val="007E20B7"/>
    <w:rsid w:val="007E60B7"/>
    <w:rsid w:val="007F30CE"/>
    <w:rsid w:val="007F4E2E"/>
    <w:rsid w:val="008016EF"/>
    <w:rsid w:val="00830DAA"/>
    <w:rsid w:val="00881806"/>
    <w:rsid w:val="008A72A2"/>
    <w:rsid w:val="008C4340"/>
    <w:rsid w:val="008F355F"/>
    <w:rsid w:val="0093326E"/>
    <w:rsid w:val="00933B87"/>
    <w:rsid w:val="00955676"/>
    <w:rsid w:val="009B75E5"/>
    <w:rsid w:val="009B7B2F"/>
    <w:rsid w:val="009F38CF"/>
    <w:rsid w:val="009F50D2"/>
    <w:rsid w:val="00A00398"/>
    <w:rsid w:val="00A014BF"/>
    <w:rsid w:val="00A07C4C"/>
    <w:rsid w:val="00A26D4B"/>
    <w:rsid w:val="00A279C5"/>
    <w:rsid w:val="00A6193E"/>
    <w:rsid w:val="00A847AE"/>
    <w:rsid w:val="00AD098E"/>
    <w:rsid w:val="00AE516D"/>
    <w:rsid w:val="00AF592B"/>
    <w:rsid w:val="00B005D8"/>
    <w:rsid w:val="00B17898"/>
    <w:rsid w:val="00B4391A"/>
    <w:rsid w:val="00B47797"/>
    <w:rsid w:val="00B614BA"/>
    <w:rsid w:val="00B81273"/>
    <w:rsid w:val="00BC154E"/>
    <w:rsid w:val="00BC546B"/>
    <w:rsid w:val="00BC6E1A"/>
    <w:rsid w:val="00BD2A14"/>
    <w:rsid w:val="00BD6D68"/>
    <w:rsid w:val="00BE02D0"/>
    <w:rsid w:val="00BE187F"/>
    <w:rsid w:val="00C277DF"/>
    <w:rsid w:val="00C558DB"/>
    <w:rsid w:val="00C723E2"/>
    <w:rsid w:val="00C92C9A"/>
    <w:rsid w:val="00CE10BC"/>
    <w:rsid w:val="00CE1370"/>
    <w:rsid w:val="00CE1BE8"/>
    <w:rsid w:val="00D20990"/>
    <w:rsid w:val="00D2496B"/>
    <w:rsid w:val="00D2555E"/>
    <w:rsid w:val="00D2611C"/>
    <w:rsid w:val="00D7152B"/>
    <w:rsid w:val="00D92655"/>
    <w:rsid w:val="00DB13F8"/>
    <w:rsid w:val="00DB5D68"/>
    <w:rsid w:val="00DD7A23"/>
    <w:rsid w:val="00DF42FE"/>
    <w:rsid w:val="00E0111F"/>
    <w:rsid w:val="00E0615B"/>
    <w:rsid w:val="00E114B3"/>
    <w:rsid w:val="00E14AC4"/>
    <w:rsid w:val="00E468EC"/>
    <w:rsid w:val="00E47AB8"/>
    <w:rsid w:val="00E665DB"/>
    <w:rsid w:val="00E87280"/>
    <w:rsid w:val="00E9203D"/>
    <w:rsid w:val="00EA377B"/>
    <w:rsid w:val="00F2655D"/>
    <w:rsid w:val="00F3323E"/>
    <w:rsid w:val="00F526DB"/>
    <w:rsid w:val="00F550EB"/>
    <w:rsid w:val="00F56FD1"/>
    <w:rsid w:val="00F8078D"/>
    <w:rsid w:val="00F80E4A"/>
    <w:rsid w:val="00F820E5"/>
    <w:rsid w:val="00FC431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DB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Osaka"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uiPriority="0"/>
    <w:lsdException w:name="List Bullet 3" w:uiPriority="0"/>
    <w:lsdException w:name="List Bullet 5"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18"/>
    <w:pPr>
      <w:spacing w:after="12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667218"/>
    <w:pPr>
      <w:keepNext/>
      <w:keepLines/>
      <w:numPr>
        <w:numId w:val="126"/>
      </w:numPr>
      <w:spacing w:before="480"/>
      <w:outlineLvl w:val="0"/>
    </w:pPr>
    <w:rPr>
      <w:rFonts w:ascii="Tahoma" w:eastAsia="Times New Roman" w:hAnsi="Tahoma" w:cs="Tahoma"/>
      <w:b/>
      <w:bCs/>
      <w:color w:val="000000"/>
      <w:sz w:val="44"/>
      <w:szCs w:val="44"/>
    </w:rPr>
  </w:style>
  <w:style w:type="paragraph" w:styleId="Heading2">
    <w:name w:val="heading 2"/>
    <w:basedOn w:val="Normal"/>
    <w:next w:val="Normal"/>
    <w:link w:val="Heading2Char"/>
    <w:uiPriority w:val="9"/>
    <w:unhideWhenUsed/>
    <w:qFormat/>
    <w:rsid w:val="00667218"/>
    <w:pPr>
      <w:keepNext/>
      <w:keepLines/>
      <w:numPr>
        <w:ilvl w:val="1"/>
        <w:numId w:val="42"/>
      </w:numPr>
      <w:spacing w:before="200"/>
      <w:outlineLvl w:val="1"/>
    </w:pPr>
    <w:rPr>
      <w:rFonts w:ascii="Tahoma" w:eastAsia="Times New Roman" w:hAnsi="Tahoma" w:cs="Tahoma"/>
      <w:b/>
      <w:bCs/>
      <w:color w:val="000000"/>
      <w:sz w:val="28"/>
      <w:szCs w:val="28"/>
    </w:rPr>
  </w:style>
  <w:style w:type="paragraph" w:styleId="Heading3">
    <w:name w:val="heading 3"/>
    <w:basedOn w:val="Normal"/>
    <w:next w:val="Normal"/>
    <w:link w:val="Heading3Char"/>
    <w:uiPriority w:val="9"/>
    <w:unhideWhenUsed/>
    <w:qFormat/>
    <w:rsid w:val="00667218"/>
    <w:pPr>
      <w:keepNext/>
      <w:keepLines/>
      <w:spacing w:before="200"/>
      <w:outlineLvl w:val="2"/>
    </w:pPr>
    <w:rPr>
      <w:rFonts w:ascii="Tahoma" w:eastAsia="Times New Roman" w:hAnsi="Tahoma" w:cs="Tahoma"/>
      <w:b/>
      <w:bCs/>
      <w:color w:val="000000"/>
    </w:rPr>
  </w:style>
  <w:style w:type="paragraph" w:styleId="Heading4">
    <w:name w:val="heading 4"/>
    <w:basedOn w:val="Normal"/>
    <w:next w:val="Normal"/>
    <w:link w:val="Heading4Char"/>
    <w:uiPriority w:val="9"/>
    <w:unhideWhenUsed/>
    <w:qFormat/>
    <w:rsid w:val="00667218"/>
    <w:pPr>
      <w:keepNext/>
      <w:outlineLvl w:val="3"/>
    </w:pPr>
    <w:rPr>
      <w:b/>
    </w:rPr>
  </w:style>
  <w:style w:type="paragraph" w:styleId="Heading5">
    <w:name w:val="heading 5"/>
    <w:basedOn w:val="Heading4"/>
    <w:next w:val="Normal"/>
    <w:link w:val="Heading5Char"/>
    <w:uiPriority w:val="9"/>
    <w:unhideWhenUsed/>
    <w:rsid w:val="00667218"/>
    <w:pPr>
      <w:keepLines/>
      <w:numPr>
        <w:ilvl w:val="4"/>
        <w:numId w:val="126"/>
      </w:numPr>
      <w:spacing w:before="200" w:after="0"/>
      <w:outlineLvl w:val="4"/>
    </w:pPr>
    <w:rPr>
      <w:rFonts w:ascii="Times New Roman" w:eastAsia="Times New Roman" w:hAnsi="Times New Roman" w:cstheme="majorBidi"/>
      <w:i/>
    </w:rPr>
  </w:style>
  <w:style w:type="paragraph" w:styleId="Heading6">
    <w:name w:val="heading 6"/>
    <w:basedOn w:val="Normal"/>
    <w:next w:val="Normal"/>
    <w:link w:val="Heading6Char"/>
    <w:uiPriority w:val="9"/>
    <w:unhideWhenUsed/>
    <w:rsid w:val="00667218"/>
    <w:pPr>
      <w:keepNext/>
      <w:keepLines/>
      <w:numPr>
        <w:ilvl w:val="5"/>
        <w:numId w:val="126"/>
      </w:numPr>
      <w:spacing w:before="200"/>
      <w:outlineLvl w:val="5"/>
    </w:pPr>
    <w:rPr>
      <w:rFonts w:eastAsia="Times New Roman" w:cstheme="majorBidi"/>
      <w:i/>
      <w:iCs/>
      <w:color w:val="243F60" w:themeColor="accent1" w:themeShade="7F"/>
    </w:rPr>
  </w:style>
  <w:style w:type="paragraph" w:styleId="Heading7">
    <w:name w:val="heading 7"/>
    <w:basedOn w:val="Normal"/>
    <w:next w:val="Normal"/>
    <w:link w:val="Heading7Char"/>
    <w:uiPriority w:val="9"/>
    <w:unhideWhenUsed/>
    <w:rsid w:val="00667218"/>
    <w:pPr>
      <w:keepNext/>
      <w:keepLines/>
      <w:numPr>
        <w:ilvl w:val="6"/>
        <w:numId w:val="126"/>
      </w:numPr>
      <w:spacing w:before="200"/>
      <w:outlineLvl w:val="6"/>
    </w:pPr>
    <w:rPr>
      <w:rFonts w:eastAsia="Times New Roman" w:cstheme="majorBidi"/>
      <w:i/>
      <w:iCs/>
      <w:color w:val="404040" w:themeColor="text1" w:themeTint="BF"/>
    </w:rPr>
  </w:style>
  <w:style w:type="paragraph" w:styleId="Heading8">
    <w:name w:val="heading 8"/>
    <w:basedOn w:val="Normal"/>
    <w:next w:val="Normal"/>
    <w:link w:val="Heading8Char"/>
    <w:uiPriority w:val="9"/>
    <w:unhideWhenUsed/>
    <w:rsid w:val="00667218"/>
    <w:pPr>
      <w:keepNext/>
      <w:keepLines/>
      <w:numPr>
        <w:ilvl w:val="7"/>
        <w:numId w:val="126"/>
      </w:numPr>
      <w:spacing w:before="200"/>
      <w:outlineLvl w:val="7"/>
    </w:pPr>
    <w:rPr>
      <w:rFonts w:eastAsia="Times New Roman" w:cstheme="majorBidi"/>
      <w:color w:val="404040" w:themeColor="text1" w:themeTint="BF"/>
      <w:sz w:val="20"/>
      <w:szCs w:val="20"/>
    </w:rPr>
  </w:style>
  <w:style w:type="paragraph" w:styleId="Heading9">
    <w:name w:val="heading 9"/>
    <w:basedOn w:val="Normal"/>
    <w:next w:val="Normal"/>
    <w:link w:val="Heading9Char"/>
    <w:uiPriority w:val="9"/>
    <w:unhideWhenUsed/>
    <w:rsid w:val="00667218"/>
    <w:pPr>
      <w:keepNext/>
      <w:keepLines/>
      <w:numPr>
        <w:ilvl w:val="8"/>
        <w:numId w:val="126"/>
      </w:numPr>
      <w:spacing w:before="200"/>
      <w:outlineLvl w:val="8"/>
    </w:pPr>
    <w:rPr>
      <w:rFonts w:eastAsia="Times New Roman"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line="360" w:lineRule="auto"/>
    </w:pPr>
    <w:rPr>
      <w:rFonts w:eastAsia="Times New Roman"/>
    </w:rPr>
  </w:style>
  <w:style w:type="paragraph" w:styleId="CommentText">
    <w:name w:val="annotation text"/>
    <w:basedOn w:val="Normal"/>
    <w:link w:val="CommentTextChar"/>
    <w:uiPriority w:val="99"/>
    <w:rsid w:val="00667218"/>
    <w:pPr>
      <w:spacing w:line="240" w:lineRule="auto"/>
    </w:pPr>
    <w:rPr>
      <w:rFonts w:ascii="Garamond" w:eastAsia="Times New Roman" w:hAnsi="Garamond"/>
      <w:sz w:val="20"/>
      <w:szCs w:val="20"/>
      <w:lang w:eastAsia="en-AU"/>
    </w:rPr>
  </w:style>
  <w:style w:type="paragraph" w:styleId="ListBullet">
    <w:name w:val="List Bullet"/>
    <w:basedOn w:val="Normal"/>
    <w:rsid w:val="00667218"/>
    <w:pPr>
      <w:numPr>
        <w:numId w:val="119"/>
      </w:numPr>
      <w:spacing w:after="240" w:line="240" w:lineRule="auto"/>
    </w:pPr>
    <w:rPr>
      <w:rFonts w:ascii="Garamond" w:eastAsia="Times New Roman" w:hAnsi="Garamond"/>
      <w:lang w:eastAsia="en-AU"/>
    </w:rPr>
  </w:style>
  <w:style w:type="paragraph" w:customStyle="1" w:styleId="Address">
    <w:name w:val="Address"/>
    <w:basedOn w:val="Normal"/>
    <w:rsid w:val="009D6C91"/>
  </w:style>
  <w:style w:type="paragraph" w:customStyle="1" w:styleId="Authors">
    <w:name w:val="Authors"/>
    <w:basedOn w:val="Normal"/>
    <w:rsid w:val="000D17CE"/>
    <w:pPr>
      <w:jc w:val="center"/>
    </w:pPr>
    <w:rPr>
      <w:noProof/>
    </w:rPr>
  </w:style>
  <w:style w:type="paragraph" w:styleId="BalloonText">
    <w:name w:val="Balloon Text"/>
    <w:basedOn w:val="Normal"/>
    <w:link w:val="BalloonTextChar"/>
    <w:uiPriority w:val="99"/>
    <w:semiHidden/>
    <w:unhideWhenUsed/>
    <w:rsid w:val="00667218"/>
    <w:pPr>
      <w:spacing w:line="240" w:lineRule="auto"/>
    </w:pPr>
    <w:rPr>
      <w:rFonts w:ascii="Tahoma" w:hAnsi="Tahoma" w:cs="Tahoma"/>
      <w:sz w:val="16"/>
      <w:szCs w:val="16"/>
    </w:rPr>
  </w:style>
  <w:style w:type="paragraph" w:customStyle="1" w:styleId="Bulletpoint">
    <w:name w:val="Bullet point"/>
    <w:basedOn w:val="Normal"/>
    <w:rsid w:val="009D6C91"/>
    <w:pPr>
      <w:numPr>
        <w:numId w:val="4"/>
      </w:numPr>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rsid w:val="00667218"/>
    <w:pPr>
      <w:keepNext/>
      <w:tabs>
        <w:tab w:val="left" w:pos="1276"/>
      </w:tabs>
      <w:spacing w:after="80"/>
      <w:ind w:left="1276" w:hanging="1276"/>
    </w:pPr>
    <w:rPr>
      <w:rFonts w:eastAsia="Times New Roman" w:cstheme="minorBidi"/>
      <w:b/>
      <w:bCs/>
      <w:szCs w:val="18"/>
    </w:rPr>
  </w:style>
  <w:style w:type="character" w:styleId="CommentReference">
    <w:name w:val="annotation reference"/>
    <w:basedOn w:val="DefaultParagraphFont"/>
    <w:uiPriority w:val="99"/>
    <w:rsid w:val="00667218"/>
    <w:rPr>
      <w:vanish/>
      <w:sz w:val="16"/>
    </w:rPr>
  </w:style>
  <w:style w:type="paragraph" w:customStyle="1" w:styleId="Equation">
    <w:name w:val="Equation"/>
    <w:basedOn w:val="Normal"/>
    <w:rsid w:val="00DB7C49"/>
    <w:pPr>
      <w:tabs>
        <w:tab w:val="center" w:pos="4536"/>
        <w:tab w:val="right" w:pos="9072"/>
      </w:tabs>
    </w:pPr>
  </w:style>
  <w:style w:type="paragraph" w:customStyle="1" w:styleId="Footnote">
    <w:name w:val="Footnote"/>
    <w:basedOn w:val="Normal"/>
    <w:rsid w:val="009D6C91"/>
    <w:pPr>
      <w:spacing w:after="60"/>
    </w:pPr>
    <w:rPr>
      <w:sz w:val="20"/>
    </w:rPr>
  </w:style>
  <w:style w:type="paragraph" w:customStyle="1" w:styleId="Normalind">
    <w:name w:val="Normal ind"/>
    <w:basedOn w:val="Normal"/>
    <w:rsid w:val="009D6C91"/>
    <w:pPr>
      <w:ind w:firstLine="425"/>
    </w:pPr>
  </w:style>
  <w:style w:type="paragraph" w:customStyle="1" w:styleId="Normalnoindent">
    <w:name w:val="Normal no indent"/>
    <w:basedOn w:val="Normal"/>
    <w:rsid w:val="009D6C91"/>
  </w:style>
  <w:style w:type="paragraph" w:customStyle="1" w:styleId="Numberedpoint">
    <w:name w:val="Numbered point"/>
    <w:basedOn w:val="Normal"/>
    <w:rsid w:val="009D6C91"/>
    <w:pPr>
      <w:ind w:left="425" w:hanging="425"/>
    </w:pPr>
  </w:style>
  <w:style w:type="character" w:styleId="PageNumber">
    <w:name w:val="page number"/>
    <w:rsid w:val="00667218"/>
    <w:rPr>
      <w:rFonts w:ascii="Tahoma" w:hAnsi="Tahoma"/>
      <w:b/>
      <w:sz w:val="18"/>
    </w:rPr>
  </w:style>
  <w:style w:type="paragraph" w:customStyle="1" w:styleId="Papertitle">
    <w:name w:val="Paper title"/>
    <w:basedOn w:val="Normal"/>
    <w:rsid w:val="009D6C91"/>
    <w:pPr>
      <w:spacing w:after="240"/>
      <w:jc w:val="center"/>
    </w:pPr>
    <w:rPr>
      <w:b/>
      <w:sz w:val="28"/>
    </w:rPr>
  </w:style>
  <w:style w:type="paragraph" w:customStyle="1" w:styleId="References">
    <w:name w:val="References"/>
    <w:basedOn w:val="Normal"/>
    <w:rsid w:val="009D6C91"/>
    <w:pPr>
      <w:ind w:left="426" w:hanging="426"/>
    </w:pPr>
  </w:style>
  <w:style w:type="paragraph" w:customStyle="1" w:styleId="Stoprunon">
    <w:name w:val="Stop &amp; run on"/>
    <w:basedOn w:val="Normal"/>
    <w:rsid w:val="009D6C91"/>
    <w:pPr>
      <w:spacing w:before="120"/>
    </w:pPr>
  </w:style>
  <w:style w:type="character" w:customStyle="1" w:styleId="Symbol">
    <w:name w:val="Symbol"/>
    <w:basedOn w:val="DefaultParagraphFont"/>
    <w:rsid w:val="009D6C91"/>
  </w:style>
  <w:style w:type="table" w:styleId="TableGrid">
    <w:name w:val="Table Grid"/>
    <w:basedOn w:val="TableNormal"/>
    <w:uiPriority w:val="59"/>
    <w:rsid w:val="00667218"/>
    <w:rPr>
      <w:rFonts w:ascii="Calibri" w:eastAsia="Calibri" w:hAnsi="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F6C3C"/>
    <w:pPr>
      <w:spacing w:after="240"/>
      <w:jc w:val="center"/>
      <w:outlineLvl w:val="0"/>
    </w:pPr>
    <w:rPr>
      <w:b/>
      <w:kern w:val="28"/>
      <w:sz w:val="28"/>
      <w:szCs w:val="32"/>
    </w:rPr>
  </w:style>
  <w:style w:type="character" w:styleId="Hyperlink">
    <w:name w:val="Hyperlink"/>
    <w:uiPriority w:val="99"/>
    <w:unhideWhenUsed/>
    <w:rsid w:val="00667218"/>
    <w:rPr>
      <w:rFonts w:ascii="Times New Roman" w:hAnsi="Times New Roman"/>
      <w:color w:val="0000FF"/>
      <w:sz w:val="22"/>
      <w:u w:val="single"/>
    </w:rPr>
  </w:style>
  <w:style w:type="character" w:customStyle="1" w:styleId="Heading5Char">
    <w:name w:val="Heading 5 Char"/>
    <w:basedOn w:val="DefaultParagraphFont"/>
    <w:link w:val="Heading5"/>
    <w:uiPriority w:val="9"/>
    <w:rsid w:val="00667218"/>
    <w:rPr>
      <w:rFonts w:eastAsia="Times New Roman" w:cstheme="majorBidi"/>
      <w:b/>
      <w:i/>
      <w:sz w:val="22"/>
      <w:szCs w:val="22"/>
    </w:rPr>
  </w:style>
  <w:style w:type="character" w:customStyle="1" w:styleId="Heading6Char">
    <w:name w:val="Heading 6 Char"/>
    <w:basedOn w:val="DefaultParagraphFont"/>
    <w:link w:val="Heading6"/>
    <w:uiPriority w:val="9"/>
    <w:rsid w:val="00667218"/>
    <w:rPr>
      <w:rFonts w:ascii="Calibri" w:eastAsia="Times New Roman" w:hAnsi="Calibr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667218"/>
    <w:rPr>
      <w:rFonts w:ascii="Calibri" w:eastAsia="Times New Roman" w:hAnsi="Calibri" w:cstheme="majorBidi"/>
      <w:i/>
      <w:iCs/>
      <w:color w:val="404040" w:themeColor="text1" w:themeTint="BF"/>
      <w:sz w:val="22"/>
      <w:szCs w:val="22"/>
    </w:rPr>
  </w:style>
  <w:style w:type="character" w:customStyle="1" w:styleId="Heading8Char">
    <w:name w:val="Heading 8 Char"/>
    <w:basedOn w:val="DefaultParagraphFont"/>
    <w:link w:val="Heading8"/>
    <w:uiPriority w:val="9"/>
    <w:rsid w:val="00667218"/>
    <w:rPr>
      <w:rFonts w:ascii="Calibri" w:eastAsia="Times New Roman" w:hAnsi="Calibri" w:cstheme="majorBidi"/>
      <w:color w:val="404040" w:themeColor="text1" w:themeTint="BF"/>
      <w:sz w:val="20"/>
      <w:szCs w:val="20"/>
    </w:rPr>
  </w:style>
  <w:style w:type="character" w:customStyle="1" w:styleId="Heading9Char">
    <w:name w:val="Heading 9 Char"/>
    <w:basedOn w:val="DefaultParagraphFont"/>
    <w:link w:val="Heading9"/>
    <w:uiPriority w:val="9"/>
    <w:rsid w:val="00667218"/>
    <w:rPr>
      <w:rFonts w:ascii="Calibri" w:eastAsia="Times New Roman" w:hAnsi="Calibri" w:cstheme="majorBidi"/>
      <w:i/>
      <w:iCs/>
      <w:color w:val="404040" w:themeColor="text1" w:themeTint="BF"/>
      <w:sz w:val="20"/>
      <w:szCs w:val="20"/>
    </w:rPr>
  </w:style>
  <w:style w:type="character" w:customStyle="1" w:styleId="Heading1Char">
    <w:name w:val="Heading 1 Char"/>
    <w:link w:val="Heading1"/>
    <w:uiPriority w:val="9"/>
    <w:rsid w:val="00667218"/>
    <w:rPr>
      <w:rFonts w:ascii="Tahoma" w:eastAsia="Times New Roman" w:hAnsi="Tahoma" w:cs="Tahoma"/>
      <w:b/>
      <w:bCs/>
      <w:color w:val="000000"/>
      <w:sz w:val="44"/>
      <w:szCs w:val="44"/>
    </w:rPr>
  </w:style>
  <w:style w:type="character" w:customStyle="1" w:styleId="Heading2Char">
    <w:name w:val="Heading 2 Char"/>
    <w:link w:val="Heading2"/>
    <w:uiPriority w:val="9"/>
    <w:rsid w:val="00667218"/>
    <w:rPr>
      <w:rFonts w:ascii="Tahoma" w:eastAsia="Times New Roman" w:hAnsi="Tahoma" w:cs="Tahoma"/>
      <w:b/>
      <w:bCs/>
      <w:color w:val="000000"/>
      <w:sz w:val="28"/>
      <w:szCs w:val="28"/>
    </w:rPr>
  </w:style>
  <w:style w:type="character" w:customStyle="1" w:styleId="Heading3Char">
    <w:name w:val="Heading 3 Char"/>
    <w:link w:val="Heading3"/>
    <w:uiPriority w:val="9"/>
    <w:rsid w:val="00667218"/>
    <w:rPr>
      <w:rFonts w:ascii="Tahoma" w:eastAsia="Times New Roman" w:hAnsi="Tahoma" w:cs="Tahoma"/>
      <w:b/>
      <w:bCs/>
      <w:color w:val="000000"/>
    </w:rPr>
  </w:style>
  <w:style w:type="character" w:customStyle="1" w:styleId="Heading4Char">
    <w:name w:val="Heading 4 Char"/>
    <w:basedOn w:val="DefaultParagraphFont"/>
    <w:link w:val="Heading4"/>
    <w:uiPriority w:val="9"/>
    <w:rsid w:val="00667218"/>
    <w:rPr>
      <w:rFonts w:ascii="Calibri" w:eastAsia="Calibri" w:hAnsi="Calibri"/>
      <w:b/>
    </w:rPr>
  </w:style>
  <w:style w:type="paragraph" w:styleId="TOCHeading">
    <w:name w:val="TOC Heading"/>
    <w:basedOn w:val="Heading1"/>
    <w:next w:val="Normal"/>
    <w:uiPriority w:val="39"/>
    <w:semiHidden/>
    <w:unhideWhenUsed/>
    <w:qFormat/>
    <w:rsid w:val="00667218"/>
    <w:pPr>
      <w:numPr>
        <w:numId w:val="0"/>
      </w:numPr>
      <w:spacing w:after="0"/>
      <w:outlineLvl w:val="9"/>
    </w:pPr>
    <w:rPr>
      <w:lang w:val="en-US" w:eastAsia="ja-JP"/>
    </w:rPr>
  </w:style>
  <w:style w:type="paragraph" w:styleId="TOC1">
    <w:name w:val="toc 1"/>
    <w:basedOn w:val="Normal"/>
    <w:next w:val="Normal"/>
    <w:autoRedefine/>
    <w:uiPriority w:val="39"/>
    <w:unhideWhenUsed/>
    <w:rsid w:val="00667218"/>
    <w:pPr>
      <w:spacing w:after="100"/>
    </w:pPr>
    <w:rPr>
      <w:noProof/>
    </w:rPr>
  </w:style>
  <w:style w:type="character" w:customStyle="1" w:styleId="BalloonTextChar">
    <w:name w:val="Balloon Text Char"/>
    <w:link w:val="BalloonText"/>
    <w:uiPriority w:val="99"/>
    <w:semiHidden/>
    <w:rsid w:val="00667218"/>
    <w:rPr>
      <w:rFonts w:ascii="Tahoma" w:eastAsia="Calibri" w:hAnsi="Tahoma" w:cs="Tahoma"/>
      <w:sz w:val="16"/>
      <w:szCs w:val="16"/>
    </w:rPr>
  </w:style>
  <w:style w:type="paragraph" w:styleId="TOC2">
    <w:name w:val="toc 2"/>
    <w:basedOn w:val="Normal"/>
    <w:next w:val="Normal"/>
    <w:autoRedefine/>
    <w:uiPriority w:val="39"/>
    <w:unhideWhenUsed/>
    <w:rsid w:val="00667218"/>
    <w:pPr>
      <w:ind w:left="220"/>
    </w:pPr>
    <w:rPr>
      <w:noProof/>
    </w:rPr>
  </w:style>
  <w:style w:type="paragraph" w:styleId="TOC3">
    <w:name w:val="toc 3"/>
    <w:basedOn w:val="Normal"/>
    <w:next w:val="Normal"/>
    <w:autoRedefine/>
    <w:uiPriority w:val="39"/>
    <w:unhideWhenUsed/>
    <w:rsid w:val="00667218"/>
    <w:pPr>
      <w:tabs>
        <w:tab w:val="left" w:pos="1149"/>
        <w:tab w:val="right" w:leader="dot" w:pos="9060"/>
      </w:tabs>
      <w:spacing w:after="40"/>
      <w:ind w:left="442"/>
    </w:pPr>
    <w:rPr>
      <w:noProof/>
    </w:rPr>
  </w:style>
  <w:style w:type="paragraph" w:styleId="TOC9">
    <w:name w:val="toc 9"/>
    <w:basedOn w:val="Normal"/>
    <w:next w:val="Normal"/>
    <w:autoRedefine/>
    <w:uiPriority w:val="39"/>
    <w:unhideWhenUsed/>
    <w:rsid w:val="00667218"/>
    <w:pPr>
      <w:ind w:left="1760"/>
    </w:pPr>
  </w:style>
  <w:style w:type="character" w:customStyle="1" w:styleId="CommentTextChar">
    <w:name w:val="Comment Text Char"/>
    <w:link w:val="CommentText"/>
    <w:uiPriority w:val="99"/>
    <w:rsid w:val="00667218"/>
    <w:rPr>
      <w:rFonts w:ascii="Garamond" w:eastAsia="Times New Roman" w:hAnsi="Garamond"/>
      <w:sz w:val="20"/>
      <w:szCs w:val="20"/>
      <w:lang w:eastAsia="en-AU"/>
    </w:rPr>
  </w:style>
  <w:style w:type="paragraph" w:styleId="Footer">
    <w:name w:val="footer"/>
    <w:aliases w:val=" Char"/>
    <w:basedOn w:val="Normal"/>
    <w:link w:val="FooterChar"/>
    <w:uiPriority w:val="99"/>
    <w:unhideWhenUsed/>
    <w:rsid w:val="00667218"/>
    <w:pPr>
      <w:tabs>
        <w:tab w:val="center" w:pos="4513"/>
        <w:tab w:val="right" w:pos="9026"/>
      </w:tabs>
    </w:pPr>
  </w:style>
  <w:style w:type="character" w:customStyle="1" w:styleId="FooterChar">
    <w:name w:val="Footer Char"/>
    <w:aliases w:val=" Char Char"/>
    <w:link w:val="Footer"/>
    <w:uiPriority w:val="99"/>
    <w:rsid w:val="00667218"/>
    <w:rPr>
      <w:rFonts w:ascii="Calibri" w:eastAsia="Calibri" w:hAnsi="Calibri"/>
      <w:sz w:val="22"/>
      <w:szCs w:val="22"/>
    </w:rPr>
  </w:style>
  <w:style w:type="paragraph" w:styleId="TOC4">
    <w:name w:val="toc 4"/>
    <w:basedOn w:val="Normal"/>
    <w:next w:val="Normal"/>
    <w:autoRedefine/>
    <w:uiPriority w:val="39"/>
    <w:unhideWhenUsed/>
    <w:rsid w:val="00667218"/>
    <w:pPr>
      <w:spacing w:after="100"/>
      <w:ind w:left="660"/>
    </w:pPr>
    <w:rPr>
      <w:rFonts w:eastAsia="Times New Roman"/>
      <w:lang w:eastAsia="en-AU"/>
    </w:rPr>
  </w:style>
  <w:style w:type="paragraph" w:styleId="TOC5">
    <w:name w:val="toc 5"/>
    <w:basedOn w:val="Normal"/>
    <w:next w:val="Normal"/>
    <w:autoRedefine/>
    <w:uiPriority w:val="39"/>
    <w:unhideWhenUsed/>
    <w:rsid w:val="00667218"/>
    <w:pPr>
      <w:spacing w:after="100"/>
      <w:ind w:left="880"/>
    </w:pPr>
    <w:rPr>
      <w:rFonts w:eastAsia="Times New Roman"/>
      <w:lang w:eastAsia="en-AU"/>
    </w:rPr>
  </w:style>
  <w:style w:type="paragraph" w:styleId="TOC6">
    <w:name w:val="toc 6"/>
    <w:basedOn w:val="Normal"/>
    <w:next w:val="Normal"/>
    <w:autoRedefine/>
    <w:uiPriority w:val="39"/>
    <w:unhideWhenUsed/>
    <w:rsid w:val="00667218"/>
    <w:pPr>
      <w:spacing w:after="100"/>
      <w:ind w:left="1100"/>
    </w:pPr>
    <w:rPr>
      <w:rFonts w:eastAsia="Times New Roman"/>
      <w:lang w:eastAsia="en-AU"/>
    </w:rPr>
  </w:style>
  <w:style w:type="paragraph" w:styleId="TOC7">
    <w:name w:val="toc 7"/>
    <w:basedOn w:val="Normal"/>
    <w:next w:val="Normal"/>
    <w:autoRedefine/>
    <w:uiPriority w:val="39"/>
    <w:unhideWhenUsed/>
    <w:rsid w:val="00667218"/>
    <w:pPr>
      <w:spacing w:after="100"/>
      <w:ind w:left="1320"/>
    </w:pPr>
    <w:rPr>
      <w:rFonts w:eastAsia="Times New Roman"/>
      <w:lang w:eastAsia="en-AU"/>
    </w:rPr>
  </w:style>
  <w:style w:type="paragraph" w:styleId="TOC8">
    <w:name w:val="toc 8"/>
    <w:basedOn w:val="Normal"/>
    <w:next w:val="Normal"/>
    <w:autoRedefine/>
    <w:uiPriority w:val="39"/>
    <w:unhideWhenUsed/>
    <w:rsid w:val="00667218"/>
    <w:pPr>
      <w:spacing w:after="100"/>
      <w:ind w:left="1540"/>
    </w:pPr>
    <w:rPr>
      <w:rFonts w:eastAsia="Times New Roman"/>
      <w:lang w:eastAsia="en-AU"/>
    </w:rPr>
  </w:style>
  <w:style w:type="paragraph" w:styleId="Header">
    <w:name w:val="header"/>
    <w:basedOn w:val="Normal"/>
    <w:link w:val="HeaderChar"/>
    <w:uiPriority w:val="99"/>
    <w:unhideWhenUsed/>
    <w:rsid w:val="00667218"/>
    <w:pPr>
      <w:tabs>
        <w:tab w:val="center" w:pos="4513"/>
        <w:tab w:val="right" w:pos="9026"/>
      </w:tabs>
    </w:pPr>
  </w:style>
  <w:style w:type="character" w:customStyle="1" w:styleId="HeaderChar">
    <w:name w:val="Header Char"/>
    <w:link w:val="Header"/>
    <w:uiPriority w:val="99"/>
    <w:rsid w:val="00667218"/>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67218"/>
    <w:pPr>
      <w:spacing w:after="200"/>
    </w:pPr>
    <w:rPr>
      <w:rFonts w:ascii="Calibri" w:eastAsia="Calibri" w:hAnsi="Calibri"/>
      <w:b/>
      <w:bCs/>
    </w:rPr>
  </w:style>
  <w:style w:type="character" w:customStyle="1" w:styleId="CommentTextChar1">
    <w:name w:val="Comment Text Char1"/>
    <w:basedOn w:val="DefaultParagraphFont"/>
    <w:uiPriority w:val="99"/>
    <w:rsid w:val="00E47AB8"/>
  </w:style>
  <w:style w:type="character" w:customStyle="1" w:styleId="CommentSubjectChar">
    <w:name w:val="Comment Subject Char"/>
    <w:basedOn w:val="CommentTextChar"/>
    <w:link w:val="CommentSubject"/>
    <w:uiPriority w:val="99"/>
    <w:semiHidden/>
    <w:rsid w:val="00667218"/>
    <w:rPr>
      <w:rFonts w:ascii="Calibri" w:eastAsia="Calibri" w:hAnsi="Calibri"/>
      <w:b/>
      <w:bCs/>
      <w:sz w:val="20"/>
      <w:szCs w:val="20"/>
      <w:lang w:eastAsia="en-AU"/>
    </w:rPr>
  </w:style>
  <w:style w:type="paragraph" w:customStyle="1" w:styleId="Default">
    <w:name w:val="Default"/>
    <w:rsid w:val="00667218"/>
    <w:pPr>
      <w:autoSpaceDE w:val="0"/>
      <w:autoSpaceDN w:val="0"/>
      <w:adjustRightInd w:val="0"/>
    </w:pPr>
    <w:rPr>
      <w:rFonts w:ascii="Tahoma" w:eastAsia="Calibri" w:hAnsi="Tahoma" w:cs="Tahoma"/>
      <w:color w:val="000000"/>
      <w:lang w:eastAsia="en-AU"/>
    </w:rPr>
  </w:style>
  <w:style w:type="paragraph" w:customStyle="1" w:styleId="BoxBullet">
    <w:name w:val="BoxBullet"/>
    <w:basedOn w:val="Normal"/>
    <w:rsid w:val="00667218"/>
    <w:pPr>
      <w:numPr>
        <w:numId w:val="106"/>
      </w:numPr>
      <w:pBdr>
        <w:top w:val="single" w:sz="4" w:space="4" w:color="000000"/>
        <w:left w:val="single" w:sz="4" w:space="4" w:color="000000"/>
        <w:bottom w:val="single" w:sz="4" w:space="4" w:color="000000"/>
        <w:right w:val="single" w:sz="4" w:space="4" w:color="000000"/>
      </w:pBdr>
      <w:tabs>
        <w:tab w:val="left" w:pos="1166"/>
      </w:tabs>
      <w:spacing w:line="240" w:lineRule="auto"/>
      <w:ind w:right="58"/>
    </w:pPr>
    <w:rPr>
      <w:rFonts w:eastAsia="Times New Roman"/>
      <w:color w:val="000000"/>
      <w:szCs w:val="20"/>
      <w:lang w:eastAsia="en-AU"/>
    </w:rPr>
  </w:style>
  <w:style w:type="paragraph" w:customStyle="1" w:styleId="BoxHeading">
    <w:name w:val="BoxHeading"/>
    <w:basedOn w:val="Normal"/>
    <w:rsid w:val="00667218"/>
    <w:pPr>
      <w:keepNext/>
      <w:pBdr>
        <w:top w:val="single" w:sz="4" w:space="4" w:color="000000"/>
        <w:left w:val="single" w:sz="4" w:space="4" w:color="000000"/>
        <w:bottom w:val="single" w:sz="4" w:space="4" w:color="000000"/>
        <w:right w:val="single" w:sz="4" w:space="4" w:color="000000"/>
      </w:pBdr>
      <w:spacing w:before="120" w:after="60" w:line="240" w:lineRule="auto"/>
      <w:ind w:left="806" w:right="58"/>
    </w:pPr>
    <w:rPr>
      <w:rFonts w:eastAsia="Times New Roman"/>
      <w:b/>
      <w:bCs/>
      <w:color w:val="000000"/>
      <w:szCs w:val="20"/>
      <w:lang w:eastAsia="en-AU"/>
    </w:rPr>
  </w:style>
  <w:style w:type="paragraph" w:customStyle="1" w:styleId="Bullet12">
    <w:name w:val="Bullet+12"/>
    <w:basedOn w:val="Bullet6"/>
    <w:rsid w:val="00667218"/>
    <w:pPr>
      <w:numPr>
        <w:numId w:val="0"/>
      </w:numPr>
      <w:spacing w:after="240"/>
    </w:pPr>
  </w:style>
  <w:style w:type="paragraph" w:customStyle="1" w:styleId="Bullet6">
    <w:name w:val="Bullet+6"/>
    <w:basedOn w:val="Normal"/>
    <w:rsid w:val="00667218"/>
    <w:pPr>
      <w:numPr>
        <w:numId w:val="110"/>
      </w:numPr>
      <w:tabs>
        <w:tab w:val="left" w:pos="1080"/>
      </w:tabs>
      <w:spacing w:line="240" w:lineRule="auto"/>
    </w:pPr>
    <w:rPr>
      <w:rFonts w:eastAsia="Times New Roman"/>
      <w:color w:val="000000"/>
      <w:sz w:val="23"/>
      <w:szCs w:val="20"/>
      <w:lang w:eastAsia="en-AU"/>
    </w:rPr>
  </w:style>
  <w:style w:type="character" w:styleId="FootnoteReference">
    <w:name w:val="footnote reference"/>
    <w:basedOn w:val="DefaultParagraphFont"/>
    <w:uiPriority w:val="99"/>
    <w:rsid w:val="00667218"/>
    <w:rPr>
      <w:vertAlign w:val="superscript"/>
    </w:rPr>
  </w:style>
  <w:style w:type="paragraph" w:customStyle="1" w:styleId="Normalbeforebullet">
    <w:name w:val="Normal (before bullet)"/>
    <w:basedOn w:val="Normal"/>
    <w:rsid w:val="00667218"/>
    <w:pPr>
      <w:keepNext/>
      <w:spacing w:line="240" w:lineRule="auto"/>
      <w:ind w:left="720"/>
    </w:pPr>
    <w:rPr>
      <w:rFonts w:ascii="Times New Roman" w:eastAsia="Times New Roman" w:hAnsi="Times New Roman"/>
      <w:color w:val="000000"/>
      <w:sz w:val="23"/>
      <w:szCs w:val="20"/>
      <w:lang w:eastAsia="en-AU"/>
    </w:rPr>
  </w:style>
  <w:style w:type="paragraph" w:customStyle="1" w:styleId="Footnotesregular">
    <w:name w:val="Footnotes regular"/>
    <w:basedOn w:val="Footer"/>
    <w:qFormat/>
    <w:rsid w:val="00667218"/>
    <w:pPr>
      <w:tabs>
        <w:tab w:val="clear" w:pos="4513"/>
        <w:tab w:val="clear" w:pos="9026"/>
        <w:tab w:val="left" w:pos="567"/>
      </w:tabs>
      <w:spacing w:after="60" w:line="240" w:lineRule="auto"/>
      <w:ind w:left="1004" w:hanging="284"/>
    </w:pPr>
    <w:rPr>
      <w:rFonts w:ascii="Times New Roman" w:eastAsia="Times New Roman" w:hAnsi="Times New Roman"/>
      <w:bCs/>
      <w:color w:val="000000"/>
      <w:sz w:val="18"/>
      <w:szCs w:val="20"/>
      <w:lang w:eastAsia="en-AU"/>
    </w:rPr>
  </w:style>
  <w:style w:type="paragraph" w:customStyle="1" w:styleId="Tabletext">
    <w:name w:val="Table text"/>
    <w:basedOn w:val="Normal"/>
    <w:link w:val="TabletextChar"/>
    <w:qFormat/>
    <w:rsid w:val="00667218"/>
    <w:pPr>
      <w:spacing w:after="0" w:line="240" w:lineRule="auto"/>
    </w:pPr>
    <w:rPr>
      <w:rFonts w:ascii="Arial Narrow" w:hAnsi="Arial Narrow"/>
      <w:sz w:val="20"/>
    </w:rPr>
  </w:style>
  <w:style w:type="paragraph" w:customStyle="1" w:styleId="Tableheaderrow">
    <w:name w:val="Table header row"/>
    <w:basedOn w:val="Tabletext"/>
    <w:qFormat/>
    <w:rsid w:val="00667218"/>
    <w:rPr>
      <w:b/>
    </w:rPr>
  </w:style>
  <w:style w:type="paragraph" w:customStyle="1" w:styleId="TableBullet">
    <w:name w:val="TableBullet"/>
    <w:basedOn w:val="TableText0"/>
    <w:rsid w:val="00667218"/>
    <w:pPr>
      <w:numPr>
        <w:numId w:val="125"/>
      </w:numPr>
      <w:tabs>
        <w:tab w:val="left" w:pos="216"/>
      </w:tabs>
    </w:pPr>
  </w:style>
  <w:style w:type="paragraph" w:customStyle="1" w:styleId="TableText0">
    <w:name w:val="TableText"/>
    <w:basedOn w:val="Normal"/>
    <w:link w:val="TableTextChar0"/>
    <w:qFormat/>
    <w:rsid w:val="00667218"/>
    <w:pPr>
      <w:keepNext/>
      <w:spacing w:before="20" w:after="20" w:line="240" w:lineRule="auto"/>
    </w:pPr>
    <w:rPr>
      <w:rFonts w:ascii="Arial Narrow" w:eastAsia="Times New Roman" w:hAnsi="Arial Narrow"/>
      <w:color w:val="000000"/>
      <w:sz w:val="20"/>
      <w:szCs w:val="21"/>
      <w:lang w:eastAsia="en-AU"/>
    </w:rPr>
  </w:style>
  <w:style w:type="paragraph" w:customStyle="1" w:styleId="TableName">
    <w:name w:val="TableName"/>
    <w:basedOn w:val="TableText0"/>
    <w:link w:val="TableNameChar"/>
    <w:rsid w:val="00667218"/>
    <w:pPr>
      <w:tabs>
        <w:tab w:val="left" w:pos="1800"/>
      </w:tabs>
      <w:spacing w:before="120" w:after="120"/>
      <w:ind w:left="2251" w:hanging="1531"/>
    </w:pPr>
    <w:rPr>
      <w:b/>
      <w:bCs/>
      <w:sz w:val="22"/>
    </w:rPr>
  </w:style>
  <w:style w:type="paragraph" w:customStyle="1" w:styleId="TableNotes18">
    <w:name w:val="TableNotes+18"/>
    <w:basedOn w:val="TableText0"/>
    <w:uiPriority w:val="99"/>
    <w:rsid w:val="00667218"/>
    <w:pPr>
      <w:keepNext w:val="0"/>
      <w:keepLines/>
      <w:spacing w:before="0" w:after="360"/>
      <w:ind w:left="720"/>
    </w:pPr>
    <w:rPr>
      <w:sz w:val="18"/>
    </w:rPr>
  </w:style>
  <w:style w:type="paragraph" w:customStyle="1" w:styleId="TableHeading">
    <w:name w:val="TableHeading"/>
    <w:basedOn w:val="TableText0"/>
    <w:link w:val="TableHeadingChar"/>
    <w:rsid w:val="00667218"/>
    <w:rPr>
      <w:b/>
      <w:bCs/>
    </w:rPr>
  </w:style>
  <w:style w:type="paragraph" w:styleId="ListNumber5">
    <w:name w:val="List Number 5"/>
    <w:basedOn w:val="Normal"/>
    <w:rsid w:val="00667218"/>
    <w:pPr>
      <w:numPr>
        <w:numId w:val="122"/>
      </w:numPr>
      <w:spacing w:after="240" w:line="240" w:lineRule="auto"/>
    </w:pPr>
    <w:rPr>
      <w:rFonts w:eastAsia="Times New Roman"/>
      <w:color w:val="000000"/>
      <w:sz w:val="23"/>
      <w:szCs w:val="20"/>
      <w:lang w:eastAsia="en-AU"/>
    </w:rPr>
  </w:style>
  <w:style w:type="paragraph" w:customStyle="1" w:styleId="NumberList">
    <w:name w:val="NumberList"/>
    <w:basedOn w:val="Normal"/>
    <w:rsid w:val="00667218"/>
    <w:pPr>
      <w:tabs>
        <w:tab w:val="left" w:pos="1080"/>
      </w:tabs>
      <w:spacing w:after="240" w:line="240" w:lineRule="auto"/>
      <w:ind w:left="1080" w:hanging="360"/>
    </w:pPr>
    <w:rPr>
      <w:rFonts w:ascii="Times New Roman" w:eastAsia="Times New Roman" w:hAnsi="Times New Roman"/>
      <w:color w:val="000000"/>
      <w:sz w:val="23"/>
      <w:szCs w:val="20"/>
      <w:lang w:eastAsia="en-AU"/>
    </w:rPr>
  </w:style>
  <w:style w:type="paragraph" w:customStyle="1" w:styleId="TFAbbrevs0">
    <w:name w:val="TFAbbrevs+0"/>
    <w:basedOn w:val="Normal"/>
    <w:qFormat/>
    <w:rsid w:val="00667218"/>
    <w:pPr>
      <w:keepNext/>
      <w:keepLines/>
      <w:spacing w:after="0" w:line="240" w:lineRule="auto"/>
    </w:pPr>
    <w:rPr>
      <w:rFonts w:ascii="Arial Narrow" w:eastAsia="Times New Roman" w:hAnsi="Arial Narrow"/>
      <w:color w:val="000000"/>
      <w:sz w:val="18"/>
      <w:szCs w:val="18"/>
      <w:lang w:eastAsia="en-AU"/>
    </w:rPr>
  </w:style>
  <w:style w:type="paragraph" w:customStyle="1" w:styleId="TFAbbrevs18">
    <w:name w:val="TFAbbrevs+18"/>
    <w:basedOn w:val="TFAbbrevs0"/>
    <w:next w:val="Normal"/>
    <w:qFormat/>
    <w:rsid w:val="00667218"/>
    <w:pPr>
      <w:keepNext w:val="0"/>
      <w:spacing w:after="360"/>
    </w:pPr>
  </w:style>
  <w:style w:type="paragraph" w:styleId="ListParagraph">
    <w:name w:val="List Paragraph"/>
    <w:basedOn w:val="Normal"/>
    <w:link w:val="ListParagraphChar"/>
    <w:uiPriority w:val="34"/>
    <w:qFormat/>
    <w:rsid w:val="00667218"/>
    <w:pPr>
      <w:spacing w:after="200"/>
      <w:ind w:left="720"/>
      <w:contextualSpacing/>
    </w:pPr>
  </w:style>
  <w:style w:type="character" w:customStyle="1" w:styleId="highlight">
    <w:name w:val="highlight"/>
    <w:basedOn w:val="DefaultParagraphFont"/>
    <w:rsid w:val="00667218"/>
  </w:style>
  <w:style w:type="paragraph" w:customStyle="1" w:styleId="TableText1">
    <w:name w:val="Table Text"/>
    <w:basedOn w:val="Normal"/>
    <w:link w:val="TableTextChar1"/>
    <w:qFormat/>
    <w:rsid w:val="00667218"/>
    <w:pPr>
      <w:keepNext/>
      <w:spacing w:before="40" w:after="40" w:line="240" w:lineRule="auto"/>
    </w:pPr>
    <w:rPr>
      <w:rFonts w:ascii="Arial" w:eastAsia="Times New Roman" w:hAnsi="Arial"/>
      <w:sz w:val="20"/>
      <w:szCs w:val="20"/>
    </w:rPr>
  </w:style>
  <w:style w:type="paragraph" w:customStyle="1" w:styleId="AIHWbodytext">
    <w:name w:val="AIHW body text"/>
    <w:link w:val="AIHWbodytextChar"/>
    <w:uiPriority w:val="99"/>
    <w:rsid w:val="00667218"/>
    <w:pPr>
      <w:spacing w:before="60" w:after="40" w:line="260" w:lineRule="atLeast"/>
    </w:pPr>
    <w:rPr>
      <w:rFonts w:ascii="Book Antiqua" w:eastAsia="Times New Roman" w:hAnsi="Book Antiqua"/>
      <w:color w:val="000000"/>
      <w:sz w:val="22"/>
      <w:szCs w:val="20"/>
    </w:rPr>
  </w:style>
  <w:style w:type="paragraph" w:customStyle="1" w:styleId="Bullet1">
    <w:name w:val="Bullet 1"/>
    <w:basedOn w:val="AIHWbodytext"/>
    <w:link w:val="Bullet1Char"/>
    <w:uiPriority w:val="99"/>
    <w:rsid w:val="00667218"/>
    <w:pPr>
      <w:numPr>
        <w:numId w:val="108"/>
      </w:numPr>
      <w:spacing w:before="40"/>
    </w:pPr>
  </w:style>
  <w:style w:type="character" w:customStyle="1" w:styleId="AIHWbodytextChar">
    <w:name w:val="AIHW body text Char"/>
    <w:basedOn w:val="DefaultParagraphFont"/>
    <w:link w:val="AIHWbodytext"/>
    <w:uiPriority w:val="99"/>
    <w:locked/>
    <w:rsid w:val="00667218"/>
    <w:rPr>
      <w:rFonts w:ascii="Book Antiqua" w:eastAsia="Times New Roman" w:hAnsi="Book Antiqua"/>
      <w:color w:val="000000"/>
      <w:sz w:val="22"/>
      <w:szCs w:val="20"/>
    </w:rPr>
  </w:style>
  <w:style w:type="character" w:customStyle="1" w:styleId="Bullet1Char">
    <w:name w:val="Bullet 1 Char"/>
    <w:basedOn w:val="AIHWbodytextChar"/>
    <w:link w:val="Bullet1"/>
    <w:uiPriority w:val="99"/>
    <w:locked/>
    <w:rsid w:val="00667218"/>
    <w:rPr>
      <w:rFonts w:ascii="Book Antiqua" w:eastAsia="Times New Roman" w:hAnsi="Book Antiqua"/>
      <w:color w:val="000000"/>
      <w:sz w:val="22"/>
      <w:szCs w:val="20"/>
    </w:rPr>
  </w:style>
  <w:style w:type="character" w:styleId="FollowedHyperlink">
    <w:name w:val="FollowedHyperlink"/>
    <w:basedOn w:val="DefaultParagraphFont"/>
    <w:uiPriority w:val="99"/>
    <w:semiHidden/>
    <w:unhideWhenUsed/>
    <w:rsid w:val="00667218"/>
    <w:rPr>
      <w:color w:val="800080" w:themeColor="followedHyperlink"/>
      <w:u w:val="single"/>
    </w:rPr>
  </w:style>
  <w:style w:type="paragraph" w:styleId="NormalWeb">
    <w:name w:val="Normal (Web)"/>
    <w:basedOn w:val="Normal"/>
    <w:uiPriority w:val="99"/>
    <w:unhideWhenUsed/>
    <w:rsid w:val="00667218"/>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styleId="FootnoteText">
    <w:name w:val="footnote text"/>
    <w:basedOn w:val="Normal"/>
    <w:link w:val="FootnoteTextChar"/>
    <w:uiPriority w:val="99"/>
    <w:semiHidden/>
    <w:unhideWhenUsed/>
    <w:rsid w:val="00667218"/>
    <w:pPr>
      <w:spacing w:line="240" w:lineRule="auto"/>
    </w:pPr>
    <w:rPr>
      <w:sz w:val="20"/>
      <w:szCs w:val="20"/>
    </w:rPr>
  </w:style>
  <w:style w:type="character" w:customStyle="1" w:styleId="FootnoteTextChar">
    <w:name w:val="Footnote Text Char"/>
    <w:basedOn w:val="DefaultParagraphFont"/>
    <w:link w:val="FootnoteText"/>
    <w:uiPriority w:val="99"/>
    <w:semiHidden/>
    <w:rsid w:val="00667218"/>
    <w:rPr>
      <w:rFonts w:ascii="Calibri" w:eastAsia="Calibri" w:hAnsi="Calibri"/>
      <w:sz w:val="20"/>
      <w:szCs w:val="20"/>
    </w:rPr>
  </w:style>
  <w:style w:type="paragraph" w:styleId="NoSpacing">
    <w:name w:val="No Spacing"/>
    <w:aliases w:val="ExecSumm"/>
    <w:link w:val="NoSpacingChar"/>
    <w:uiPriority w:val="1"/>
    <w:qFormat/>
    <w:rsid w:val="00667218"/>
    <w:rPr>
      <w:rFonts w:ascii="Calibri" w:eastAsia="Times New Roman" w:hAnsi="Calibri"/>
      <w:sz w:val="22"/>
      <w:szCs w:val="22"/>
      <w:lang w:val="en-US"/>
    </w:rPr>
  </w:style>
  <w:style w:type="character" w:customStyle="1" w:styleId="NoSpacingChar">
    <w:name w:val="No Spacing Char"/>
    <w:aliases w:val="ExecSumm Char"/>
    <w:basedOn w:val="DefaultParagraphFont"/>
    <w:link w:val="NoSpacing"/>
    <w:uiPriority w:val="1"/>
    <w:locked/>
    <w:rsid w:val="00667218"/>
    <w:rPr>
      <w:rFonts w:ascii="Calibri" w:eastAsia="Times New Roman" w:hAnsi="Calibri"/>
      <w:sz w:val="22"/>
      <w:szCs w:val="22"/>
      <w:lang w:val="en-US"/>
    </w:rPr>
  </w:style>
  <w:style w:type="paragraph" w:customStyle="1" w:styleId="Heading2nonTOC">
    <w:name w:val="Heading 2 nonTOC"/>
    <w:basedOn w:val="Heading2"/>
    <w:qFormat/>
    <w:rsid w:val="00667218"/>
    <w:pPr>
      <w:numPr>
        <w:ilvl w:val="0"/>
        <w:numId w:val="0"/>
      </w:numPr>
    </w:pPr>
    <w:rPr>
      <w:lang w:eastAsia="en-AU"/>
    </w:rPr>
  </w:style>
  <w:style w:type="paragraph" w:customStyle="1" w:styleId="AppendixHeading2">
    <w:name w:val="Appendix Heading 2"/>
    <w:next w:val="Normal"/>
    <w:qFormat/>
    <w:rsid w:val="00667218"/>
    <w:pPr>
      <w:spacing w:before="200" w:after="120" w:line="276" w:lineRule="auto"/>
    </w:pPr>
    <w:rPr>
      <w:rFonts w:ascii="Tahoma" w:eastAsia="Times New Roman" w:hAnsi="Tahoma" w:cs="Tahoma"/>
      <w:b/>
      <w:bCs/>
      <w:color w:val="000000"/>
      <w:sz w:val="28"/>
      <w:szCs w:val="28"/>
      <w:lang w:eastAsia="en-AU"/>
    </w:rPr>
  </w:style>
  <w:style w:type="character" w:customStyle="1" w:styleId="apple-converted-space">
    <w:name w:val="apple-converted-space"/>
    <w:basedOn w:val="DefaultParagraphFont"/>
    <w:rsid w:val="00667218"/>
  </w:style>
  <w:style w:type="paragraph" w:customStyle="1" w:styleId="TableNotesFirst">
    <w:name w:val="TableNotesFirst"/>
    <w:basedOn w:val="Normal"/>
    <w:rsid w:val="00667218"/>
    <w:pPr>
      <w:keepLines/>
      <w:spacing w:before="40" w:after="0" w:line="240" w:lineRule="auto"/>
    </w:pPr>
    <w:rPr>
      <w:rFonts w:ascii="Arial Narrow" w:eastAsia="Times New Roman" w:hAnsi="Arial Narrow"/>
      <w:sz w:val="18"/>
      <w:szCs w:val="20"/>
      <w:lang w:eastAsia="en-AU"/>
    </w:rPr>
  </w:style>
  <w:style w:type="paragraph" w:customStyle="1" w:styleId="TableNotesMiddle">
    <w:name w:val="TableNotesMiddle"/>
    <w:basedOn w:val="Normal"/>
    <w:rsid w:val="00667218"/>
    <w:pPr>
      <w:keepLines/>
      <w:spacing w:before="40" w:after="0" w:line="240" w:lineRule="auto"/>
    </w:pPr>
    <w:rPr>
      <w:rFonts w:ascii="Arial Narrow" w:eastAsia="Times New Roman" w:hAnsi="Arial Narrow"/>
      <w:sz w:val="18"/>
      <w:szCs w:val="16"/>
      <w:lang w:eastAsia="en-AU"/>
    </w:rPr>
  </w:style>
  <w:style w:type="paragraph" w:customStyle="1" w:styleId="TableNotesLast">
    <w:name w:val="TableNotesLast"/>
    <w:basedOn w:val="Normal"/>
    <w:rsid w:val="00667218"/>
    <w:pPr>
      <w:keepLines/>
      <w:spacing w:before="40" w:after="240" w:line="240" w:lineRule="auto"/>
    </w:pPr>
    <w:rPr>
      <w:rFonts w:ascii="Arial Narrow" w:eastAsia="Times New Roman" w:hAnsi="Arial Narrow"/>
      <w:sz w:val="18"/>
      <w:szCs w:val="16"/>
      <w:lang w:eastAsia="en-AU"/>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locked/>
    <w:rsid w:val="00667218"/>
    <w:rPr>
      <w:rFonts w:eastAsia="Times New Roman" w:cstheme="minorBidi"/>
      <w:b/>
      <w:bCs/>
      <w:sz w:val="22"/>
      <w:szCs w:val="18"/>
    </w:rPr>
  </w:style>
  <w:style w:type="character" w:customStyle="1" w:styleId="ListParagraphChar">
    <w:name w:val="List Paragraph Char"/>
    <w:link w:val="ListParagraph"/>
    <w:uiPriority w:val="34"/>
    <w:rsid w:val="00667218"/>
    <w:rPr>
      <w:rFonts w:ascii="Calibri" w:eastAsia="Calibri" w:hAnsi="Calibri"/>
      <w:sz w:val="22"/>
      <w:szCs w:val="22"/>
    </w:rPr>
  </w:style>
  <w:style w:type="paragraph" w:customStyle="1" w:styleId="Heading40">
    <w:name w:val="Heading4"/>
    <w:basedOn w:val="Heading30"/>
    <w:next w:val="Normal"/>
    <w:link w:val="Heading4Char0"/>
    <w:rsid w:val="00667218"/>
    <w:pPr>
      <w:outlineLvl w:val="3"/>
    </w:pPr>
    <w:rPr>
      <w:i/>
    </w:rPr>
  </w:style>
  <w:style w:type="paragraph" w:customStyle="1" w:styleId="Heading30">
    <w:name w:val="Heading3"/>
    <w:basedOn w:val="Heading3"/>
    <w:next w:val="Normal"/>
    <w:link w:val="Heading3Char0"/>
    <w:rsid w:val="00667218"/>
  </w:style>
  <w:style w:type="character" w:customStyle="1" w:styleId="Heading3Char0">
    <w:name w:val="Heading3 Char"/>
    <w:link w:val="Heading30"/>
    <w:rsid w:val="00667218"/>
    <w:rPr>
      <w:rFonts w:ascii="Tahoma" w:eastAsia="Times New Roman" w:hAnsi="Tahoma" w:cs="Tahoma"/>
      <w:b/>
      <w:bCs/>
      <w:color w:val="000000"/>
    </w:rPr>
  </w:style>
  <w:style w:type="character" w:customStyle="1" w:styleId="Heading4Char0">
    <w:name w:val="Heading4 Char"/>
    <w:link w:val="Heading40"/>
    <w:rsid w:val="00667218"/>
    <w:rPr>
      <w:rFonts w:ascii="Tahoma" w:eastAsia="Times New Roman" w:hAnsi="Tahoma" w:cs="Tahoma"/>
      <w:b/>
      <w:bCs/>
      <w:i/>
      <w:color w:val="000000"/>
      <w:sz w:val="22"/>
    </w:rPr>
  </w:style>
  <w:style w:type="paragraph" w:styleId="TableofFigures">
    <w:name w:val="table of figures"/>
    <w:aliases w:val="Table"/>
    <w:basedOn w:val="Normal"/>
    <w:next w:val="Normal"/>
    <w:uiPriority w:val="99"/>
    <w:unhideWhenUsed/>
    <w:rsid w:val="00667218"/>
    <w:pPr>
      <w:tabs>
        <w:tab w:val="left" w:pos="1134"/>
        <w:tab w:val="right" w:pos="9072"/>
      </w:tabs>
      <w:spacing w:after="0"/>
      <w:ind w:left="1134" w:hanging="1134"/>
    </w:pPr>
    <w:rPr>
      <w:noProof/>
    </w:rPr>
  </w:style>
  <w:style w:type="paragraph" w:customStyle="1" w:styleId="fulltext-text">
    <w:name w:val="fulltext-text"/>
    <w:basedOn w:val="Normal"/>
    <w:rsid w:val="00667218"/>
    <w:pPr>
      <w:spacing w:before="100" w:beforeAutospacing="1" w:after="360" w:line="240" w:lineRule="auto"/>
    </w:pPr>
    <w:rPr>
      <w:rFonts w:eastAsia="Times New Roman"/>
      <w:lang w:eastAsia="en-AU"/>
    </w:rPr>
  </w:style>
  <w:style w:type="numbering" w:customStyle="1" w:styleId="Style1">
    <w:name w:val="Style1"/>
    <w:uiPriority w:val="99"/>
    <w:rsid w:val="00667218"/>
    <w:pPr>
      <w:numPr>
        <w:numId w:val="51"/>
      </w:numPr>
    </w:pPr>
  </w:style>
  <w:style w:type="character" w:customStyle="1" w:styleId="TableTextChar0">
    <w:name w:val="TableText Char"/>
    <w:basedOn w:val="DefaultParagraphFont"/>
    <w:link w:val="TableText0"/>
    <w:rsid w:val="00667218"/>
    <w:rPr>
      <w:rFonts w:ascii="Arial Narrow" w:eastAsia="Times New Roman" w:hAnsi="Arial Narrow"/>
      <w:color w:val="000000"/>
      <w:sz w:val="20"/>
      <w:szCs w:val="21"/>
      <w:lang w:eastAsia="en-AU"/>
    </w:rPr>
  </w:style>
  <w:style w:type="character" w:customStyle="1" w:styleId="TableNameChar">
    <w:name w:val="TableName Char"/>
    <w:basedOn w:val="DefaultParagraphFont"/>
    <w:link w:val="TableName"/>
    <w:rsid w:val="00667218"/>
    <w:rPr>
      <w:rFonts w:ascii="Arial Narrow" w:eastAsia="Times New Roman" w:hAnsi="Arial Narrow"/>
      <w:b/>
      <w:bCs/>
      <w:color w:val="000000"/>
      <w:sz w:val="22"/>
      <w:szCs w:val="21"/>
      <w:lang w:eastAsia="en-AU"/>
    </w:rPr>
  </w:style>
  <w:style w:type="character" w:customStyle="1" w:styleId="TableHeadingChar">
    <w:name w:val="TableHeading Char"/>
    <w:basedOn w:val="DefaultParagraphFont"/>
    <w:link w:val="TableHeading"/>
    <w:rsid w:val="00667218"/>
    <w:rPr>
      <w:rFonts w:ascii="Arial Narrow" w:eastAsia="Times New Roman" w:hAnsi="Arial Narrow"/>
      <w:b/>
      <w:bCs/>
      <w:color w:val="000000"/>
      <w:sz w:val="20"/>
      <w:szCs w:val="21"/>
      <w:lang w:eastAsia="en-AU"/>
    </w:rPr>
  </w:style>
  <w:style w:type="paragraph" w:customStyle="1" w:styleId="TableNotes">
    <w:name w:val="TableNotes"/>
    <w:basedOn w:val="TableText0"/>
    <w:link w:val="TableNotesChar"/>
    <w:rsid w:val="00667218"/>
    <w:pPr>
      <w:keepNext w:val="0"/>
      <w:keepLines/>
      <w:spacing w:before="40" w:after="360"/>
      <w:ind w:left="720"/>
      <w:contextualSpacing/>
    </w:pPr>
    <w:rPr>
      <w:rFonts w:eastAsia="Calibri"/>
      <w:sz w:val="16"/>
      <w:szCs w:val="20"/>
    </w:rPr>
  </w:style>
  <w:style w:type="character" w:customStyle="1" w:styleId="TableNotesChar">
    <w:name w:val="TableNotes Char"/>
    <w:basedOn w:val="DefaultParagraphFont"/>
    <w:link w:val="TableNotes"/>
    <w:rsid w:val="00667218"/>
    <w:rPr>
      <w:rFonts w:ascii="Arial Narrow" w:eastAsia="Calibri" w:hAnsi="Arial Narrow"/>
      <w:color w:val="000000"/>
      <w:sz w:val="16"/>
      <w:szCs w:val="20"/>
      <w:lang w:eastAsia="en-AU"/>
    </w:rPr>
  </w:style>
  <w:style w:type="paragraph" w:customStyle="1" w:styleId="TableNotes0">
    <w:name w:val="TableNotes+0"/>
    <w:basedOn w:val="TableNotes18"/>
    <w:uiPriority w:val="99"/>
    <w:rsid w:val="00667218"/>
    <w:pPr>
      <w:keepNext/>
      <w:spacing w:before="40" w:after="0"/>
    </w:pPr>
    <w:rPr>
      <w:rFonts w:eastAsia="Calibri"/>
      <w:sz w:val="20"/>
    </w:rPr>
  </w:style>
  <w:style w:type="character" w:customStyle="1" w:styleId="dbname">
    <w:name w:val="dbname"/>
    <w:basedOn w:val="DefaultParagraphFont"/>
    <w:rsid w:val="00667218"/>
  </w:style>
  <w:style w:type="character" w:customStyle="1" w:styleId="dbdate">
    <w:name w:val="dbdate"/>
    <w:basedOn w:val="DefaultParagraphFont"/>
    <w:rsid w:val="00667218"/>
  </w:style>
  <w:style w:type="paragraph" w:styleId="EndnoteText">
    <w:name w:val="endnote text"/>
    <w:basedOn w:val="Normal"/>
    <w:link w:val="EndnoteTextChar"/>
    <w:uiPriority w:val="99"/>
    <w:semiHidden/>
    <w:unhideWhenUsed/>
    <w:rsid w:val="00667218"/>
    <w:pPr>
      <w:spacing w:line="240" w:lineRule="auto"/>
    </w:pPr>
    <w:rPr>
      <w:rFonts w:eastAsia="Times New Roman" w:cstheme="minorBidi"/>
      <w:sz w:val="20"/>
      <w:szCs w:val="20"/>
    </w:rPr>
  </w:style>
  <w:style w:type="character" w:customStyle="1" w:styleId="EndnoteTextChar">
    <w:name w:val="Endnote Text Char"/>
    <w:basedOn w:val="DefaultParagraphFont"/>
    <w:link w:val="EndnoteText"/>
    <w:uiPriority w:val="99"/>
    <w:semiHidden/>
    <w:rsid w:val="00667218"/>
    <w:rPr>
      <w:rFonts w:eastAsia="Times New Roman" w:cstheme="minorBidi"/>
      <w:sz w:val="20"/>
      <w:szCs w:val="20"/>
    </w:rPr>
  </w:style>
  <w:style w:type="character" w:styleId="EndnoteReference">
    <w:name w:val="endnote reference"/>
    <w:basedOn w:val="DefaultParagraphFont"/>
    <w:uiPriority w:val="99"/>
    <w:semiHidden/>
    <w:unhideWhenUsed/>
    <w:rsid w:val="00667218"/>
    <w:rPr>
      <w:vertAlign w:val="superscript"/>
    </w:rPr>
  </w:style>
  <w:style w:type="paragraph" w:styleId="ListBullet5">
    <w:name w:val="List Bullet 5"/>
    <w:basedOn w:val="Normal"/>
    <w:autoRedefine/>
    <w:rsid w:val="00667218"/>
    <w:pPr>
      <w:numPr>
        <w:numId w:val="121"/>
      </w:numPr>
      <w:spacing w:after="240" w:line="240" w:lineRule="auto"/>
    </w:pPr>
    <w:rPr>
      <w:rFonts w:eastAsia="Times New Roman"/>
      <w:color w:val="000000"/>
      <w:sz w:val="23"/>
      <w:szCs w:val="20"/>
      <w:lang w:eastAsia="en-AU"/>
    </w:rPr>
  </w:style>
  <w:style w:type="character" w:styleId="Emphasis">
    <w:name w:val="Emphasis"/>
    <w:basedOn w:val="DefaultParagraphFont"/>
    <w:uiPriority w:val="20"/>
    <w:rsid w:val="00667218"/>
    <w:rPr>
      <w:i/>
      <w:iCs/>
    </w:rPr>
  </w:style>
  <w:style w:type="character" w:styleId="Strong">
    <w:name w:val="Strong"/>
    <w:basedOn w:val="DefaultParagraphFont"/>
    <w:uiPriority w:val="22"/>
    <w:qFormat/>
    <w:rsid w:val="00667218"/>
    <w:rPr>
      <w:b/>
      <w:bCs/>
    </w:rPr>
  </w:style>
  <w:style w:type="numbering" w:customStyle="1" w:styleId="NoList1">
    <w:name w:val="No List1"/>
    <w:next w:val="NoList"/>
    <w:uiPriority w:val="99"/>
    <w:semiHidden/>
    <w:unhideWhenUsed/>
    <w:rsid w:val="00667218"/>
  </w:style>
  <w:style w:type="paragraph" w:customStyle="1" w:styleId="TOCHeading1">
    <w:name w:val="TOC Heading1"/>
    <w:basedOn w:val="Heading1"/>
    <w:next w:val="Normal"/>
    <w:uiPriority w:val="39"/>
    <w:semiHidden/>
    <w:unhideWhenUsed/>
    <w:qFormat/>
    <w:rsid w:val="00667218"/>
    <w:pPr>
      <w:numPr>
        <w:numId w:val="127"/>
      </w:numPr>
      <w:spacing w:after="0"/>
      <w:outlineLvl w:val="9"/>
    </w:pPr>
    <w:rPr>
      <w:rFonts w:ascii="Cambria" w:hAnsi="Cambria" w:cs="Times New Roman"/>
      <w:color w:val="365F91"/>
      <w:sz w:val="32"/>
      <w:szCs w:val="28"/>
      <w:lang w:val="en-US"/>
    </w:rPr>
  </w:style>
  <w:style w:type="paragraph" w:customStyle="1" w:styleId="ColorfulList-Accent11">
    <w:name w:val="Colorful List - Accent 11"/>
    <w:basedOn w:val="Normal"/>
    <w:uiPriority w:val="34"/>
    <w:rsid w:val="00667218"/>
    <w:pPr>
      <w:spacing w:after="200"/>
      <w:ind w:left="720"/>
      <w:contextualSpacing/>
    </w:pPr>
  </w:style>
  <w:style w:type="paragraph" w:customStyle="1" w:styleId="NoSpacing1">
    <w:name w:val="No Spacing1"/>
    <w:uiPriority w:val="1"/>
    <w:qFormat/>
    <w:rsid w:val="00667218"/>
    <w:rPr>
      <w:rFonts w:ascii="Calibri" w:eastAsia="Times New Roman" w:hAnsi="Calibri"/>
      <w:sz w:val="22"/>
      <w:szCs w:val="22"/>
      <w:lang w:val="en-US"/>
    </w:rPr>
  </w:style>
  <w:style w:type="paragraph" w:styleId="Revision">
    <w:name w:val="Revision"/>
    <w:hidden/>
    <w:uiPriority w:val="99"/>
    <w:semiHidden/>
    <w:rsid w:val="00E47AB8"/>
    <w:rPr>
      <w:rFonts w:asciiTheme="minorHAnsi" w:eastAsiaTheme="minorHAnsi" w:hAnsiTheme="minorHAnsi" w:cstheme="minorBidi"/>
      <w:sz w:val="22"/>
      <w:szCs w:val="22"/>
    </w:rPr>
  </w:style>
  <w:style w:type="character" w:styleId="HTMLCite">
    <w:name w:val="HTML Cite"/>
    <w:basedOn w:val="DefaultParagraphFont"/>
    <w:uiPriority w:val="99"/>
    <w:semiHidden/>
    <w:unhideWhenUsed/>
    <w:rsid w:val="00667218"/>
    <w:rPr>
      <w:i/>
      <w:iCs/>
    </w:rPr>
  </w:style>
  <w:style w:type="character" w:customStyle="1" w:styleId="st1">
    <w:name w:val="st1"/>
    <w:basedOn w:val="DefaultParagraphFont"/>
    <w:rsid w:val="00667218"/>
  </w:style>
  <w:style w:type="paragraph" w:customStyle="1" w:styleId="Bullet">
    <w:name w:val="Bullet"/>
    <w:basedOn w:val="Normal"/>
    <w:next w:val="Normal"/>
    <w:rsid w:val="00667218"/>
    <w:pPr>
      <w:numPr>
        <w:numId w:val="107"/>
      </w:numPr>
      <w:tabs>
        <w:tab w:val="left" w:pos="1440"/>
      </w:tabs>
      <w:spacing w:after="240" w:line="240" w:lineRule="auto"/>
    </w:pPr>
    <w:rPr>
      <w:rFonts w:ascii="Garamond" w:eastAsia="Times New Roman" w:hAnsi="Garamond"/>
      <w:szCs w:val="20"/>
      <w:lang w:eastAsia="en-AU"/>
    </w:rPr>
  </w:style>
  <w:style w:type="paragraph" w:customStyle="1" w:styleId="Normalbold">
    <w:name w:val="Normal bold"/>
    <w:basedOn w:val="Normal"/>
    <w:next w:val="Normal"/>
    <w:qFormat/>
    <w:rsid w:val="00667218"/>
    <w:pPr>
      <w:spacing w:after="240" w:line="240" w:lineRule="auto"/>
      <w:ind w:left="720"/>
    </w:pPr>
    <w:rPr>
      <w:rFonts w:ascii="Garamond" w:eastAsia="Times New Roman" w:hAnsi="Garamond"/>
      <w:b/>
      <w:sz w:val="24"/>
      <w:szCs w:val="20"/>
      <w:lang w:eastAsia="en-AU"/>
    </w:rPr>
  </w:style>
  <w:style w:type="paragraph" w:styleId="BodyText">
    <w:name w:val="Body Text"/>
    <w:basedOn w:val="Normal"/>
    <w:link w:val="BodyTextChar"/>
    <w:uiPriority w:val="99"/>
    <w:semiHidden/>
    <w:unhideWhenUsed/>
    <w:rsid w:val="00667218"/>
    <w:rPr>
      <w:rFonts w:eastAsia="Times New Roman" w:cstheme="minorBidi"/>
    </w:rPr>
  </w:style>
  <w:style w:type="character" w:customStyle="1" w:styleId="BodyTextChar">
    <w:name w:val="Body Text Char"/>
    <w:basedOn w:val="DefaultParagraphFont"/>
    <w:link w:val="BodyText"/>
    <w:uiPriority w:val="99"/>
    <w:semiHidden/>
    <w:rsid w:val="00667218"/>
    <w:rPr>
      <w:rFonts w:eastAsia="Times New Roman" w:cstheme="minorBidi"/>
      <w:sz w:val="22"/>
      <w:szCs w:val="22"/>
    </w:rPr>
  </w:style>
  <w:style w:type="character" w:customStyle="1" w:styleId="mb">
    <w:name w:val="mb"/>
    <w:basedOn w:val="DefaultParagraphFont"/>
    <w:rsid w:val="00667218"/>
  </w:style>
  <w:style w:type="numbering" w:customStyle="1" w:styleId="NoList2">
    <w:name w:val="No List2"/>
    <w:next w:val="NoList"/>
    <w:uiPriority w:val="99"/>
    <w:semiHidden/>
    <w:unhideWhenUsed/>
    <w:rsid w:val="00667218"/>
  </w:style>
  <w:style w:type="table" w:customStyle="1" w:styleId="TableGrid1">
    <w:name w:val="Table Grid1"/>
    <w:basedOn w:val="TableNormal"/>
    <w:next w:val="TableGrid"/>
    <w:uiPriority w:val="59"/>
    <w:rsid w:val="00667218"/>
    <w:rPr>
      <w:rFonts w:ascii="Calibri" w:eastAsia="Calibri" w:hAnsi="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667218"/>
    <w:pPr>
      <w:numPr>
        <w:numId w:val="10"/>
      </w:numPr>
    </w:pPr>
  </w:style>
  <w:style w:type="numbering" w:customStyle="1" w:styleId="NoList11">
    <w:name w:val="No List11"/>
    <w:next w:val="NoList"/>
    <w:uiPriority w:val="99"/>
    <w:semiHidden/>
    <w:unhideWhenUsed/>
    <w:rsid w:val="00667218"/>
  </w:style>
  <w:style w:type="paragraph" w:styleId="HTMLPreformatted">
    <w:name w:val="HTML Preformatted"/>
    <w:basedOn w:val="Normal"/>
    <w:link w:val="HTMLPreformattedChar"/>
    <w:uiPriority w:val="99"/>
    <w:unhideWhenUsed/>
    <w:rsid w:val="0066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667218"/>
    <w:rPr>
      <w:rFonts w:ascii="Courier New" w:eastAsia="Times New Roman" w:hAnsi="Courier New" w:cs="Courier New"/>
      <w:sz w:val="20"/>
      <w:szCs w:val="20"/>
      <w:lang w:eastAsia="en-AU"/>
    </w:rPr>
  </w:style>
  <w:style w:type="paragraph" w:styleId="DocumentMap">
    <w:name w:val="Document Map"/>
    <w:basedOn w:val="Normal"/>
    <w:link w:val="DocumentMapChar"/>
    <w:uiPriority w:val="99"/>
    <w:semiHidden/>
    <w:unhideWhenUsed/>
    <w:rsid w:val="00667218"/>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67218"/>
    <w:rPr>
      <w:rFonts w:ascii="Tahoma" w:eastAsia="Times New Roman" w:hAnsi="Tahoma" w:cs="Tahoma"/>
      <w:sz w:val="16"/>
      <w:szCs w:val="16"/>
    </w:rPr>
  </w:style>
  <w:style w:type="paragraph" w:styleId="ListBullet3">
    <w:name w:val="List Bullet 3"/>
    <w:basedOn w:val="Normal"/>
    <w:autoRedefine/>
    <w:semiHidden/>
    <w:rsid w:val="00667218"/>
    <w:pPr>
      <w:numPr>
        <w:numId w:val="120"/>
      </w:numPr>
      <w:spacing w:after="240" w:line="240" w:lineRule="auto"/>
    </w:pPr>
    <w:rPr>
      <w:rFonts w:ascii="Arial" w:eastAsia="Times New Roman" w:hAnsi="Arial"/>
      <w:sz w:val="20"/>
      <w:szCs w:val="20"/>
      <w:lang w:val="en-GB"/>
    </w:rPr>
  </w:style>
  <w:style w:type="character" w:customStyle="1" w:styleId="TableTextChar1">
    <w:name w:val="Table Text Char"/>
    <w:link w:val="TableText1"/>
    <w:rsid w:val="00667218"/>
    <w:rPr>
      <w:rFonts w:ascii="Arial" w:eastAsia="Times New Roman" w:hAnsi="Arial"/>
      <w:sz w:val="20"/>
      <w:szCs w:val="20"/>
    </w:rPr>
  </w:style>
  <w:style w:type="character" w:customStyle="1" w:styleId="TabletextChar">
    <w:name w:val="Table text Char"/>
    <w:link w:val="Tabletext"/>
    <w:rsid w:val="00667218"/>
    <w:rPr>
      <w:rFonts w:ascii="Arial Narrow" w:eastAsia="Calibri" w:hAnsi="Arial Narrow"/>
      <w:sz w:val="20"/>
      <w:szCs w:val="22"/>
    </w:rPr>
  </w:style>
  <w:style w:type="paragraph" w:customStyle="1" w:styleId="Tablefooter">
    <w:name w:val="Table footer"/>
    <w:basedOn w:val="Normal"/>
    <w:link w:val="TablefooterChar"/>
    <w:qFormat/>
    <w:rsid w:val="00667218"/>
    <w:pPr>
      <w:keepNext/>
      <w:keepLines/>
      <w:spacing w:after="0" w:line="240" w:lineRule="auto"/>
    </w:pPr>
    <w:rPr>
      <w:rFonts w:ascii="Arial" w:hAnsi="Arial"/>
      <w:sz w:val="16"/>
      <w:szCs w:val="18"/>
      <w:lang w:val="en-GB"/>
    </w:rPr>
  </w:style>
  <w:style w:type="character" w:customStyle="1" w:styleId="TablefooterChar">
    <w:name w:val="Table footer Char"/>
    <w:link w:val="Tablefooter"/>
    <w:rsid w:val="00667218"/>
    <w:rPr>
      <w:rFonts w:ascii="Arial" w:eastAsia="Calibri" w:hAnsi="Arial"/>
      <w:sz w:val="16"/>
      <w:szCs w:val="18"/>
      <w:lang w:val="en-GB"/>
    </w:rPr>
  </w:style>
  <w:style w:type="paragraph" w:customStyle="1" w:styleId="Tableheading0">
    <w:name w:val="Table heading"/>
    <w:basedOn w:val="Normal"/>
    <w:link w:val="TableheadingChar0"/>
    <w:rsid w:val="00667218"/>
    <w:pPr>
      <w:keepNext/>
      <w:spacing w:before="60" w:after="60" w:line="240" w:lineRule="auto"/>
    </w:pPr>
    <w:rPr>
      <w:rFonts w:ascii="Arial Narrow" w:eastAsia="Times New Roman" w:hAnsi="Arial Narrow"/>
      <w:b/>
      <w:sz w:val="20"/>
      <w:szCs w:val="20"/>
    </w:rPr>
  </w:style>
  <w:style w:type="character" w:customStyle="1" w:styleId="TableheadingChar0">
    <w:name w:val="Table heading Char"/>
    <w:link w:val="Tableheading0"/>
    <w:rsid w:val="00667218"/>
    <w:rPr>
      <w:rFonts w:ascii="Arial Narrow" w:eastAsia="Times New Roman" w:hAnsi="Arial Narrow"/>
      <w:b/>
      <w:sz w:val="20"/>
      <w:szCs w:val="20"/>
    </w:rPr>
  </w:style>
  <w:style w:type="paragraph" w:styleId="Quote">
    <w:name w:val="Quote"/>
    <w:basedOn w:val="Normal"/>
    <w:next w:val="Normal"/>
    <w:link w:val="QuoteChar"/>
    <w:uiPriority w:val="29"/>
    <w:qFormat/>
    <w:rsid w:val="00667218"/>
    <w:rPr>
      <w:i/>
      <w:iCs/>
      <w:color w:val="000000" w:themeColor="text1"/>
    </w:rPr>
  </w:style>
  <w:style w:type="character" w:customStyle="1" w:styleId="QuoteChar">
    <w:name w:val="Quote Char"/>
    <w:basedOn w:val="DefaultParagraphFont"/>
    <w:link w:val="Quote"/>
    <w:uiPriority w:val="29"/>
    <w:rsid w:val="00667218"/>
    <w:rPr>
      <w:rFonts w:ascii="Calibri" w:eastAsia="Calibri" w:hAnsi="Calibri"/>
      <w:i/>
      <w:iCs/>
      <w:color w:val="000000" w:themeColor="text1"/>
      <w:sz w:val="22"/>
      <w:szCs w:val="22"/>
    </w:rPr>
  </w:style>
  <w:style w:type="paragraph" w:customStyle="1" w:styleId="Abbrevs">
    <w:name w:val="Abbrevs"/>
    <w:basedOn w:val="Normal"/>
    <w:rsid w:val="00667218"/>
    <w:pPr>
      <w:tabs>
        <w:tab w:val="left" w:pos="1134"/>
      </w:tabs>
      <w:ind w:left="1134" w:hanging="1134"/>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Osaka"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Bullet" w:uiPriority="0"/>
    <w:lsdException w:name="List Bullet 3" w:uiPriority="0"/>
    <w:lsdException w:name="List Bullet 5"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18"/>
    <w:pPr>
      <w:spacing w:after="12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667218"/>
    <w:pPr>
      <w:keepNext/>
      <w:keepLines/>
      <w:numPr>
        <w:numId w:val="126"/>
      </w:numPr>
      <w:spacing w:before="480"/>
      <w:outlineLvl w:val="0"/>
    </w:pPr>
    <w:rPr>
      <w:rFonts w:ascii="Tahoma" w:eastAsia="Times New Roman" w:hAnsi="Tahoma" w:cs="Tahoma"/>
      <w:b/>
      <w:bCs/>
      <w:color w:val="000000"/>
      <w:sz w:val="44"/>
      <w:szCs w:val="44"/>
    </w:rPr>
  </w:style>
  <w:style w:type="paragraph" w:styleId="Heading2">
    <w:name w:val="heading 2"/>
    <w:basedOn w:val="Normal"/>
    <w:next w:val="Normal"/>
    <w:link w:val="Heading2Char"/>
    <w:uiPriority w:val="9"/>
    <w:unhideWhenUsed/>
    <w:qFormat/>
    <w:rsid w:val="00667218"/>
    <w:pPr>
      <w:keepNext/>
      <w:keepLines/>
      <w:numPr>
        <w:ilvl w:val="1"/>
        <w:numId w:val="42"/>
      </w:numPr>
      <w:spacing w:before="200"/>
      <w:outlineLvl w:val="1"/>
    </w:pPr>
    <w:rPr>
      <w:rFonts w:ascii="Tahoma" w:eastAsia="Times New Roman" w:hAnsi="Tahoma" w:cs="Tahoma"/>
      <w:b/>
      <w:bCs/>
      <w:color w:val="000000"/>
      <w:sz w:val="28"/>
      <w:szCs w:val="28"/>
    </w:rPr>
  </w:style>
  <w:style w:type="paragraph" w:styleId="Heading3">
    <w:name w:val="heading 3"/>
    <w:basedOn w:val="Normal"/>
    <w:next w:val="Normal"/>
    <w:link w:val="Heading3Char"/>
    <w:uiPriority w:val="9"/>
    <w:unhideWhenUsed/>
    <w:qFormat/>
    <w:rsid w:val="00667218"/>
    <w:pPr>
      <w:keepNext/>
      <w:keepLines/>
      <w:spacing w:before="200"/>
      <w:outlineLvl w:val="2"/>
    </w:pPr>
    <w:rPr>
      <w:rFonts w:ascii="Tahoma" w:eastAsia="Times New Roman" w:hAnsi="Tahoma" w:cs="Tahoma"/>
      <w:b/>
      <w:bCs/>
      <w:color w:val="000000"/>
    </w:rPr>
  </w:style>
  <w:style w:type="paragraph" w:styleId="Heading4">
    <w:name w:val="heading 4"/>
    <w:basedOn w:val="Normal"/>
    <w:next w:val="Normal"/>
    <w:link w:val="Heading4Char"/>
    <w:uiPriority w:val="9"/>
    <w:unhideWhenUsed/>
    <w:qFormat/>
    <w:rsid w:val="00667218"/>
    <w:pPr>
      <w:keepNext/>
      <w:outlineLvl w:val="3"/>
    </w:pPr>
    <w:rPr>
      <w:b/>
    </w:rPr>
  </w:style>
  <w:style w:type="paragraph" w:styleId="Heading5">
    <w:name w:val="heading 5"/>
    <w:basedOn w:val="Heading4"/>
    <w:next w:val="Normal"/>
    <w:link w:val="Heading5Char"/>
    <w:uiPriority w:val="9"/>
    <w:unhideWhenUsed/>
    <w:rsid w:val="00667218"/>
    <w:pPr>
      <w:keepLines/>
      <w:numPr>
        <w:ilvl w:val="4"/>
        <w:numId w:val="126"/>
      </w:numPr>
      <w:spacing w:before="200" w:after="0"/>
      <w:outlineLvl w:val="4"/>
    </w:pPr>
    <w:rPr>
      <w:rFonts w:ascii="Times New Roman" w:eastAsia="Times New Roman" w:hAnsi="Times New Roman" w:cstheme="majorBidi"/>
      <w:i/>
    </w:rPr>
  </w:style>
  <w:style w:type="paragraph" w:styleId="Heading6">
    <w:name w:val="heading 6"/>
    <w:basedOn w:val="Normal"/>
    <w:next w:val="Normal"/>
    <w:link w:val="Heading6Char"/>
    <w:uiPriority w:val="9"/>
    <w:unhideWhenUsed/>
    <w:rsid w:val="00667218"/>
    <w:pPr>
      <w:keepNext/>
      <w:keepLines/>
      <w:numPr>
        <w:ilvl w:val="5"/>
        <w:numId w:val="126"/>
      </w:numPr>
      <w:spacing w:before="200"/>
      <w:outlineLvl w:val="5"/>
    </w:pPr>
    <w:rPr>
      <w:rFonts w:eastAsia="Times New Roman" w:cstheme="majorBidi"/>
      <w:i/>
      <w:iCs/>
      <w:color w:val="243F60" w:themeColor="accent1" w:themeShade="7F"/>
    </w:rPr>
  </w:style>
  <w:style w:type="paragraph" w:styleId="Heading7">
    <w:name w:val="heading 7"/>
    <w:basedOn w:val="Normal"/>
    <w:next w:val="Normal"/>
    <w:link w:val="Heading7Char"/>
    <w:uiPriority w:val="9"/>
    <w:unhideWhenUsed/>
    <w:rsid w:val="00667218"/>
    <w:pPr>
      <w:keepNext/>
      <w:keepLines/>
      <w:numPr>
        <w:ilvl w:val="6"/>
        <w:numId w:val="126"/>
      </w:numPr>
      <w:spacing w:before="200"/>
      <w:outlineLvl w:val="6"/>
    </w:pPr>
    <w:rPr>
      <w:rFonts w:eastAsia="Times New Roman" w:cstheme="majorBidi"/>
      <w:i/>
      <w:iCs/>
      <w:color w:val="404040" w:themeColor="text1" w:themeTint="BF"/>
    </w:rPr>
  </w:style>
  <w:style w:type="paragraph" w:styleId="Heading8">
    <w:name w:val="heading 8"/>
    <w:basedOn w:val="Normal"/>
    <w:next w:val="Normal"/>
    <w:link w:val="Heading8Char"/>
    <w:uiPriority w:val="9"/>
    <w:unhideWhenUsed/>
    <w:rsid w:val="00667218"/>
    <w:pPr>
      <w:keepNext/>
      <w:keepLines/>
      <w:numPr>
        <w:ilvl w:val="7"/>
        <w:numId w:val="126"/>
      </w:numPr>
      <w:spacing w:before="200"/>
      <w:outlineLvl w:val="7"/>
    </w:pPr>
    <w:rPr>
      <w:rFonts w:eastAsia="Times New Roman" w:cstheme="majorBidi"/>
      <w:color w:val="404040" w:themeColor="text1" w:themeTint="BF"/>
      <w:sz w:val="20"/>
      <w:szCs w:val="20"/>
    </w:rPr>
  </w:style>
  <w:style w:type="paragraph" w:styleId="Heading9">
    <w:name w:val="heading 9"/>
    <w:basedOn w:val="Normal"/>
    <w:next w:val="Normal"/>
    <w:link w:val="Heading9Char"/>
    <w:uiPriority w:val="9"/>
    <w:unhideWhenUsed/>
    <w:rsid w:val="00667218"/>
    <w:pPr>
      <w:keepNext/>
      <w:keepLines/>
      <w:numPr>
        <w:ilvl w:val="8"/>
        <w:numId w:val="126"/>
      </w:numPr>
      <w:spacing w:before="200"/>
      <w:outlineLvl w:val="8"/>
    </w:pPr>
    <w:rPr>
      <w:rFonts w:eastAsia="Times New Roman"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line="360" w:lineRule="auto"/>
    </w:pPr>
    <w:rPr>
      <w:rFonts w:eastAsia="Times New Roman"/>
    </w:rPr>
  </w:style>
  <w:style w:type="paragraph" w:styleId="CommentText">
    <w:name w:val="annotation text"/>
    <w:basedOn w:val="Normal"/>
    <w:link w:val="CommentTextChar"/>
    <w:uiPriority w:val="99"/>
    <w:rsid w:val="00667218"/>
    <w:pPr>
      <w:spacing w:line="240" w:lineRule="auto"/>
    </w:pPr>
    <w:rPr>
      <w:rFonts w:ascii="Garamond" w:eastAsia="Times New Roman" w:hAnsi="Garamond"/>
      <w:sz w:val="20"/>
      <w:szCs w:val="20"/>
      <w:lang w:eastAsia="en-AU"/>
    </w:rPr>
  </w:style>
  <w:style w:type="paragraph" w:styleId="ListBullet">
    <w:name w:val="List Bullet"/>
    <w:basedOn w:val="Normal"/>
    <w:rsid w:val="00667218"/>
    <w:pPr>
      <w:numPr>
        <w:numId w:val="119"/>
      </w:numPr>
      <w:spacing w:after="240" w:line="240" w:lineRule="auto"/>
    </w:pPr>
    <w:rPr>
      <w:rFonts w:ascii="Garamond" w:eastAsia="Times New Roman" w:hAnsi="Garamond"/>
      <w:lang w:eastAsia="en-AU"/>
    </w:rPr>
  </w:style>
  <w:style w:type="paragraph" w:customStyle="1" w:styleId="Address">
    <w:name w:val="Address"/>
    <w:basedOn w:val="Normal"/>
    <w:rsid w:val="009D6C91"/>
  </w:style>
  <w:style w:type="paragraph" w:customStyle="1" w:styleId="Authors">
    <w:name w:val="Authors"/>
    <w:basedOn w:val="Normal"/>
    <w:rsid w:val="000D17CE"/>
    <w:pPr>
      <w:jc w:val="center"/>
    </w:pPr>
    <w:rPr>
      <w:noProof/>
    </w:rPr>
  </w:style>
  <w:style w:type="paragraph" w:styleId="BalloonText">
    <w:name w:val="Balloon Text"/>
    <w:basedOn w:val="Normal"/>
    <w:link w:val="BalloonTextChar"/>
    <w:uiPriority w:val="99"/>
    <w:semiHidden/>
    <w:unhideWhenUsed/>
    <w:rsid w:val="00667218"/>
    <w:pPr>
      <w:spacing w:line="240" w:lineRule="auto"/>
    </w:pPr>
    <w:rPr>
      <w:rFonts w:ascii="Tahoma" w:hAnsi="Tahoma" w:cs="Tahoma"/>
      <w:sz w:val="16"/>
      <w:szCs w:val="16"/>
    </w:rPr>
  </w:style>
  <w:style w:type="paragraph" w:customStyle="1" w:styleId="Bulletpoint">
    <w:name w:val="Bullet point"/>
    <w:basedOn w:val="Normal"/>
    <w:rsid w:val="009D6C91"/>
    <w:pPr>
      <w:numPr>
        <w:numId w:val="4"/>
      </w:numPr>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rsid w:val="00667218"/>
    <w:pPr>
      <w:keepNext/>
      <w:tabs>
        <w:tab w:val="left" w:pos="1276"/>
      </w:tabs>
      <w:spacing w:after="80"/>
      <w:ind w:left="1276" w:hanging="1276"/>
    </w:pPr>
    <w:rPr>
      <w:rFonts w:eastAsia="Times New Roman" w:cstheme="minorBidi"/>
      <w:b/>
      <w:bCs/>
      <w:szCs w:val="18"/>
    </w:rPr>
  </w:style>
  <w:style w:type="character" w:styleId="CommentReference">
    <w:name w:val="annotation reference"/>
    <w:basedOn w:val="DefaultParagraphFont"/>
    <w:uiPriority w:val="99"/>
    <w:rsid w:val="00667218"/>
    <w:rPr>
      <w:vanish/>
      <w:sz w:val="16"/>
    </w:rPr>
  </w:style>
  <w:style w:type="paragraph" w:customStyle="1" w:styleId="Equation">
    <w:name w:val="Equation"/>
    <w:basedOn w:val="Normal"/>
    <w:rsid w:val="00DB7C49"/>
    <w:pPr>
      <w:tabs>
        <w:tab w:val="center" w:pos="4536"/>
        <w:tab w:val="right" w:pos="9072"/>
      </w:tabs>
    </w:pPr>
  </w:style>
  <w:style w:type="paragraph" w:customStyle="1" w:styleId="Footnote">
    <w:name w:val="Footnote"/>
    <w:basedOn w:val="Normal"/>
    <w:rsid w:val="009D6C91"/>
    <w:pPr>
      <w:spacing w:after="60"/>
    </w:pPr>
    <w:rPr>
      <w:sz w:val="20"/>
    </w:rPr>
  </w:style>
  <w:style w:type="paragraph" w:customStyle="1" w:styleId="Normalind">
    <w:name w:val="Normal ind"/>
    <w:basedOn w:val="Normal"/>
    <w:rsid w:val="009D6C91"/>
    <w:pPr>
      <w:ind w:firstLine="425"/>
    </w:pPr>
  </w:style>
  <w:style w:type="paragraph" w:customStyle="1" w:styleId="Normalnoindent">
    <w:name w:val="Normal no indent"/>
    <w:basedOn w:val="Normal"/>
    <w:rsid w:val="009D6C91"/>
  </w:style>
  <w:style w:type="paragraph" w:customStyle="1" w:styleId="Numberedpoint">
    <w:name w:val="Numbered point"/>
    <w:basedOn w:val="Normal"/>
    <w:rsid w:val="009D6C91"/>
    <w:pPr>
      <w:ind w:left="425" w:hanging="425"/>
    </w:pPr>
  </w:style>
  <w:style w:type="character" w:styleId="PageNumber">
    <w:name w:val="page number"/>
    <w:rsid w:val="00667218"/>
    <w:rPr>
      <w:rFonts w:ascii="Tahoma" w:hAnsi="Tahoma"/>
      <w:b/>
      <w:sz w:val="18"/>
    </w:rPr>
  </w:style>
  <w:style w:type="paragraph" w:customStyle="1" w:styleId="Papertitle">
    <w:name w:val="Paper title"/>
    <w:basedOn w:val="Normal"/>
    <w:rsid w:val="009D6C91"/>
    <w:pPr>
      <w:spacing w:after="240"/>
      <w:jc w:val="center"/>
    </w:pPr>
    <w:rPr>
      <w:b/>
      <w:sz w:val="28"/>
    </w:rPr>
  </w:style>
  <w:style w:type="paragraph" w:customStyle="1" w:styleId="References">
    <w:name w:val="References"/>
    <w:basedOn w:val="Normal"/>
    <w:rsid w:val="009D6C91"/>
    <w:pPr>
      <w:ind w:left="426" w:hanging="426"/>
    </w:pPr>
  </w:style>
  <w:style w:type="paragraph" w:customStyle="1" w:styleId="Stoprunon">
    <w:name w:val="Stop &amp; run on"/>
    <w:basedOn w:val="Normal"/>
    <w:rsid w:val="009D6C91"/>
    <w:pPr>
      <w:spacing w:before="120"/>
    </w:pPr>
  </w:style>
  <w:style w:type="character" w:customStyle="1" w:styleId="Symbol">
    <w:name w:val="Symbol"/>
    <w:basedOn w:val="DefaultParagraphFont"/>
    <w:rsid w:val="009D6C91"/>
  </w:style>
  <w:style w:type="table" w:styleId="TableGrid">
    <w:name w:val="Table Grid"/>
    <w:basedOn w:val="TableNormal"/>
    <w:uiPriority w:val="59"/>
    <w:rsid w:val="00667218"/>
    <w:rPr>
      <w:rFonts w:ascii="Calibri" w:eastAsia="Calibri" w:hAnsi="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F6C3C"/>
    <w:pPr>
      <w:spacing w:after="240"/>
      <w:jc w:val="center"/>
      <w:outlineLvl w:val="0"/>
    </w:pPr>
    <w:rPr>
      <w:b/>
      <w:kern w:val="28"/>
      <w:sz w:val="28"/>
      <w:szCs w:val="32"/>
    </w:rPr>
  </w:style>
  <w:style w:type="character" w:styleId="Hyperlink">
    <w:name w:val="Hyperlink"/>
    <w:uiPriority w:val="99"/>
    <w:unhideWhenUsed/>
    <w:rsid w:val="00667218"/>
    <w:rPr>
      <w:rFonts w:ascii="Times New Roman" w:hAnsi="Times New Roman"/>
      <w:color w:val="0000FF"/>
      <w:sz w:val="22"/>
      <w:u w:val="single"/>
    </w:rPr>
  </w:style>
  <w:style w:type="character" w:customStyle="1" w:styleId="Heading5Char">
    <w:name w:val="Heading 5 Char"/>
    <w:basedOn w:val="DefaultParagraphFont"/>
    <w:link w:val="Heading5"/>
    <w:uiPriority w:val="9"/>
    <w:rsid w:val="00667218"/>
    <w:rPr>
      <w:rFonts w:eastAsia="Times New Roman" w:cstheme="majorBidi"/>
      <w:b/>
      <w:i/>
      <w:sz w:val="22"/>
      <w:szCs w:val="22"/>
    </w:rPr>
  </w:style>
  <w:style w:type="character" w:customStyle="1" w:styleId="Heading6Char">
    <w:name w:val="Heading 6 Char"/>
    <w:basedOn w:val="DefaultParagraphFont"/>
    <w:link w:val="Heading6"/>
    <w:uiPriority w:val="9"/>
    <w:rsid w:val="00667218"/>
    <w:rPr>
      <w:rFonts w:ascii="Calibri" w:eastAsia="Times New Roman" w:hAnsi="Calibr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667218"/>
    <w:rPr>
      <w:rFonts w:ascii="Calibri" w:eastAsia="Times New Roman" w:hAnsi="Calibri" w:cstheme="majorBidi"/>
      <w:i/>
      <w:iCs/>
      <w:color w:val="404040" w:themeColor="text1" w:themeTint="BF"/>
      <w:sz w:val="22"/>
      <w:szCs w:val="22"/>
    </w:rPr>
  </w:style>
  <w:style w:type="character" w:customStyle="1" w:styleId="Heading8Char">
    <w:name w:val="Heading 8 Char"/>
    <w:basedOn w:val="DefaultParagraphFont"/>
    <w:link w:val="Heading8"/>
    <w:uiPriority w:val="9"/>
    <w:rsid w:val="00667218"/>
    <w:rPr>
      <w:rFonts w:ascii="Calibri" w:eastAsia="Times New Roman" w:hAnsi="Calibri" w:cstheme="majorBidi"/>
      <w:color w:val="404040" w:themeColor="text1" w:themeTint="BF"/>
      <w:sz w:val="20"/>
      <w:szCs w:val="20"/>
    </w:rPr>
  </w:style>
  <w:style w:type="character" w:customStyle="1" w:styleId="Heading9Char">
    <w:name w:val="Heading 9 Char"/>
    <w:basedOn w:val="DefaultParagraphFont"/>
    <w:link w:val="Heading9"/>
    <w:uiPriority w:val="9"/>
    <w:rsid w:val="00667218"/>
    <w:rPr>
      <w:rFonts w:ascii="Calibri" w:eastAsia="Times New Roman" w:hAnsi="Calibri" w:cstheme="majorBidi"/>
      <w:i/>
      <w:iCs/>
      <w:color w:val="404040" w:themeColor="text1" w:themeTint="BF"/>
      <w:sz w:val="20"/>
      <w:szCs w:val="20"/>
    </w:rPr>
  </w:style>
  <w:style w:type="character" w:customStyle="1" w:styleId="Heading1Char">
    <w:name w:val="Heading 1 Char"/>
    <w:link w:val="Heading1"/>
    <w:uiPriority w:val="9"/>
    <w:rsid w:val="00667218"/>
    <w:rPr>
      <w:rFonts w:ascii="Tahoma" w:eastAsia="Times New Roman" w:hAnsi="Tahoma" w:cs="Tahoma"/>
      <w:b/>
      <w:bCs/>
      <w:color w:val="000000"/>
      <w:sz w:val="44"/>
      <w:szCs w:val="44"/>
    </w:rPr>
  </w:style>
  <w:style w:type="character" w:customStyle="1" w:styleId="Heading2Char">
    <w:name w:val="Heading 2 Char"/>
    <w:link w:val="Heading2"/>
    <w:uiPriority w:val="9"/>
    <w:rsid w:val="00667218"/>
    <w:rPr>
      <w:rFonts w:ascii="Tahoma" w:eastAsia="Times New Roman" w:hAnsi="Tahoma" w:cs="Tahoma"/>
      <w:b/>
      <w:bCs/>
      <w:color w:val="000000"/>
      <w:sz w:val="28"/>
      <w:szCs w:val="28"/>
    </w:rPr>
  </w:style>
  <w:style w:type="character" w:customStyle="1" w:styleId="Heading3Char">
    <w:name w:val="Heading 3 Char"/>
    <w:link w:val="Heading3"/>
    <w:uiPriority w:val="9"/>
    <w:rsid w:val="00667218"/>
    <w:rPr>
      <w:rFonts w:ascii="Tahoma" w:eastAsia="Times New Roman" w:hAnsi="Tahoma" w:cs="Tahoma"/>
      <w:b/>
      <w:bCs/>
      <w:color w:val="000000"/>
    </w:rPr>
  </w:style>
  <w:style w:type="character" w:customStyle="1" w:styleId="Heading4Char">
    <w:name w:val="Heading 4 Char"/>
    <w:basedOn w:val="DefaultParagraphFont"/>
    <w:link w:val="Heading4"/>
    <w:uiPriority w:val="9"/>
    <w:rsid w:val="00667218"/>
    <w:rPr>
      <w:rFonts w:ascii="Calibri" w:eastAsia="Calibri" w:hAnsi="Calibri"/>
      <w:b/>
    </w:rPr>
  </w:style>
  <w:style w:type="paragraph" w:styleId="TOCHeading">
    <w:name w:val="TOC Heading"/>
    <w:basedOn w:val="Heading1"/>
    <w:next w:val="Normal"/>
    <w:uiPriority w:val="39"/>
    <w:semiHidden/>
    <w:unhideWhenUsed/>
    <w:qFormat/>
    <w:rsid w:val="00667218"/>
    <w:pPr>
      <w:numPr>
        <w:numId w:val="0"/>
      </w:numPr>
      <w:spacing w:after="0"/>
      <w:outlineLvl w:val="9"/>
    </w:pPr>
    <w:rPr>
      <w:lang w:val="en-US" w:eastAsia="ja-JP"/>
    </w:rPr>
  </w:style>
  <w:style w:type="paragraph" w:styleId="TOC1">
    <w:name w:val="toc 1"/>
    <w:basedOn w:val="Normal"/>
    <w:next w:val="Normal"/>
    <w:autoRedefine/>
    <w:uiPriority w:val="39"/>
    <w:unhideWhenUsed/>
    <w:rsid w:val="00667218"/>
    <w:pPr>
      <w:spacing w:after="100"/>
    </w:pPr>
    <w:rPr>
      <w:noProof/>
    </w:rPr>
  </w:style>
  <w:style w:type="character" w:customStyle="1" w:styleId="BalloonTextChar">
    <w:name w:val="Balloon Text Char"/>
    <w:link w:val="BalloonText"/>
    <w:uiPriority w:val="99"/>
    <w:semiHidden/>
    <w:rsid w:val="00667218"/>
    <w:rPr>
      <w:rFonts w:ascii="Tahoma" w:eastAsia="Calibri" w:hAnsi="Tahoma" w:cs="Tahoma"/>
      <w:sz w:val="16"/>
      <w:szCs w:val="16"/>
    </w:rPr>
  </w:style>
  <w:style w:type="paragraph" w:styleId="TOC2">
    <w:name w:val="toc 2"/>
    <w:basedOn w:val="Normal"/>
    <w:next w:val="Normal"/>
    <w:autoRedefine/>
    <w:uiPriority w:val="39"/>
    <w:unhideWhenUsed/>
    <w:rsid w:val="00667218"/>
    <w:pPr>
      <w:ind w:left="220"/>
    </w:pPr>
    <w:rPr>
      <w:noProof/>
    </w:rPr>
  </w:style>
  <w:style w:type="paragraph" w:styleId="TOC3">
    <w:name w:val="toc 3"/>
    <w:basedOn w:val="Normal"/>
    <w:next w:val="Normal"/>
    <w:autoRedefine/>
    <w:uiPriority w:val="39"/>
    <w:unhideWhenUsed/>
    <w:rsid w:val="00667218"/>
    <w:pPr>
      <w:tabs>
        <w:tab w:val="left" w:pos="1149"/>
        <w:tab w:val="right" w:leader="dot" w:pos="9060"/>
      </w:tabs>
      <w:spacing w:after="40"/>
      <w:ind w:left="442"/>
    </w:pPr>
    <w:rPr>
      <w:noProof/>
    </w:rPr>
  </w:style>
  <w:style w:type="paragraph" w:styleId="TOC9">
    <w:name w:val="toc 9"/>
    <w:basedOn w:val="Normal"/>
    <w:next w:val="Normal"/>
    <w:autoRedefine/>
    <w:uiPriority w:val="39"/>
    <w:unhideWhenUsed/>
    <w:rsid w:val="00667218"/>
    <w:pPr>
      <w:ind w:left="1760"/>
    </w:pPr>
  </w:style>
  <w:style w:type="character" w:customStyle="1" w:styleId="CommentTextChar">
    <w:name w:val="Comment Text Char"/>
    <w:link w:val="CommentText"/>
    <w:uiPriority w:val="99"/>
    <w:rsid w:val="00667218"/>
    <w:rPr>
      <w:rFonts w:ascii="Garamond" w:eastAsia="Times New Roman" w:hAnsi="Garamond"/>
      <w:sz w:val="20"/>
      <w:szCs w:val="20"/>
      <w:lang w:eastAsia="en-AU"/>
    </w:rPr>
  </w:style>
  <w:style w:type="paragraph" w:styleId="Footer">
    <w:name w:val="footer"/>
    <w:aliases w:val=" Char"/>
    <w:basedOn w:val="Normal"/>
    <w:link w:val="FooterChar"/>
    <w:uiPriority w:val="99"/>
    <w:unhideWhenUsed/>
    <w:rsid w:val="00667218"/>
    <w:pPr>
      <w:tabs>
        <w:tab w:val="center" w:pos="4513"/>
        <w:tab w:val="right" w:pos="9026"/>
      </w:tabs>
    </w:pPr>
  </w:style>
  <w:style w:type="character" w:customStyle="1" w:styleId="FooterChar">
    <w:name w:val="Footer Char"/>
    <w:aliases w:val=" Char Char"/>
    <w:link w:val="Footer"/>
    <w:uiPriority w:val="99"/>
    <w:rsid w:val="00667218"/>
    <w:rPr>
      <w:rFonts w:ascii="Calibri" w:eastAsia="Calibri" w:hAnsi="Calibri"/>
      <w:sz w:val="22"/>
      <w:szCs w:val="22"/>
    </w:rPr>
  </w:style>
  <w:style w:type="paragraph" w:styleId="TOC4">
    <w:name w:val="toc 4"/>
    <w:basedOn w:val="Normal"/>
    <w:next w:val="Normal"/>
    <w:autoRedefine/>
    <w:uiPriority w:val="39"/>
    <w:unhideWhenUsed/>
    <w:rsid w:val="00667218"/>
    <w:pPr>
      <w:spacing w:after="100"/>
      <w:ind w:left="660"/>
    </w:pPr>
    <w:rPr>
      <w:rFonts w:eastAsia="Times New Roman"/>
      <w:lang w:eastAsia="en-AU"/>
    </w:rPr>
  </w:style>
  <w:style w:type="paragraph" w:styleId="TOC5">
    <w:name w:val="toc 5"/>
    <w:basedOn w:val="Normal"/>
    <w:next w:val="Normal"/>
    <w:autoRedefine/>
    <w:uiPriority w:val="39"/>
    <w:unhideWhenUsed/>
    <w:rsid w:val="00667218"/>
    <w:pPr>
      <w:spacing w:after="100"/>
      <w:ind w:left="880"/>
    </w:pPr>
    <w:rPr>
      <w:rFonts w:eastAsia="Times New Roman"/>
      <w:lang w:eastAsia="en-AU"/>
    </w:rPr>
  </w:style>
  <w:style w:type="paragraph" w:styleId="TOC6">
    <w:name w:val="toc 6"/>
    <w:basedOn w:val="Normal"/>
    <w:next w:val="Normal"/>
    <w:autoRedefine/>
    <w:uiPriority w:val="39"/>
    <w:unhideWhenUsed/>
    <w:rsid w:val="00667218"/>
    <w:pPr>
      <w:spacing w:after="100"/>
      <w:ind w:left="1100"/>
    </w:pPr>
    <w:rPr>
      <w:rFonts w:eastAsia="Times New Roman"/>
      <w:lang w:eastAsia="en-AU"/>
    </w:rPr>
  </w:style>
  <w:style w:type="paragraph" w:styleId="TOC7">
    <w:name w:val="toc 7"/>
    <w:basedOn w:val="Normal"/>
    <w:next w:val="Normal"/>
    <w:autoRedefine/>
    <w:uiPriority w:val="39"/>
    <w:unhideWhenUsed/>
    <w:rsid w:val="00667218"/>
    <w:pPr>
      <w:spacing w:after="100"/>
      <w:ind w:left="1320"/>
    </w:pPr>
    <w:rPr>
      <w:rFonts w:eastAsia="Times New Roman"/>
      <w:lang w:eastAsia="en-AU"/>
    </w:rPr>
  </w:style>
  <w:style w:type="paragraph" w:styleId="TOC8">
    <w:name w:val="toc 8"/>
    <w:basedOn w:val="Normal"/>
    <w:next w:val="Normal"/>
    <w:autoRedefine/>
    <w:uiPriority w:val="39"/>
    <w:unhideWhenUsed/>
    <w:rsid w:val="00667218"/>
    <w:pPr>
      <w:spacing w:after="100"/>
      <w:ind w:left="1540"/>
    </w:pPr>
    <w:rPr>
      <w:rFonts w:eastAsia="Times New Roman"/>
      <w:lang w:eastAsia="en-AU"/>
    </w:rPr>
  </w:style>
  <w:style w:type="paragraph" w:styleId="Header">
    <w:name w:val="header"/>
    <w:basedOn w:val="Normal"/>
    <w:link w:val="HeaderChar"/>
    <w:uiPriority w:val="99"/>
    <w:unhideWhenUsed/>
    <w:rsid w:val="00667218"/>
    <w:pPr>
      <w:tabs>
        <w:tab w:val="center" w:pos="4513"/>
        <w:tab w:val="right" w:pos="9026"/>
      </w:tabs>
    </w:pPr>
  </w:style>
  <w:style w:type="character" w:customStyle="1" w:styleId="HeaderChar">
    <w:name w:val="Header Char"/>
    <w:link w:val="Header"/>
    <w:uiPriority w:val="99"/>
    <w:rsid w:val="00667218"/>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667218"/>
    <w:pPr>
      <w:spacing w:after="200"/>
    </w:pPr>
    <w:rPr>
      <w:rFonts w:ascii="Calibri" w:eastAsia="Calibri" w:hAnsi="Calibri"/>
      <w:b/>
      <w:bCs/>
    </w:rPr>
  </w:style>
  <w:style w:type="character" w:customStyle="1" w:styleId="CommentTextChar1">
    <w:name w:val="Comment Text Char1"/>
    <w:basedOn w:val="DefaultParagraphFont"/>
    <w:uiPriority w:val="99"/>
    <w:rsid w:val="00E47AB8"/>
  </w:style>
  <w:style w:type="character" w:customStyle="1" w:styleId="CommentSubjectChar">
    <w:name w:val="Comment Subject Char"/>
    <w:basedOn w:val="CommentTextChar"/>
    <w:link w:val="CommentSubject"/>
    <w:uiPriority w:val="99"/>
    <w:semiHidden/>
    <w:rsid w:val="00667218"/>
    <w:rPr>
      <w:rFonts w:ascii="Calibri" w:eastAsia="Calibri" w:hAnsi="Calibri"/>
      <w:b/>
      <w:bCs/>
      <w:sz w:val="20"/>
      <w:szCs w:val="20"/>
      <w:lang w:eastAsia="en-AU"/>
    </w:rPr>
  </w:style>
  <w:style w:type="paragraph" w:customStyle="1" w:styleId="Default">
    <w:name w:val="Default"/>
    <w:rsid w:val="00667218"/>
    <w:pPr>
      <w:autoSpaceDE w:val="0"/>
      <w:autoSpaceDN w:val="0"/>
      <w:adjustRightInd w:val="0"/>
    </w:pPr>
    <w:rPr>
      <w:rFonts w:ascii="Tahoma" w:eastAsia="Calibri" w:hAnsi="Tahoma" w:cs="Tahoma"/>
      <w:color w:val="000000"/>
      <w:lang w:eastAsia="en-AU"/>
    </w:rPr>
  </w:style>
  <w:style w:type="paragraph" w:customStyle="1" w:styleId="BoxBullet">
    <w:name w:val="BoxBullet"/>
    <w:basedOn w:val="Normal"/>
    <w:rsid w:val="00667218"/>
    <w:pPr>
      <w:numPr>
        <w:numId w:val="106"/>
      </w:numPr>
      <w:pBdr>
        <w:top w:val="single" w:sz="4" w:space="4" w:color="000000"/>
        <w:left w:val="single" w:sz="4" w:space="4" w:color="000000"/>
        <w:bottom w:val="single" w:sz="4" w:space="4" w:color="000000"/>
        <w:right w:val="single" w:sz="4" w:space="4" w:color="000000"/>
      </w:pBdr>
      <w:tabs>
        <w:tab w:val="left" w:pos="1166"/>
      </w:tabs>
      <w:spacing w:line="240" w:lineRule="auto"/>
      <w:ind w:right="58"/>
    </w:pPr>
    <w:rPr>
      <w:rFonts w:eastAsia="Times New Roman"/>
      <w:color w:val="000000"/>
      <w:szCs w:val="20"/>
      <w:lang w:eastAsia="en-AU"/>
    </w:rPr>
  </w:style>
  <w:style w:type="paragraph" w:customStyle="1" w:styleId="BoxHeading">
    <w:name w:val="BoxHeading"/>
    <w:basedOn w:val="Normal"/>
    <w:rsid w:val="00667218"/>
    <w:pPr>
      <w:keepNext/>
      <w:pBdr>
        <w:top w:val="single" w:sz="4" w:space="4" w:color="000000"/>
        <w:left w:val="single" w:sz="4" w:space="4" w:color="000000"/>
        <w:bottom w:val="single" w:sz="4" w:space="4" w:color="000000"/>
        <w:right w:val="single" w:sz="4" w:space="4" w:color="000000"/>
      </w:pBdr>
      <w:spacing w:before="120" w:after="60" w:line="240" w:lineRule="auto"/>
      <w:ind w:left="806" w:right="58"/>
    </w:pPr>
    <w:rPr>
      <w:rFonts w:eastAsia="Times New Roman"/>
      <w:b/>
      <w:bCs/>
      <w:color w:val="000000"/>
      <w:szCs w:val="20"/>
      <w:lang w:eastAsia="en-AU"/>
    </w:rPr>
  </w:style>
  <w:style w:type="paragraph" w:customStyle="1" w:styleId="Bullet12">
    <w:name w:val="Bullet+12"/>
    <w:basedOn w:val="Bullet6"/>
    <w:rsid w:val="00667218"/>
    <w:pPr>
      <w:numPr>
        <w:numId w:val="0"/>
      </w:numPr>
      <w:spacing w:after="240"/>
    </w:pPr>
  </w:style>
  <w:style w:type="paragraph" w:customStyle="1" w:styleId="Bullet6">
    <w:name w:val="Bullet+6"/>
    <w:basedOn w:val="Normal"/>
    <w:rsid w:val="00667218"/>
    <w:pPr>
      <w:numPr>
        <w:numId w:val="110"/>
      </w:numPr>
      <w:tabs>
        <w:tab w:val="left" w:pos="1080"/>
      </w:tabs>
      <w:spacing w:line="240" w:lineRule="auto"/>
    </w:pPr>
    <w:rPr>
      <w:rFonts w:eastAsia="Times New Roman"/>
      <w:color w:val="000000"/>
      <w:sz w:val="23"/>
      <w:szCs w:val="20"/>
      <w:lang w:eastAsia="en-AU"/>
    </w:rPr>
  </w:style>
  <w:style w:type="character" w:styleId="FootnoteReference">
    <w:name w:val="footnote reference"/>
    <w:basedOn w:val="DefaultParagraphFont"/>
    <w:uiPriority w:val="99"/>
    <w:rsid w:val="00667218"/>
    <w:rPr>
      <w:vertAlign w:val="superscript"/>
    </w:rPr>
  </w:style>
  <w:style w:type="paragraph" w:customStyle="1" w:styleId="Normalbeforebullet">
    <w:name w:val="Normal (before bullet)"/>
    <w:basedOn w:val="Normal"/>
    <w:rsid w:val="00667218"/>
    <w:pPr>
      <w:keepNext/>
      <w:spacing w:line="240" w:lineRule="auto"/>
      <w:ind w:left="720"/>
    </w:pPr>
    <w:rPr>
      <w:rFonts w:ascii="Times New Roman" w:eastAsia="Times New Roman" w:hAnsi="Times New Roman"/>
      <w:color w:val="000000"/>
      <w:sz w:val="23"/>
      <w:szCs w:val="20"/>
      <w:lang w:eastAsia="en-AU"/>
    </w:rPr>
  </w:style>
  <w:style w:type="paragraph" w:customStyle="1" w:styleId="Footnotesregular">
    <w:name w:val="Footnotes regular"/>
    <w:basedOn w:val="Footer"/>
    <w:qFormat/>
    <w:rsid w:val="00667218"/>
    <w:pPr>
      <w:tabs>
        <w:tab w:val="clear" w:pos="4513"/>
        <w:tab w:val="clear" w:pos="9026"/>
        <w:tab w:val="left" w:pos="567"/>
      </w:tabs>
      <w:spacing w:after="60" w:line="240" w:lineRule="auto"/>
      <w:ind w:left="1004" w:hanging="284"/>
    </w:pPr>
    <w:rPr>
      <w:rFonts w:ascii="Times New Roman" w:eastAsia="Times New Roman" w:hAnsi="Times New Roman"/>
      <w:bCs/>
      <w:color w:val="000000"/>
      <w:sz w:val="18"/>
      <w:szCs w:val="20"/>
      <w:lang w:eastAsia="en-AU"/>
    </w:rPr>
  </w:style>
  <w:style w:type="paragraph" w:customStyle="1" w:styleId="Tabletext">
    <w:name w:val="Table text"/>
    <w:basedOn w:val="Normal"/>
    <w:link w:val="TabletextChar"/>
    <w:qFormat/>
    <w:rsid w:val="00667218"/>
    <w:pPr>
      <w:spacing w:after="0" w:line="240" w:lineRule="auto"/>
    </w:pPr>
    <w:rPr>
      <w:rFonts w:ascii="Arial Narrow" w:hAnsi="Arial Narrow"/>
      <w:sz w:val="20"/>
    </w:rPr>
  </w:style>
  <w:style w:type="paragraph" w:customStyle="1" w:styleId="Tableheaderrow">
    <w:name w:val="Table header row"/>
    <w:basedOn w:val="Tabletext"/>
    <w:qFormat/>
    <w:rsid w:val="00667218"/>
    <w:rPr>
      <w:b/>
    </w:rPr>
  </w:style>
  <w:style w:type="paragraph" w:customStyle="1" w:styleId="TableBullet">
    <w:name w:val="TableBullet"/>
    <w:basedOn w:val="TableText0"/>
    <w:rsid w:val="00667218"/>
    <w:pPr>
      <w:numPr>
        <w:numId w:val="125"/>
      </w:numPr>
      <w:tabs>
        <w:tab w:val="left" w:pos="216"/>
      </w:tabs>
    </w:pPr>
  </w:style>
  <w:style w:type="paragraph" w:customStyle="1" w:styleId="TableText0">
    <w:name w:val="TableText"/>
    <w:basedOn w:val="Normal"/>
    <w:link w:val="TableTextChar0"/>
    <w:qFormat/>
    <w:rsid w:val="00667218"/>
    <w:pPr>
      <w:keepNext/>
      <w:spacing w:before="20" w:after="20" w:line="240" w:lineRule="auto"/>
    </w:pPr>
    <w:rPr>
      <w:rFonts w:ascii="Arial Narrow" w:eastAsia="Times New Roman" w:hAnsi="Arial Narrow"/>
      <w:color w:val="000000"/>
      <w:sz w:val="20"/>
      <w:szCs w:val="21"/>
      <w:lang w:eastAsia="en-AU"/>
    </w:rPr>
  </w:style>
  <w:style w:type="paragraph" w:customStyle="1" w:styleId="TableName">
    <w:name w:val="TableName"/>
    <w:basedOn w:val="TableText0"/>
    <w:link w:val="TableNameChar"/>
    <w:rsid w:val="00667218"/>
    <w:pPr>
      <w:tabs>
        <w:tab w:val="left" w:pos="1800"/>
      </w:tabs>
      <w:spacing w:before="120" w:after="120"/>
      <w:ind w:left="2251" w:hanging="1531"/>
    </w:pPr>
    <w:rPr>
      <w:b/>
      <w:bCs/>
      <w:sz w:val="22"/>
    </w:rPr>
  </w:style>
  <w:style w:type="paragraph" w:customStyle="1" w:styleId="TableNotes18">
    <w:name w:val="TableNotes+18"/>
    <w:basedOn w:val="TableText0"/>
    <w:uiPriority w:val="99"/>
    <w:rsid w:val="00667218"/>
    <w:pPr>
      <w:keepNext w:val="0"/>
      <w:keepLines/>
      <w:spacing w:before="0" w:after="360"/>
      <w:ind w:left="720"/>
    </w:pPr>
    <w:rPr>
      <w:sz w:val="18"/>
    </w:rPr>
  </w:style>
  <w:style w:type="paragraph" w:customStyle="1" w:styleId="TableHeading">
    <w:name w:val="TableHeading"/>
    <w:basedOn w:val="TableText0"/>
    <w:link w:val="TableHeadingChar"/>
    <w:rsid w:val="00667218"/>
    <w:rPr>
      <w:b/>
      <w:bCs/>
    </w:rPr>
  </w:style>
  <w:style w:type="paragraph" w:styleId="ListNumber5">
    <w:name w:val="List Number 5"/>
    <w:basedOn w:val="Normal"/>
    <w:rsid w:val="00667218"/>
    <w:pPr>
      <w:numPr>
        <w:numId w:val="122"/>
      </w:numPr>
      <w:spacing w:after="240" w:line="240" w:lineRule="auto"/>
    </w:pPr>
    <w:rPr>
      <w:rFonts w:eastAsia="Times New Roman"/>
      <w:color w:val="000000"/>
      <w:sz w:val="23"/>
      <w:szCs w:val="20"/>
      <w:lang w:eastAsia="en-AU"/>
    </w:rPr>
  </w:style>
  <w:style w:type="paragraph" w:customStyle="1" w:styleId="NumberList">
    <w:name w:val="NumberList"/>
    <w:basedOn w:val="Normal"/>
    <w:rsid w:val="00667218"/>
    <w:pPr>
      <w:tabs>
        <w:tab w:val="left" w:pos="1080"/>
      </w:tabs>
      <w:spacing w:after="240" w:line="240" w:lineRule="auto"/>
      <w:ind w:left="1080" w:hanging="360"/>
    </w:pPr>
    <w:rPr>
      <w:rFonts w:ascii="Times New Roman" w:eastAsia="Times New Roman" w:hAnsi="Times New Roman"/>
      <w:color w:val="000000"/>
      <w:sz w:val="23"/>
      <w:szCs w:val="20"/>
      <w:lang w:eastAsia="en-AU"/>
    </w:rPr>
  </w:style>
  <w:style w:type="paragraph" w:customStyle="1" w:styleId="TFAbbrevs0">
    <w:name w:val="TFAbbrevs+0"/>
    <w:basedOn w:val="Normal"/>
    <w:qFormat/>
    <w:rsid w:val="00667218"/>
    <w:pPr>
      <w:keepNext/>
      <w:keepLines/>
      <w:spacing w:after="0" w:line="240" w:lineRule="auto"/>
    </w:pPr>
    <w:rPr>
      <w:rFonts w:ascii="Arial Narrow" w:eastAsia="Times New Roman" w:hAnsi="Arial Narrow"/>
      <w:color w:val="000000"/>
      <w:sz w:val="18"/>
      <w:szCs w:val="18"/>
      <w:lang w:eastAsia="en-AU"/>
    </w:rPr>
  </w:style>
  <w:style w:type="paragraph" w:customStyle="1" w:styleId="TFAbbrevs18">
    <w:name w:val="TFAbbrevs+18"/>
    <w:basedOn w:val="TFAbbrevs0"/>
    <w:next w:val="Normal"/>
    <w:qFormat/>
    <w:rsid w:val="00667218"/>
    <w:pPr>
      <w:keepNext w:val="0"/>
      <w:spacing w:after="360"/>
    </w:pPr>
  </w:style>
  <w:style w:type="paragraph" w:styleId="ListParagraph">
    <w:name w:val="List Paragraph"/>
    <w:basedOn w:val="Normal"/>
    <w:link w:val="ListParagraphChar"/>
    <w:uiPriority w:val="34"/>
    <w:qFormat/>
    <w:rsid w:val="00667218"/>
    <w:pPr>
      <w:spacing w:after="200"/>
      <w:ind w:left="720"/>
      <w:contextualSpacing/>
    </w:pPr>
  </w:style>
  <w:style w:type="character" w:customStyle="1" w:styleId="highlight">
    <w:name w:val="highlight"/>
    <w:basedOn w:val="DefaultParagraphFont"/>
    <w:rsid w:val="00667218"/>
  </w:style>
  <w:style w:type="paragraph" w:customStyle="1" w:styleId="TableText1">
    <w:name w:val="Table Text"/>
    <w:basedOn w:val="Normal"/>
    <w:link w:val="TableTextChar1"/>
    <w:qFormat/>
    <w:rsid w:val="00667218"/>
    <w:pPr>
      <w:keepNext/>
      <w:spacing w:before="40" w:after="40" w:line="240" w:lineRule="auto"/>
    </w:pPr>
    <w:rPr>
      <w:rFonts w:ascii="Arial" w:eastAsia="Times New Roman" w:hAnsi="Arial"/>
      <w:sz w:val="20"/>
      <w:szCs w:val="20"/>
    </w:rPr>
  </w:style>
  <w:style w:type="paragraph" w:customStyle="1" w:styleId="AIHWbodytext">
    <w:name w:val="AIHW body text"/>
    <w:link w:val="AIHWbodytextChar"/>
    <w:uiPriority w:val="99"/>
    <w:rsid w:val="00667218"/>
    <w:pPr>
      <w:spacing w:before="60" w:after="40" w:line="260" w:lineRule="atLeast"/>
    </w:pPr>
    <w:rPr>
      <w:rFonts w:ascii="Book Antiqua" w:eastAsia="Times New Roman" w:hAnsi="Book Antiqua"/>
      <w:color w:val="000000"/>
      <w:sz w:val="22"/>
      <w:szCs w:val="20"/>
    </w:rPr>
  </w:style>
  <w:style w:type="paragraph" w:customStyle="1" w:styleId="Bullet1">
    <w:name w:val="Bullet 1"/>
    <w:basedOn w:val="AIHWbodytext"/>
    <w:link w:val="Bullet1Char"/>
    <w:uiPriority w:val="99"/>
    <w:rsid w:val="00667218"/>
    <w:pPr>
      <w:numPr>
        <w:numId w:val="108"/>
      </w:numPr>
      <w:spacing w:before="40"/>
    </w:pPr>
  </w:style>
  <w:style w:type="character" w:customStyle="1" w:styleId="AIHWbodytextChar">
    <w:name w:val="AIHW body text Char"/>
    <w:basedOn w:val="DefaultParagraphFont"/>
    <w:link w:val="AIHWbodytext"/>
    <w:uiPriority w:val="99"/>
    <w:locked/>
    <w:rsid w:val="00667218"/>
    <w:rPr>
      <w:rFonts w:ascii="Book Antiqua" w:eastAsia="Times New Roman" w:hAnsi="Book Antiqua"/>
      <w:color w:val="000000"/>
      <w:sz w:val="22"/>
      <w:szCs w:val="20"/>
    </w:rPr>
  </w:style>
  <w:style w:type="character" w:customStyle="1" w:styleId="Bullet1Char">
    <w:name w:val="Bullet 1 Char"/>
    <w:basedOn w:val="AIHWbodytextChar"/>
    <w:link w:val="Bullet1"/>
    <w:uiPriority w:val="99"/>
    <w:locked/>
    <w:rsid w:val="00667218"/>
    <w:rPr>
      <w:rFonts w:ascii="Book Antiqua" w:eastAsia="Times New Roman" w:hAnsi="Book Antiqua"/>
      <w:color w:val="000000"/>
      <w:sz w:val="22"/>
      <w:szCs w:val="20"/>
    </w:rPr>
  </w:style>
  <w:style w:type="character" w:styleId="FollowedHyperlink">
    <w:name w:val="FollowedHyperlink"/>
    <w:basedOn w:val="DefaultParagraphFont"/>
    <w:uiPriority w:val="99"/>
    <w:semiHidden/>
    <w:unhideWhenUsed/>
    <w:rsid w:val="00667218"/>
    <w:rPr>
      <w:color w:val="800080" w:themeColor="followedHyperlink"/>
      <w:u w:val="single"/>
    </w:rPr>
  </w:style>
  <w:style w:type="paragraph" w:styleId="NormalWeb">
    <w:name w:val="Normal (Web)"/>
    <w:basedOn w:val="Normal"/>
    <w:uiPriority w:val="99"/>
    <w:unhideWhenUsed/>
    <w:rsid w:val="00667218"/>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styleId="FootnoteText">
    <w:name w:val="footnote text"/>
    <w:basedOn w:val="Normal"/>
    <w:link w:val="FootnoteTextChar"/>
    <w:uiPriority w:val="99"/>
    <w:semiHidden/>
    <w:unhideWhenUsed/>
    <w:rsid w:val="00667218"/>
    <w:pPr>
      <w:spacing w:line="240" w:lineRule="auto"/>
    </w:pPr>
    <w:rPr>
      <w:sz w:val="20"/>
      <w:szCs w:val="20"/>
    </w:rPr>
  </w:style>
  <w:style w:type="character" w:customStyle="1" w:styleId="FootnoteTextChar">
    <w:name w:val="Footnote Text Char"/>
    <w:basedOn w:val="DefaultParagraphFont"/>
    <w:link w:val="FootnoteText"/>
    <w:uiPriority w:val="99"/>
    <w:semiHidden/>
    <w:rsid w:val="00667218"/>
    <w:rPr>
      <w:rFonts w:ascii="Calibri" w:eastAsia="Calibri" w:hAnsi="Calibri"/>
      <w:sz w:val="20"/>
      <w:szCs w:val="20"/>
    </w:rPr>
  </w:style>
  <w:style w:type="paragraph" w:styleId="NoSpacing">
    <w:name w:val="No Spacing"/>
    <w:aliases w:val="ExecSumm"/>
    <w:link w:val="NoSpacingChar"/>
    <w:uiPriority w:val="1"/>
    <w:qFormat/>
    <w:rsid w:val="00667218"/>
    <w:rPr>
      <w:rFonts w:ascii="Calibri" w:eastAsia="Times New Roman" w:hAnsi="Calibri"/>
      <w:sz w:val="22"/>
      <w:szCs w:val="22"/>
      <w:lang w:val="en-US"/>
    </w:rPr>
  </w:style>
  <w:style w:type="character" w:customStyle="1" w:styleId="NoSpacingChar">
    <w:name w:val="No Spacing Char"/>
    <w:aliases w:val="ExecSumm Char"/>
    <w:basedOn w:val="DefaultParagraphFont"/>
    <w:link w:val="NoSpacing"/>
    <w:uiPriority w:val="1"/>
    <w:locked/>
    <w:rsid w:val="00667218"/>
    <w:rPr>
      <w:rFonts w:ascii="Calibri" w:eastAsia="Times New Roman" w:hAnsi="Calibri"/>
      <w:sz w:val="22"/>
      <w:szCs w:val="22"/>
      <w:lang w:val="en-US"/>
    </w:rPr>
  </w:style>
  <w:style w:type="paragraph" w:customStyle="1" w:styleId="Heading2nonTOC">
    <w:name w:val="Heading 2 nonTOC"/>
    <w:basedOn w:val="Heading2"/>
    <w:qFormat/>
    <w:rsid w:val="00667218"/>
    <w:pPr>
      <w:numPr>
        <w:ilvl w:val="0"/>
        <w:numId w:val="0"/>
      </w:numPr>
    </w:pPr>
    <w:rPr>
      <w:lang w:eastAsia="en-AU"/>
    </w:rPr>
  </w:style>
  <w:style w:type="paragraph" w:customStyle="1" w:styleId="AppendixHeading2">
    <w:name w:val="Appendix Heading 2"/>
    <w:next w:val="Normal"/>
    <w:qFormat/>
    <w:rsid w:val="00667218"/>
    <w:pPr>
      <w:spacing w:before="200" w:after="120" w:line="276" w:lineRule="auto"/>
    </w:pPr>
    <w:rPr>
      <w:rFonts w:ascii="Tahoma" w:eastAsia="Times New Roman" w:hAnsi="Tahoma" w:cs="Tahoma"/>
      <w:b/>
      <w:bCs/>
      <w:color w:val="000000"/>
      <w:sz w:val="28"/>
      <w:szCs w:val="28"/>
      <w:lang w:eastAsia="en-AU"/>
    </w:rPr>
  </w:style>
  <w:style w:type="character" w:customStyle="1" w:styleId="apple-converted-space">
    <w:name w:val="apple-converted-space"/>
    <w:basedOn w:val="DefaultParagraphFont"/>
    <w:rsid w:val="00667218"/>
  </w:style>
  <w:style w:type="paragraph" w:customStyle="1" w:styleId="TableNotesFirst">
    <w:name w:val="TableNotesFirst"/>
    <w:basedOn w:val="Normal"/>
    <w:rsid w:val="00667218"/>
    <w:pPr>
      <w:keepLines/>
      <w:spacing w:before="40" w:after="0" w:line="240" w:lineRule="auto"/>
    </w:pPr>
    <w:rPr>
      <w:rFonts w:ascii="Arial Narrow" w:eastAsia="Times New Roman" w:hAnsi="Arial Narrow"/>
      <w:sz w:val="18"/>
      <w:szCs w:val="20"/>
      <w:lang w:eastAsia="en-AU"/>
    </w:rPr>
  </w:style>
  <w:style w:type="paragraph" w:customStyle="1" w:styleId="TableNotesMiddle">
    <w:name w:val="TableNotesMiddle"/>
    <w:basedOn w:val="Normal"/>
    <w:rsid w:val="00667218"/>
    <w:pPr>
      <w:keepLines/>
      <w:spacing w:before="40" w:after="0" w:line="240" w:lineRule="auto"/>
    </w:pPr>
    <w:rPr>
      <w:rFonts w:ascii="Arial Narrow" w:eastAsia="Times New Roman" w:hAnsi="Arial Narrow"/>
      <w:sz w:val="18"/>
      <w:szCs w:val="16"/>
      <w:lang w:eastAsia="en-AU"/>
    </w:rPr>
  </w:style>
  <w:style w:type="paragraph" w:customStyle="1" w:styleId="TableNotesLast">
    <w:name w:val="TableNotesLast"/>
    <w:basedOn w:val="Normal"/>
    <w:rsid w:val="00667218"/>
    <w:pPr>
      <w:keepLines/>
      <w:spacing w:before="40" w:after="240" w:line="240" w:lineRule="auto"/>
    </w:pPr>
    <w:rPr>
      <w:rFonts w:ascii="Arial Narrow" w:eastAsia="Times New Roman" w:hAnsi="Arial Narrow"/>
      <w:sz w:val="18"/>
      <w:szCs w:val="16"/>
      <w:lang w:eastAsia="en-AU"/>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locked/>
    <w:rsid w:val="00667218"/>
    <w:rPr>
      <w:rFonts w:eastAsia="Times New Roman" w:cstheme="minorBidi"/>
      <w:b/>
      <w:bCs/>
      <w:sz w:val="22"/>
      <w:szCs w:val="18"/>
    </w:rPr>
  </w:style>
  <w:style w:type="character" w:customStyle="1" w:styleId="ListParagraphChar">
    <w:name w:val="List Paragraph Char"/>
    <w:link w:val="ListParagraph"/>
    <w:uiPriority w:val="34"/>
    <w:rsid w:val="00667218"/>
    <w:rPr>
      <w:rFonts w:ascii="Calibri" w:eastAsia="Calibri" w:hAnsi="Calibri"/>
      <w:sz w:val="22"/>
      <w:szCs w:val="22"/>
    </w:rPr>
  </w:style>
  <w:style w:type="paragraph" w:customStyle="1" w:styleId="Heading40">
    <w:name w:val="Heading4"/>
    <w:basedOn w:val="Heading30"/>
    <w:next w:val="Normal"/>
    <w:link w:val="Heading4Char0"/>
    <w:rsid w:val="00667218"/>
    <w:pPr>
      <w:outlineLvl w:val="3"/>
    </w:pPr>
    <w:rPr>
      <w:i/>
    </w:rPr>
  </w:style>
  <w:style w:type="paragraph" w:customStyle="1" w:styleId="Heading30">
    <w:name w:val="Heading3"/>
    <w:basedOn w:val="Heading3"/>
    <w:next w:val="Normal"/>
    <w:link w:val="Heading3Char0"/>
    <w:rsid w:val="00667218"/>
  </w:style>
  <w:style w:type="character" w:customStyle="1" w:styleId="Heading3Char0">
    <w:name w:val="Heading3 Char"/>
    <w:link w:val="Heading30"/>
    <w:rsid w:val="00667218"/>
    <w:rPr>
      <w:rFonts w:ascii="Tahoma" w:eastAsia="Times New Roman" w:hAnsi="Tahoma" w:cs="Tahoma"/>
      <w:b/>
      <w:bCs/>
      <w:color w:val="000000"/>
    </w:rPr>
  </w:style>
  <w:style w:type="character" w:customStyle="1" w:styleId="Heading4Char0">
    <w:name w:val="Heading4 Char"/>
    <w:link w:val="Heading40"/>
    <w:rsid w:val="00667218"/>
    <w:rPr>
      <w:rFonts w:ascii="Tahoma" w:eastAsia="Times New Roman" w:hAnsi="Tahoma" w:cs="Tahoma"/>
      <w:b/>
      <w:bCs/>
      <w:i/>
      <w:color w:val="000000"/>
      <w:sz w:val="22"/>
    </w:rPr>
  </w:style>
  <w:style w:type="paragraph" w:styleId="TableofFigures">
    <w:name w:val="table of figures"/>
    <w:aliases w:val="Table"/>
    <w:basedOn w:val="Normal"/>
    <w:next w:val="Normal"/>
    <w:uiPriority w:val="99"/>
    <w:unhideWhenUsed/>
    <w:rsid w:val="00667218"/>
    <w:pPr>
      <w:tabs>
        <w:tab w:val="left" w:pos="1134"/>
        <w:tab w:val="right" w:pos="9072"/>
      </w:tabs>
      <w:spacing w:after="0"/>
      <w:ind w:left="1134" w:hanging="1134"/>
    </w:pPr>
    <w:rPr>
      <w:noProof/>
    </w:rPr>
  </w:style>
  <w:style w:type="paragraph" w:customStyle="1" w:styleId="fulltext-text">
    <w:name w:val="fulltext-text"/>
    <w:basedOn w:val="Normal"/>
    <w:rsid w:val="00667218"/>
    <w:pPr>
      <w:spacing w:before="100" w:beforeAutospacing="1" w:after="360" w:line="240" w:lineRule="auto"/>
    </w:pPr>
    <w:rPr>
      <w:rFonts w:eastAsia="Times New Roman"/>
      <w:lang w:eastAsia="en-AU"/>
    </w:rPr>
  </w:style>
  <w:style w:type="numbering" w:customStyle="1" w:styleId="Style1">
    <w:name w:val="Style1"/>
    <w:uiPriority w:val="99"/>
    <w:rsid w:val="00667218"/>
    <w:pPr>
      <w:numPr>
        <w:numId w:val="51"/>
      </w:numPr>
    </w:pPr>
  </w:style>
  <w:style w:type="character" w:customStyle="1" w:styleId="TableTextChar0">
    <w:name w:val="TableText Char"/>
    <w:basedOn w:val="DefaultParagraphFont"/>
    <w:link w:val="TableText0"/>
    <w:rsid w:val="00667218"/>
    <w:rPr>
      <w:rFonts w:ascii="Arial Narrow" w:eastAsia="Times New Roman" w:hAnsi="Arial Narrow"/>
      <w:color w:val="000000"/>
      <w:sz w:val="20"/>
      <w:szCs w:val="21"/>
      <w:lang w:eastAsia="en-AU"/>
    </w:rPr>
  </w:style>
  <w:style w:type="character" w:customStyle="1" w:styleId="TableNameChar">
    <w:name w:val="TableName Char"/>
    <w:basedOn w:val="DefaultParagraphFont"/>
    <w:link w:val="TableName"/>
    <w:rsid w:val="00667218"/>
    <w:rPr>
      <w:rFonts w:ascii="Arial Narrow" w:eastAsia="Times New Roman" w:hAnsi="Arial Narrow"/>
      <w:b/>
      <w:bCs/>
      <w:color w:val="000000"/>
      <w:sz w:val="22"/>
      <w:szCs w:val="21"/>
      <w:lang w:eastAsia="en-AU"/>
    </w:rPr>
  </w:style>
  <w:style w:type="character" w:customStyle="1" w:styleId="TableHeadingChar">
    <w:name w:val="TableHeading Char"/>
    <w:basedOn w:val="DefaultParagraphFont"/>
    <w:link w:val="TableHeading"/>
    <w:rsid w:val="00667218"/>
    <w:rPr>
      <w:rFonts w:ascii="Arial Narrow" w:eastAsia="Times New Roman" w:hAnsi="Arial Narrow"/>
      <w:b/>
      <w:bCs/>
      <w:color w:val="000000"/>
      <w:sz w:val="20"/>
      <w:szCs w:val="21"/>
      <w:lang w:eastAsia="en-AU"/>
    </w:rPr>
  </w:style>
  <w:style w:type="paragraph" w:customStyle="1" w:styleId="TableNotes">
    <w:name w:val="TableNotes"/>
    <w:basedOn w:val="TableText0"/>
    <w:link w:val="TableNotesChar"/>
    <w:rsid w:val="00667218"/>
    <w:pPr>
      <w:keepNext w:val="0"/>
      <w:keepLines/>
      <w:spacing w:before="40" w:after="360"/>
      <w:ind w:left="720"/>
      <w:contextualSpacing/>
    </w:pPr>
    <w:rPr>
      <w:rFonts w:eastAsia="Calibri"/>
      <w:sz w:val="16"/>
      <w:szCs w:val="20"/>
    </w:rPr>
  </w:style>
  <w:style w:type="character" w:customStyle="1" w:styleId="TableNotesChar">
    <w:name w:val="TableNotes Char"/>
    <w:basedOn w:val="DefaultParagraphFont"/>
    <w:link w:val="TableNotes"/>
    <w:rsid w:val="00667218"/>
    <w:rPr>
      <w:rFonts w:ascii="Arial Narrow" w:eastAsia="Calibri" w:hAnsi="Arial Narrow"/>
      <w:color w:val="000000"/>
      <w:sz w:val="16"/>
      <w:szCs w:val="20"/>
      <w:lang w:eastAsia="en-AU"/>
    </w:rPr>
  </w:style>
  <w:style w:type="paragraph" w:customStyle="1" w:styleId="TableNotes0">
    <w:name w:val="TableNotes+0"/>
    <w:basedOn w:val="TableNotes18"/>
    <w:uiPriority w:val="99"/>
    <w:rsid w:val="00667218"/>
    <w:pPr>
      <w:keepNext/>
      <w:spacing w:before="40" w:after="0"/>
    </w:pPr>
    <w:rPr>
      <w:rFonts w:eastAsia="Calibri"/>
      <w:sz w:val="20"/>
    </w:rPr>
  </w:style>
  <w:style w:type="character" w:customStyle="1" w:styleId="dbname">
    <w:name w:val="dbname"/>
    <w:basedOn w:val="DefaultParagraphFont"/>
    <w:rsid w:val="00667218"/>
  </w:style>
  <w:style w:type="character" w:customStyle="1" w:styleId="dbdate">
    <w:name w:val="dbdate"/>
    <w:basedOn w:val="DefaultParagraphFont"/>
    <w:rsid w:val="00667218"/>
  </w:style>
  <w:style w:type="paragraph" w:styleId="EndnoteText">
    <w:name w:val="endnote text"/>
    <w:basedOn w:val="Normal"/>
    <w:link w:val="EndnoteTextChar"/>
    <w:uiPriority w:val="99"/>
    <w:semiHidden/>
    <w:unhideWhenUsed/>
    <w:rsid w:val="00667218"/>
    <w:pPr>
      <w:spacing w:line="240" w:lineRule="auto"/>
    </w:pPr>
    <w:rPr>
      <w:rFonts w:eastAsia="Times New Roman" w:cstheme="minorBidi"/>
      <w:sz w:val="20"/>
      <w:szCs w:val="20"/>
    </w:rPr>
  </w:style>
  <w:style w:type="character" w:customStyle="1" w:styleId="EndnoteTextChar">
    <w:name w:val="Endnote Text Char"/>
    <w:basedOn w:val="DefaultParagraphFont"/>
    <w:link w:val="EndnoteText"/>
    <w:uiPriority w:val="99"/>
    <w:semiHidden/>
    <w:rsid w:val="00667218"/>
    <w:rPr>
      <w:rFonts w:eastAsia="Times New Roman" w:cstheme="minorBidi"/>
      <w:sz w:val="20"/>
      <w:szCs w:val="20"/>
    </w:rPr>
  </w:style>
  <w:style w:type="character" w:styleId="EndnoteReference">
    <w:name w:val="endnote reference"/>
    <w:basedOn w:val="DefaultParagraphFont"/>
    <w:uiPriority w:val="99"/>
    <w:semiHidden/>
    <w:unhideWhenUsed/>
    <w:rsid w:val="00667218"/>
    <w:rPr>
      <w:vertAlign w:val="superscript"/>
    </w:rPr>
  </w:style>
  <w:style w:type="paragraph" w:styleId="ListBullet5">
    <w:name w:val="List Bullet 5"/>
    <w:basedOn w:val="Normal"/>
    <w:autoRedefine/>
    <w:rsid w:val="00667218"/>
    <w:pPr>
      <w:numPr>
        <w:numId w:val="121"/>
      </w:numPr>
      <w:spacing w:after="240" w:line="240" w:lineRule="auto"/>
    </w:pPr>
    <w:rPr>
      <w:rFonts w:eastAsia="Times New Roman"/>
      <w:color w:val="000000"/>
      <w:sz w:val="23"/>
      <w:szCs w:val="20"/>
      <w:lang w:eastAsia="en-AU"/>
    </w:rPr>
  </w:style>
  <w:style w:type="character" w:styleId="Emphasis">
    <w:name w:val="Emphasis"/>
    <w:basedOn w:val="DefaultParagraphFont"/>
    <w:uiPriority w:val="20"/>
    <w:rsid w:val="00667218"/>
    <w:rPr>
      <w:i/>
      <w:iCs/>
    </w:rPr>
  </w:style>
  <w:style w:type="character" w:styleId="Strong">
    <w:name w:val="Strong"/>
    <w:basedOn w:val="DefaultParagraphFont"/>
    <w:uiPriority w:val="22"/>
    <w:qFormat/>
    <w:rsid w:val="00667218"/>
    <w:rPr>
      <w:b/>
      <w:bCs/>
    </w:rPr>
  </w:style>
  <w:style w:type="numbering" w:customStyle="1" w:styleId="NoList1">
    <w:name w:val="No List1"/>
    <w:next w:val="NoList"/>
    <w:uiPriority w:val="99"/>
    <w:semiHidden/>
    <w:unhideWhenUsed/>
    <w:rsid w:val="00667218"/>
  </w:style>
  <w:style w:type="paragraph" w:customStyle="1" w:styleId="TOCHeading1">
    <w:name w:val="TOC Heading1"/>
    <w:basedOn w:val="Heading1"/>
    <w:next w:val="Normal"/>
    <w:uiPriority w:val="39"/>
    <w:semiHidden/>
    <w:unhideWhenUsed/>
    <w:qFormat/>
    <w:rsid w:val="00667218"/>
    <w:pPr>
      <w:numPr>
        <w:numId w:val="127"/>
      </w:numPr>
      <w:spacing w:after="0"/>
      <w:outlineLvl w:val="9"/>
    </w:pPr>
    <w:rPr>
      <w:rFonts w:ascii="Cambria" w:hAnsi="Cambria" w:cs="Times New Roman"/>
      <w:color w:val="365F91"/>
      <w:sz w:val="32"/>
      <w:szCs w:val="28"/>
      <w:lang w:val="en-US"/>
    </w:rPr>
  </w:style>
  <w:style w:type="paragraph" w:customStyle="1" w:styleId="ColorfulList-Accent11">
    <w:name w:val="Colorful List - Accent 11"/>
    <w:basedOn w:val="Normal"/>
    <w:uiPriority w:val="34"/>
    <w:rsid w:val="00667218"/>
    <w:pPr>
      <w:spacing w:after="200"/>
      <w:ind w:left="720"/>
      <w:contextualSpacing/>
    </w:pPr>
  </w:style>
  <w:style w:type="paragraph" w:customStyle="1" w:styleId="NoSpacing1">
    <w:name w:val="No Spacing1"/>
    <w:uiPriority w:val="1"/>
    <w:qFormat/>
    <w:rsid w:val="00667218"/>
    <w:rPr>
      <w:rFonts w:ascii="Calibri" w:eastAsia="Times New Roman" w:hAnsi="Calibri"/>
      <w:sz w:val="22"/>
      <w:szCs w:val="22"/>
      <w:lang w:val="en-US"/>
    </w:rPr>
  </w:style>
  <w:style w:type="paragraph" w:styleId="Revision">
    <w:name w:val="Revision"/>
    <w:hidden/>
    <w:uiPriority w:val="99"/>
    <w:semiHidden/>
    <w:rsid w:val="00E47AB8"/>
    <w:rPr>
      <w:rFonts w:asciiTheme="minorHAnsi" w:eastAsiaTheme="minorHAnsi" w:hAnsiTheme="minorHAnsi" w:cstheme="minorBidi"/>
      <w:sz w:val="22"/>
      <w:szCs w:val="22"/>
    </w:rPr>
  </w:style>
  <w:style w:type="character" w:styleId="HTMLCite">
    <w:name w:val="HTML Cite"/>
    <w:basedOn w:val="DefaultParagraphFont"/>
    <w:uiPriority w:val="99"/>
    <w:semiHidden/>
    <w:unhideWhenUsed/>
    <w:rsid w:val="00667218"/>
    <w:rPr>
      <w:i/>
      <w:iCs/>
    </w:rPr>
  </w:style>
  <w:style w:type="character" w:customStyle="1" w:styleId="st1">
    <w:name w:val="st1"/>
    <w:basedOn w:val="DefaultParagraphFont"/>
    <w:rsid w:val="00667218"/>
  </w:style>
  <w:style w:type="paragraph" w:customStyle="1" w:styleId="Bullet">
    <w:name w:val="Bullet"/>
    <w:basedOn w:val="Normal"/>
    <w:next w:val="Normal"/>
    <w:rsid w:val="00667218"/>
    <w:pPr>
      <w:numPr>
        <w:numId w:val="107"/>
      </w:numPr>
      <w:tabs>
        <w:tab w:val="left" w:pos="1440"/>
      </w:tabs>
      <w:spacing w:after="240" w:line="240" w:lineRule="auto"/>
    </w:pPr>
    <w:rPr>
      <w:rFonts w:ascii="Garamond" w:eastAsia="Times New Roman" w:hAnsi="Garamond"/>
      <w:szCs w:val="20"/>
      <w:lang w:eastAsia="en-AU"/>
    </w:rPr>
  </w:style>
  <w:style w:type="paragraph" w:customStyle="1" w:styleId="Normalbold">
    <w:name w:val="Normal bold"/>
    <w:basedOn w:val="Normal"/>
    <w:next w:val="Normal"/>
    <w:qFormat/>
    <w:rsid w:val="00667218"/>
    <w:pPr>
      <w:spacing w:after="240" w:line="240" w:lineRule="auto"/>
      <w:ind w:left="720"/>
    </w:pPr>
    <w:rPr>
      <w:rFonts w:ascii="Garamond" w:eastAsia="Times New Roman" w:hAnsi="Garamond"/>
      <w:b/>
      <w:sz w:val="24"/>
      <w:szCs w:val="20"/>
      <w:lang w:eastAsia="en-AU"/>
    </w:rPr>
  </w:style>
  <w:style w:type="paragraph" w:styleId="BodyText">
    <w:name w:val="Body Text"/>
    <w:basedOn w:val="Normal"/>
    <w:link w:val="BodyTextChar"/>
    <w:uiPriority w:val="99"/>
    <w:semiHidden/>
    <w:unhideWhenUsed/>
    <w:rsid w:val="00667218"/>
    <w:rPr>
      <w:rFonts w:eastAsia="Times New Roman" w:cstheme="minorBidi"/>
    </w:rPr>
  </w:style>
  <w:style w:type="character" w:customStyle="1" w:styleId="BodyTextChar">
    <w:name w:val="Body Text Char"/>
    <w:basedOn w:val="DefaultParagraphFont"/>
    <w:link w:val="BodyText"/>
    <w:uiPriority w:val="99"/>
    <w:semiHidden/>
    <w:rsid w:val="00667218"/>
    <w:rPr>
      <w:rFonts w:eastAsia="Times New Roman" w:cstheme="minorBidi"/>
      <w:sz w:val="22"/>
      <w:szCs w:val="22"/>
    </w:rPr>
  </w:style>
  <w:style w:type="character" w:customStyle="1" w:styleId="mb">
    <w:name w:val="mb"/>
    <w:basedOn w:val="DefaultParagraphFont"/>
    <w:rsid w:val="00667218"/>
  </w:style>
  <w:style w:type="numbering" w:customStyle="1" w:styleId="NoList2">
    <w:name w:val="No List2"/>
    <w:next w:val="NoList"/>
    <w:uiPriority w:val="99"/>
    <w:semiHidden/>
    <w:unhideWhenUsed/>
    <w:rsid w:val="00667218"/>
  </w:style>
  <w:style w:type="table" w:customStyle="1" w:styleId="TableGrid1">
    <w:name w:val="Table Grid1"/>
    <w:basedOn w:val="TableNormal"/>
    <w:next w:val="TableGrid"/>
    <w:uiPriority w:val="59"/>
    <w:rsid w:val="00667218"/>
    <w:rPr>
      <w:rFonts w:ascii="Calibri" w:eastAsia="Calibri" w:hAnsi="Calibri"/>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1">
    <w:name w:val="Style11"/>
    <w:uiPriority w:val="99"/>
    <w:rsid w:val="00667218"/>
    <w:pPr>
      <w:numPr>
        <w:numId w:val="10"/>
      </w:numPr>
    </w:pPr>
  </w:style>
  <w:style w:type="numbering" w:customStyle="1" w:styleId="NoList11">
    <w:name w:val="No List11"/>
    <w:next w:val="NoList"/>
    <w:uiPriority w:val="99"/>
    <w:semiHidden/>
    <w:unhideWhenUsed/>
    <w:rsid w:val="00667218"/>
  </w:style>
  <w:style w:type="paragraph" w:styleId="HTMLPreformatted">
    <w:name w:val="HTML Preformatted"/>
    <w:basedOn w:val="Normal"/>
    <w:link w:val="HTMLPreformattedChar"/>
    <w:uiPriority w:val="99"/>
    <w:unhideWhenUsed/>
    <w:rsid w:val="0066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667218"/>
    <w:rPr>
      <w:rFonts w:ascii="Courier New" w:eastAsia="Times New Roman" w:hAnsi="Courier New" w:cs="Courier New"/>
      <w:sz w:val="20"/>
      <w:szCs w:val="20"/>
      <w:lang w:eastAsia="en-AU"/>
    </w:rPr>
  </w:style>
  <w:style w:type="paragraph" w:styleId="DocumentMap">
    <w:name w:val="Document Map"/>
    <w:basedOn w:val="Normal"/>
    <w:link w:val="DocumentMapChar"/>
    <w:uiPriority w:val="99"/>
    <w:semiHidden/>
    <w:unhideWhenUsed/>
    <w:rsid w:val="00667218"/>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667218"/>
    <w:rPr>
      <w:rFonts w:ascii="Tahoma" w:eastAsia="Times New Roman" w:hAnsi="Tahoma" w:cs="Tahoma"/>
      <w:sz w:val="16"/>
      <w:szCs w:val="16"/>
    </w:rPr>
  </w:style>
  <w:style w:type="paragraph" w:styleId="ListBullet3">
    <w:name w:val="List Bullet 3"/>
    <w:basedOn w:val="Normal"/>
    <w:autoRedefine/>
    <w:semiHidden/>
    <w:rsid w:val="00667218"/>
    <w:pPr>
      <w:numPr>
        <w:numId w:val="120"/>
      </w:numPr>
      <w:spacing w:after="240" w:line="240" w:lineRule="auto"/>
    </w:pPr>
    <w:rPr>
      <w:rFonts w:ascii="Arial" w:eastAsia="Times New Roman" w:hAnsi="Arial"/>
      <w:sz w:val="20"/>
      <w:szCs w:val="20"/>
      <w:lang w:val="en-GB"/>
    </w:rPr>
  </w:style>
  <w:style w:type="character" w:customStyle="1" w:styleId="TableTextChar1">
    <w:name w:val="Table Text Char"/>
    <w:link w:val="TableText1"/>
    <w:rsid w:val="00667218"/>
    <w:rPr>
      <w:rFonts w:ascii="Arial" w:eastAsia="Times New Roman" w:hAnsi="Arial"/>
      <w:sz w:val="20"/>
      <w:szCs w:val="20"/>
    </w:rPr>
  </w:style>
  <w:style w:type="character" w:customStyle="1" w:styleId="TabletextChar">
    <w:name w:val="Table text Char"/>
    <w:link w:val="Tabletext"/>
    <w:rsid w:val="00667218"/>
    <w:rPr>
      <w:rFonts w:ascii="Arial Narrow" w:eastAsia="Calibri" w:hAnsi="Arial Narrow"/>
      <w:sz w:val="20"/>
      <w:szCs w:val="22"/>
    </w:rPr>
  </w:style>
  <w:style w:type="paragraph" w:customStyle="1" w:styleId="Tablefooter">
    <w:name w:val="Table footer"/>
    <w:basedOn w:val="Normal"/>
    <w:link w:val="TablefooterChar"/>
    <w:qFormat/>
    <w:rsid w:val="00667218"/>
    <w:pPr>
      <w:keepNext/>
      <w:keepLines/>
      <w:spacing w:after="0" w:line="240" w:lineRule="auto"/>
    </w:pPr>
    <w:rPr>
      <w:rFonts w:ascii="Arial" w:hAnsi="Arial"/>
      <w:sz w:val="16"/>
      <w:szCs w:val="18"/>
      <w:lang w:val="en-GB"/>
    </w:rPr>
  </w:style>
  <w:style w:type="character" w:customStyle="1" w:styleId="TablefooterChar">
    <w:name w:val="Table footer Char"/>
    <w:link w:val="Tablefooter"/>
    <w:rsid w:val="00667218"/>
    <w:rPr>
      <w:rFonts w:ascii="Arial" w:eastAsia="Calibri" w:hAnsi="Arial"/>
      <w:sz w:val="16"/>
      <w:szCs w:val="18"/>
      <w:lang w:val="en-GB"/>
    </w:rPr>
  </w:style>
  <w:style w:type="paragraph" w:customStyle="1" w:styleId="Tableheading0">
    <w:name w:val="Table heading"/>
    <w:basedOn w:val="Normal"/>
    <w:link w:val="TableheadingChar0"/>
    <w:rsid w:val="00667218"/>
    <w:pPr>
      <w:keepNext/>
      <w:spacing w:before="60" w:after="60" w:line="240" w:lineRule="auto"/>
    </w:pPr>
    <w:rPr>
      <w:rFonts w:ascii="Arial Narrow" w:eastAsia="Times New Roman" w:hAnsi="Arial Narrow"/>
      <w:b/>
      <w:sz w:val="20"/>
      <w:szCs w:val="20"/>
    </w:rPr>
  </w:style>
  <w:style w:type="character" w:customStyle="1" w:styleId="TableheadingChar0">
    <w:name w:val="Table heading Char"/>
    <w:link w:val="Tableheading0"/>
    <w:rsid w:val="00667218"/>
    <w:rPr>
      <w:rFonts w:ascii="Arial Narrow" w:eastAsia="Times New Roman" w:hAnsi="Arial Narrow"/>
      <w:b/>
      <w:sz w:val="20"/>
      <w:szCs w:val="20"/>
    </w:rPr>
  </w:style>
  <w:style w:type="paragraph" w:styleId="Quote">
    <w:name w:val="Quote"/>
    <w:basedOn w:val="Normal"/>
    <w:next w:val="Normal"/>
    <w:link w:val="QuoteChar"/>
    <w:uiPriority w:val="29"/>
    <w:qFormat/>
    <w:rsid w:val="00667218"/>
    <w:rPr>
      <w:i/>
      <w:iCs/>
      <w:color w:val="000000" w:themeColor="text1"/>
    </w:rPr>
  </w:style>
  <w:style w:type="character" w:customStyle="1" w:styleId="QuoteChar">
    <w:name w:val="Quote Char"/>
    <w:basedOn w:val="DefaultParagraphFont"/>
    <w:link w:val="Quote"/>
    <w:uiPriority w:val="29"/>
    <w:rsid w:val="00667218"/>
    <w:rPr>
      <w:rFonts w:ascii="Calibri" w:eastAsia="Calibri" w:hAnsi="Calibri"/>
      <w:i/>
      <w:iCs/>
      <w:color w:val="000000" w:themeColor="text1"/>
      <w:sz w:val="22"/>
      <w:szCs w:val="22"/>
    </w:rPr>
  </w:style>
  <w:style w:type="paragraph" w:customStyle="1" w:styleId="Abbrevs">
    <w:name w:val="Abbrevs"/>
    <w:basedOn w:val="Normal"/>
    <w:rsid w:val="00667218"/>
    <w:pPr>
      <w:tabs>
        <w:tab w:val="left" w:pos="1134"/>
      </w:tabs>
      <w:ind w:left="1134" w:hanging="1134"/>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96889">
      <w:bodyDiv w:val="1"/>
      <w:marLeft w:val="0"/>
      <w:marRight w:val="0"/>
      <w:marTop w:val="0"/>
      <w:marBottom w:val="0"/>
      <w:divBdr>
        <w:top w:val="none" w:sz="0" w:space="0" w:color="auto"/>
        <w:left w:val="none" w:sz="0" w:space="0" w:color="auto"/>
        <w:bottom w:val="none" w:sz="0" w:space="0" w:color="auto"/>
        <w:right w:val="none" w:sz="0" w:space="0" w:color="auto"/>
      </w:divBdr>
    </w:div>
    <w:div w:id="637883168">
      <w:bodyDiv w:val="1"/>
      <w:marLeft w:val="0"/>
      <w:marRight w:val="0"/>
      <w:marTop w:val="0"/>
      <w:marBottom w:val="0"/>
      <w:divBdr>
        <w:top w:val="none" w:sz="0" w:space="0" w:color="auto"/>
        <w:left w:val="none" w:sz="0" w:space="0" w:color="auto"/>
        <w:bottom w:val="none" w:sz="0" w:space="0" w:color="auto"/>
        <w:right w:val="none" w:sz="0" w:space="0" w:color="auto"/>
      </w:divBdr>
    </w:div>
    <w:div w:id="934283675">
      <w:bodyDiv w:val="1"/>
      <w:marLeft w:val="0"/>
      <w:marRight w:val="0"/>
      <w:marTop w:val="0"/>
      <w:marBottom w:val="0"/>
      <w:divBdr>
        <w:top w:val="none" w:sz="0" w:space="0" w:color="auto"/>
        <w:left w:val="none" w:sz="0" w:space="0" w:color="auto"/>
        <w:bottom w:val="none" w:sz="0" w:space="0" w:color="auto"/>
        <w:right w:val="none" w:sz="0" w:space="0" w:color="auto"/>
      </w:divBdr>
    </w:div>
    <w:div w:id="1034573685">
      <w:bodyDiv w:val="1"/>
      <w:marLeft w:val="0"/>
      <w:marRight w:val="0"/>
      <w:marTop w:val="0"/>
      <w:marBottom w:val="0"/>
      <w:divBdr>
        <w:top w:val="none" w:sz="0" w:space="0" w:color="auto"/>
        <w:left w:val="none" w:sz="0" w:space="0" w:color="auto"/>
        <w:bottom w:val="none" w:sz="0" w:space="0" w:color="auto"/>
        <w:right w:val="none" w:sz="0" w:space="0" w:color="auto"/>
      </w:divBdr>
    </w:div>
    <w:div w:id="1141072783">
      <w:bodyDiv w:val="1"/>
      <w:marLeft w:val="0"/>
      <w:marRight w:val="0"/>
      <w:marTop w:val="0"/>
      <w:marBottom w:val="0"/>
      <w:divBdr>
        <w:top w:val="none" w:sz="0" w:space="0" w:color="auto"/>
        <w:left w:val="none" w:sz="0" w:space="0" w:color="auto"/>
        <w:bottom w:val="none" w:sz="0" w:space="0" w:color="auto"/>
        <w:right w:val="none" w:sz="0" w:space="0" w:color="auto"/>
      </w:divBdr>
    </w:div>
    <w:div w:id="1764258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9.health.gov.au/mbs/fullDisplay.cfm?type=item&amp;q=63464&amp;qt=item&amp;criteria=63464" TargetMode="External"/><Relationship Id="rId18" Type="http://schemas.openxmlformats.org/officeDocument/2006/relationships/hyperlink" Target="http://www.msac.gov.au/internet/msac/publishing.nsf/Content/app1098.1-1" TargetMode="External"/><Relationship Id="rId26" Type="http://schemas.openxmlformats.org/officeDocument/2006/relationships/hyperlink" Target="http://www9.health.gov.au/mbs/fullDisplay.cfm?type=note&amp;amp;qt=NoteID&amp;amp;q=DIQ" TargetMode="External"/><Relationship Id="rId39" Type="http://schemas.openxmlformats.org/officeDocument/2006/relationships/footer" Target="footer3.xml"/><Relationship Id="rId21" Type="http://schemas.openxmlformats.org/officeDocument/2006/relationships/hyperlink" Target="http://www9.health.gov.au/mbs/fullDisplay.cfm?type=item&amp;q=63464&amp;qt=item&amp;criteria=63464" TargetMode="External"/><Relationship Id="rId34" Type="http://schemas.openxmlformats.org/officeDocument/2006/relationships/image" Target="media/image4.png"/><Relationship Id="rId42" Type="http://schemas.openxmlformats.org/officeDocument/2006/relationships/header" Target="header3.xml"/><Relationship Id="rId47" Type="http://schemas.openxmlformats.org/officeDocument/2006/relationships/image" Target="media/image8.emf"/><Relationship Id="rId50" Type="http://schemas.openxmlformats.org/officeDocument/2006/relationships/footer" Target="footer7.xml"/><Relationship Id="rId55" Type="http://schemas.openxmlformats.org/officeDocument/2006/relationships/image" Target="media/image12.emf"/><Relationship Id="rId63" Type="http://schemas.openxmlformats.org/officeDocument/2006/relationships/hyperlink" Target="http://www.ncbi.nlm.nih.gov/pubmed?term=Hylton%20N%5BAuthor%5D&amp;cauthor=true&amp;cauthor_uid=15800894" TargetMode="External"/><Relationship Id="rId68" Type="http://schemas.openxmlformats.org/officeDocument/2006/relationships/hyperlink" Target="http://www.ncbi.nlm.nih.gov/pubmed?term=Schnall%20M%5BAuthor%5D&amp;cauthor=true&amp;cauthor_uid=15800894" TargetMode="External"/><Relationship Id="rId76" Type="http://schemas.openxmlformats.org/officeDocument/2006/relationships/header" Target="header7.xml"/><Relationship Id="rId7" Type="http://schemas.openxmlformats.org/officeDocument/2006/relationships/footnotes" Target="footnotes.xml"/><Relationship Id="rId71" Type="http://schemas.openxmlformats.org/officeDocument/2006/relationships/hyperlink" Target="http://www.ncbi.nlm.nih.gov/pubmed?term=Rosen%20EL%5BAuthor%5D&amp;cauthor=true&amp;cauthor_uid=15800894" TargetMode="External"/><Relationship Id="rId2" Type="http://schemas.openxmlformats.org/officeDocument/2006/relationships/numbering" Target="numbering.xml"/><Relationship Id="rId16" Type="http://schemas.openxmlformats.org/officeDocument/2006/relationships/hyperlink" Target="http://www.msac.gov.au/internet/msac/publishing.nsf/Content/current-assessments-1" TargetMode="External"/><Relationship Id="rId29" Type="http://schemas.openxmlformats.org/officeDocument/2006/relationships/hyperlink" Target="http://www9.health.gov.au/mbs/fullDisplay.cfm?type=note&amp;amp;qt=NoteID&amp;amp;q=DIQ" TargetMode="External"/><Relationship Id="rId11" Type="http://schemas.openxmlformats.org/officeDocument/2006/relationships/footer" Target="footer1.xml"/><Relationship Id="rId24" Type="http://schemas.openxmlformats.org/officeDocument/2006/relationships/hyperlink" Target="http://www9.health.gov.au/mbs/fullDisplay.cfm?type=note&amp;amp;qt=NoteID&amp;amp;q=DIQ" TargetMode="External"/><Relationship Id="rId32" Type="http://schemas.openxmlformats.org/officeDocument/2006/relationships/image" Target="media/image2.jpg"/><Relationship Id="rId37" Type="http://schemas.openxmlformats.org/officeDocument/2006/relationships/hyperlink" Target="http://publications.nice.org.uk/familial-breast-cancer-cg164" TargetMode="External"/><Relationship Id="rId40" Type="http://schemas.openxmlformats.org/officeDocument/2006/relationships/header" Target="header2.xml"/><Relationship Id="rId45" Type="http://schemas.openxmlformats.org/officeDocument/2006/relationships/footer" Target="footer6.xml"/><Relationship Id="rId53" Type="http://schemas.openxmlformats.org/officeDocument/2006/relationships/image" Target="media/image10.emf"/><Relationship Id="rId58" Type="http://schemas.openxmlformats.org/officeDocument/2006/relationships/image" Target="media/image15.png"/><Relationship Id="rId66" Type="http://schemas.openxmlformats.org/officeDocument/2006/relationships/hyperlink" Target="http://www.ncbi.nlm.nih.gov/pubmed?term=Schnitt%20SJ%5BAuthor%5D&amp;cauthor=true&amp;cauthor_uid=15800894" TargetMode="External"/><Relationship Id="rId74" Type="http://schemas.openxmlformats.org/officeDocument/2006/relationships/hyperlink" Target="http://www.ncbi.nlm.nih.gov/pubmed?term=Bluemke%20DA%5BAuthor%5D&amp;cauthor=true&amp;cauthor_uid=15800894" TargetMode="External"/><Relationship Id="rId79" Type="http://schemas.openxmlformats.org/officeDocument/2006/relationships/header" Target="header8.xml"/><Relationship Id="rId5" Type="http://schemas.openxmlformats.org/officeDocument/2006/relationships/settings" Target="settings.xml"/><Relationship Id="rId61" Type="http://schemas.openxmlformats.org/officeDocument/2006/relationships/hyperlink" Target="http://www.ncbi.nlm.nih.gov/pubmed?term=Weatherall%20P%5BAuthor%5D&amp;cauthor=true&amp;cauthor_uid=15800894" TargetMode="External"/><Relationship Id="rId82"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hyperlink" Target="http://www9.health.gov.au/mbs/fullDisplay.cfm?type=item&amp;q=63464&amp;qt=item&amp;criteria=63464" TargetMode="External"/><Relationship Id="rId31" Type="http://schemas.openxmlformats.org/officeDocument/2006/relationships/hyperlink" Target="http://www.msac.gov.au/internet/msac/publishing.nsf/Content/1333" TargetMode="External"/><Relationship Id="rId44" Type="http://schemas.openxmlformats.org/officeDocument/2006/relationships/header" Target="header4.xml"/><Relationship Id="rId52" Type="http://schemas.openxmlformats.org/officeDocument/2006/relationships/footer" Target="footer8.xml"/><Relationship Id="rId60" Type="http://schemas.openxmlformats.org/officeDocument/2006/relationships/hyperlink" Target="http://www.ncbi.nlm.nih.gov/pubmed?term=Blume%20JD%5BAuthor%5D&amp;cauthor=true&amp;cauthor_uid=15800894" TargetMode="External"/><Relationship Id="rId65" Type="http://schemas.openxmlformats.org/officeDocument/2006/relationships/hyperlink" Target="http://www.ncbi.nlm.nih.gov/pubmed?term=Pisano%20E%5BAuthor%5D&amp;cauthor=true&amp;cauthor_uid=15800894" TargetMode="External"/><Relationship Id="rId73" Type="http://schemas.openxmlformats.org/officeDocument/2006/relationships/hyperlink" Target="http://www.ncbi.nlm.nih.gov/pubmed?term=Harms%20S%5BAuthor%5D&amp;cauthor=true&amp;cauthor_uid=15800894" TargetMode="External"/><Relationship Id="rId78" Type="http://schemas.openxmlformats.org/officeDocument/2006/relationships/hyperlink" Target="http://www.acr.org/~/media/EB54F56780AC4C6994B77078AA1D6612.pdf"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g.gov.au/cca" TargetMode="External"/><Relationship Id="rId14" Type="http://schemas.openxmlformats.org/officeDocument/2006/relationships/hyperlink" Target="http://www9.health.gov.au/mbs/fullDisplay.cfm?type=note&amp;qt=NoteID&amp;q=DIQ" TargetMode="External"/><Relationship Id="rId22" Type="http://schemas.openxmlformats.org/officeDocument/2006/relationships/hyperlink" Target="http://www9.health.gov.au/mbs/fullDisplay.cfm?type=note&amp;qt=NoteID&amp;q=DIQ" TargetMode="External"/><Relationship Id="rId27" Type="http://schemas.openxmlformats.org/officeDocument/2006/relationships/hyperlink" Target="http://www9.health.gov.au/mbs/fullDisplay.cfm?type=note&amp;amp;qt=NoteID&amp;amp;q=DIQ" TargetMode="External"/><Relationship Id="rId30" Type="http://schemas.openxmlformats.org/officeDocument/2006/relationships/hyperlink" Target="http://www9.health.gov.au/mbs/fullDisplay.cfm?type=item&amp;amp;q=63464&amp;amp;qt=item&amp;amp;criteria=63464" TargetMode="External"/><Relationship Id="rId35" Type="http://schemas.openxmlformats.org/officeDocument/2006/relationships/image" Target="media/image5.png"/><Relationship Id="rId43" Type="http://schemas.openxmlformats.org/officeDocument/2006/relationships/footer" Target="footer5.xml"/><Relationship Id="rId48" Type="http://schemas.openxmlformats.org/officeDocument/2006/relationships/image" Target="media/image9.wmf"/><Relationship Id="rId56" Type="http://schemas.openxmlformats.org/officeDocument/2006/relationships/image" Target="media/image13.emf"/><Relationship Id="rId64" Type="http://schemas.openxmlformats.org/officeDocument/2006/relationships/hyperlink" Target="http://www.ncbi.nlm.nih.gov/pubmed?term=Warner%20E%5BAuthor%5D&amp;cauthor=true&amp;cauthor_uid=15800894" TargetMode="External"/><Relationship Id="rId69" Type="http://schemas.openxmlformats.org/officeDocument/2006/relationships/hyperlink" Target="http://www.ncbi.nlm.nih.gov/pubmed?term=DeAngelis%20GA%5BAuthor%5D&amp;cauthor=true&amp;cauthor_uid=15800894" TargetMode="External"/><Relationship Id="rId77"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header" Target="header6.xml"/><Relationship Id="rId72" Type="http://schemas.openxmlformats.org/officeDocument/2006/relationships/hyperlink" Target="http://www.ncbi.nlm.nih.gov/pubmed?term=O'Loughlin%20M%5BAuthor%5D&amp;cauthor=true&amp;cauthor_uid=15800894" TargetMode="External"/><Relationship Id="rId80"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hyperlink" Target="http://www9.health.gov.au/mbs/fullDisplay.cfm?type=note&amp;amp;qt=NoteID&amp;amp;q=DIQ" TargetMode="External"/><Relationship Id="rId33" Type="http://schemas.openxmlformats.org/officeDocument/2006/relationships/image" Target="media/image3.png"/><Relationship Id="rId38" Type="http://schemas.openxmlformats.org/officeDocument/2006/relationships/header" Target="header1.xml"/><Relationship Id="rId46" Type="http://schemas.openxmlformats.org/officeDocument/2006/relationships/image" Target="media/image7.emf"/><Relationship Id="rId59" Type="http://schemas.openxmlformats.org/officeDocument/2006/relationships/hyperlink" Target="http://www.ncbi.nlm.nih.gov/pubmed?term=Lehman%20CD%5BAuthor%5D&amp;cauthor=true&amp;cauthor_uid=15800894" TargetMode="External"/><Relationship Id="rId67" Type="http://schemas.openxmlformats.org/officeDocument/2006/relationships/hyperlink" Target="http://www.ncbi.nlm.nih.gov/pubmed?term=Gatsonis%20C%5BAuthor%5D&amp;cauthor=true&amp;cauthor_uid=15800894" TargetMode="External"/><Relationship Id="rId20" Type="http://schemas.openxmlformats.org/officeDocument/2006/relationships/hyperlink" Target="http://www9.health.gov.au/mbs/fullDisplay.cfm?type=note&amp;qt=NoteID&amp;q=DIQ" TargetMode="External"/><Relationship Id="rId41" Type="http://schemas.openxmlformats.org/officeDocument/2006/relationships/footer" Target="footer4.xml"/><Relationship Id="rId54" Type="http://schemas.openxmlformats.org/officeDocument/2006/relationships/image" Target="media/image11.emf"/><Relationship Id="rId62" Type="http://schemas.openxmlformats.org/officeDocument/2006/relationships/hyperlink" Target="http://www.ncbi.nlm.nih.gov/pubmed?term=Thickman%20D%5BAuthor%5D&amp;cauthor=true&amp;cauthor_uid=15800894" TargetMode="External"/><Relationship Id="rId70" Type="http://schemas.openxmlformats.org/officeDocument/2006/relationships/hyperlink" Target="http://www.ncbi.nlm.nih.gov/pubmed?term=Stomper%20P%5BAuthor%5D&amp;cauthor=true&amp;cauthor_uid=15800894" TargetMode="External"/><Relationship Id="rId75" Type="http://schemas.openxmlformats.org/officeDocument/2006/relationships/hyperlink" Target="http://www.ncbi.nlm.nih.gov/pubmed?term=International%20Breast%20MRI%20Consortium%20Working%20Group%5BCorporate%20Author%5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sac.gov.au/internet/msac/publishing.nsf/Content/1333" TargetMode="External"/><Relationship Id="rId23" Type="http://schemas.openxmlformats.org/officeDocument/2006/relationships/hyperlink" Target="http://www9.health.gov.au/mbs/fullDisplay.cfm?type=item&amp;amp;q=63464&amp;amp;qt=item&amp;amp;criteria=63464" TargetMode="External"/><Relationship Id="rId28" Type="http://schemas.openxmlformats.org/officeDocument/2006/relationships/hyperlink" Target="http://www9.health.gov.au/mbs/fullDisplay.cfm?type=note&amp;amp;qt=NoteID&amp;amp;q=DIQ" TargetMode="External"/><Relationship Id="rId36" Type="http://schemas.openxmlformats.org/officeDocument/2006/relationships/image" Target="media/image6.png"/><Relationship Id="rId49" Type="http://schemas.openxmlformats.org/officeDocument/2006/relationships/header" Target="header5.xml"/><Relationship Id="rId57"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6773-9591-4549-9571-DE200461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191</Pages>
  <Words>73284</Words>
  <Characters>417722</Characters>
  <Application>Microsoft Office Word</Application>
  <DocSecurity>0</DocSecurity>
  <Lines>3481</Lines>
  <Paragraphs>980</Paragraphs>
  <ScaleCrop>false</ScaleCrop>
  <HeadingPairs>
    <vt:vector size="2" baseType="variant">
      <vt:variant>
        <vt:lpstr>Title</vt:lpstr>
      </vt:variant>
      <vt:variant>
        <vt:i4>1</vt:i4>
      </vt:variant>
    </vt:vector>
  </HeadingPairs>
  <TitlesOfParts>
    <vt:vector size="1" baseType="lpstr">
      <vt:lpstr/>
    </vt:vector>
  </TitlesOfParts>
  <Company>ScienceScape Editing</Company>
  <LinksUpToDate>false</LinksUpToDate>
  <CharactersWithSpaces>490026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Stevens</dc:creator>
  <cp:lastModifiedBy>McCandless Sean</cp:lastModifiedBy>
  <cp:revision>3</cp:revision>
  <cp:lastPrinted>2014-03-20T01:02:00Z</cp:lastPrinted>
  <dcterms:created xsi:type="dcterms:W3CDTF">2014-05-13T01:08:00Z</dcterms:created>
  <dcterms:modified xsi:type="dcterms:W3CDTF">2014-05-28T05:24:00Z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