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6863" w14:textId="4890D26F" w:rsidR="00A832A7" w:rsidRPr="007C488A" w:rsidRDefault="00A832A7" w:rsidP="00A832A7">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sidRPr="007C488A">
        <w:rPr>
          <w:rFonts w:ascii="Arial" w:hAnsi="Arial" w:cs="Arial"/>
          <w:b/>
          <w:bCs/>
          <w:color w:val="000080"/>
          <w:sz w:val="36"/>
          <w:szCs w:val="36"/>
        </w:rPr>
        <w:t>Medical Services Advisory Committee (MSAC)</w:t>
      </w:r>
      <w:r w:rsidRPr="007C488A">
        <w:rPr>
          <w:rFonts w:ascii="Arial" w:hAnsi="Arial" w:cs="Arial"/>
          <w:b/>
          <w:bCs/>
          <w:color w:val="000080"/>
          <w:sz w:val="36"/>
          <w:szCs w:val="36"/>
        </w:rPr>
        <w:br/>
        <w:t>Public Summary Document</w:t>
      </w:r>
    </w:p>
    <w:p w14:paraId="0EEF581C" w14:textId="16E998BD" w:rsidR="007D2C8E" w:rsidRPr="007C488A" w:rsidRDefault="007D2C8E" w:rsidP="007D2C8E">
      <w:pPr>
        <w:jc w:val="center"/>
        <w:rPr>
          <w:rFonts w:ascii="Arial" w:eastAsia="Times New Roman" w:hAnsi="Arial" w:cs="Arial"/>
          <w:b/>
          <w:bCs/>
          <w:i/>
          <w:color w:val="000080"/>
          <w:sz w:val="28"/>
          <w:szCs w:val="28"/>
          <w:lang w:eastAsia="en-AU"/>
        </w:rPr>
      </w:pPr>
      <w:r w:rsidRPr="007C488A">
        <w:rPr>
          <w:rFonts w:ascii="Arial" w:eastAsia="Times New Roman" w:hAnsi="Arial" w:cs="Arial"/>
          <w:b/>
          <w:bCs/>
          <w:i/>
          <w:color w:val="000080"/>
          <w:sz w:val="28"/>
          <w:szCs w:val="28"/>
          <w:lang w:eastAsia="en-AU"/>
        </w:rPr>
        <w:t xml:space="preserve">Application No. 1749 – Insertion of durable </w:t>
      </w:r>
      <w:r w:rsidR="00526A1A" w:rsidRPr="007C488A">
        <w:rPr>
          <w:rFonts w:ascii="Arial" w:eastAsia="Times New Roman" w:hAnsi="Arial" w:cs="Arial"/>
          <w:b/>
          <w:bCs/>
          <w:i/>
          <w:color w:val="000080"/>
          <w:sz w:val="28"/>
          <w:szCs w:val="28"/>
          <w:lang w:eastAsia="en-AU"/>
        </w:rPr>
        <w:t xml:space="preserve">left </w:t>
      </w:r>
      <w:r w:rsidRPr="007C488A">
        <w:rPr>
          <w:rFonts w:ascii="Arial" w:eastAsia="Times New Roman" w:hAnsi="Arial" w:cs="Arial"/>
          <w:b/>
          <w:bCs/>
          <w:i/>
          <w:color w:val="000080"/>
          <w:sz w:val="28"/>
          <w:szCs w:val="28"/>
          <w:lang w:eastAsia="en-AU"/>
        </w:rPr>
        <w:t>ventricular assist device for use as destination therapy</w:t>
      </w:r>
    </w:p>
    <w:p w14:paraId="0F13E30C" w14:textId="77777777" w:rsidR="007D2C8E" w:rsidRPr="007C488A" w:rsidRDefault="007D2C8E" w:rsidP="007D2C8E">
      <w:pPr>
        <w:tabs>
          <w:tab w:val="left" w:pos="3686"/>
        </w:tabs>
        <w:spacing w:line="256" w:lineRule="auto"/>
        <w:rPr>
          <w:rFonts w:ascii="Arial" w:eastAsia="Calibri" w:hAnsi="Arial" w:cs="Arial"/>
          <w:b/>
          <w:szCs w:val="24"/>
        </w:rPr>
      </w:pPr>
      <w:r w:rsidRPr="007C488A">
        <w:rPr>
          <w:rFonts w:ascii="Arial" w:eastAsia="Calibri" w:hAnsi="Arial" w:cs="Arial"/>
          <w:b/>
          <w:szCs w:val="24"/>
        </w:rPr>
        <w:t>Applicant:</w:t>
      </w:r>
      <w:r w:rsidRPr="007C488A">
        <w:rPr>
          <w:rFonts w:ascii="Arial" w:eastAsia="Calibri" w:hAnsi="Arial" w:cs="Arial"/>
          <w:b/>
          <w:szCs w:val="24"/>
        </w:rPr>
        <w:tab/>
        <w:t xml:space="preserve">Abbott Medical Australia Pty Ltd </w:t>
      </w:r>
    </w:p>
    <w:p w14:paraId="08F9F1AB" w14:textId="56D76739" w:rsidR="007D2C8E" w:rsidRPr="007C488A" w:rsidRDefault="007D2C8E" w:rsidP="007D2C8E">
      <w:pPr>
        <w:tabs>
          <w:tab w:val="left" w:pos="3686"/>
        </w:tabs>
        <w:spacing w:after="360"/>
        <w:rPr>
          <w:rFonts w:ascii="Arial" w:eastAsia="Calibri" w:hAnsi="Arial" w:cs="Arial"/>
          <w:b/>
          <w:szCs w:val="24"/>
        </w:rPr>
      </w:pPr>
      <w:r w:rsidRPr="007C488A">
        <w:rPr>
          <w:rFonts w:ascii="Arial" w:eastAsia="Calibri" w:hAnsi="Arial" w:cs="Arial"/>
          <w:b/>
          <w:szCs w:val="24"/>
        </w:rPr>
        <w:t xml:space="preserve">Date of </w:t>
      </w:r>
      <w:r w:rsidR="00A832A7" w:rsidRPr="007C488A">
        <w:rPr>
          <w:rFonts w:ascii="Arial" w:eastAsia="Calibri" w:hAnsi="Arial" w:cs="Arial"/>
          <w:b/>
          <w:szCs w:val="24"/>
        </w:rPr>
        <w:t>MSAC</w:t>
      </w:r>
      <w:r w:rsidRPr="007C488A">
        <w:rPr>
          <w:rFonts w:ascii="Arial" w:eastAsia="Calibri" w:hAnsi="Arial" w:cs="Arial"/>
          <w:b/>
          <w:szCs w:val="24"/>
        </w:rPr>
        <w:t xml:space="preserve"> consideration:</w:t>
      </w:r>
      <w:r w:rsidRPr="007C488A">
        <w:rPr>
          <w:rFonts w:ascii="Arial" w:eastAsia="Calibri" w:hAnsi="Arial" w:cs="Arial"/>
          <w:b/>
          <w:szCs w:val="24"/>
        </w:rPr>
        <w:tab/>
      </w:r>
      <w:r w:rsidR="00A832A7" w:rsidRPr="007C488A">
        <w:rPr>
          <w:rFonts w:ascii="Arial" w:eastAsia="Calibri" w:hAnsi="Arial" w:cs="Arial"/>
          <w:b/>
          <w:szCs w:val="24"/>
        </w:rPr>
        <w:t>4-5 April</w:t>
      </w:r>
      <w:r w:rsidRPr="007C488A">
        <w:rPr>
          <w:rFonts w:ascii="Arial" w:eastAsia="Calibri" w:hAnsi="Arial" w:cs="Arial"/>
          <w:b/>
          <w:szCs w:val="24"/>
        </w:rPr>
        <w:t xml:space="preserve"> 2024</w:t>
      </w:r>
    </w:p>
    <w:p w14:paraId="10F48A64" w14:textId="1A91BDF6" w:rsidR="00A832A7" w:rsidRPr="007C488A" w:rsidRDefault="00A832A7" w:rsidP="00A832A7">
      <w:pPr>
        <w:spacing w:after="240"/>
        <w:rPr>
          <w:color w:val="0000FF"/>
          <w:szCs w:val="24"/>
          <w:u w:val="single"/>
        </w:rPr>
      </w:pPr>
      <w:r w:rsidRPr="007C488A">
        <w:rPr>
          <w:szCs w:val="24"/>
        </w:rPr>
        <w:t xml:space="preserve">Context for decision: MSAC makes its advice in accordance with its Terms of Reference, </w:t>
      </w:r>
      <w:hyperlink r:id="rId8" w:tooltip="Link to Medical Services Advisory Committee website" w:history="1">
        <w:r w:rsidRPr="007C488A">
          <w:rPr>
            <w:rStyle w:val="Hyperlink"/>
            <w:szCs w:val="24"/>
          </w:rPr>
          <w:t>visit the MSAC website</w:t>
        </w:r>
      </w:hyperlink>
    </w:p>
    <w:p w14:paraId="7EAA7262" w14:textId="77335A16" w:rsidR="00772829" w:rsidRPr="007C488A" w:rsidRDefault="00C36633" w:rsidP="00C36633">
      <w:pPr>
        <w:pStyle w:val="Heading2"/>
        <w:numPr>
          <w:ilvl w:val="0"/>
          <w:numId w:val="0"/>
        </w:numPr>
      </w:pPr>
      <w:bookmarkStart w:id="0" w:name="_Toc69491415"/>
      <w:r w:rsidRPr="007C488A">
        <w:t>1.</w:t>
      </w:r>
      <w:r w:rsidRPr="007C488A">
        <w:tab/>
      </w:r>
      <w:r w:rsidR="00772829" w:rsidRPr="007C488A">
        <w:t xml:space="preserve">Purpose </w:t>
      </w:r>
      <w:r w:rsidR="00772829" w:rsidRPr="007C488A">
        <w:rPr>
          <w:szCs w:val="32"/>
        </w:rPr>
        <w:t>of</w:t>
      </w:r>
      <w:r w:rsidR="00772829" w:rsidRPr="007C488A">
        <w:t xml:space="preserve"> application</w:t>
      </w:r>
      <w:bookmarkEnd w:id="0"/>
    </w:p>
    <w:p w14:paraId="6BF31FF2" w14:textId="39CA26E7" w:rsidR="00772829" w:rsidRPr="007C488A" w:rsidRDefault="00772829" w:rsidP="00891545">
      <w:pPr>
        <w:spacing w:after="240"/>
        <w:rPr>
          <w:iCs/>
        </w:rPr>
      </w:pPr>
      <w:bookmarkStart w:id="1" w:name="_Hlk69734469"/>
      <w:r w:rsidRPr="007C488A">
        <w:rPr>
          <w:iCs/>
        </w:rPr>
        <w:t xml:space="preserve">An application requesting Medicare Benefits Schedule (MBS) listing </w:t>
      </w:r>
      <w:r w:rsidR="00EA7ACA" w:rsidRPr="007C488A">
        <w:rPr>
          <w:iCs/>
        </w:rPr>
        <w:t xml:space="preserve">for the insertion of </w:t>
      </w:r>
      <w:r w:rsidR="00956529" w:rsidRPr="007C488A">
        <w:rPr>
          <w:iCs/>
        </w:rPr>
        <w:t>durable</w:t>
      </w:r>
      <w:r w:rsidR="00EA7ACA" w:rsidRPr="007C488A">
        <w:rPr>
          <w:iCs/>
        </w:rPr>
        <w:t xml:space="preserve"> left ventricular assist device (LVAD) for destination therapy (DT)</w:t>
      </w:r>
      <w:r w:rsidRPr="007C488A">
        <w:rPr>
          <w:iCs/>
        </w:rPr>
        <w:t xml:space="preserve"> </w:t>
      </w:r>
      <w:r w:rsidR="00EA7ACA" w:rsidRPr="007C488A">
        <w:rPr>
          <w:iCs/>
        </w:rPr>
        <w:t xml:space="preserve">in the management of patients with refractory heart failure </w:t>
      </w:r>
      <w:r w:rsidR="00517F01" w:rsidRPr="007C488A">
        <w:rPr>
          <w:iCs/>
        </w:rPr>
        <w:t xml:space="preserve">(HF) </w:t>
      </w:r>
      <w:r w:rsidRPr="007C488A">
        <w:rPr>
          <w:iCs/>
        </w:rPr>
        <w:t xml:space="preserve">was received from the </w:t>
      </w:r>
      <w:r w:rsidR="00EA7ACA" w:rsidRPr="007C488A">
        <w:rPr>
          <w:iCs/>
        </w:rPr>
        <w:t>Abbott Medical Australia Pty Ltd</w:t>
      </w:r>
      <w:r w:rsidRPr="007C488A">
        <w:rPr>
          <w:iCs/>
        </w:rPr>
        <w:t xml:space="preserve"> by the Department of Health</w:t>
      </w:r>
      <w:r w:rsidR="00956529" w:rsidRPr="007C488A">
        <w:rPr>
          <w:iCs/>
        </w:rPr>
        <w:t xml:space="preserve"> and Aged Care</w:t>
      </w:r>
      <w:r w:rsidRPr="007C488A">
        <w:rPr>
          <w:iCs/>
        </w:rPr>
        <w:t>.</w:t>
      </w:r>
    </w:p>
    <w:p w14:paraId="49A3D67D" w14:textId="77777777" w:rsidR="00A832A7" w:rsidRPr="007C488A" w:rsidRDefault="00A832A7" w:rsidP="00A832A7">
      <w:pPr>
        <w:pStyle w:val="Heading2"/>
        <w:numPr>
          <w:ilvl w:val="0"/>
          <w:numId w:val="0"/>
        </w:numPr>
      </w:pPr>
      <w:r w:rsidRPr="007C488A">
        <w:t>2.</w:t>
      </w:r>
      <w:r w:rsidRPr="007C488A">
        <w:tab/>
        <w:t>MSAC’s advice to the Minister</w:t>
      </w:r>
    </w:p>
    <w:p w14:paraId="2F711AE9" w14:textId="041D08CA" w:rsidR="00841116" w:rsidRPr="007C488A" w:rsidRDefault="00841116" w:rsidP="00841116">
      <w:bookmarkStart w:id="2" w:name="_Hlk164243073"/>
      <w:r w:rsidRPr="007C488A">
        <w:t xml:space="preserve">After considering the strength of the available evidence in relation to comparative safety, clinical effectiveness, </w:t>
      </w:r>
      <w:proofErr w:type="gramStart"/>
      <w:r w:rsidRPr="007C488A">
        <w:t>cost-effectiveness</w:t>
      </w:r>
      <w:proofErr w:type="gramEnd"/>
      <w:r w:rsidRPr="007C488A">
        <w:t xml:space="preserve"> and total cost, MSAC deferred its advice for public funding of insertion of durable LVAD for use as destination therapy for patients with refractory heart failure, despite optimal medical management (OMM), with an INTERMACS profile between 1</w:t>
      </w:r>
      <w:r w:rsidR="006161F7" w:rsidRPr="007C488A">
        <w:t>-</w:t>
      </w:r>
      <w:r w:rsidRPr="007C488A">
        <w:t xml:space="preserve">4 and who are not eligible for cardiac transplantation. MSAC considered that there was a high unmet clinical need in this group of patients who are on OMM with no other treatment alternatives as determined by a multidisciplinary team. MSAC considered that LVAD had superior effectiveness compared to the comparator (OMM), although considered the magnitude of this effect was uncertain due to limitations in the available evidence. MSAC raised concerns about whether the aftercare costs following LVAD implantation had been adequately captured in the economic and financial </w:t>
      </w:r>
      <w:proofErr w:type="gramStart"/>
      <w:r w:rsidRPr="007C488A">
        <w:t>analyses, and</w:t>
      </w:r>
      <w:proofErr w:type="gramEnd"/>
      <w:r w:rsidRPr="007C488A">
        <w:t xml:space="preserve"> considered that the resultant incremental cost-effectiveness ratio (ICER) and the financial impact may potentially be underestimated. MSAC deferred its advice and requested consultation be undertaken with Australian </w:t>
      </w:r>
      <w:r w:rsidR="005766BD" w:rsidRPr="007C488A">
        <w:t>healthcare centres</w:t>
      </w:r>
      <w:r w:rsidRPr="007C488A">
        <w:t xml:space="preserve"> to obtain a more contemporary and informed estimate o</w:t>
      </w:r>
      <w:r w:rsidR="00E65EC9" w:rsidRPr="007C488A">
        <w:t>f</w:t>
      </w:r>
      <w:r w:rsidRPr="007C488A">
        <w:t xml:space="preserve"> the aftercare costs following LVAD implantation in Australia; and for the economic and financial analyses to be revised to incorporate the updated additional costs (particularly aftercare costs) associated with the proposed service. MSAC considered that the resubmission could proceed via the direct MSAC assessment pathway.</w:t>
      </w:r>
    </w:p>
    <w:tbl>
      <w:tblPr>
        <w:tblStyle w:val="TableGrid"/>
        <w:tblW w:w="0" w:type="auto"/>
        <w:tblLook w:val="04A0" w:firstRow="1" w:lastRow="0" w:firstColumn="1" w:lastColumn="0" w:noHBand="0" w:noVBand="1"/>
        <w:tblDescription w:val="Consumer summary of MSAC consideration"/>
      </w:tblPr>
      <w:tblGrid>
        <w:gridCol w:w="9016"/>
      </w:tblGrid>
      <w:tr w:rsidR="00602D37" w:rsidRPr="007C488A" w14:paraId="2A18C4D4" w14:textId="77777777" w:rsidTr="00602D37">
        <w:trPr>
          <w:tblHeader/>
        </w:trPr>
        <w:tc>
          <w:tcPr>
            <w:tcW w:w="9016" w:type="dxa"/>
            <w:tcBorders>
              <w:top w:val="single" w:sz="4" w:space="0" w:color="auto"/>
              <w:left w:val="single" w:sz="4" w:space="0" w:color="auto"/>
              <w:bottom w:val="single" w:sz="4" w:space="0" w:color="auto"/>
              <w:right w:val="single" w:sz="4" w:space="0" w:color="auto"/>
            </w:tcBorders>
            <w:hideMark/>
          </w:tcPr>
          <w:bookmarkEnd w:id="2"/>
          <w:p w14:paraId="18204C38" w14:textId="77777777" w:rsidR="00602D37" w:rsidRPr="007C488A" w:rsidRDefault="00602D37" w:rsidP="00C944A4">
            <w:pPr>
              <w:pStyle w:val="Heading3"/>
              <w:spacing w:after="120"/>
              <w:rPr>
                <w:rFonts w:asciiTheme="majorHAnsi" w:hAnsiTheme="majorHAnsi"/>
                <w:iCs/>
              </w:rPr>
            </w:pPr>
            <w:r w:rsidRPr="007C488A">
              <w:t>Consumer summary</w:t>
            </w:r>
          </w:p>
        </w:tc>
      </w:tr>
      <w:tr w:rsidR="00602D37" w:rsidRPr="007C488A" w14:paraId="4979D42D" w14:textId="77777777" w:rsidTr="00602D37">
        <w:tc>
          <w:tcPr>
            <w:tcW w:w="9016" w:type="dxa"/>
            <w:tcBorders>
              <w:top w:val="single" w:sz="4" w:space="0" w:color="auto"/>
              <w:left w:val="single" w:sz="4" w:space="0" w:color="auto"/>
              <w:bottom w:val="single" w:sz="4" w:space="0" w:color="auto"/>
              <w:right w:val="single" w:sz="4" w:space="0" w:color="auto"/>
            </w:tcBorders>
            <w:hideMark/>
          </w:tcPr>
          <w:p w14:paraId="1343D39B" w14:textId="06F1928B" w:rsidR="00602D37" w:rsidRPr="007C488A" w:rsidRDefault="00602D37">
            <w:r w:rsidRPr="007C488A">
              <w:t>This is an application from Abbott Medical</w:t>
            </w:r>
            <w:r w:rsidR="00522D67" w:rsidRPr="007C488A">
              <w:t xml:space="preserve"> Australia Pty Ltd</w:t>
            </w:r>
            <w:r w:rsidRPr="007C488A">
              <w:t xml:space="preserve"> requesting Medicare Benefits Schedule (MBS) listing for inserting a left ventricular assist device (LVAD) for destination therapy in the management of patients with refractory heart failure. </w:t>
            </w:r>
          </w:p>
          <w:p w14:paraId="2C19ABF0" w14:textId="0250F561" w:rsidR="00602D37" w:rsidRPr="007C488A" w:rsidRDefault="007F284B" w:rsidP="00867468">
            <w:r w:rsidRPr="007C488A">
              <w:t>Heart failure is a chronic progressive condition</w:t>
            </w:r>
            <w:r w:rsidR="00295C87" w:rsidRPr="007C488A">
              <w:t xml:space="preserve"> where the </w:t>
            </w:r>
            <w:r w:rsidR="00867468" w:rsidRPr="007C488A">
              <w:t>ability of the hear</w:t>
            </w:r>
            <w:r w:rsidR="00AB3E10" w:rsidRPr="007C488A">
              <w:t>t</w:t>
            </w:r>
            <w:r w:rsidR="00867468" w:rsidRPr="007C488A">
              <w:t xml:space="preserve"> to </w:t>
            </w:r>
            <w:r w:rsidRPr="007C488A">
              <w:t xml:space="preserve">pump blood around the body </w:t>
            </w:r>
            <w:r w:rsidR="00867468" w:rsidRPr="007C488A">
              <w:t xml:space="preserve">is impaired. This can </w:t>
            </w:r>
            <w:r w:rsidR="003A0339" w:rsidRPr="007C488A">
              <w:t xml:space="preserve">be caused by various diseases or conditions such as </w:t>
            </w:r>
            <w:r w:rsidR="001A1362" w:rsidRPr="007C488A">
              <w:t>a heart attack</w:t>
            </w:r>
            <w:r w:rsidR="00B95AF4" w:rsidRPr="007C488A">
              <w:t xml:space="preserve">. </w:t>
            </w:r>
            <w:r w:rsidR="000D740A" w:rsidRPr="007C488A">
              <w:t xml:space="preserve">There are </w:t>
            </w:r>
            <w:proofErr w:type="gramStart"/>
            <w:r w:rsidR="000D740A" w:rsidRPr="007C488A">
              <w:t>a number of</w:t>
            </w:r>
            <w:proofErr w:type="gramEnd"/>
            <w:r w:rsidR="000D740A" w:rsidRPr="007C488A">
              <w:t xml:space="preserve"> stages of heart failure. </w:t>
            </w:r>
            <w:r w:rsidR="00602D37" w:rsidRPr="007C488A">
              <w:t>Refractory heart failure</w:t>
            </w:r>
            <w:r w:rsidR="00737205" w:rsidRPr="007C488A">
              <w:t xml:space="preserve">, also </w:t>
            </w:r>
            <w:r w:rsidR="00E954D2" w:rsidRPr="007C488A">
              <w:t>known as end stage or advanced heart failure,</w:t>
            </w:r>
            <w:r w:rsidR="003F0BA7" w:rsidRPr="007C488A">
              <w:t xml:space="preserve"> is </w:t>
            </w:r>
            <w:r w:rsidR="00876E48" w:rsidRPr="007C488A">
              <w:t xml:space="preserve">where the patient </w:t>
            </w:r>
            <w:r w:rsidR="00305F33" w:rsidRPr="007C488A">
              <w:t xml:space="preserve">experiences persistent and </w:t>
            </w:r>
            <w:r w:rsidR="00305F33" w:rsidRPr="007C488A">
              <w:lastRenderedPageBreak/>
              <w:t xml:space="preserve">progressive worsening </w:t>
            </w:r>
            <w:r w:rsidR="002D3136" w:rsidRPr="007C488A">
              <w:t xml:space="preserve">in </w:t>
            </w:r>
            <w:r w:rsidR="00A164F8" w:rsidRPr="007C488A">
              <w:t xml:space="preserve">their heart </w:t>
            </w:r>
            <w:r w:rsidR="00965253" w:rsidRPr="007C488A">
              <w:t xml:space="preserve">function </w:t>
            </w:r>
            <w:r w:rsidR="00A164F8" w:rsidRPr="007C488A">
              <w:t xml:space="preserve">and </w:t>
            </w:r>
            <w:r w:rsidR="00965253" w:rsidRPr="007C488A">
              <w:t>symptoms</w:t>
            </w:r>
            <w:r w:rsidR="00994DCA" w:rsidRPr="007C488A">
              <w:t xml:space="preserve"> despite</w:t>
            </w:r>
            <w:r w:rsidR="00602D37" w:rsidRPr="007C488A">
              <w:t xml:space="preserve"> </w:t>
            </w:r>
            <w:r w:rsidR="00BB0657" w:rsidRPr="007C488A">
              <w:t xml:space="preserve">receiving optimised medical treatment </w:t>
            </w:r>
            <w:r w:rsidR="00522D67" w:rsidRPr="007C488A">
              <w:t>which mainly include</w:t>
            </w:r>
            <w:r w:rsidR="00E65C44" w:rsidRPr="007C488A">
              <w:t>s</w:t>
            </w:r>
            <w:r w:rsidR="00522D67" w:rsidRPr="007C488A">
              <w:t xml:space="preserve"> </w:t>
            </w:r>
            <w:r w:rsidR="00602D37" w:rsidRPr="007C488A">
              <w:t>medicines</w:t>
            </w:r>
            <w:r w:rsidR="00AD677C" w:rsidRPr="007C488A">
              <w:t xml:space="preserve">. </w:t>
            </w:r>
            <w:r w:rsidR="004548C6" w:rsidRPr="007C488A">
              <w:t xml:space="preserve">These patients </w:t>
            </w:r>
            <w:r w:rsidR="000A5770" w:rsidRPr="007C488A">
              <w:t>often require frequent hospitalisation and</w:t>
            </w:r>
            <w:r w:rsidR="003F79C4" w:rsidRPr="007C488A">
              <w:t xml:space="preserve"> have poor survival </w:t>
            </w:r>
            <w:r w:rsidR="00403C6E" w:rsidRPr="007C488A">
              <w:t>if they don’t</w:t>
            </w:r>
            <w:r w:rsidR="00BC5FDF" w:rsidRPr="007C488A">
              <w:t xml:space="preserve"> recei</w:t>
            </w:r>
            <w:r w:rsidR="00403C6E" w:rsidRPr="007C488A">
              <w:t>ve</w:t>
            </w:r>
            <w:r w:rsidR="00BC5FDF" w:rsidRPr="007C488A">
              <w:t xml:space="preserve"> further specialised</w:t>
            </w:r>
            <w:r w:rsidR="002621FC" w:rsidRPr="007C488A">
              <w:t xml:space="preserve"> advanced</w:t>
            </w:r>
            <w:r w:rsidR="00BC5FDF" w:rsidRPr="007C488A">
              <w:t xml:space="preserve"> treatments, such as a heart transplant</w:t>
            </w:r>
            <w:r w:rsidR="00261331" w:rsidRPr="007C488A">
              <w:t xml:space="preserve">. However, some patients with refractory heart </w:t>
            </w:r>
            <w:r w:rsidR="00655AEE" w:rsidRPr="007C488A">
              <w:t>failure</w:t>
            </w:r>
            <w:r w:rsidR="00A6782A" w:rsidRPr="007C488A">
              <w:t xml:space="preserve"> </w:t>
            </w:r>
            <w:r w:rsidR="001C2834" w:rsidRPr="007C488A">
              <w:t>cannot have</w:t>
            </w:r>
            <w:r w:rsidR="00261331" w:rsidRPr="007C488A">
              <w:t xml:space="preserve"> a heart transplant</w:t>
            </w:r>
            <w:r w:rsidR="001C2834" w:rsidRPr="007C488A">
              <w:t xml:space="preserve"> for various reasons</w:t>
            </w:r>
            <w:r w:rsidR="00261331" w:rsidRPr="007C488A">
              <w:t xml:space="preserve">. </w:t>
            </w:r>
            <w:r w:rsidR="00602D37" w:rsidRPr="007C488A">
              <w:t xml:space="preserve">  </w:t>
            </w:r>
          </w:p>
          <w:p w14:paraId="62B793E7" w14:textId="36D1D189" w:rsidR="00602D37" w:rsidRPr="007C488A" w:rsidRDefault="00A34FAA" w:rsidP="0012031A">
            <w:r w:rsidRPr="007C488A">
              <w:t xml:space="preserve">An LVAD is </w:t>
            </w:r>
            <w:r w:rsidR="00775593" w:rsidRPr="007C488A">
              <w:t xml:space="preserve">a </w:t>
            </w:r>
            <w:r w:rsidR="00597AFE" w:rsidRPr="007C488A">
              <w:t xml:space="preserve">battery-operated mechanical pump </w:t>
            </w:r>
            <w:r w:rsidR="00775593" w:rsidRPr="007C488A">
              <w:t xml:space="preserve">that can </w:t>
            </w:r>
            <w:r w:rsidR="00F630F8" w:rsidRPr="007C488A">
              <w:t>help pump the patient</w:t>
            </w:r>
            <w:r w:rsidR="00022C1B" w:rsidRPr="007C488A">
              <w:t>’</w:t>
            </w:r>
            <w:r w:rsidR="00F630F8" w:rsidRPr="007C488A">
              <w:t>s</w:t>
            </w:r>
            <w:r w:rsidR="000A1FB2" w:rsidRPr="007C488A">
              <w:t xml:space="preserve"> blood</w:t>
            </w:r>
            <w:r w:rsidR="007971A7" w:rsidRPr="007C488A">
              <w:t xml:space="preserve"> </w:t>
            </w:r>
            <w:r w:rsidR="00317E65" w:rsidRPr="007C488A">
              <w:t>from the heart to</w:t>
            </w:r>
            <w:r w:rsidR="007971A7" w:rsidRPr="007C488A">
              <w:t xml:space="preserve"> the body</w:t>
            </w:r>
            <w:r w:rsidR="000A1FB2" w:rsidRPr="007C488A">
              <w:t xml:space="preserve">. </w:t>
            </w:r>
            <w:r w:rsidR="0012031A" w:rsidRPr="007C488A">
              <w:t>A</w:t>
            </w:r>
            <w:r w:rsidR="00602D37" w:rsidRPr="007C488A">
              <w:t xml:space="preserve"> surgeon would insert the LVAD into the left lower heart chamber, called the left ventricle. Some </w:t>
            </w:r>
            <w:r w:rsidR="00B4465C" w:rsidRPr="007C488A">
              <w:t xml:space="preserve">patients </w:t>
            </w:r>
            <w:r w:rsidR="00602D37" w:rsidRPr="007C488A">
              <w:t xml:space="preserve">may </w:t>
            </w:r>
            <w:r w:rsidR="004D09B7" w:rsidRPr="007C488A">
              <w:t xml:space="preserve">temporarily </w:t>
            </w:r>
            <w:r w:rsidR="00602D37" w:rsidRPr="007C488A">
              <w:t xml:space="preserve">receive an LVAD while they are waiting for a heart transplant. </w:t>
            </w:r>
            <w:r w:rsidR="00F27B4A" w:rsidRPr="007C488A">
              <w:t xml:space="preserve">However, </w:t>
            </w:r>
            <w:r w:rsidR="00602D37" w:rsidRPr="007C488A">
              <w:t>this application is</w:t>
            </w:r>
            <w:r w:rsidR="00CC7CAA" w:rsidRPr="007C488A">
              <w:t xml:space="preserve"> seeking public funding to insert an LVAD in patients with</w:t>
            </w:r>
            <w:r w:rsidR="00602D37" w:rsidRPr="007C488A">
              <w:t xml:space="preserve"> </w:t>
            </w:r>
            <w:r w:rsidR="000C4C52" w:rsidRPr="007C488A">
              <w:t xml:space="preserve">refractory </w:t>
            </w:r>
            <w:r w:rsidR="001C2834" w:rsidRPr="007C488A">
              <w:t xml:space="preserve">heart failure </w:t>
            </w:r>
            <w:r w:rsidR="00602D37" w:rsidRPr="007C488A">
              <w:t>who cannot have a heart transplant</w:t>
            </w:r>
            <w:r w:rsidR="00522D67" w:rsidRPr="007C488A">
              <w:t xml:space="preserve">. For these </w:t>
            </w:r>
            <w:r w:rsidR="004C67C2" w:rsidRPr="007C488A">
              <w:t>patients</w:t>
            </w:r>
            <w:r w:rsidR="00522D67" w:rsidRPr="007C488A">
              <w:t xml:space="preserve">, LVAD </w:t>
            </w:r>
            <w:r w:rsidR="004D09B7" w:rsidRPr="007C488A">
              <w:t>would</w:t>
            </w:r>
            <w:r w:rsidR="00522D67" w:rsidRPr="007C488A">
              <w:t xml:space="preserve"> be used as</w:t>
            </w:r>
            <w:r w:rsidR="00602D37" w:rsidRPr="007C488A">
              <w:t xml:space="preserve"> </w:t>
            </w:r>
            <w:r w:rsidR="00522D67" w:rsidRPr="007C488A">
              <w:t xml:space="preserve">a </w:t>
            </w:r>
            <w:r w:rsidR="00602D37" w:rsidRPr="007C488A">
              <w:t xml:space="preserve">permanent </w:t>
            </w:r>
            <w:r w:rsidR="00522D67" w:rsidRPr="007C488A">
              <w:t>treatment</w:t>
            </w:r>
            <w:r w:rsidR="00602D37" w:rsidRPr="007C488A">
              <w:t xml:space="preserve"> and is thus called destination therapy. </w:t>
            </w:r>
          </w:p>
          <w:p w14:paraId="63E7E4F5" w14:textId="3A50C4AF" w:rsidR="00602D37" w:rsidRPr="007C488A" w:rsidRDefault="00522D67">
            <w:r w:rsidRPr="007C488A">
              <w:t>Based on the available evidence, MSAC considered the use of</w:t>
            </w:r>
            <w:r w:rsidR="00602D37" w:rsidRPr="007C488A">
              <w:t xml:space="preserve"> an LVAD </w:t>
            </w:r>
            <w:r w:rsidR="00B90BD9" w:rsidRPr="007C488A">
              <w:t xml:space="preserve">for destination therapy </w:t>
            </w:r>
            <w:r w:rsidR="00B96E22" w:rsidRPr="007C488A">
              <w:t xml:space="preserve">was </w:t>
            </w:r>
            <w:r w:rsidRPr="007C488A">
              <w:t>less safe compared to the current standard of care</w:t>
            </w:r>
            <w:r w:rsidR="00B26AC6" w:rsidRPr="007C488A">
              <w:t xml:space="preserve"> (optimised medical treatment)</w:t>
            </w:r>
            <w:r w:rsidRPr="007C488A">
              <w:t xml:space="preserve">. This is because the insertion of the LVAD requires an </w:t>
            </w:r>
            <w:r w:rsidR="00602D37" w:rsidRPr="007C488A">
              <w:t>open-heart, high-risk surgery</w:t>
            </w:r>
            <w:r w:rsidRPr="007C488A">
              <w:t xml:space="preserve"> that may cause unwanted events such as stroke, </w:t>
            </w:r>
            <w:proofErr w:type="gramStart"/>
            <w:r w:rsidRPr="007C488A">
              <w:t>bleeding</w:t>
            </w:r>
            <w:proofErr w:type="gramEnd"/>
            <w:r w:rsidRPr="007C488A">
              <w:t xml:space="preserve"> and infection. It is also possible that once inserted, the LVAD ma</w:t>
            </w:r>
            <w:r w:rsidR="005D3666" w:rsidRPr="007C488A">
              <w:t>y</w:t>
            </w:r>
            <w:r w:rsidRPr="007C488A">
              <w:t xml:space="preserve"> not function properly and cause problems. Even with the safety concerns,</w:t>
            </w:r>
            <w:r w:rsidR="00602D37" w:rsidRPr="007C488A">
              <w:t xml:space="preserve"> MSAC considered </w:t>
            </w:r>
            <w:r w:rsidRPr="007C488A">
              <w:t>that the LVAD could be beneficial to patients because they do not have any other treatment options, and without it, the</w:t>
            </w:r>
            <w:r w:rsidR="001B1F4F" w:rsidRPr="007C488A">
              <w:t>ir condition might worsen more quickly</w:t>
            </w:r>
            <w:r w:rsidRPr="007C488A">
              <w:t xml:space="preserve">. MSAC considered </w:t>
            </w:r>
            <w:r w:rsidR="00602D37" w:rsidRPr="007C488A">
              <w:t xml:space="preserve">the device to be </w:t>
            </w:r>
            <w:r w:rsidRPr="007C488A">
              <w:t xml:space="preserve">more </w:t>
            </w:r>
            <w:r w:rsidR="00602D37" w:rsidRPr="007C488A">
              <w:t>effective</w:t>
            </w:r>
            <w:r w:rsidRPr="007C488A">
              <w:t xml:space="preserve"> than the current standard of care</w:t>
            </w:r>
            <w:r w:rsidR="00602D37" w:rsidRPr="007C488A">
              <w:t xml:space="preserve">, as it </w:t>
            </w:r>
            <w:r w:rsidRPr="007C488A">
              <w:t xml:space="preserve">can increase the number of years a patient is alive, </w:t>
            </w:r>
            <w:r w:rsidR="00602D37" w:rsidRPr="007C488A">
              <w:t xml:space="preserve">reduce the number of hospitalisations and improve </w:t>
            </w:r>
            <w:r w:rsidRPr="007C488A">
              <w:t xml:space="preserve">a patient’s </w:t>
            </w:r>
            <w:r w:rsidR="00602D37" w:rsidRPr="007C488A">
              <w:t>quality of life.</w:t>
            </w:r>
            <w:r w:rsidRPr="007C488A">
              <w:t xml:space="preserve"> </w:t>
            </w:r>
            <w:r w:rsidR="00602D37" w:rsidRPr="007C488A">
              <w:t xml:space="preserve">MSAC thought the </w:t>
            </w:r>
            <w:r w:rsidRPr="007C488A">
              <w:t xml:space="preserve">insertion of LVAD </w:t>
            </w:r>
            <w:r w:rsidR="00602D37" w:rsidRPr="007C488A">
              <w:t xml:space="preserve">was probably good value for money, but MSAC did not have all the information it needed to make an informed decision. Some important costs regarding aftercare </w:t>
            </w:r>
            <w:r w:rsidR="002473A4" w:rsidRPr="007C488A">
              <w:t xml:space="preserve">may be </w:t>
            </w:r>
            <w:r w:rsidR="00602D37" w:rsidRPr="007C488A">
              <w:t>missing from the application</w:t>
            </w:r>
            <w:r w:rsidR="00E70FA4" w:rsidRPr="007C488A">
              <w:t xml:space="preserve"> and</w:t>
            </w:r>
            <w:r w:rsidR="00602D37" w:rsidRPr="007C488A">
              <w:t xml:space="preserve"> </w:t>
            </w:r>
            <w:r w:rsidR="002261E5" w:rsidRPr="007C488A">
              <w:t xml:space="preserve">MSAC </w:t>
            </w:r>
            <w:r w:rsidR="00602D37" w:rsidRPr="007C488A">
              <w:t xml:space="preserve">wanted more </w:t>
            </w:r>
            <w:r w:rsidRPr="007C488A">
              <w:t xml:space="preserve">accurate </w:t>
            </w:r>
            <w:r w:rsidR="00602D37" w:rsidRPr="007C488A">
              <w:t xml:space="preserve">information on </w:t>
            </w:r>
            <w:r w:rsidRPr="007C488A">
              <w:t xml:space="preserve">the </w:t>
            </w:r>
            <w:r w:rsidR="00602D37" w:rsidRPr="007C488A">
              <w:t>additional costs</w:t>
            </w:r>
            <w:r w:rsidRPr="007C488A">
              <w:t xml:space="preserve"> (especially aftercare costs) that are involved with the insertion </w:t>
            </w:r>
            <w:r w:rsidR="00967D67" w:rsidRPr="007C488A">
              <w:t xml:space="preserve">and management </w:t>
            </w:r>
            <w:r w:rsidRPr="007C488A">
              <w:t>of the device. MSAC requested that this information be brought directly to MSAC again</w:t>
            </w:r>
            <w:r w:rsidR="005D3666" w:rsidRPr="007C488A">
              <w:t xml:space="preserve"> </w:t>
            </w:r>
            <w:r w:rsidR="00602D37" w:rsidRPr="007C488A">
              <w:t>so</w:t>
            </w:r>
            <w:r w:rsidRPr="007C488A">
              <w:t xml:space="preserve"> that</w:t>
            </w:r>
            <w:r w:rsidR="00602D37" w:rsidRPr="007C488A">
              <w:t xml:space="preserve"> it could </w:t>
            </w:r>
            <w:r w:rsidRPr="007C488A">
              <w:t>assess whether inserting the LVAD is</w:t>
            </w:r>
            <w:r w:rsidR="00602D37" w:rsidRPr="007C488A">
              <w:t xml:space="preserve"> good value for money </w:t>
            </w:r>
            <w:proofErr w:type="gramStart"/>
            <w:r w:rsidR="00602D37" w:rsidRPr="007C488A">
              <w:t>and</w:t>
            </w:r>
            <w:r w:rsidRPr="007C488A">
              <w:t xml:space="preserve"> also</w:t>
            </w:r>
            <w:proofErr w:type="gramEnd"/>
            <w:r w:rsidRPr="007C488A">
              <w:t xml:space="preserve"> be better able to </w:t>
            </w:r>
            <w:r w:rsidR="005D3666" w:rsidRPr="007C488A">
              <w:t>understand</w:t>
            </w:r>
            <w:r w:rsidR="00602D37" w:rsidRPr="007C488A">
              <w:t xml:space="preserve"> how much </w:t>
            </w:r>
            <w:r w:rsidRPr="007C488A">
              <w:t>this</w:t>
            </w:r>
            <w:r w:rsidR="00602D37" w:rsidRPr="007C488A">
              <w:t xml:space="preserve"> would cost the </w:t>
            </w:r>
            <w:r w:rsidRPr="007C488A">
              <w:t xml:space="preserve">Australian </w:t>
            </w:r>
            <w:r w:rsidR="00602D37" w:rsidRPr="007C488A">
              <w:t>healthcare system.</w:t>
            </w:r>
          </w:p>
          <w:p w14:paraId="52477002" w14:textId="6CA8EF0E" w:rsidR="00602D37" w:rsidRPr="007C488A" w:rsidRDefault="00602D37">
            <w:pPr>
              <w:pStyle w:val="Heading3"/>
            </w:pPr>
            <w:r w:rsidRPr="007C488A">
              <w:t xml:space="preserve">MSAC’s advice to the </w:t>
            </w:r>
            <w:proofErr w:type="gramStart"/>
            <w:r w:rsidRPr="007C488A">
              <w:t>Commonwealth Minister</w:t>
            </w:r>
            <w:proofErr w:type="gramEnd"/>
            <w:r w:rsidRPr="007C488A">
              <w:t xml:space="preserve"> for Health and Aged Care</w:t>
            </w:r>
          </w:p>
          <w:p w14:paraId="19A0D0E0" w14:textId="788FFBAC" w:rsidR="00602D37" w:rsidRPr="007C488A" w:rsidRDefault="00602D37" w:rsidP="00C944A4">
            <w:pPr>
              <w:spacing w:after="120"/>
            </w:pPr>
            <w:r w:rsidRPr="007C488A">
              <w:t xml:space="preserve">MSAC deferred its decision on the </w:t>
            </w:r>
            <w:r w:rsidR="00440403" w:rsidRPr="007C488A">
              <w:t xml:space="preserve">proposed </w:t>
            </w:r>
            <w:r w:rsidRPr="007C488A">
              <w:t xml:space="preserve">MBS </w:t>
            </w:r>
            <w:r w:rsidR="00440403" w:rsidRPr="007C488A">
              <w:t xml:space="preserve">listing for </w:t>
            </w:r>
            <w:r w:rsidRPr="007C488A">
              <w:t xml:space="preserve">the insertion of a </w:t>
            </w:r>
            <w:r w:rsidR="00DE1328" w:rsidRPr="007C488A">
              <w:t xml:space="preserve">durable </w:t>
            </w:r>
            <w:r w:rsidRPr="007C488A">
              <w:t>LVAD for destination therapy in the management of patients with refractory heart failure</w:t>
            </w:r>
            <w:r w:rsidR="00C55971" w:rsidRPr="007C488A">
              <w:t xml:space="preserve"> and who are not eligible for a heart transplant</w:t>
            </w:r>
            <w:r w:rsidRPr="007C488A">
              <w:t xml:space="preserve">. MSAC </w:t>
            </w:r>
            <w:r w:rsidR="00DE1328" w:rsidRPr="007C488A">
              <w:t>considered the proposed intervention to be more</w:t>
            </w:r>
            <w:r w:rsidRPr="007C488A">
              <w:t xml:space="preserve"> effective</w:t>
            </w:r>
            <w:r w:rsidR="00DE1328" w:rsidRPr="007C488A">
              <w:t xml:space="preserve"> than the current standard of care (optimal medical management) for the target patient population who have no other treatment alternatives. MSAC was not convinced that all the costs associated with the proposed service had been fully accounted</w:t>
            </w:r>
            <w:r w:rsidR="00655AEE" w:rsidRPr="007C488A">
              <w:t xml:space="preserve"> for</w:t>
            </w:r>
            <w:r w:rsidR="00DE1328" w:rsidRPr="007C488A">
              <w:t xml:space="preserve"> and requested </w:t>
            </w:r>
            <w:r w:rsidRPr="007C488A">
              <w:t>more information</w:t>
            </w:r>
            <w:r w:rsidR="00DE1328" w:rsidRPr="007C488A">
              <w:t>, particular</w:t>
            </w:r>
            <w:r w:rsidR="005D3666" w:rsidRPr="007C488A">
              <w:t>ly</w:t>
            </w:r>
            <w:r w:rsidR="00DE1328" w:rsidRPr="007C488A">
              <w:t xml:space="preserve"> regarding</w:t>
            </w:r>
            <w:r w:rsidRPr="007C488A">
              <w:t xml:space="preserve"> aftercare costs</w:t>
            </w:r>
            <w:r w:rsidR="00D21898" w:rsidRPr="007C488A">
              <w:t>,</w:t>
            </w:r>
            <w:r w:rsidRPr="007C488A">
              <w:t xml:space="preserve"> to </w:t>
            </w:r>
            <w:r w:rsidR="00DE1328" w:rsidRPr="007C488A">
              <w:t>evaluate the cost-effectiveness of the proposed service and its total financial impact on the healthcare system</w:t>
            </w:r>
            <w:r w:rsidRPr="007C488A">
              <w:t>.</w:t>
            </w:r>
          </w:p>
        </w:tc>
      </w:tr>
    </w:tbl>
    <w:p w14:paraId="22C76AE4" w14:textId="77777777" w:rsidR="00A832A7" w:rsidRPr="007C488A" w:rsidRDefault="00A832A7" w:rsidP="00A832A7">
      <w:pPr>
        <w:pStyle w:val="Heading2"/>
        <w:numPr>
          <w:ilvl w:val="1"/>
          <w:numId w:val="0"/>
        </w:numPr>
      </w:pPr>
      <w:r w:rsidRPr="007C488A">
        <w:lastRenderedPageBreak/>
        <w:t>3.</w:t>
      </w:r>
      <w:r w:rsidRPr="007C488A">
        <w:tab/>
        <w:t>Summary of consideration and rationale for MSAC’s advice</w:t>
      </w:r>
    </w:p>
    <w:p w14:paraId="7F78478B" w14:textId="4E585691" w:rsidR="00202E6E" w:rsidRPr="007C488A" w:rsidRDefault="00202E6E" w:rsidP="00202E6E">
      <w:r w:rsidRPr="007C488A">
        <w:t>MSAC noted that this application from Abbott Medical</w:t>
      </w:r>
      <w:r w:rsidR="004B5F59" w:rsidRPr="007C488A">
        <w:t xml:space="preserve"> Australia Pty Ltd</w:t>
      </w:r>
      <w:r w:rsidRPr="007C488A">
        <w:t xml:space="preserve"> </w:t>
      </w:r>
      <w:r w:rsidR="004B5F59" w:rsidRPr="007C488A">
        <w:t>requested</w:t>
      </w:r>
      <w:r w:rsidRPr="007C488A">
        <w:t xml:space="preserve"> MBS listing for the insertion of a </w:t>
      </w:r>
      <w:r w:rsidR="004B5F59" w:rsidRPr="007C488A">
        <w:t xml:space="preserve">durable </w:t>
      </w:r>
      <w:r w:rsidRPr="007C488A">
        <w:t xml:space="preserve">LVAD for </w:t>
      </w:r>
      <w:r w:rsidR="004B5F59" w:rsidRPr="007C488A">
        <w:t xml:space="preserve">use as </w:t>
      </w:r>
      <w:r w:rsidRPr="007C488A">
        <w:t>DT in the management of patients with refractory HF</w:t>
      </w:r>
      <w:r w:rsidR="004B5F59" w:rsidRPr="007C488A">
        <w:t>, despite OMM, who are ineligible for cardiac transplantation</w:t>
      </w:r>
      <w:r w:rsidRPr="007C488A">
        <w:t xml:space="preserve">. </w:t>
      </w:r>
    </w:p>
    <w:p w14:paraId="445DA7B7" w14:textId="70586F17" w:rsidR="00202E6E" w:rsidRPr="007C488A" w:rsidRDefault="00202E6E" w:rsidP="00202E6E">
      <w:r w:rsidRPr="007C488A">
        <w:t xml:space="preserve">MSAC noted </w:t>
      </w:r>
      <w:r w:rsidR="009E7015" w:rsidRPr="007C488A">
        <w:t xml:space="preserve">that </w:t>
      </w:r>
      <w:r w:rsidRPr="007C488A">
        <w:t>the HeartMate3</w:t>
      </w:r>
      <w:r w:rsidR="009E7015" w:rsidRPr="007C488A">
        <w:t xml:space="preserve"> (HM3)</w:t>
      </w:r>
      <w:r w:rsidRPr="007C488A">
        <w:t xml:space="preserve">, </w:t>
      </w:r>
      <w:r w:rsidR="009E7015" w:rsidRPr="007C488A">
        <w:t xml:space="preserve">the most recent </w:t>
      </w:r>
      <w:proofErr w:type="gramStart"/>
      <w:r w:rsidRPr="007C488A">
        <w:t>third-generation</w:t>
      </w:r>
      <w:proofErr w:type="gramEnd"/>
      <w:r w:rsidRPr="007C488A">
        <w:t xml:space="preserve"> magnetic</w:t>
      </w:r>
      <w:r w:rsidR="009E7015" w:rsidRPr="007C488A">
        <w:t>ally</w:t>
      </w:r>
      <w:r w:rsidRPr="007C488A">
        <w:t xml:space="preserve"> levitat</w:t>
      </w:r>
      <w:r w:rsidR="009E7015" w:rsidRPr="007C488A">
        <w:t>ed</w:t>
      </w:r>
      <w:r w:rsidRPr="007C488A">
        <w:t xml:space="preserve"> centrifugal</w:t>
      </w:r>
      <w:r w:rsidR="009E7015" w:rsidRPr="007C488A">
        <w:t>-flow</w:t>
      </w:r>
      <w:r w:rsidRPr="007C488A">
        <w:t xml:space="preserve"> </w:t>
      </w:r>
      <w:r w:rsidR="009E7015" w:rsidRPr="007C488A">
        <w:t xml:space="preserve">LVAD is the only LVAD </w:t>
      </w:r>
      <w:r w:rsidR="007A60A6" w:rsidRPr="007C488A">
        <w:t xml:space="preserve">indicated </w:t>
      </w:r>
      <w:r w:rsidR="009E7015" w:rsidRPr="007C488A">
        <w:t>for DT</w:t>
      </w:r>
      <w:r w:rsidRPr="007C488A">
        <w:t xml:space="preserve"> </w:t>
      </w:r>
      <w:r w:rsidR="00601973" w:rsidRPr="007C488A">
        <w:t>included</w:t>
      </w:r>
      <w:r w:rsidRPr="007C488A">
        <w:t xml:space="preserve"> on the Australian Register of Therapeutic Goods (ARTG).</w:t>
      </w:r>
      <w:r w:rsidR="009E7015" w:rsidRPr="007C488A">
        <w:t xml:space="preserve"> HM3 is also listed on the Prescribed List of Medical Devices and Human Tissue Products (PL). MSAC further noted that the first and second generation LVADs, HeartMate XVE and HeartMate II respectively, are not listed on the ARTG, and while </w:t>
      </w:r>
      <w:proofErr w:type="spellStart"/>
      <w:r w:rsidR="009E7015" w:rsidRPr="007C488A">
        <w:t>HeartWare</w:t>
      </w:r>
      <w:proofErr w:type="spellEnd"/>
      <w:r w:rsidR="009E7015" w:rsidRPr="007C488A">
        <w:t xml:space="preserve">, a </w:t>
      </w:r>
      <w:r w:rsidR="009E7015" w:rsidRPr="007C488A">
        <w:lastRenderedPageBreak/>
        <w:t>third generation LVAD is listed on the ARTG, it is no longer used in Australia due to safety concerns.</w:t>
      </w:r>
    </w:p>
    <w:p w14:paraId="10819120" w14:textId="4C024736" w:rsidR="009E7015" w:rsidRPr="007C488A" w:rsidRDefault="009E7015" w:rsidP="00202E6E">
      <w:r w:rsidRPr="007C488A">
        <w:t xml:space="preserve">MSAC noted that insertion of ventricular assist devices in patients with refractory </w:t>
      </w:r>
      <w:r w:rsidR="00611B17" w:rsidRPr="007C488A">
        <w:t>HF</w:t>
      </w:r>
      <w:r w:rsidRPr="007C488A">
        <w:t xml:space="preserve"> has already been listed on the MBS</w:t>
      </w:r>
      <w:r w:rsidR="00CB6679" w:rsidRPr="007C488A">
        <w:t xml:space="preserve"> </w:t>
      </w:r>
      <w:r w:rsidR="00FA593A" w:rsidRPr="007C488A">
        <w:t>(</w:t>
      </w:r>
      <w:r w:rsidRPr="007C488A">
        <w:t>since 1992</w:t>
      </w:r>
      <w:r w:rsidR="00FA593A" w:rsidRPr="007C488A">
        <w:t>)</w:t>
      </w:r>
      <w:r w:rsidRPr="007C488A">
        <w:t xml:space="preserve"> for other </w:t>
      </w:r>
      <w:r w:rsidR="0061417F" w:rsidRPr="007C488A">
        <w:t xml:space="preserve">indications </w:t>
      </w:r>
      <w:r w:rsidRPr="007C488A">
        <w:t>such as bridge to transplant and bridge to transplant candidacy (MBS items 38615 and 38618).</w:t>
      </w:r>
    </w:p>
    <w:p w14:paraId="79B963AA" w14:textId="49097518" w:rsidR="00E61C9F" w:rsidRPr="007C488A" w:rsidRDefault="009E7015" w:rsidP="00202E6E">
      <w:r w:rsidRPr="007C488A">
        <w:t xml:space="preserve">MSAC noted the PICO and the clinical management algorithm. </w:t>
      </w:r>
      <w:r w:rsidR="00202E6E" w:rsidRPr="007C488A">
        <w:t>MSAC noted that</w:t>
      </w:r>
      <w:r w:rsidR="00A2126A" w:rsidRPr="007C488A">
        <w:t xml:space="preserve"> the proposed population are those with</w:t>
      </w:r>
      <w:r w:rsidR="00202E6E" w:rsidRPr="007C488A">
        <w:t xml:space="preserve"> refractory HF </w:t>
      </w:r>
      <w:r w:rsidR="00A2126A" w:rsidRPr="007C488A">
        <w:t>despite</w:t>
      </w:r>
      <w:r w:rsidR="00202E6E" w:rsidRPr="007C488A">
        <w:t xml:space="preserve"> OMM</w:t>
      </w:r>
      <w:r w:rsidR="00A2126A" w:rsidRPr="007C488A">
        <w:t>, with an INTERMACS profile between 1</w:t>
      </w:r>
      <w:r w:rsidR="000E72D1" w:rsidRPr="007C488A">
        <w:t>-</w:t>
      </w:r>
      <w:r w:rsidR="00A2126A" w:rsidRPr="007C488A">
        <w:t>4</w:t>
      </w:r>
      <w:r w:rsidR="00202E6E" w:rsidRPr="007C488A">
        <w:t xml:space="preserve"> who are </w:t>
      </w:r>
      <w:r w:rsidR="00A2126A" w:rsidRPr="007C488A">
        <w:t xml:space="preserve">not eligible </w:t>
      </w:r>
      <w:r w:rsidR="00202E6E" w:rsidRPr="007C488A">
        <w:t>for cardiac transplant</w:t>
      </w:r>
      <w:r w:rsidR="00A2126A" w:rsidRPr="007C488A">
        <w:t>ation</w:t>
      </w:r>
      <w:r w:rsidR="00202E6E" w:rsidRPr="007C488A">
        <w:t xml:space="preserve"> due to frailty or co-morbidities</w:t>
      </w:r>
      <w:r w:rsidR="00A2126A" w:rsidRPr="007C488A">
        <w:t>, as determined by a multidisciplinary team</w:t>
      </w:r>
      <w:r w:rsidR="00C91DC5" w:rsidRPr="007C488A">
        <w:t>.</w:t>
      </w:r>
      <w:r w:rsidR="00A2126A" w:rsidRPr="007C488A">
        <w:t xml:space="preserve"> The proposed comparator is OMM. MSAC noted that OMM can include quadruple pharmacological treatments with renin-angiotensin-system inhibitors, beta blockers, mineralocorticoid receptor antagonists and sodium glucose cotransporter 2</w:t>
      </w:r>
      <w:r w:rsidR="004848E0" w:rsidRPr="007C488A">
        <w:t xml:space="preserve"> (SGLT2)</w:t>
      </w:r>
      <w:r w:rsidR="00A2126A" w:rsidRPr="007C488A">
        <w:t xml:space="preserve"> inhibitors; and non-pharmacological interventions such as pacing, angioplasty, </w:t>
      </w:r>
      <w:proofErr w:type="gramStart"/>
      <w:r w:rsidR="00A2126A" w:rsidRPr="007C488A">
        <w:t>hemofiltration</w:t>
      </w:r>
      <w:proofErr w:type="gramEnd"/>
      <w:r w:rsidR="00A2126A" w:rsidRPr="007C488A">
        <w:t xml:space="preserve"> and ventilation</w:t>
      </w:r>
      <w:r w:rsidR="00202E6E" w:rsidRPr="007C488A">
        <w:t xml:space="preserve">. MSAC noted </w:t>
      </w:r>
      <w:r w:rsidR="00A2126A" w:rsidRPr="007C488A">
        <w:t xml:space="preserve">from the Applicant Developed Assessment Report (ADAR) that patients with refractory HF on OMM had a 2-year survival rate of 8%. While MSAC raised that this data was non-contemporaneous, MSAC considered the prognosis for this population to be very poor and emphasised that </w:t>
      </w:r>
      <w:r w:rsidR="00202E6E" w:rsidRPr="007C488A">
        <w:t>the</w:t>
      </w:r>
      <w:r w:rsidR="00A2126A" w:rsidRPr="007C488A">
        <w:t>re was a high</w:t>
      </w:r>
      <w:r w:rsidR="00202E6E" w:rsidRPr="007C488A">
        <w:t xml:space="preserve"> clinical need for the </w:t>
      </w:r>
      <w:r w:rsidR="00A2126A" w:rsidRPr="007C488A">
        <w:t>proposed</w:t>
      </w:r>
      <w:r w:rsidR="00202E6E" w:rsidRPr="007C488A">
        <w:t xml:space="preserve"> patient</w:t>
      </w:r>
      <w:r w:rsidR="00A2126A" w:rsidRPr="007C488A">
        <w:t xml:space="preserve"> population who are on OMM with</w:t>
      </w:r>
      <w:r w:rsidR="00202E6E" w:rsidRPr="007C488A">
        <w:t xml:space="preserve"> no other </w:t>
      </w:r>
      <w:r w:rsidR="00A2126A" w:rsidRPr="007C488A">
        <w:t xml:space="preserve">treatment alternatives, as determined by a multidisciplinary team. </w:t>
      </w:r>
    </w:p>
    <w:p w14:paraId="5F3F1975" w14:textId="7FE27182" w:rsidR="00202E6E" w:rsidRPr="007C488A" w:rsidRDefault="00A2126A" w:rsidP="00202E6E">
      <w:r w:rsidRPr="007C488A">
        <w:t>MSAC</w:t>
      </w:r>
      <w:r w:rsidR="00202E6E" w:rsidRPr="007C488A">
        <w:t xml:space="preserve"> noted the consumer and organisation</w:t>
      </w:r>
      <w:r w:rsidRPr="007C488A">
        <w:t>al</w:t>
      </w:r>
      <w:r w:rsidR="00202E6E" w:rsidRPr="007C488A">
        <w:t xml:space="preserve"> </w:t>
      </w:r>
      <w:r w:rsidRPr="007C488A">
        <w:t xml:space="preserve">input </w:t>
      </w:r>
      <w:r w:rsidR="00202E6E" w:rsidRPr="007C488A">
        <w:t>for th</w:t>
      </w:r>
      <w:r w:rsidRPr="007C488A">
        <w:t>is</w:t>
      </w:r>
      <w:r w:rsidR="00202E6E" w:rsidRPr="007C488A">
        <w:t xml:space="preserve"> application</w:t>
      </w:r>
      <w:r w:rsidRPr="007C488A">
        <w:t>, the majority of which w</w:t>
      </w:r>
      <w:r w:rsidR="00C56E07" w:rsidRPr="007C488A">
        <w:t>as</w:t>
      </w:r>
      <w:r w:rsidRPr="007C488A">
        <w:t xml:space="preserve"> supportive</w:t>
      </w:r>
      <w:r w:rsidR="00202E6E" w:rsidRPr="007C488A">
        <w:t>.</w:t>
      </w:r>
      <w:r w:rsidR="0072407A" w:rsidRPr="007C488A">
        <w:t xml:space="preserve"> Of note, while the feedback</w:t>
      </w:r>
      <w:r w:rsidR="007922F1" w:rsidRPr="007C488A">
        <w:t xml:space="preserve"> stated advantages include prolonging survival and improved patient quality of life, </w:t>
      </w:r>
      <w:r w:rsidR="00EE5E5C" w:rsidRPr="007C488A">
        <w:t>the fe</w:t>
      </w:r>
      <w:r w:rsidR="00D1723E" w:rsidRPr="007C488A">
        <w:t xml:space="preserve">edback also noted this intervention comes with a significant aftercare </w:t>
      </w:r>
      <w:r w:rsidR="00AD0712" w:rsidRPr="007C488A">
        <w:t>commitment</w:t>
      </w:r>
      <w:r w:rsidR="00D1723E" w:rsidRPr="007C488A">
        <w:t xml:space="preserve"> from the patient and carer.</w:t>
      </w:r>
      <w:r w:rsidR="0072407A" w:rsidRPr="007C488A">
        <w:t xml:space="preserve"> </w:t>
      </w:r>
    </w:p>
    <w:p w14:paraId="24124920" w14:textId="2F470DFF" w:rsidR="000A6F73" w:rsidRPr="007C488A" w:rsidRDefault="00202E6E" w:rsidP="000A6F73">
      <w:r w:rsidRPr="007C488A">
        <w:t xml:space="preserve">MSAC noted the </w:t>
      </w:r>
      <w:r w:rsidR="00A2126A" w:rsidRPr="007C488A">
        <w:t xml:space="preserve">proposed </w:t>
      </w:r>
      <w:r w:rsidRPr="007C488A">
        <w:t>MBS item descriptor</w:t>
      </w:r>
      <w:r w:rsidR="00A2126A" w:rsidRPr="007C488A">
        <w:t xml:space="preserve"> and considered that the multidisciplinary team is critical to the selection of eligible patients who are likely to benefit from the proposed service. MSAC noted that patient selection is to be done by an experienced team that already has the capability to offer LVAD as DT at cardiac specialist centres. MSAC considered restrictions based on frailty unwarranted, as eligible patients would have already been rejected for a heart transplant due to frailty, and frail</w:t>
      </w:r>
      <w:r w:rsidR="005957D2" w:rsidRPr="007C488A">
        <w:t xml:space="preserve"> patient</w:t>
      </w:r>
      <w:r w:rsidR="0039790F" w:rsidRPr="007C488A">
        <w:t>s</w:t>
      </w:r>
      <w:r w:rsidR="00A2126A" w:rsidRPr="007C488A">
        <w:t xml:space="preserve"> </w:t>
      </w:r>
      <w:r w:rsidR="0039790F" w:rsidRPr="007C488A">
        <w:t xml:space="preserve">are likely to benefit most from the insertion of an LVAD due </w:t>
      </w:r>
      <w:r w:rsidR="008E5D9B" w:rsidRPr="007C488A">
        <w:t xml:space="preserve">to the consequent </w:t>
      </w:r>
      <w:r w:rsidR="00A2126A" w:rsidRPr="007C488A">
        <w:t>increase</w:t>
      </w:r>
      <w:r w:rsidR="008E5D9B" w:rsidRPr="007C488A">
        <w:t xml:space="preserve"> in</w:t>
      </w:r>
      <w:r w:rsidR="00A2126A" w:rsidRPr="007C488A">
        <w:t xml:space="preserve"> </w:t>
      </w:r>
      <w:r w:rsidR="008E5D9B" w:rsidRPr="007C488A">
        <w:t xml:space="preserve">their </w:t>
      </w:r>
      <w:r w:rsidR="00A2126A" w:rsidRPr="007C488A">
        <w:t xml:space="preserve">cardiac output. MSAC considered that the MBS item </w:t>
      </w:r>
      <w:r w:rsidR="00B51E15" w:rsidRPr="007C488A">
        <w:t>for the initial insertion of the LVAD</w:t>
      </w:r>
      <w:r w:rsidR="00A2126A" w:rsidRPr="007C488A">
        <w:t xml:space="preserve"> should be restricted</w:t>
      </w:r>
      <w:r w:rsidR="004E39C8" w:rsidRPr="007C488A">
        <w:t xml:space="preserve"> to</w:t>
      </w:r>
      <w:r w:rsidR="00A2126A" w:rsidRPr="007C488A">
        <w:t xml:space="preserve"> once per lifetime, with a separate MBS item </w:t>
      </w:r>
      <w:r w:rsidR="00B51E15" w:rsidRPr="007C488A">
        <w:t xml:space="preserve">created and </w:t>
      </w:r>
      <w:r w:rsidR="00A2126A" w:rsidRPr="007C488A">
        <w:t>designated for re-implantation</w:t>
      </w:r>
      <w:r w:rsidR="002A15EB" w:rsidRPr="007C488A">
        <w:t>, if required by the patient</w:t>
      </w:r>
      <w:r w:rsidR="00A2126A" w:rsidRPr="007C488A">
        <w:t xml:space="preserve">. MSAC noted that the proposed MBS fee was $1,677.85 (75% benefit $1,258.40) and considered that this should include all intra-operative imaging required during implantation. </w:t>
      </w:r>
      <w:r w:rsidRPr="007C488A">
        <w:t xml:space="preserve">MSAC considered </w:t>
      </w:r>
      <w:r w:rsidR="00A2126A" w:rsidRPr="007C488A">
        <w:t xml:space="preserve">it </w:t>
      </w:r>
      <w:r w:rsidRPr="007C488A">
        <w:t xml:space="preserve">unnecessary </w:t>
      </w:r>
      <w:r w:rsidR="00A2126A" w:rsidRPr="007C488A">
        <w:t xml:space="preserve">to specify that the LVAD should only be inserted into the left ventricle of the heart, as there is minimal evidence (if any) for the insertion of LVAD into the right ventricle for use as </w:t>
      </w:r>
      <w:r w:rsidRPr="007C488A">
        <w:t>DT</w:t>
      </w:r>
      <w:r w:rsidR="00A2126A" w:rsidRPr="007C488A">
        <w:t>.</w:t>
      </w:r>
      <w:r w:rsidR="000A6F73" w:rsidRPr="007C488A">
        <w:t xml:space="preserve"> MSAC also noted that the Medical Devices and Human Tissue Advisory Committee would need to be informed that no price premium for the HM3 has been requested or considered within the assessment</w:t>
      </w:r>
      <w:r w:rsidR="008E5D9B" w:rsidRPr="007C488A">
        <w:t xml:space="preserve">, and that the price </w:t>
      </w:r>
      <w:r w:rsidR="00D446F8" w:rsidRPr="007C488A">
        <w:t xml:space="preserve">relied on for the economic and financial analyses includes </w:t>
      </w:r>
      <w:r w:rsidR="00DF1E43" w:rsidRPr="007C488A">
        <w:t xml:space="preserve">the price for any </w:t>
      </w:r>
      <w:r w:rsidR="00D446F8" w:rsidRPr="007C488A">
        <w:t>accessories</w:t>
      </w:r>
      <w:r w:rsidR="008366C5" w:rsidRPr="007C488A">
        <w:t xml:space="preserve"> associated with use of the principal dev</w:t>
      </w:r>
      <w:r w:rsidR="00162E20" w:rsidRPr="007C488A">
        <w:t>ice</w:t>
      </w:r>
      <w:r w:rsidR="000A6F73" w:rsidRPr="007C488A">
        <w:t>.</w:t>
      </w:r>
    </w:p>
    <w:p w14:paraId="429A26D9" w14:textId="1FC032BE" w:rsidR="00A2126A" w:rsidRPr="007C488A" w:rsidRDefault="00A2126A" w:rsidP="00202E6E">
      <w:r w:rsidRPr="007C488A">
        <w:t xml:space="preserve">MSAC noted that the clinical evidence was based on indirect treatment comparisons derived from </w:t>
      </w:r>
      <w:r w:rsidR="005B774E" w:rsidRPr="007C488A">
        <w:t>three</w:t>
      </w:r>
      <w:r w:rsidRPr="007C488A">
        <w:t xml:space="preserve"> randomised controlled trials (RCTs; MOMENTUM3, Slaughter et al., 2009, REMATCH) and one observational study (ROADMAP). MSAC considered the available clinical evidence to be of </w:t>
      </w:r>
      <w:r w:rsidR="00BC20A4" w:rsidRPr="007C488A">
        <w:t>high risk of bias resulting in low confidence of the magnitude of benefit</w:t>
      </w:r>
      <w:r w:rsidRPr="007C488A">
        <w:t xml:space="preserve">, </w:t>
      </w:r>
      <w:r w:rsidR="001270B6" w:rsidRPr="007C488A">
        <w:t xml:space="preserve">due to several reasons </w:t>
      </w:r>
      <w:r w:rsidRPr="007C488A">
        <w:t>including the absence of any direct comparisons between HM3 and OMM, data from the REMATCH trial being non-contemporary</w:t>
      </w:r>
      <w:r w:rsidR="00DF1E43" w:rsidRPr="007C488A">
        <w:t>,</w:t>
      </w:r>
      <w:r w:rsidRPr="007C488A">
        <w:t xml:space="preserve"> and differences in study characteristics that affect the transitivity of the indirect treatment comparisons including differences in intent of treatment (i.e. DT), INTERMACS scores, demographics of participants and clinical endpoints. MSAC further noted that there are two ongoing RCTs in the recruitment phase (</w:t>
      </w:r>
      <w:proofErr w:type="spellStart"/>
      <w:r w:rsidRPr="007C488A">
        <w:t>SweVAD</w:t>
      </w:r>
      <w:proofErr w:type="spellEnd"/>
      <w:r w:rsidRPr="007C488A">
        <w:t xml:space="preserve"> and AMBU-VAD) specifically aimed at directly assessing the efficacy and safety of HM3 compared to OMM.</w:t>
      </w:r>
    </w:p>
    <w:p w14:paraId="37F9E773" w14:textId="2067604A" w:rsidR="00202E6E" w:rsidRPr="007C488A" w:rsidRDefault="00202E6E" w:rsidP="00202E6E">
      <w:r w:rsidRPr="007C488A">
        <w:lastRenderedPageBreak/>
        <w:t xml:space="preserve">MSAC </w:t>
      </w:r>
      <w:r w:rsidR="00A2126A" w:rsidRPr="007C488A">
        <w:t>considered the ADAR’s claim</w:t>
      </w:r>
      <w:r w:rsidRPr="007C488A">
        <w:t xml:space="preserve"> that the device has inferior safety compared to OMM</w:t>
      </w:r>
      <w:r w:rsidR="00A2126A" w:rsidRPr="007C488A">
        <w:t xml:space="preserve"> reasonable. However, MSAC considered that the safety analysis was limited by deficiencies in the clinical evidence (as described above) and by the inconsistent/under-reporting of adverse events and hospitalisations in the trials.</w:t>
      </w:r>
      <w:r w:rsidR="0062735C" w:rsidRPr="007C488A">
        <w:t xml:space="preserve"> </w:t>
      </w:r>
      <w:r w:rsidRPr="007C488A">
        <w:t>MSAC noted that</w:t>
      </w:r>
      <w:r w:rsidRPr="007C488A" w:rsidDel="0036320F">
        <w:t xml:space="preserve"> </w:t>
      </w:r>
      <w:r w:rsidR="00622046" w:rsidRPr="007C488A">
        <w:t>a</w:t>
      </w:r>
      <w:r w:rsidR="0036320F" w:rsidRPr="007C488A">
        <w:t>ccording to</w:t>
      </w:r>
      <w:r w:rsidRPr="007C488A">
        <w:t xml:space="preserve"> the </w:t>
      </w:r>
      <w:r w:rsidR="0036320F" w:rsidRPr="007C488A">
        <w:t>ADAR,</w:t>
      </w:r>
      <w:r w:rsidRPr="007C488A">
        <w:t xml:space="preserve"> </w:t>
      </w:r>
      <w:r w:rsidR="0036320F" w:rsidRPr="007C488A">
        <w:t xml:space="preserve">the suspected </w:t>
      </w:r>
      <w:r w:rsidR="0062735C" w:rsidRPr="007C488A">
        <w:t xml:space="preserve">HM3 </w:t>
      </w:r>
      <w:r w:rsidRPr="007C488A">
        <w:t>device</w:t>
      </w:r>
      <w:r w:rsidR="00C55B01" w:rsidRPr="007C488A">
        <w:t xml:space="preserve"> </w:t>
      </w:r>
      <w:r w:rsidRPr="007C488A">
        <w:t>malfunction rate was 22% at five years</w:t>
      </w:r>
      <w:r w:rsidR="0062735C" w:rsidRPr="007C488A">
        <w:t xml:space="preserve"> post implantation.</w:t>
      </w:r>
    </w:p>
    <w:p w14:paraId="0930E725" w14:textId="1D68D783" w:rsidR="00202E6E" w:rsidRPr="007C488A" w:rsidRDefault="0062735C" w:rsidP="00202E6E">
      <w:r w:rsidRPr="007C488A">
        <w:t>Regarding comparative effectiveness, MSAC noted that based on a naïve comparison presented in the ADAR between the LVAD arm of the MOMENTUM3 trial and the OMM arm of the REMATCH trial, the overall survival of HM3 vs OMM was 76.</w:t>
      </w:r>
      <w:r w:rsidR="000E72D1" w:rsidRPr="007C488A">
        <w:t>7</w:t>
      </w:r>
      <w:r w:rsidRPr="007C488A">
        <w:t xml:space="preserve">% vs 8% at two years. </w:t>
      </w:r>
      <w:r w:rsidR="00202E6E" w:rsidRPr="007C488A">
        <w:t>MSAC considered that LVAD ha</w:t>
      </w:r>
      <w:r w:rsidRPr="007C488A">
        <w:t>d</w:t>
      </w:r>
      <w:r w:rsidR="00202E6E" w:rsidRPr="007C488A">
        <w:t xml:space="preserve"> superior effectiveness</w:t>
      </w:r>
      <w:r w:rsidRPr="007C488A">
        <w:t xml:space="preserve"> </w:t>
      </w:r>
      <w:r w:rsidR="00202E6E" w:rsidRPr="007C488A">
        <w:t>compared to OMM</w:t>
      </w:r>
      <w:r w:rsidRPr="007C488A">
        <w:t xml:space="preserve">, although considered the magnitude of this effect was uncertain due to limitations in the available evidence, including the absence of any direct evidence comparing HM3 and OMM and the use of OMM </w:t>
      </w:r>
      <w:r w:rsidR="00202E6E" w:rsidRPr="007C488A">
        <w:t>data</w:t>
      </w:r>
      <w:r w:rsidRPr="007C488A">
        <w:t xml:space="preserve"> that</w:t>
      </w:r>
      <w:r w:rsidR="00202E6E" w:rsidRPr="007C488A">
        <w:t xml:space="preserve"> were not contemporaneous</w:t>
      </w:r>
      <w:r w:rsidRPr="007C488A">
        <w:t xml:space="preserve"> (the REMATCH trial was conducted prior to 2001)</w:t>
      </w:r>
      <w:r w:rsidR="00202E6E" w:rsidRPr="007C488A">
        <w:t xml:space="preserve">. </w:t>
      </w:r>
      <w:r w:rsidRPr="007C488A">
        <w:t>Furthermore</w:t>
      </w:r>
      <w:r w:rsidR="00202E6E" w:rsidRPr="007C488A">
        <w:t xml:space="preserve">, MSAC considered that </w:t>
      </w:r>
      <w:r w:rsidR="00D44B4B" w:rsidRPr="007C488A">
        <w:t xml:space="preserve">implantation of an </w:t>
      </w:r>
      <w:r w:rsidR="00202E6E" w:rsidRPr="007C488A">
        <w:t>H</w:t>
      </w:r>
      <w:r w:rsidRPr="007C488A">
        <w:t>M3</w:t>
      </w:r>
      <w:r w:rsidR="00202E6E" w:rsidRPr="007C488A">
        <w:t xml:space="preserve"> </w:t>
      </w:r>
      <w:r w:rsidRPr="007C488A">
        <w:t xml:space="preserve">resulted </w:t>
      </w:r>
      <w:r w:rsidR="00202E6E" w:rsidRPr="007C488A">
        <w:t>in improved</w:t>
      </w:r>
      <w:r w:rsidRPr="007C488A">
        <w:t xml:space="preserve"> functional status</w:t>
      </w:r>
      <w:r w:rsidR="00202E6E" w:rsidRPr="007C488A">
        <w:t xml:space="preserve"> </w:t>
      </w:r>
      <w:r w:rsidRPr="007C488A">
        <w:t xml:space="preserve">(as assessed by </w:t>
      </w:r>
      <w:r w:rsidR="00202E6E" w:rsidRPr="007C488A">
        <w:t>New York Heart Association</w:t>
      </w:r>
      <w:r w:rsidR="007A5C3A" w:rsidRPr="007C488A">
        <w:t xml:space="preserve"> [NYHA]</w:t>
      </w:r>
      <w:r w:rsidR="00202E6E" w:rsidRPr="007C488A">
        <w:t xml:space="preserve"> Functional Classification scores</w:t>
      </w:r>
      <w:r w:rsidRPr="007C488A">
        <w:t xml:space="preserve"> and</w:t>
      </w:r>
      <w:r w:rsidR="00202E6E" w:rsidRPr="007C488A">
        <w:t xml:space="preserve"> six-minute walking test </w:t>
      </w:r>
      <w:r w:rsidRPr="007C488A">
        <w:t>[</w:t>
      </w:r>
      <w:r w:rsidR="00202E6E" w:rsidRPr="007C488A">
        <w:t>6MWT</w:t>
      </w:r>
      <w:r w:rsidRPr="007C488A">
        <w:t>]</w:t>
      </w:r>
      <w:r w:rsidR="00202E6E" w:rsidRPr="007C488A">
        <w:t xml:space="preserve"> scores</w:t>
      </w:r>
      <w:r w:rsidRPr="007C488A">
        <w:t>)</w:t>
      </w:r>
      <w:r w:rsidR="00202E6E" w:rsidRPr="007C488A">
        <w:t xml:space="preserve"> and quality of life</w:t>
      </w:r>
      <w:r w:rsidRPr="007C488A">
        <w:t xml:space="preserve"> outcomes (as assessed by EQ-5D VAS)</w:t>
      </w:r>
      <w:r w:rsidR="00202E6E" w:rsidRPr="007C488A">
        <w:t xml:space="preserve">, </w:t>
      </w:r>
      <w:r w:rsidRPr="007C488A">
        <w:t>yet reiterated uncertainty surrounding the magnitude of the</w:t>
      </w:r>
      <w:r w:rsidR="0051010E" w:rsidRPr="007C488A">
        <w:t xml:space="preserve"> incremental</w:t>
      </w:r>
      <w:r w:rsidRPr="007C488A">
        <w:t xml:space="preserve"> effects due to the limitations i</w:t>
      </w:r>
      <w:r w:rsidR="005D3666" w:rsidRPr="007C488A">
        <w:t>n</w:t>
      </w:r>
      <w:r w:rsidRPr="007C488A">
        <w:t xml:space="preserve"> the available data.</w:t>
      </w:r>
    </w:p>
    <w:p w14:paraId="3DB7583B" w14:textId="496E376D" w:rsidR="00202E6E" w:rsidRPr="007C488A" w:rsidRDefault="00202E6E" w:rsidP="00202E6E">
      <w:r w:rsidRPr="007C488A">
        <w:t xml:space="preserve">MSAC noted that the economic evaluation was a </w:t>
      </w:r>
      <w:r w:rsidR="00864630" w:rsidRPr="007C488A">
        <w:t xml:space="preserve">cost-utility analysis </w:t>
      </w:r>
      <w:r w:rsidR="003F7643" w:rsidRPr="007C488A">
        <w:t xml:space="preserve">that used a </w:t>
      </w:r>
      <w:r w:rsidRPr="007C488A">
        <w:t>partitioned survival model (PSM)</w:t>
      </w:r>
      <w:r w:rsidR="00EA3A60" w:rsidRPr="007C488A">
        <w:t xml:space="preserve"> with two health states of alive and dead</w:t>
      </w:r>
      <w:r w:rsidRPr="007C488A">
        <w:t xml:space="preserve">. MSAC noted that ESC </w:t>
      </w:r>
      <w:r w:rsidR="00B409AC" w:rsidRPr="007C488A">
        <w:t xml:space="preserve">had queried whether the use of a </w:t>
      </w:r>
      <w:r w:rsidR="003F7643" w:rsidRPr="007C488A">
        <w:t xml:space="preserve">PSM </w:t>
      </w:r>
      <w:r w:rsidR="00B409AC" w:rsidRPr="007C488A">
        <w:t>was appropriate</w:t>
      </w:r>
      <w:r w:rsidR="00416B13" w:rsidRPr="007C488A">
        <w:t>. T</w:t>
      </w:r>
      <w:r w:rsidR="00B409AC" w:rsidRPr="007C488A">
        <w:t xml:space="preserve">he </w:t>
      </w:r>
      <w:r w:rsidR="000C44BF" w:rsidRPr="007C488A">
        <w:t>applicant’s</w:t>
      </w:r>
      <w:r w:rsidRPr="007C488A">
        <w:t xml:space="preserve"> pre-MSAC response </w:t>
      </w:r>
      <w:r w:rsidR="0042493E" w:rsidRPr="007C488A">
        <w:t xml:space="preserve">provided a justification highlighting </w:t>
      </w:r>
      <w:r w:rsidRPr="007C488A">
        <w:t xml:space="preserve">that the PSM allows more transparent extrapolation of survival curves from </w:t>
      </w:r>
      <w:r w:rsidR="007E4560" w:rsidRPr="007C488A">
        <w:t xml:space="preserve">the </w:t>
      </w:r>
      <w:r w:rsidRPr="007C488A">
        <w:t>trial data</w:t>
      </w:r>
      <w:r w:rsidR="000C44BF" w:rsidRPr="007C488A">
        <w:t xml:space="preserve"> and </w:t>
      </w:r>
      <w:r w:rsidR="00EA3A60" w:rsidRPr="007C488A">
        <w:t xml:space="preserve">a state transition model </w:t>
      </w:r>
      <w:r w:rsidR="00D90833" w:rsidRPr="007C488A">
        <w:t xml:space="preserve">(to model survival via intermediate clinical endpoints) </w:t>
      </w:r>
      <w:r w:rsidR="00EA3A60" w:rsidRPr="007C488A">
        <w:t xml:space="preserve">was not required. </w:t>
      </w:r>
      <w:r w:rsidR="000C44BF" w:rsidRPr="007C488A">
        <w:t>MSAC considered th</w:t>
      </w:r>
      <w:r w:rsidR="00EA3A60" w:rsidRPr="007C488A">
        <w:t>is</w:t>
      </w:r>
      <w:r w:rsidR="000C44BF" w:rsidRPr="007C488A">
        <w:t xml:space="preserve"> justification provided by the applicant appropriate</w:t>
      </w:r>
      <w:r w:rsidR="00097953" w:rsidRPr="007C488A">
        <w:t xml:space="preserve"> given the severity of the patient population</w:t>
      </w:r>
      <w:r w:rsidR="00C83AC8" w:rsidRPr="007C488A">
        <w:t>’s clinical condition</w:t>
      </w:r>
      <w:r w:rsidR="00097953" w:rsidRPr="007C488A">
        <w:t xml:space="preserve"> and that transitions via intermediate health states were not required</w:t>
      </w:r>
      <w:r w:rsidRPr="007C488A">
        <w:t>.</w:t>
      </w:r>
    </w:p>
    <w:p w14:paraId="3DC0B317" w14:textId="2F5D9EF3" w:rsidR="00202E6E" w:rsidRPr="007C488A" w:rsidRDefault="00202E6E" w:rsidP="00202E6E">
      <w:r w:rsidRPr="007C488A">
        <w:t xml:space="preserve">MSAC noted that the </w:t>
      </w:r>
      <w:r w:rsidR="00862D76" w:rsidRPr="007C488A">
        <w:t xml:space="preserve">ADAR’s </w:t>
      </w:r>
      <w:r w:rsidRPr="007C488A">
        <w:t xml:space="preserve">base case ICER </w:t>
      </w:r>
      <w:r w:rsidR="00862D76" w:rsidRPr="007C488A">
        <w:t>based on a 40</w:t>
      </w:r>
      <w:r w:rsidR="00E533E9" w:rsidRPr="007C488A">
        <w:t>-</w:t>
      </w:r>
      <w:r w:rsidR="00862D76" w:rsidRPr="007C488A">
        <w:t>year time horizon was</w:t>
      </w:r>
      <w:r w:rsidRPr="007C488A">
        <w:t xml:space="preserve"> $</w:t>
      </w:r>
      <w:r w:rsidR="000F3EE2" w:rsidRPr="007C488A">
        <w:rPr>
          <w:b/>
          <w:bCs/>
        </w:rPr>
        <w:t>redacted</w:t>
      </w:r>
      <w:r w:rsidR="00D94D26" w:rsidRPr="007C488A">
        <w:t xml:space="preserve"> </w:t>
      </w:r>
      <w:r w:rsidR="00BA2E6B" w:rsidRPr="007C488A">
        <w:t>per quality adjusted life year (QALY) gained</w:t>
      </w:r>
      <w:r w:rsidR="00862D76" w:rsidRPr="007C488A">
        <w:t>. MSAC agreed with ESC that a time horizon of 40 years with a baseline age of 65 years is unreasonable as it extends beyond the average life expectancy and considered a time horizon of 10 years more appropriate.</w:t>
      </w:r>
      <w:r w:rsidR="00B1277D" w:rsidRPr="007C488A">
        <w:t xml:space="preserve"> MSAC noted the applicant’s pre-MSAC response that the ICER increased to $</w:t>
      </w:r>
      <w:r w:rsidR="000F3EE2" w:rsidRPr="007C488A">
        <w:rPr>
          <w:b/>
          <w:bCs/>
        </w:rPr>
        <w:t>redacted</w:t>
      </w:r>
      <w:r w:rsidR="00BA2E6B" w:rsidRPr="007C488A">
        <w:t xml:space="preserve"> per QALY gained</w:t>
      </w:r>
      <w:r w:rsidR="00B1277D" w:rsidRPr="007C488A">
        <w:t xml:space="preserve"> with a time horizon of 10</w:t>
      </w:r>
      <w:r w:rsidR="00C944A4">
        <w:t> </w:t>
      </w:r>
      <w:r w:rsidR="00B1277D" w:rsidRPr="007C488A">
        <w:t>years</w:t>
      </w:r>
      <w:r w:rsidR="00565424" w:rsidRPr="007C488A">
        <w:t xml:space="preserve"> (</w:t>
      </w:r>
      <w:r w:rsidR="006D47D5" w:rsidRPr="007C488A">
        <w:fldChar w:fldCharType="begin"/>
      </w:r>
      <w:r w:rsidR="006D47D5" w:rsidRPr="007C488A">
        <w:instrText xml:space="preserve"> REF _Ref164183803 \h </w:instrText>
      </w:r>
      <w:r w:rsidR="007C488A">
        <w:instrText xml:space="preserve"> \* MERGEFORMAT </w:instrText>
      </w:r>
      <w:r w:rsidR="006D47D5" w:rsidRPr="007C488A">
        <w:fldChar w:fldCharType="separate"/>
      </w:r>
      <w:r w:rsidR="00406484" w:rsidRPr="007C488A">
        <w:t>Tabl</w:t>
      </w:r>
      <w:r w:rsidR="00406484" w:rsidRPr="007C488A">
        <w:t>e</w:t>
      </w:r>
      <w:r w:rsidR="00406484" w:rsidRPr="007C488A">
        <w:t xml:space="preserve"> </w:t>
      </w:r>
      <w:r w:rsidR="00406484" w:rsidRPr="007C488A">
        <w:rPr>
          <w:noProof/>
        </w:rPr>
        <w:t>12</w:t>
      </w:r>
      <w:r w:rsidR="006D47D5" w:rsidRPr="007C488A">
        <w:fldChar w:fldCharType="end"/>
      </w:r>
      <w:r w:rsidR="00565424" w:rsidRPr="007C488A">
        <w:t>)</w:t>
      </w:r>
      <w:r w:rsidR="00B1277D" w:rsidRPr="007C488A">
        <w:t>.</w:t>
      </w:r>
      <w:r w:rsidRPr="007C488A">
        <w:t xml:space="preserve"> MSAC noted that the </w:t>
      </w:r>
      <w:r w:rsidR="00B1277D" w:rsidRPr="007C488A">
        <w:t>model</w:t>
      </w:r>
      <w:r w:rsidRPr="007C488A">
        <w:t xml:space="preserve"> time horizon was not a major driver of the ICER.</w:t>
      </w:r>
    </w:p>
    <w:p w14:paraId="26545283" w14:textId="214526B8" w:rsidR="00202E6E" w:rsidRPr="007C488A" w:rsidRDefault="00202E6E" w:rsidP="00202E6E">
      <w:r w:rsidRPr="007C488A">
        <w:t xml:space="preserve">MSAC noted </w:t>
      </w:r>
      <w:r w:rsidR="00D62BD4" w:rsidRPr="007C488A">
        <w:t xml:space="preserve">that </w:t>
      </w:r>
      <w:r w:rsidRPr="007C488A">
        <w:t>the</w:t>
      </w:r>
      <w:r w:rsidR="00D62BD4" w:rsidRPr="007C488A">
        <w:t xml:space="preserve"> multivariate sensitivity analysis conducted by the assessment group utilised a hazard ratio </w:t>
      </w:r>
      <w:r w:rsidR="00D00CCA" w:rsidRPr="007C488A">
        <w:t xml:space="preserve">option in the </w:t>
      </w:r>
      <w:r w:rsidR="003555B4" w:rsidRPr="007C488A">
        <w:t>economic model provided with the ADAR,</w:t>
      </w:r>
      <w:r w:rsidR="00D62BD4" w:rsidRPr="007C488A">
        <w:t xml:space="preserve"> which increased the ICER to $</w:t>
      </w:r>
      <w:r w:rsidR="000F3EE2" w:rsidRPr="007C488A">
        <w:rPr>
          <w:b/>
          <w:bCs/>
        </w:rPr>
        <w:t>redacted</w:t>
      </w:r>
      <w:r w:rsidR="00D62BD4" w:rsidRPr="007C488A">
        <w:t>. MSAC considered the use of the hazard ratio approach inappropriate as this</w:t>
      </w:r>
      <w:r w:rsidRPr="007C488A">
        <w:t xml:space="preserve"> resulted in 54% of LVAD patients dying within one month of the end of the trial, yielding a</w:t>
      </w:r>
      <w:r w:rsidR="00097953" w:rsidRPr="007C488A">
        <w:t>n effective</w:t>
      </w:r>
      <w:r w:rsidRPr="007C488A">
        <w:t xml:space="preserve"> time horizon of 5.1 years (</w:t>
      </w:r>
      <w:r w:rsidR="00AF7A7B" w:rsidRPr="007C488A">
        <w:t xml:space="preserve">and </w:t>
      </w:r>
      <w:r w:rsidRPr="007C488A">
        <w:t>not 10 years as claimed by the assessment group). MSAC agreed with the applicant</w:t>
      </w:r>
      <w:r w:rsidR="00E92E27" w:rsidRPr="007C488A">
        <w:t>’s</w:t>
      </w:r>
      <w:r w:rsidRPr="007C488A">
        <w:t xml:space="preserve"> pre-MSAC response that these modified survival curves are not clinically plausible. MSAC therefore considered it unlikely that the true ICER was as high as $</w:t>
      </w:r>
      <w:r w:rsidR="000F3EE2" w:rsidRPr="007C488A">
        <w:rPr>
          <w:b/>
          <w:bCs/>
        </w:rPr>
        <w:t>redacted</w:t>
      </w:r>
      <w:r w:rsidR="00653DAB" w:rsidRPr="007C488A">
        <w:t xml:space="preserve"> </w:t>
      </w:r>
      <w:r w:rsidR="00BA2E6B" w:rsidRPr="007C488A">
        <w:t xml:space="preserve">per </w:t>
      </w:r>
      <w:r w:rsidRPr="007C488A">
        <w:t>QALY</w:t>
      </w:r>
      <w:r w:rsidR="00BA2E6B" w:rsidRPr="007C488A">
        <w:t xml:space="preserve"> gained</w:t>
      </w:r>
      <w:r w:rsidRPr="007C488A">
        <w:t xml:space="preserve">. However, MSAC agreed with ESC that the survival curves </w:t>
      </w:r>
      <w:r w:rsidR="002D2D4E" w:rsidRPr="007C488A">
        <w:t xml:space="preserve">for each arm </w:t>
      </w:r>
      <w:r w:rsidRPr="007C488A">
        <w:t>presented in the ADAR are uncertain</w:t>
      </w:r>
      <w:r w:rsidR="002D2D4E" w:rsidRPr="007C488A">
        <w:t>. T</w:t>
      </w:r>
      <w:r w:rsidR="0043238D" w:rsidRPr="007C488A">
        <w:t>hat is</w:t>
      </w:r>
      <w:r w:rsidR="0065268D" w:rsidRPr="007C488A">
        <w:t>,</w:t>
      </w:r>
      <w:r w:rsidR="0043238D" w:rsidRPr="007C488A">
        <w:t xml:space="preserve"> </w:t>
      </w:r>
      <w:r w:rsidR="00DF5F96" w:rsidRPr="007C488A">
        <w:t xml:space="preserve">the </w:t>
      </w:r>
      <w:r w:rsidR="009E76E5" w:rsidRPr="007C488A">
        <w:t>modelled survival for</w:t>
      </w:r>
      <w:r w:rsidR="0065268D" w:rsidRPr="007C488A">
        <w:t xml:space="preserve"> LVAD extends beyond the average life expectancy and </w:t>
      </w:r>
      <w:r w:rsidR="00F3546B" w:rsidRPr="007C488A">
        <w:t>may overestimate the survival benefit</w:t>
      </w:r>
      <w:r w:rsidRPr="007C488A">
        <w:t xml:space="preserve">. </w:t>
      </w:r>
      <w:r w:rsidR="00FB44A6" w:rsidRPr="007C488A">
        <w:t xml:space="preserve">In addition, </w:t>
      </w:r>
      <w:r w:rsidRPr="007C488A">
        <w:t xml:space="preserve">MSAC </w:t>
      </w:r>
      <w:r w:rsidR="00F85FBA" w:rsidRPr="007C488A">
        <w:t xml:space="preserve">agreed with </w:t>
      </w:r>
      <w:r w:rsidRPr="007C488A">
        <w:t xml:space="preserve">ESC’s concern that the OMM effectiveness data used do not represent current clinical practice (for example, it did not consider use of SGLT2 inhibitors, which may delay the need for LVAD), and this will have favoured LVAD. The </w:t>
      </w:r>
      <w:r w:rsidR="002C5220" w:rsidRPr="007C488A">
        <w:t xml:space="preserve">applicant’s </w:t>
      </w:r>
      <w:r w:rsidRPr="007C488A">
        <w:t xml:space="preserve">pre-MSAC response </w:t>
      </w:r>
      <w:r w:rsidR="002C5220" w:rsidRPr="007C488A">
        <w:t xml:space="preserve">highlighted </w:t>
      </w:r>
      <w:r w:rsidRPr="007C488A">
        <w:t xml:space="preserve">that there is no </w:t>
      </w:r>
      <w:r w:rsidR="000F391F" w:rsidRPr="007C488A">
        <w:t xml:space="preserve">long-term </w:t>
      </w:r>
      <w:r w:rsidRPr="007C488A">
        <w:t xml:space="preserve">evidence that use of SGLT2 inhibitors in these patients increases survival. MSAC </w:t>
      </w:r>
      <w:r w:rsidR="00FA45E0" w:rsidRPr="007C488A">
        <w:t>accepted</w:t>
      </w:r>
      <w:r w:rsidR="002F3DC7" w:rsidRPr="007C488A">
        <w:t xml:space="preserve"> </w:t>
      </w:r>
      <w:r w:rsidRPr="007C488A">
        <w:t xml:space="preserve">that there are no long-term data on overall survival with SGLT2 inhibitor </w:t>
      </w:r>
      <w:proofErr w:type="gramStart"/>
      <w:r w:rsidRPr="007C488A">
        <w:t>treatment, but</w:t>
      </w:r>
      <w:proofErr w:type="gramEnd"/>
      <w:r w:rsidRPr="007C488A">
        <w:t xml:space="preserve"> </w:t>
      </w:r>
      <w:r w:rsidR="006B5D46" w:rsidRPr="007C488A">
        <w:t>considered</w:t>
      </w:r>
      <w:r w:rsidRPr="007C488A">
        <w:t xml:space="preserve"> </w:t>
      </w:r>
      <w:r w:rsidR="002A3383" w:rsidRPr="007C488A">
        <w:t>that if contemporary OMM delays the need for an LVAD, then</w:t>
      </w:r>
      <w:r w:rsidRPr="007C488A">
        <w:t xml:space="preserve"> it is clinically plausible </w:t>
      </w:r>
      <w:r w:rsidR="002A3383" w:rsidRPr="007C488A">
        <w:t xml:space="preserve">to infer that the effectiveness of OMM has improved which would in turn </w:t>
      </w:r>
      <w:r w:rsidR="00325357" w:rsidRPr="007C488A">
        <w:t xml:space="preserve">reduce the </w:t>
      </w:r>
      <w:r w:rsidR="0024424E" w:rsidRPr="007C488A">
        <w:t>modelled incremental improvement</w:t>
      </w:r>
      <w:r w:rsidR="002A3383" w:rsidRPr="007C488A">
        <w:t xml:space="preserve"> in </w:t>
      </w:r>
      <w:r w:rsidR="006B5D46" w:rsidRPr="007C488A">
        <w:t>overall survival</w:t>
      </w:r>
      <w:r w:rsidR="0024424E" w:rsidRPr="007C488A">
        <w:t xml:space="preserve"> with LVAD</w:t>
      </w:r>
      <w:r w:rsidRPr="007C488A">
        <w:t>.</w:t>
      </w:r>
    </w:p>
    <w:p w14:paraId="0BEE4489" w14:textId="515470A9" w:rsidR="00202E6E" w:rsidRPr="007C488A" w:rsidRDefault="00202E6E" w:rsidP="00202E6E">
      <w:r w:rsidRPr="007C488A">
        <w:lastRenderedPageBreak/>
        <w:t xml:space="preserve">MSAC noted that the data sources for the baseline utility values were from different populations. MSAC agreed with ESC that </w:t>
      </w:r>
      <w:r w:rsidR="00E83330" w:rsidRPr="007C488A">
        <w:t>utility values should be from the same source.</w:t>
      </w:r>
      <w:r w:rsidRPr="007C488A">
        <w:t xml:space="preserve"> </w:t>
      </w:r>
      <w:r w:rsidR="00295A2E" w:rsidRPr="007C488A">
        <w:t xml:space="preserve">Consequently, </w:t>
      </w:r>
      <w:r w:rsidR="00E83330" w:rsidRPr="007C488A">
        <w:t xml:space="preserve">MSAC </w:t>
      </w:r>
      <w:r w:rsidR="00E425E4" w:rsidRPr="007C488A">
        <w:t xml:space="preserve">considered </w:t>
      </w:r>
      <w:r w:rsidR="00E83330" w:rsidRPr="007C488A">
        <w:t xml:space="preserve">that </w:t>
      </w:r>
      <w:r w:rsidRPr="007C488A">
        <w:t xml:space="preserve">using </w:t>
      </w:r>
      <w:r w:rsidR="0024424E" w:rsidRPr="007C488A">
        <w:t xml:space="preserve">the </w:t>
      </w:r>
      <w:r w:rsidRPr="007C488A">
        <w:t>utility values</w:t>
      </w:r>
      <w:r w:rsidR="00E83330" w:rsidRPr="007C488A">
        <w:t xml:space="preserve"> from Sato, 2022</w:t>
      </w:r>
      <w:r w:rsidR="00E83330" w:rsidRPr="007C488A">
        <w:rPr>
          <w:rStyle w:val="FootnoteReference"/>
        </w:rPr>
        <w:footnoteReference w:id="2"/>
      </w:r>
      <w:r w:rsidRPr="007C488A">
        <w:t xml:space="preserve"> of 0.64 (OMM all cycles; LVAD first cycle) and 0.79 (all other LVAD cycles) would have been more appropriate. </w:t>
      </w:r>
    </w:p>
    <w:p w14:paraId="71471DE9" w14:textId="1EC3B781" w:rsidR="003A3A60" w:rsidRPr="007C488A" w:rsidRDefault="00202E6E" w:rsidP="00202E6E">
      <w:r w:rsidRPr="007C488A">
        <w:t xml:space="preserve">MSAC noted ESC’s concerns that the approaches to including event and deterioration costs were very different in the two arms, making it difficult to reconcile the different approaches used for each arm, thus adding uncertainty in the economic results. The pre-MSAC response provided justification for the </w:t>
      </w:r>
      <w:r w:rsidR="00701B76" w:rsidRPr="007C488A">
        <w:t xml:space="preserve">different </w:t>
      </w:r>
      <w:r w:rsidRPr="007C488A">
        <w:t xml:space="preserve">costs, which MSAC accepted. </w:t>
      </w:r>
      <w:r w:rsidR="00D70A4B" w:rsidRPr="007C488A">
        <w:t>MSAC</w:t>
      </w:r>
      <w:r w:rsidRPr="007C488A">
        <w:t xml:space="preserve"> noted that</w:t>
      </w:r>
      <w:r w:rsidR="001F3C46" w:rsidRPr="007C488A">
        <w:t xml:space="preserve"> the ADAR</w:t>
      </w:r>
      <w:r w:rsidRPr="007C488A">
        <w:t xml:space="preserve"> </w:t>
      </w:r>
      <w:r w:rsidR="00A936DD" w:rsidRPr="007C488A">
        <w:t>model</w:t>
      </w:r>
      <w:r w:rsidRPr="007C488A">
        <w:t xml:space="preserve"> </w:t>
      </w:r>
      <w:r w:rsidR="00E00186" w:rsidRPr="007C488A">
        <w:t xml:space="preserve">applied a </w:t>
      </w:r>
      <w:r w:rsidR="00A936DD" w:rsidRPr="007C488A">
        <w:t xml:space="preserve">1% annual risk of </w:t>
      </w:r>
      <w:r w:rsidR="00924285" w:rsidRPr="007C488A">
        <w:t xml:space="preserve">pump thrombosis resulting in </w:t>
      </w:r>
      <w:r w:rsidR="00E60010" w:rsidRPr="007C488A">
        <w:t xml:space="preserve">replacement from </w:t>
      </w:r>
      <w:r w:rsidR="00C2487F" w:rsidRPr="007C488A">
        <w:t>year 2 on</w:t>
      </w:r>
      <w:r w:rsidR="00E00186" w:rsidRPr="007C488A">
        <w:t>wards</w:t>
      </w:r>
      <w:r w:rsidR="002E1C30" w:rsidRPr="007C488A">
        <w:t>. However, MSAC</w:t>
      </w:r>
      <w:r w:rsidR="00C0058C" w:rsidRPr="007C488A">
        <w:t xml:space="preserve"> </w:t>
      </w:r>
      <w:r w:rsidR="009602FF" w:rsidRPr="007C488A">
        <w:t>agreed with</w:t>
      </w:r>
      <w:r w:rsidR="001F3C46" w:rsidRPr="007C488A">
        <w:t xml:space="preserve"> ESC </w:t>
      </w:r>
      <w:r w:rsidR="009602FF" w:rsidRPr="007C488A">
        <w:t xml:space="preserve">and considered that </w:t>
      </w:r>
      <w:r w:rsidR="00115795" w:rsidRPr="007C488A">
        <w:t>device replacement for other reasons</w:t>
      </w:r>
      <w:r w:rsidR="009602FF" w:rsidRPr="007C488A">
        <w:t xml:space="preserve"> that might be plausible within the proposed </w:t>
      </w:r>
      <w:proofErr w:type="gramStart"/>
      <w:r w:rsidR="009602FF" w:rsidRPr="007C488A">
        <w:t>10 year</w:t>
      </w:r>
      <w:proofErr w:type="gramEnd"/>
      <w:r w:rsidR="009602FF" w:rsidRPr="007C488A">
        <w:t xml:space="preserve"> time horizon</w:t>
      </w:r>
      <w:r w:rsidR="00115795" w:rsidRPr="007C488A">
        <w:t xml:space="preserve"> </w:t>
      </w:r>
      <w:r w:rsidR="009602FF" w:rsidRPr="007C488A">
        <w:t>should also be considered.</w:t>
      </w:r>
      <w:r w:rsidRPr="007C488A">
        <w:t xml:space="preserve"> </w:t>
      </w:r>
      <w:r w:rsidR="003A3A60" w:rsidRPr="007C488A">
        <w:t>MSAC further raised concerns about whether aftercare costs post LVAD implantation had been adequately captured in the economic analysis. This was based on anecdotal information that aftercare costs were</w:t>
      </w:r>
      <w:r w:rsidR="003A3A60" w:rsidRPr="007C488A" w:rsidDel="00B65DE1">
        <w:t xml:space="preserve"> possibly up to $</w:t>
      </w:r>
      <w:r w:rsidR="004E6961" w:rsidRPr="007C488A">
        <w:rPr>
          <w:b/>
          <w:bCs/>
        </w:rPr>
        <w:t>redacted</w:t>
      </w:r>
      <w:r w:rsidR="008075D4" w:rsidRPr="007C488A">
        <w:t xml:space="preserve"> per</w:t>
      </w:r>
      <w:r w:rsidR="003A3A60" w:rsidRPr="007C488A" w:rsidDel="00B65DE1">
        <w:t xml:space="preserve"> </w:t>
      </w:r>
      <w:r w:rsidR="00701B76" w:rsidRPr="007C488A">
        <w:t xml:space="preserve">LVAD patient </w:t>
      </w:r>
      <w:r w:rsidR="003A3A60" w:rsidRPr="007C488A" w:rsidDel="00B65DE1">
        <w:t>in the first year</w:t>
      </w:r>
      <w:r w:rsidR="00D00CCA" w:rsidRPr="007C488A">
        <w:t xml:space="preserve"> after implantation</w:t>
      </w:r>
      <w:r w:rsidR="003A3A60" w:rsidRPr="007C488A">
        <w:t>. Therefore, MSAC considered that the ICER may potentially be underestimated</w:t>
      </w:r>
      <w:r w:rsidR="00E27934" w:rsidRPr="007C488A">
        <w:t xml:space="preserve"> and requested further information on additional costs of the service (especially aftercare costs) to be sourced from Australian hospitals that provide LVAD insertion for other indications</w:t>
      </w:r>
      <w:r w:rsidR="00D00CCA" w:rsidRPr="007C488A">
        <w:t>,</w:t>
      </w:r>
      <w:r w:rsidR="00191BA8" w:rsidRPr="007C488A">
        <w:t xml:space="preserve"> </w:t>
      </w:r>
      <w:r w:rsidR="00191BA8" w:rsidRPr="007C488A">
        <w:rPr>
          <w:szCs w:val="24"/>
        </w:rPr>
        <w:t>as well as secondary and tertiary healthcare centres that may be involved in patient post-management,</w:t>
      </w:r>
      <w:r w:rsidR="00BB72CD" w:rsidRPr="007C488A">
        <w:t xml:space="preserve"> to better inform the economic assessment.</w:t>
      </w:r>
      <w:r w:rsidR="00E27934" w:rsidRPr="007C488A">
        <w:t xml:space="preserve"> </w:t>
      </w:r>
    </w:p>
    <w:p w14:paraId="73E1859E" w14:textId="4A551C42" w:rsidR="00C134C1" w:rsidRPr="007C488A" w:rsidRDefault="00C134C1" w:rsidP="00C134C1">
      <w:r w:rsidRPr="007C488A">
        <w:t>Overall, MSAC considered it more likely that the ICER was around $</w:t>
      </w:r>
      <w:r w:rsidR="000F3EE2" w:rsidRPr="007C488A">
        <w:rPr>
          <w:b/>
          <w:bCs/>
        </w:rPr>
        <w:t>redacted</w:t>
      </w:r>
      <w:r w:rsidRPr="007C488A">
        <w:t>/QALY, after respecifying the base case (</w:t>
      </w:r>
      <w:r w:rsidR="00FC38C4" w:rsidRPr="007C488A">
        <w:fldChar w:fldCharType="begin"/>
      </w:r>
      <w:r w:rsidR="00FC38C4" w:rsidRPr="007C488A">
        <w:instrText xml:space="preserve"> REF _Ref164183803 \h </w:instrText>
      </w:r>
      <w:r w:rsidR="007C488A">
        <w:instrText xml:space="preserve"> \* MERGEFORMAT </w:instrText>
      </w:r>
      <w:r w:rsidR="00FC38C4" w:rsidRPr="007C488A">
        <w:fldChar w:fldCharType="separate"/>
      </w:r>
      <w:r w:rsidR="00406484" w:rsidRPr="007C488A">
        <w:t xml:space="preserve">Table </w:t>
      </w:r>
      <w:r w:rsidR="00406484" w:rsidRPr="007C488A">
        <w:rPr>
          <w:noProof/>
        </w:rPr>
        <w:t>12</w:t>
      </w:r>
      <w:r w:rsidR="00FC38C4" w:rsidRPr="007C488A">
        <w:fldChar w:fldCharType="end"/>
      </w:r>
      <w:r w:rsidR="00722659" w:rsidRPr="007C488A">
        <w:t xml:space="preserve">; </w:t>
      </w:r>
      <w:r w:rsidRPr="007C488A">
        <w:t>that is</w:t>
      </w:r>
      <w:r w:rsidR="00722659" w:rsidRPr="007C488A">
        <w:t xml:space="preserve"> assuming</w:t>
      </w:r>
      <w:r w:rsidRPr="007C488A">
        <w:t xml:space="preserve"> a time horizon of 10 years; OMM disease-related costs in the first cycle of $0; utility values of 0.64 and 0.79; but not </w:t>
      </w:r>
      <w:r w:rsidR="003555B4" w:rsidRPr="007C488A">
        <w:t xml:space="preserve">using the </w:t>
      </w:r>
      <w:r w:rsidR="00E62852" w:rsidRPr="007C488A">
        <w:t xml:space="preserve">alternative </w:t>
      </w:r>
      <w:r w:rsidR="003555B4" w:rsidRPr="007C488A">
        <w:t>hazard ratio approach from the applicant’s economic model</w:t>
      </w:r>
      <w:r w:rsidRPr="007C488A">
        <w:t xml:space="preserve">). However, this </w:t>
      </w:r>
      <w:r w:rsidR="000E51F0" w:rsidRPr="007C488A">
        <w:t>may</w:t>
      </w:r>
      <w:r w:rsidRPr="007C488A">
        <w:t xml:space="preserve"> not fully incorporate the aftercare costs</w:t>
      </w:r>
      <w:r w:rsidR="006672E5" w:rsidRPr="007C488A">
        <w:t xml:space="preserve"> and does not include </w:t>
      </w:r>
      <w:r w:rsidR="00FD3A2C" w:rsidRPr="007C488A">
        <w:t>device replacement costs for reason</w:t>
      </w:r>
      <w:r w:rsidR="00396382" w:rsidRPr="007C488A">
        <w:t>s</w:t>
      </w:r>
      <w:r w:rsidR="00FD3A2C" w:rsidRPr="007C488A">
        <w:t xml:space="preserve"> other than </w:t>
      </w:r>
      <w:r w:rsidR="001B04DE" w:rsidRPr="007C488A">
        <w:t>in relation to pump thrombosis</w:t>
      </w:r>
      <w:r w:rsidRPr="007C488A">
        <w:t>.</w:t>
      </w:r>
    </w:p>
    <w:p w14:paraId="64F04F8D" w14:textId="1A3494E4" w:rsidR="00202E6E" w:rsidRPr="007C488A" w:rsidRDefault="00170BC5" w:rsidP="00202E6E">
      <w:r w:rsidRPr="007C488A">
        <w:t xml:space="preserve">MSAC noted that insertion of LVAD is currently limited to </w:t>
      </w:r>
      <w:r w:rsidR="00707767" w:rsidRPr="007C488A">
        <w:t>specialised</w:t>
      </w:r>
      <w:r w:rsidRPr="007C488A">
        <w:t xml:space="preserve"> quaternary centres in Australi</w:t>
      </w:r>
      <w:r w:rsidR="00707767" w:rsidRPr="007C488A">
        <w:t xml:space="preserve">a and hence capacity constraints would </w:t>
      </w:r>
      <w:r w:rsidR="002F6E66" w:rsidRPr="007C488A">
        <w:t xml:space="preserve">be expected to </w:t>
      </w:r>
      <w:r w:rsidR="00707767" w:rsidRPr="007C488A">
        <w:t xml:space="preserve">have a large effect on the </w:t>
      </w:r>
      <w:r w:rsidR="002F6E66" w:rsidRPr="007C488A">
        <w:t xml:space="preserve">likely </w:t>
      </w:r>
      <w:r w:rsidR="00707767" w:rsidRPr="007C488A">
        <w:t xml:space="preserve">number of LVAD </w:t>
      </w:r>
      <w:r w:rsidR="000A0F6F" w:rsidRPr="007C488A">
        <w:t>for</w:t>
      </w:r>
      <w:r w:rsidR="005F6E5A" w:rsidRPr="007C488A">
        <w:t xml:space="preserve"> DT </w:t>
      </w:r>
      <w:r w:rsidR="00707767" w:rsidRPr="007C488A">
        <w:t xml:space="preserve">procedures. </w:t>
      </w:r>
      <w:r w:rsidR="00E362CD" w:rsidRPr="007C488A">
        <w:t xml:space="preserve">Due to the highly specialised nature of the LVAD procedure, MSAC considered it unlikely that these procedures would be performed outside of quaternary hospitals. </w:t>
      </w:r>
      <w:r w:rsidR="00707767" w:rsidRPr="007C488A">
        <w:t xml:space="preserve">The ADAR estimated the expected number of LVAD for DT procedures, when accounting for capacity constraints </w:t>
      </w:r>
      <w:r w:rsidR="000A0F6F" w:rsidRPr="007C488A">
        <w:t>as</w:t>
      </w:r>
      <w:r w:rsidR="00707767" w:rsidRPr="007C488A">
        <w:t xml:space="preserve"> </w:t>
      </w:r>
      <w:r w:rsidR="004E6961" w:rsidRPr="007C488A">
        <w:rPr>
          <w:b/>
          <w:bCs/>
        </w:rPr>
        <w:t>redacted</w:t>
      </w:r>
      <w:r w:rsidR="004E6961" w:rsidRPr="007C488A">
        <w:t xml:space="preserve"> </w:t>
      </w:r>
      <w:r w:rsidR="00707767" w:rsidRPr="007C488A">
        <w:t xml:space="preserve">in </w:t>
      </w:r>
      <w:r w:rsidR="007133D5" w:rsidRPr="007C488A">
        <w:t>y</w:t>
      </w:r>
      <w:r w:rsidR="00707767" w:rsidRPr="007C488A">
        <w:t xml:space="preserve">ear 1, increasing to </w:t>
      </w:r>
      <w:r w:rsidR="00313FDC" w:rsidRPr="007C488A">
        <w:rPr>
          <w:b/>
          <w:bCs/>
        </w:rPr>
        <w:t>redacted</w:t>
      </w:r>
      <w:r w:rsidR="00707767" w:rsidRPr="007C488A">
        <w:t xml:space="preserve"> in </w:t>
      </w:r>
      <w:r w:rsidR="007133D5" w:rsidRPr="007C488A">
        <w:t>y</w:t>
      </w:r>
      <w:r w:rsidR="00707767" w:rsidRPr="007C488A">
        <w:t xml:space="preserve">ear 6. MSAC considered that while these estimates were based on unverifiable expert opinion, they were likely the best </w:t>
      </w:r>
      <w:r w:rsidR="00676C46" w:rsidRPr="007C488A">
        <w:t>estimates</w:t>
      </w:r>
      <w:r w:rsidR="00707767" w:rsidRPr="007C488A">
        <w:t xml:space="preserve"> currently available.</w:t>
      </w:r>
      <w:r w:rsidRPr="007C488A">
        <w:t xml:space="preserve"> </w:t>
      </w:r>
      <w:r w:rsidR="005E6F60" w:rsidRPr="007C488A">
        <w:t>Based on these capacity constraints,</w:t>
      </w:r>
      <w:r w:rsidR="00202E6E" w:rsidRPr="007C488A">
        <w:t xml:space="preserve"> the financial impact to the MBS </w:t>
      </w:r>
      <w:r w:rsidR="005E6F60" w:rsidRPr="007C488A">
        <w:t>was estimated to be $</w:t>
      </w:r>
      <w:r w:rsidR="00313FDC" w:rsidRPr="007C488A">
        <w:rPr>
          <w:b/>
          <w:bCs/>
        </w:rPr>
        <w:t>redacted</w:t>
      </w:r>
      <w:r w:rsidR="005E6F60" w:rsidRPr="007C488A">
        <w:t xml:space="preserve"> in year 1 increasing to $</w:t>
      </w:r>
      <w:r w:rsidR="00313FDC" w:rsidRPr="007C488A">
        <w:rPr>
          <w:b/>
          <w:bCs/>
        </w:rPr>
        <w:t>redacted</w:t>
      </w:r>
      <w:r w:rsidR="005E6F60" w:rsidRPr="007C488A">
        <w:t xml:space="preserve"> in year 6. </w:t>
      </w:r>
      <w:r w:rsidR="00202E6E" w:rsidRPr="007C488A">
        <w:t>MSAC noted</w:t>
      </w:r>
      <w:r w:rsidR="005E6F60" w:rsidRPr="007C488A">
        <w:t xml:space="preserve"> that in the absence of any capacity constraints the ADAR estimated that </w:t>
      </w:r>
      <w:r w:rsidR="00313FDC" w:rsidRPr="007C488A">
        <w:rPr>
          <w:b/>
          <w:bCs/>
        </w:rPr>
        <w:t>redacted</w:t>
      </w:r>
      <w:r w:rsidR="005E6F60" w:rsidRPr="007C488A">
        <w:t xml:space="preserve"> LVAD procedures for DT w</w:t>
      </w:r>
      <w:r w:rsidR="000A0F6F" w:rsidRPr="007C488A">
        <w:t>ould</w:t>
      </w:r>
      <w:r w:rsidR="005E6F60" w:rsidRPr="007C488A">
        <w:t xml:space="preserve"> be performed </w:t>
      </w:r>
      <w:r w:rsidR="0027021D" w:rsidRPr="007C488A">
        <w:t>per</w:t>
      </w:r>
      <w:r w:rsidR="005E6F60" w:rsidRPr="007C488A">
        <w:t xml:space="preserve"> year, which increased</w:t>
      </w:r>
      <w:r w:rsidR="00202E6E" w:rsidRPr="007C488A">
        <w:t xml:space="preserve"> the financial impact to the MBS </w:t>
      </w:r>
      <w:r w:rsidR="005E6F60" w:rsidRPr="007C488A">
        <w:t>to</w:t>
      </w:r>
      <w:r w:rsidR="00202E6E" w:rsidRPr="007C488A">
        <w:t xml:space="preserve"> $</w:t>
      </w:r>
      <w:r w:rsidR="00313FDC" w:rsidRPr="007C488A">
        <w:rPr>
          <w:b/>
          <w:bCs/>
        </w:rPr>
        <w:t>redacted</w:t>
      </w:r>
      <w:r w:rsidR="00202E6E" w:rsidRPr="007C488A">
        <w:t xml:space="preserve"> each year for six years</w:t>
      </w:r>
      <w:r w:rsidR="005E6F60" w:rsidRPr="007C488A">
        <w:t xml:space="preserve">. MSAC highlighted that the largest budget </w:t>
      </w:r>
      <w:r w:rsidR="00365F07" w:rsidRPr="007C488A">
        <w:t xml:space="preserve">impact would be to private health insurers. With capacity constraints limiting uptake to </w:t>
      </w:r>
      <w:r w:rsidR="00313FDC" w:rsidRPr="007C488A">
        <w:rPr>
          <w:b/>
          <w:bCs/>
        </w:rPr>
        <w:t>redacted</w:t>
      </w:r>
      <w:r w:rsidR="00365F07" w:rsidRPr="007C488A">
        <w:t xml:space="preserve"> LVAD for DT procedures annually</w:t>
      </w:r>
      <w:r w:rsidR="00202E6E" w:rsidRPr="007C488A">
        <w:t xml:space="preserve">, </w:t>
      </w:r>
      <w:r w:rsidR="00365F07" w:rsidRPr="007C488A">
        <w:t>the estimated total cost to private health insurers was $</w:t>
      </w:r>
      <w:r w:rsidR="00313FDC" w:rsidRPr="007C488A">
        <w:rPr>
          <w:b/>
          <w:bCs/>
        </w:rPr>
        <w:t>redacted</w:t>
      </w:r>
      <w:r w:rsidR="00365F07" w:rsidRPr="007C488A">
        <w:t xml:space="preserve"> million per year. In the absence of capacity constraints, with up to </w:t>
      </w:r>
      <w:r w:rsidR="00313FDC" w:rsidRPr="007C488A">
        <w:rPr>
          <w:b/>
          <w:bCs/>
        </w:rPr>
        <w:t>redacted</w:t>
      </w:r>
      <w:r w:rsidR="00365F07" w:rsidRPr="007C488A">
        <w:t xml:space="preserve"> procedures annually, the estimated annual total cost to private health insurers would increase to</w:t>
      </w:r>
      <w:r w:rsidR="00202E6E" w:rsidRPr="007C488A">
        <w:t xml:space="preserve"> $</w:t>
      </w:r>
      <w:r w:rsidR="00313FDC" w:rsidRPr="007C488A">
        <w:rPr>
          <w:b/>
          <w:bCs/>
        </w:rPr>
        <w:t>redacted</w:t>
      </w:r>
      <w:r w:rsidR="00365F07" w:rsidRPr="007C488A">
        <w:t>.</w:t>
      </w:r>
      <w:r w:rsidR="00202E6E" w:rsidRPr="007C488A">
        <w:t xml:space="preserve"> </w:t>
      </w:r>
      <w:r w:rsidR="00E13DC7" w:rsidRPr="007C488A">
        <w:t xml:space="preserve">MSAC noted that the ADAR estimated the cost to the private health insurers </w:t>
      </w:r>
      <w:r w:rsidR="00A15E60" w:rsidRPr="007C488A">
        <w:t xml:space="preserve">per LVAD for DT procedure </w:t>
      </w:r>
      <w:r w:rsidR="00E13DC7" w:rsidRPr="007C488A">
        <w:t>would be $</w:t>
      </w:r>
      <w:r w:rsidR="00AB4627" w:rsidRPr="007C488A">
        <w:rPr>
          <w:b/>
          <w:bCs/>
        </w:rPr>
        <w:t>redacted</w:t>
      </w:r>
      <w:r w:rsidR="00A15E60" w:rsidRPr="007C488A">
        <w:t>,</w:t>
      </w:r>
      <w:r w:rsidR="00E13DC7" w:rsidRPr="007C488A">
        <w:t xml:space="preserve"> </w:t>
      </w:r>
      <w:r w:rsidR="00A15E60" w:rsidRPr="007C488A">
        <w:t>with</w:t>
      </w:r>
      <w:r w:rsidR="00E13DC7" w:rsidRPr="007C488A">
        <w:t xml:space="preserve"> </w:t>
      </w:r>
      <w:r w:rsidR="009C3910" w:rsidRPr="007C488A">
        <w:t xml:space="preserve">the most significant component of </w:t>
      </w:r>
      <w:r w:rsidR="00E13DC7" w:rsidRPr="007C488A">
        <w:t xml:space="preserve">this </w:t>
      </w:r>
      <w:r w:rsidR="00A15E60" w:rsidRPr="007C488A">
        <w:t>being</w:t>
      </w:r>
      <w:r w:rsidR="009C3910" w:rsidRPr="007C488A">
        <w:t xml:space="preserve"> the cost of</w:t>
      </w:r>
      <w:r w:rsidR="00E13DC7" w:rsidRPr="007C488A">
        <w:t xml:space="preserve"> the LVAD </w:t>
      </w:r>
      <w:r w:rsidR="009C3910" w:rsidRPr="007C488A">
        <w:t>which is listed on the PL.</w:t>
      </w:r>
      <w:r w:rsidR="00202E6E" w:rsidRPr="007C488A">
        <w:t xml:space="preserve"> MSAC </w:t>
      </w:r>
      <w:r w:rsidR="00514B5D" w:rsidRPr="007C488A">
        <w:t xml:space="preserve">considered </w:t>
      </w:r>
      <w:r w:rsidR="00202E6E" w:rsidRPr="007C488A">
        <w:t>that the true aftercare costs were unknown and</w:t>
      </w:r>
      <w:r w:rsidR="007E4DDD" w:rsidRPr="007C488A">
        <w:t xml:space="preserve"> potentially</w:t>
      </w:r>
      <w:r w:rsidR="00202E6E" w:rsidRPr="007C488A">
        <w:t xml:space="preserve"> underestimated in the ADAR</w:t>
      </w:r>
      <w:r w:rsidR="007943FA" w:rsidRPr="007C488A">
        <w:t>.</w:t>
      </w:r>
      <w:r w:rsidR="00202E6E" w:rsidRPr="007C488A" w:rsidDel="002C5468">
        <w:t xml:space="preserve"> </w:t>
      </w:r>
      <w:r w:rsidR="001407E9" w:rsidRPr="007C488A">
        <w:t>MSAC acknowledged that this device would only be used in high-</w:t>
      </w:r>
      <w:r w:rsidR="001407E9" w:rsidRPr="007C488A">
        <w:lastRenderedPageBreak/>
        <w:t xml:space="preserve">risk patients who are likely to have high healthcare costs regardless </w:t>
      </w:r>
      <w:r w:rsidR="008F29F8" w:rsidRPr="007C488A">
        <w:t xml:space="preserve">of </w:t>
      </w:r>
      <w:r w:rsidR="009F4DEE" w:rsidRPr="007C488A">
        <w:t xml:space="preserve">the </w:t>
      </w:r>
      <w:r w:rsidR="008F29F8" w:rsidRPr="007C488A">
        <w:t>management</w:t>
      </w:r>
      <w:r w:rsidR="009F4DEE" w:rsidRPr="007C488A">
        <w:t xml:space="preserve"> approach</w:t>
      </w:r>
      <w:r w:rsidR="008F29F8" w:rsidRPr="007C488A">
        <w:t xml:space="preserve">, </w:t>
      </w:r>
      <w:r w:rsidR="00CA0ABB" w:rsidRPr="007C488A">
        <w:t xml:space="preserve">but </w:t>
      </w:r>
      <w:r w:rsidR="00202E6E" w:rsidRPr="007C488A">
        <w:t xml:space="preserve">MSAC considered </w:t>
      </w:r>
      <w:r w:rsidR="00CA0ABB" w:rsidRPr="007C488A">
        <w:t xml:space="preserve">the uncertainty in whether the aftercare costs had been adequately captured </w:t>
      </w:r>
      <w:r w:rsidR="00202E6E" w:rsidRPr="007C488A">
        <w:t xml:space="preserve">to be a significant </w:t>
      </w:r>
      <w:r w:rsidR="00906DA9" w:rsidRPr="007C488A">
        <w:t xml:space="preserve">issue </w:t>
      </w:r>
      <w:r w:rsidR="006B5994" w:rsidRPr="007C488A">
        <w:t xml:space="preserve">and required further information before MSAC </w:t>
      </w:r>
      <w:r w:rsidR="0065489B" w:rsidRPr="007C488A">
        <w:t xml:space="preserve">could </w:t>
      </w:r>
      <w:r w:rsidR="006B5994" w:rsidRPr="007C488A">
        <w:t>finalise its</w:t>
      </w:r>
      <w:r w:rsidR="00202E6E" w:rsidRPr="007C488A">
        <w:t xml:space="preserve"> decision.</w:t>
      </w:r>
    </w:p>
    <w:p w14:paraId="21002714" w14:textId="1FBC9012" w:rsidR="00202E6E" w:rsidRPr="007C488A" w:rsidRDefault="00957843" w:rsidP="00202E6E">
      <w:r w:rsidRPr="007C488A">
        <w:t xml:space="preserve">Overall, </w:t>
      </w:r>
      <w:r w:rsidR="00202E6E" w:rsidRPr="007C488A">
        <w:t>MSAC</w:t>
      </w:r>
      <w:r w:rsidRPr="007C488A">
        <w:t xml:space="preserve"> considered that there was a high unmet clinical need</w:t>
      </w:r>
      <w:r w:rsidR="00BF5AC2" w:rsidRPr="007C488A">
        <w:t xml:space="preserve"> for LVAD as DT in </w:t>
      </w:r>
      <w:r w:rsidR="00A62665" w:rsidRPr="007C488A">
        <w:t xml:space="preserve">the proposed patient population and that the </w:t>
      </w:r>
      <w:r w:rsidR="00B003D9" w:rsidRPr="007C488A">
        <w:t xml:space="preserve">available clinical evidence </w:t>
      </w:r>
      <w:r w:rsidR="0052634E" w:rsidRPr="007C488A">
        <w:t xml:space="preserve">supported </w:t>
      </w:r>
      <w:r w:rsidR="009E67FA" w:rsidRPr="007C488A">
        <w:t xml:space="preserve">the claimed superior effectiveness compared to </w:t>
      </w:r>
      <w:r w:rsidR="00AC5206" w:rsidRPr="007C488A">
        <w:t>OMM</w:t>
      </w:r>
      <w:r w:rsidR="009F4DEE" w:rsidRPr="007C488A">
        <w:t>,</w:t>
      </w:r>
      <w:r w:rsidR="00AC5206" w:rsidRPr="007C488A">
        <w:t xml:space="preserve"> but that the magnitude in benefit was uncertain. </w:t>
      </w:r>
      <w:r w:rsidR="009333D6" w:rsidRPr="007C488A">
        <w:t xml:space="preserve">However, MSAC deferred its advice </w:t>
      </w:r>
      <w:r w:rsidR="00B44FA9" w:rsidRPr="007C488A">
        <w:t>due to concerns that the economic and financial evaluations may have significantly underestimated the aftercare costs</w:t>
      </w:r>
      <w:r w:rsidR="00C06837" w:rsidRPr="007C488A">
        <w:t>.</w:t>
      </w:r>
      <w:r w:rsidR="00B44FA9" w:rsidRPr="007C488A">
        <w:t xml:space="preserve"> </w:t>
      </w:r>
      <w:r w:rsidR="00022E97" w:rsidRPr="007C488A">
        <w:t xml:space="preserve"> </w:t>
      </w:r>
    </w:p>
    <w:p w14:paraId="22C77DD0" w14:textId="77777777" w:rsidR="00637AAC" w:rsidRPr="007C488A" w:rsidRDefault="00AE6CA4" w:rsidP="00202E6E">
      <w:pPr>
        <w:rPr>
          <w:szCs w:val="24"/>
        </w:rPr>
      </w:pPr>
      <w:r w:rsidRPr="007C488A">
        <w:rPr>
          <w:szCs w:val="24"/>
        </w:rPr>
        <w:t xml:space="preserve">MSAC </w:t>
      </w:r>
      <w:r w:rsidR="00A74036" w:rsidRPr="007C488A">
        <w:rPr>
          <w:szCs w:val="24"/>
        </w:rPr>
        <w:t xml:space="preserve">requested the </w:t>
      </w:r>
      <w:r w:rsidR="006E4E37" w:rsidRPr="007C488A">
        <w:rPr>
          <w:szCs w:val="24"/>
        </w:rPr>
        <w:t>applicant</w:t>
      </w:r>
      <w:r w:rsidR="00637AAC" w:rsidRPr="007C488A">
        <w:rPr>
          <w:szCs w:val="24"/>
        </w:rPr>
        <w:t xml:space="preserve">: </w:t>
      </w:r>
    </w:p>
    <w:p w14:paraId="5E351A87" w14:textId="3FEFC2E1" w:rsidR="005B39CA" w:rsidRPr="007C488A" w:rsidRDefault="00F67366" w:rsidP="001A0DF1">
      <w:pPr>
        <w:pStyle w:val="ListParagraph"/>
        <w:numPr>
          <w:ilvl w:val="0"/>
          <w:numId w:val="41"/>
        </w:numPr>
      </w:pPr>
      <w:r w:rsidRPr="007C488A">
        <w:rPr>
          <w:szCs w:val="24"/>
        </w:rPr>
        <w:t>u</w:t>
      </w:r>
      <w:r w:rsidR="003F0FAB" w:rsidRPr="007C488A">
        <w:rPr>
          <w:szCs w:val="24"/>
        </w:rPr>
        <w:t xml:space="preserve">ndertake </w:t>
      </w:r>
      <w:r w:rsidR="00AE6CA4" w:rsidRPr="007C488A">
        <w:rPr>
          <w:szCs w:val="24"/>
        </w:rPr>
        <w:t>consultation with Australian hospitals that currently provide LVAD for other indications</w:t>
      </w:r>
      <w:r w:rsidR="00EC5141" w:rsidRPr="007C488A">
        <w:rPr>
          <w:szCs w:val="24"/>
        </w:rPr>
        <w:t>, as well as secondary and tertiary healthcare centres that may be involved in patient post-management,</w:t>
      </w:r>
      <w:r w:rsidR="00AE6CA4" w:rsidRPr="007C488A">
        <w:rPr>
          <w:szCs w:val="24"/>
        </w:rPr>
        <w:t xml:space="preserve"> to obtain a more contemporary and informed estimate on the aftercare costs </w:t>
      </w:r>
      <w:r w:rsidR="00D008CD" w:rsidRPr="007C488A">
        <w:rPr>
          <w:szCs w:val="24"/>
        </w:rPr>
        <w:t xml:space="preserve">(broken down by </w:t>
      </w:r>
      <w:r w:rsidR="004A74C9" w:rsidRPr="007C488A">
        <w:rPr>
          <w:szCs w:val="24"/>
        </w:rPr>
        <w:t>payer)</w:t>
      </w:r>
      <w:r w:rsidR="00241EE8" w:rsidRPr="007C488A">
        <w:rPr>
          <w:szCs w:val="24"/>
        </w:rPr>
        <w:t xml:space="preserve"> and the format of aftercare services (e.g. in-person, telehealth and/or hybrid)</w:t>
      </w:r>
      <w:r w:rsidR="004A74C9" w:rsidRPr="007C488A">
        <w:rPr>
          <w:szCs w:val="24"/>
        </w:rPr>
        <w:t xml:space="preserve"> </w:t>
      </w:r>
      <w:r w:rsidR="00AE6CA4" w:rsidRPr="007C488A">
        <w:rPr>
          <w:szCs w:val="24"/>
        </w:rPr>
        <w:t>following LVAD implantation in Australia</w:t>
      </w:r>
    </w:p>
    <w:p w14:paraId="36ECE3D9" w14:textId="1F564615" w:rsidR="006042AB" w:rsidRPr="007C488A" w:rsidRDefault="005242F6" w:rsidP="001A0DF1">
      <w:pPr>
        <w:pStyle w:val="ListParagraph"/>
        <w:numPr>
          <w:ilvl w:val="0"/>
          <w:numId w:val="41"/>
        </w:numPr>
      </w:pPr>
      <w:r w:rsidRPr="007C488A">
        <w:t>in addition to presenting after care costs broken down by payer,</w:t>
      </w:r>
      <w:r w:rsidR="006042AB" w:rsidRPr="007C488A">
        <w:t xml:space="preserve"> consultation</w:t>
      </w:r>
      <w:r w:rsidR="00D5254E" w:rsidRPr="007C488A">
        <w:t xml:space="preserve"> should </w:t>
      </w:r>
      <w:r w:rsidR="006107BF" w:rsidRPr="007C488A">
        <w:t xml:space="preserve">be </w:t>
      </w:r>
      <w:r w:rsidR="007C6954" w:rsidRPr="007C488A">
        <w:t xml:space="preserve">undertaken </w:t>
      </w:r>
      <w:r w:rsidR="006107BF" w:rsidRPr="007C488A">
        <w:t xml:space="preserve">to </w:t>
      </w:r>
      <w:r w:rsidR="00D92210" w:rsidRPr="007C488A">
        <w:t>describe</w:t>
      </w:r>
      <w:r w:rsidR="006042AB" w:rsidRPr="007C488A">
        <w:t xml:space="preserve"> how private patient funding will be addressed (for aftercare) by the public hospitals (the only sites where this service is currently available), where </w:t>
      </w:r>
      <w:proofErr w:type="gramStart"/>
      <w:r w:rsidR="006042AB" w:rsidRPr="007C488A">
        <w:t>the majority of</w:t>
      </w:r>
      <w:proofErr w:type="gramEnd"/>
      <w:r w:rsidR="006042AB" w:rsidRPr="007C488A">
        <w:t xml:space="preserve"> the aftercare is provided by nursing and allied health staff (that have no MBS items available)</w:t>
      </w:r>
    </w:p>
    <w:p w14:paraId="4FF23C47" w14:textId="6D32B5A6" w:rsidR="00182730" w:rsidRPr="007C488A" w:rsidRDefault="0029045D" w:rsidP="001A0DF1">
      <w:pPr>
        <w:pStyle w:val="ListParagraph"/>
        <w:numPr>
          <w:ilvl w:val="0"/>
          <w:numId w:val="41"/>
        </w:numPr>
      </w:pPr>
      <w:r w:rsidRPr="007C488A">
        <w:rPr>
          <w:szCs w:val="24"/>
        </w:rPr>
        <w:t>re-specif</w:t>
      </w:r>
      <w:r w:rsidR="00C2677A" w:rsidRPr="007C488A">
        <w:rPr>
          <w:szCs w:val="24"/>
        </w:rPr>
        <w:t>y the</w:t>
      </w:r>
      <w:r w:rsidRPr="007C488A">
        <w:rPr>
          <w:szCs w:val="24"/>
        </w:rPr>
        <w:t xml:space="preserve"> base case </w:t>
      </w:r>
      <w:r w:rsidR="00C2677A" w:rsidRPr="007C488A">
        <w:rPr>
          <w:szCs w:val="24"/>
        </w:rPr>
        <w:t>to use</w:t>
      </w:r>
      <w:r w:rsidR="0065022D" w:rsidRPr="007C488A">
        <w:rPr>
          <w:szCs w:val="24"/>
        </w:rPr>
        <w:t xml:space="preserve"> a </w:t>
      </w:r>
      <w:r w:rsidR="00ED3B17" w:rsidRPr="007C488A">
        <w:rPr>
          <w:szCs w:val="24"/>
        </w:rPr>
        <w:t>time horizon of 10 years</w:t>
      </w:r>
      <w:r w:rsidR="00C2677A" w:rsidRPr="007C488A">
        <w:rPr>
          <w:szCs w:val="24"/>
        </w:rPr>
        <w:t>, apply</w:t>
      </w:r>
      <w:r w:rsidR="00ED3B17" w:rsidRPr="007C488A">
        <w:rPr>
          <w:szCs w:val="24"/>
        </w:rPr>
        <w:t xml:space="preserve"> OMM disease related costs in</w:t>
      </w:r>
      <w:r w:rsidR="009F4DEE" w:rsidRPr="007C488A">
        <w:rPr>
          <w:szCs w:val="24"/>
        </w:rPr>
        <w:t xml:space="preserve"> the</w:t>
      </w:r>
      <w:r w:rsidR="00ED3B17" w:rsidRPr="007C488A">
        <w:rPr>
          <w:szCs w:val="24"/>
        </w:rPr>
        <w:t xml:space="preserve"> 1st cycle </w:t>
      </w:r>
      <w:r w:rsidR="00C2677A" w:rsidRPr="007C488A">
        <w:rPr>
          <w:szCs w:val="24"/>
        </w:rPr>
        <w:t xml:space="preserve">of </w:t>
      </w:r>
      <w:r w:rsidR="00ED3B17" w:rsidRPr="007C488A">
        <w:rPr>
          <w:szCs w:val="24"/>
        </w:rPr>
        <w:t>$0</w:t>
      </w:r>
      <w:r w:rsidR="009F4DEE" w:rsidRPr="007C488A">
        <w:rPr>
          <w:szCs w:val="24"/>
        </w:rPr>
        <w:t xml:space="preserve">, apply </w:t>
      </w:r>
      <w:r w:rsidR="009B2E71" w:rsidRPr="007C488A">
        <w:rPr>
          <w:szCs w:val="24"/>
        </w:rPr>
        <w:t xml:space="preserve">a </w:t>
      </w:r>
      <w:r w:rsidR="00ED3B17" w:rsidRPr="007C488A">
        <w:rPr>
          <w:szCs w:val="24"/>
        </w:rPr>
        <w:t xml:space="preserve">utility value of 0.64 </w:t>
      </w:r>
      <w:r w:rsidR="000A2FAD" w:rsidRPr="007C488A">
        <w:rPr>
          <w:szCs w:val="24"/>
        </w:rPr>
        <w:t>for the 1</w:t>
      </w:r>
      <w:r w:rsidR="000A2FAD" w:rsidRPr="007C488A">
        <w:rPr>
          <w:szCs w:val="24"/>
          <w:vertAlign w:val="superscript"/>
        </w:rPr>
        <w:t>st</w:t>
      </w:r>
      <w:r w:rsidR="000A2FAD" w:rsidRPr="007C488A">
        <w:rPr>
          <w:szCs w:val="24"/>
        </w:rPr>
        <w:t xml:space="preserve"> cycle in both the OMM and the LVAD arms and in subsequent cycles of the OMM arm</w:t>
      </w:r>
      <w:r w:rsidR="009B2E71" w:rsidRPr="007C488A">
        <w:rPr>
          <w:szCs w:val="24"/>
        </w:rPr>
        <w:t xml:space="preserve">, </w:t>
      </w:r>
      <w:r w:rsidR="00ED3B17" w:rsidRPr="007C488A">
        <w:rPr>
          <w:szCs w:val="24"/>
        </w:rPr>
        <w:t xml:space="preserve">and </w:t>
      </w:r>
      <w:r w:rsidR="009B2E71" w:rsidRPr="007C488A">
        <w:rPr>
          <w:szCs w:val="24"/>
        </w:rPr>
        <w:t xml:space="preserve">a utility value of </w:t>
      </w:r>
      <w:r w:rsidR="00ED3B17" w:rsidRPr="007C488A">
        <w:rPr>
          <w:szCs w:val="24"/>
        </w:rPr>
        <w:t>0.79</w:t>
      </w:r>
      <w:r w:rsidR="009B2E71" w:rsidRPr="007C488A">
        <w:rPr>
          <w:szCs w:val="24"/>
        </w:rPr>
        <w:t xml:space="preserve"> in the subsequent cycles </w:t>
      </w:r>
      <w:r w:rsidR="002A179D" w:rsidRPr="007C488A">
        <w:rPr>
          <w:szCs w:val="24"/>
        </w:rPr>
        <w:t xml:space="preserve">of the LVAD arm, </w:t>
      </w:r>
      <w:r w:rsidRPr="007C488A">
        <w:rPr>
          <w:szCs w:val="24"/>
        </w:rPr>
        <w:t>and further revise this base case to</w:t>
      </w:r>
      <w:r w:rsidR="00ED3B17" w:rsidRPr="007C488A">
        <w:rPr>
          <w:szCs w:val="24"/>
        </w:rPr>
        <w:t xml:space="preserve"> incorporate</w:t>
      </w:r>
      <w:r w:rsidR="002A1A62" w:rsidRPr="007C488A">
        <w:rPr>
          <w:szCs w:val="24"/>
        </w:rPr>
        <w:t xml:space="preserve"> device replacement costs (</w:t>
      </w:r>
      <w:r w:rsidR="00B2715F" w:rsidRPr="007C488A">
        <w:rPr>
          <w:szCs w:val="24"/>
        </w:rPr>
        <w:t xml:space="preserve">other than for pump thrombosis) and </w:t>
      </w:r>
      <w:r w:rsidR="00182730" w:rsidRPr="007C488A">
        <w:rPr>
          <w:szCs w:val="24"/>
        </w:rPr>
        <w:t xml:space="preserve">aftercare costs informed by the above consultation with Australian </w:t>
      </w:r>
      <w:r w:rsidR="00171D77" w:rsidRPr="007C488A">
        <w:rPr>
          <w:szCs w:val="24"/>
        </w:rPr>
        <w:t>hospitals</w:t>
      </w:r>
    </w:p>
    <w:p w14:paraId="5EDFC2F4" w14:textId="77777777" w:rsidR="00B31ABF" w:rsidRPr="007C488A" w:rsidRDefault="00182730" w:rsidP="001A0DF1">
      <w:pPr>
        <w:pStyle w:val="ListParagraph"/>
        <w:numPr>
          <w:ilvl w:val="0"/>
          <w:numId w:val="41"/>
        </w:numPr>
      </w:pPr>
      <w:r w:rsidRPr="007C488A">
        <w:rPr>
          <w:szCs w:val="24"/>
        </w:rPr>
        <w:t xml:space="preserve">update the financial </w:t>
      </w:r>
      <w:r w:rsidR="00F25F22" w:rsidRPr="007C488A">
        <w:rPr>
          <w:szCs w:val="24"/>
        </w:rPr>
        <w:t xml:space="preserve">analysis </w:t>
      </w:r>
      <w:r w:rsidR="00AE6CA4" w:rsidRPr="007C488A">
        <w:rPr>
          <w:szCs w:val="24"/>
        </w:rPr>
        <w:t>to incorporate the updated additional costs (</w:t>
      </w:r>
      <w:r w:rsidR="00835E23" w:rsidRPr="007C488A">
        <w:rPr>
          <w:szCs w:val="24"/>
        </w:rPr>
        <w:t>as above</w:t>
      </w:r>
      <w:r w:rsidR="00AE6CA4" w:rsidRPr="007C488A">
        <w:rPr>
          <w:szCs w:val="24"/>
        </w:rPr>
        <w:t>) associated with the proposed service</w:t>
      </w:r>
    </w:p>
    <w:p w14:paraId="54674CB2" w14:textId="508815DC" w:rsidR="00101F48" w:rsidRPr="007C488A" w:rsidRDefault="00B31ABF" w:rsidP="001A0DF1">
      <w:pPr>
        <w:pStyle w:val="ListParagraph"/>
        <w:numPr>
          <w:ilvl w:val="0"/>
          <w:numId w:val="41"/>
        </w:numPr>
      </w:pPr>
      <w:r w:rsidRPr="007C488A">
        <w:rPr>
          <w:szCs w:val="24"/>
        </w:rPr>
        <w:t>provide a proposed MBS item descriptor for the re-implantation of an LVAD for DT</w:t>
      </w:r>
      <w:r w:rsidR="00AE6CA4" w:rsidRPr="007C488A">
        <w:rPr>
          <w:szCs w:val="24"/>
        </w:rPr>
        <w:t xml:space="preserve">. </w:t>
      </w:r>
    </w:p>
    <w:p w14:paraId="4434822A" w14:textId="34E1FD9B" w:rsidR="00D33898" w:rsidRPr="007C488A" w:rsidRDefault="00AE6CA4" w:rsidP="00101F48">
      <w:r w:rsidRPr="007C488A">
        <w:rPr>
          <w:szCs w:val="24"/>
        </w:rPr>
        <w:t>MSAC considered that the resubmission could proceed via the direct MSAC assessment pathway</w:t>
      </w:r>
      <w:r w:rsidR="00171D77" w:rsidRPr="007C488A">
        <w:rPr>
          <w:szCs w:val="24"/>
        </w:rPr>
        <w:t>.</w:t>
      </w:r>
    </w:p>
    <w:p w14:paraId="6710B69D" w14:textId="3DD012E0" w:rsidR="00772829" w:rsidRPr="007C488A" w:rsidRDefault="00A832A7" w:rsidP="002A18BE">
      <w:pPr>
        <w:pStyle w:val="Heading2"/>
        <w:numPr>
          <w:ilvl w:val="0"/>
          <w:numId w:val="0"/>
        </w:numPr>
      </w:pPr>
      <w:bookmarkStart w:id="3" w:name="_Toc69491416"/>
      <w:bookmarkEnd w:id="1"/>
      <w:r w:rsidRPr="007C488A">
        <w:t>4</w:t>
      </w:r>
      <w:r w:rsidR="00C36633" w:rsidRPr="007C488A">
        <w:t>.</w:t>
      </w:r>
      <w:r w:rsidR="00C36633" w:rsidRPr="007C488A">
        <w:tab/>
      </w:r>
      <w:r w:rsidR="00772829" w:rsidRPr="007C488A">
        <w:t>Background</w:t>
      </w:r>
      <w:bookmarkEnd w:id="3"/>
    </w:p>
    <w:p w14:paraId="425917F8" w14:textId="516E237C" w:rsidR="00EA7ACA" w:rsidRPr="007C488A" w:rsidRDefault="00EA7ACA" w:rsidP="00AE0963">
      <w:pPr>
        <w:jc w:val="both"/>
      </w:pPr>
      <w:bookmarkStart w:id="4" w:name="_Hlk69734494"/>
      <w:r w:rsidRPr="007C488A">
        <w:t>MSAC has not previously considered LVAD for DT. However, LVAD implantation is listed on the MBS for other populations, including use as bridge to transplant (BTT) and bridge to candidacy (BTC) via MBS items 38615 and 38618. These items have been listed on the MBS since 31 October 1992.</w:t>
      </w:r>
    </w:p>
    <w:p w14:paraId="6F52500A" w14:textId="747BB9A1" w:rsidR="00772829" w:rsidRPr="007C488A" w:rsidRDefault="00A832A7" w:rsidP="002A18BE">
      <w:pPr>
        <w:pStyle w:val="Heading2"/>
        <w:numPr>
          <w:ilvl w:val="0"/>
          <w:numId w:val="0"/>
        </w:numPr>
      </w:pPr>
      <w:bookmarkStart w:id="5" w:name="_Toc69491417"/>
      <w:bookmarkEnd w:id="4"/>
      <w:r w:rsidRPr="007C488A">
        <w:t>5</w:t>
      </w:r>
      <w:r w:rsidR="00C36633" w:rsidRPr="007C488A">
        <w:t>.</w:t>
      </w:r>
      <w:r w:rsidR="00C36633" w:rsidRPr="007C488A">
        <w:tab/>
      </w:r>
      <w:r w:rsidR="00772829" w:rsidRPr="007C488A">
        <w:t>Prerequisites to implementation of any funding advice</w:t>
      </w:r>
      <w:bookmarkEnd w:id="5"/>
    </w:p>
    <w:p w14:paraId="5A6B3861" w14:textId="21C2684D" w:rsidR="00A30D05" w:rsidRPr="007C488A" w:rsidRDefault="00EE2BFD" w:rsidP="00A30D05">
      <w:pPr>
        <w:jc w:val="both"/>
        <w:rPr>
          <w:lang w:val="en-US"/>
        </w:rPr>
      </w:pPr>
      <w:r w:rsidRPr="007C488A">
        <w:rPr>
          <w:lang w:val="en-US"/>
        </w:rPr>
        <w:t>Over the years, different types of LVADs have been introduced</w:t>
      </w:r>
      <w:r w:rsidR="00A30D05" w:rsidRPr="007C488A">
        <w:rPr>
          <w:lang w:val="en-US"/>
        </w:rPr>
        <w:t xml:space="preserve"> and there are two LVADs (i.e.,</w:t>
      </w:r>
      <w:r w:rsidR="00A30D05" w:rsidRPr="007C488A">
        <w:t xml:space="preserve"> </w:t>
      </w:r>
      <w:r w:rsidR="0076730D" w:rsidRPr="007C488A">
        <w:rPr>
          <w:lang w:val="en-US"/>
        </w:rPr>
        <w:t xml:space="preserve">HeartMate 3 (HM3) and </w:t>
      </w:r>
      <w:proofErr w:type="spellStart"/>
      <w:r w:rsidR="00A30D05" w:rsidRPr="007C488A">
        <w:rPr>
          <w:lang w:val="en-US"/>
        </w:rPr>
        <w:t>HeartWare</w:t>
      </w:r>
      <w:proofErr w:type="spellEnd"/>
      <w:r w:rsidR="0076730D" w:rsidRPr="007C488A">
        <w:rPr>
          <w:lang w:val="en-US"/>
        </w:rPr>
        <w:t>)</w:t>
      </w:r>
      <w:r w:rsidR="00A30D05" w:rsidRPr="007C488A">
        <w:rPr>
          <w:lang w:val="en-US"/>
        </w:rPr>
        <w:t xml:space="preserve"> registered in the Australian Register of Therapeutic Goods (ARTG). </w:t>
      </w:r>
    </w:p>
    <w:p w14:paraId="0D0D3FA5" w14:textId="5475E718" w:rsidR="009F076A" w:rsidRPr="007C488A" w:rsidRDefault="00887D5D" w:rsidP="009F076A">
      <w:pPr>
        <w:jc w:val="both"/>
        <w:rPr>
          <w:lang w:val="en-US"/>
        </w:rPr>
      </w:pPr>
      <w:r w:rsidRPr="007C488A">
        <w:rPr>
          <w:lang w:val="en-US"/>
        </w:rPr>
        <w:t>HM3</w:t>
      </w:r>
      <w:r w:rsidR="00EE2BFD" w:rsidRPr="007C488A">
        <w:rPr>
          <w:lang w:val="en-US"/>
        </w:rPr>
        <w:t xml:space="preserve"> is the most recent and current generation LVAD available in Australia. It is a third generation, fully magnetically levitated centrifugal-flow LVAD</w:t>
      </w:r>
      <w:r w:rsidR="00A30D05" w:rsidRPr="007C488A">
        <w:rPr>
          <w:lang w:val="en-US"/>
        </w:rPr>
        <w:t xml:space="preserve">, listed on the ARTG (ARTG 300895) and </w:t>
      </w:r>
      <w:r w:rsidR="009E721D" w:rsidRPr="007C488A">
        <w:rPr>
          <w:lang w:val="en-US"/>
        </w:rPr>
        <w:t>Prescribed List of Medical Devices and Human Tissue Products</w:t>
      </w:r>
      <w:r w:rsidR="003F5E2D" w:rsidRPr="007C488A">
        <w:rPr>
          <w:lang w:val="en-US"/>
        </w:rPr>
        <w:t xml:space="preserve"> </w:t>
      </w:r>
      <w:r w:rsidR="00BE5708" w:rsidRPr="007C488A">
        <w:rPr>
          <w:lang w:val="en-US"/>
        </w:rPr>
        <w:t>(</w:t>
      </w:r>
      <w:r w:rsidR="00A30D05" w:rsidRPr="007C488A">
        <w:rPr>
          <w:lang w:val="en-US"/>
        </w:rPr>
        <w:t>PL</w:t>
      </w:r>
      <w:r w:rsidR="00BE5708" w:rsidRPr="007C488A">
        <w:rPr>
          <w:lang w:val="en-US"/>
        </w:rPr>
        <w:t>)</w:t>
      </w:r>
      <w:r w:rsidR="00A30D05" w:rsidRPr="007C488A">
        <w:rPr>
          <w:lang w:val="en-US"/>
        </w:rPr>
        <w:t>.</w:t>
      </w:r>
      <w:r w:rsidR="009F076A" w:rsidRPr="007C488A">
        <w:rPr>
          <w:lang w:val="en-US"/>
        </w:rPr>
        <w:t xml:space="preserve"> </w:t>
      </w:r>
      <w:r w:rsidR="001D6B7B" w:rsidRPr="007C488A">
        <w:rPr>
          <w:lang w:val="en-US"/>
        </w:rPr>
        <w:t>HeartMate XVE (HM XVE) and HeartMate II (HM2) are first generation and second generation LVADs, respectively</w:t>
      </w:r>
      <w:r w:rsidR="002604B8" w:rsidRPr="007C488A">
        <w:rPr>
          <w:lang w:val="en-US"/>
        </w:rPr>
        <w:t>, that are no</w:t>
      </w:r>
      <w:r w:rsidR="00A97B84" w:rsidRPr="007C488A">
        <w:rPr>
          <w:lang w:val="en-US"/>
        </w:rPr>
        <w:t>t</w:t>
      </w:r>
      <w:r w:rsidR="002604B8" w:rsidRPr="007C488A">
        <w:rPr>
          <w:lang w:val="en-US"/>
        </w:rPr>
        <w:t xml:space="preserve"> included on the ARTG</w:t>
      </w:r>
      <w:r w:rsidR="008F2F95" w:rsidRPr="007C488A">
        <w:rPr>
          <w:lang w:val="en-US"/>
        </w:rPr>
        <w:t xml:space="preserve"> (MSAC 1749 Ratified PICO, pg15)</w:t>
      </w:r>
      <w:r w:rsidR="00517F01" w:rsidRPr="007C488A">
        <w:rPr>
          <w:lang w:val="en-US"/>
        </w:rPr>
        <w:t>.</w:t>
      </w:r>
    </w:p>
    <w:p w14:paraId="4A485C18" w14:textId="640C4069" w:rsidR="00A30D05" w:rsidRPr="007C488A" w:rsidRDefault="00A30D05" w:rsidP="00A30D05">
      <w:pPr>
        <w:jc w:val="both"/>
        <w:rPr>
          <w:lang w:val="en-US"/>
        </w:rPr>
      </w:pPr>
      <w:r w:rsidRPr="007C488A">
        <w:rPr>
          <w:lang w:val="en-US"/>
        </w:rPr>
        <w:lastRenderedPageBreak/>
        <w:t xml:space="preserve">The indication for the </w:t>
      </w:r>
      <w:bookmarkStart w:id="6" w:name="_Hlk150257455"/>
      <w:r w:rsidRPr="007C488A">
        <w:rPr>
          <w:lang w:val="en-US"/>
        </w:rPr>
        <w:t xml:space="preserve">HM3 LVAD </w:t>
      </w:r>
      <w:bookmarkEnd w:id="6"/>
      <w:r w:rsidR="00E15A16" w:rsidRPr="007C488A">
        <w:rPr>
          <w:lang w:val="en-US"/>
        </w:rPr>
        <w:t xml:space="preserve">as per the </w:t>
      </w:r>
      <w:r w:rsidR="009C3911" w:rsidRPr="007C488A">
        <w:rPr>
          <w:lang w:val="en-US"/>
        </w:rPr>
        <w:t>ARTG</w:t>
      </w:r>
      <w:r w:rsidR="007911DA" w:rsidRPr="007C488A">
        <w:rPr>
          <w:lang w:val="en-US"/>
        </w:rPr>
        <w:t xml:space="preserve"> entry (ARTG ID: 300895</w:t>
      </w:r>
      <w:r w:rsidR="00BE01A0" w:rsidRPr="007C488A">
        <w:rPr>
          <w:lang w:val="en-US"/>
        </w:rPr>
        <w:t xml:space="preserve">) </w:t>
      </w:r>
      <w:r w:rsidRPr="007C488A">
        <w:rPr>
          <w:lang w:val="en-US"/>
        </w:rPr>
        <w:t>is</w:t>
      </w:r>
      <w:r w:rsidR="007911DA" w:rsidRPr="007C488A">
        <w:rPr>
          <w:lang w:val="en-US"/>
        </w:rPr>
        <w:t>:</w:t>
      </w:r>
    </w:p>
    <w:p w14:paraId="45B070CD" w14:textId="787D8EE8" w:rsidR="00A30D05" w:rsidRPr="007C488A" w:rsidRDefault="00A30D05" w:rsidP="00DC74C9">
      <w:pPr>
        <w:pStyle w:val="ListParagraph"/>
        <w:numPr>
          <w:ilvl w:val="0"/>
          <w:numId w:val="15"/>
        </w:numPr>
        <w:jc w:val="both"/>
        <w:rPr>
          <w:lang w:val="en-US"/>
        </w:rPr>
      </w:pPr>
      <w:r w:rsidRPr="007C488A">
        <w:rPr>
          <w:lang w:val="en-US"/>
        </w:rPr>
        <w:t>“The HeartMate 3 Left Ventricular Assist System is intended to provide long term hemodynamic support in patients with advanced, refractory left ventricular heart failure. It is intended either for temporary support, such as a bridge to cardiac transplantation (BTT), or as permanent destination therapy (DT). The HeartMate 3 is intended for use inside or outside the hospital”.</w:t>
      </w:r>
    </w:p>
    <w:p w14:paraId="13EF569D" w14:textId="0734591D" w:rsidR="00A30D05" w:rsidRPr="007C488A" w:rsidRDefault="0076730D" w:rsidP="00927121">
      <w:pPr>
        <w:jc w:val="both"/>
        <w:rPr>
          <w:lang w:val="en-US"/>
        </w:rPr>
      </w:pPr>
      <w:r w:rsidRPr="007C488A">
        <w:rPr>
          <w:lang w:val="en-US"/>
        </w:rPr>
        <w:t xml:space="preserve">The </w:t>
      </w:r>
      <w:proofErr w:type="spellStart"/>
      <w:r w:rsidRPr="007C488A">
        <w:rPr>
          <w:lang w:val="en-US"/>
        </w:rPr>
        <w:t>HeartWare</w:t>
      </w:r>
      <w:proofErr w:type="spellEnd"/>
      <w:r w:rsidRPr="007C488A">
        <w:rPr>
          <w:lang w:val="en-US"/>
        </w:rPr>
        <w:t xml:space="preserve"> (ARTG 181875) is no longer listed </w:t>
      </w:r>
      <w:r w:rsidR="007550E9" w:rsidRPr="007C488A">
        <w:rPr>
          <w:lang w:val="en-US"/>
        </w:rPr>
        <w:t>o</w:t>
      </w:r>
      <w:r w:rsidRPr="007C488A">
        <w:rPr>
          <w:lang w:val="en-US"/>
        </w:rPr>
        <w:t xml:space="preserve">n the PL or used globally, though it was registered in ARTG. Medtronic ceased the distribution and sale of the </w:t>
      </w:r>
      <w:proofErr w:type="spellStart"/>
      <w:r w:rsidRPr="007C488A">
        <w:rPr>
          <w:lang w:val="en-US"/>
        </w:rPr>
        <w:t>HeartWare</w:t>
      </w:r>
      <w:proofErr w:type="spellEnd"/>
      <w:r w:rsidRPr="007C488A">
        <w:rPr>
          <w:lang w:val="en-US"/>
        </w:rPr>
        <w:t xml:space="preserve"> LVAD System in June 2021 due to a growing body of observational clinical comparisons showing a higher frequency of neurological adverse events and mortality among </w:t>
      </w:r>
      <w:proofErr w:type="spellStart"/>
      <w:r w:rsidRPr="007C488A">
        <w:rPr>
          <w:lang w:val="en-US"/>
        </w:rPr>
        <w:t>HeartWare</w:t>
      </w:r>
      <w:proofErr w:type="spellEnd"/>
      <w:r w:rsidRPr="007C488A">
        <w:rPr>
          <w:lang w:val="en-US"/>
        </w:rPr>
        <w:t xml:space="preserve"> LVAD System patients as compared to those who receive other commercially available LVADs</w:t>
      </w:r>
      <w:r w:rsidRPr="007C488A">
        <w:rPr>
          <w:rStyle w:val="FootnoteReference"/>
          <w:lang w:val="en-US"/>
        </w:rPr>
        <w:footnoteReference w:id="3"/>
      </w:r>
      <w:r w:rsidRPr="007C488A">
        <w:rPr>
          <w:lang w:val="en-US"/>
        </w:rPr>
        <w:t xml:space="preserve">. </w:t>
      </w:r>
    </w:p>
    <w:p w14:paraId="44C3B242" w14:textId="4D59C1D7" w:rsidR="00772829" w:rsidRPr="007C488A" w:rsidRDefault="00A832A7" w:rsidP="002A18BE">
      <w:pPr>
        <w:pStyle w:val="Heading2"/>
        <w:numPr>
          <w:ilvl w:val="0"/>
          <w:numId w:val="0"/>
        </w:numPr>
      </w:pPr>
      <w:bookmarkStart w:id="7" w:name="_Toc69491418"/>
      <w:r w:rsidRPr="007C488A">
        <w:t>6</w:t>
      </w:r>
      <w:r w:rsidR="00C36633" w:rsidRPr="007C488A">
        <w:t>.</w:t>
      </w:r>
      <w:r w:rsidR="00C36633" w:rsidRPr="007C488A">
        <w:tab/>
      </w:r>
      <w:r w:rsidR="00772829" w:rsidRPr="007C488A">
        <w:t>Proposal for public funding</w:t>
      </w:r>
      <w:bookmarkEnd w:id="7"/>
    </w:p>
    <w:p w14:paraId="6AD7AB43" w14:textId="3E29E76B" w:rsidR="00EE2BFD" w:rsidRPr="007C488A" w:rsidRDefault="00EE2BFD" w:rsidP="0069739A">
      <w:pPr>
        <w:pStyle w:val="Instructionaltext"/>
        <w:jc w:val="both"/>
        <w:rPr>
          <w:color w:val="auto"/>
          <w:lang w:val="en-US"/>
        </w:rPr>
      </w:pPr>
      <w:r w:rsidRPr="007C488A">
        <w:rPr>
          <w:color w:val="auto"/>
          <w:lang w:val="en-US"/>
        </w:rPr>
        <w:t xml:space="preserve">A new MBS item for the insertion of LVAD for DT has been proposed with the fee informed by MBS item 38615 (insertion of </w:t>
      </w:r>
      <w:r w:rsidR="00F51C9E" w:rsidRPr="007C488A">
        <w:rPr>
          <w:color w:val="auto"/>
          <w:lang w:val="en-US"/>
        </w:rPr>
        <w:t xml:space="preserve">a </w:t>
      </w:r>
      <w:r w:rsidRPr="007C488A">
        <w:rPr>
          <w:color w:val="auto"/>
          <w:lang w:val="en-US"/>
        </w:rPr>
        <w:t xml:space="preserve">left or right </w:t>
      </w:r>
      <w:r w:rsidR="00E959A4" w:rsidRPr="007C488A">
        <w:rPr>
          <w:iCs/>
          <w:color w:val="auto"/>
        </w:rPr>
        <w:t>ventricular assist device</w:t>
      </w:r>
      <w:r w:rsidRPr="007C488A">
        <w:rPr>
          <w:color w:val="auto"/>
          <w:lang w:val="en-US"/>
        </w:rPr>
        <w:t xml:space="preserve">). Although the item descriptor is device agnostic, it is noted that the HM3 is the only LVAD indicated for DT currently included on the ARTG. The proposed item is provided in </w:t>
      </w:r>
      <w:r w:rsidR="007F1C83" w:rsidRPr="007C488A">
        <w:rPr>
          <w:color w:val="auto"/>
          <w:lang w:val="en-US"/>
        </w:rPr>
        <w:fldChar w:fldCharType="begin"/>
      </w:r>
      <w:r w:rsidR="007F1C83" w:rsidRPr="007C488A">
        <w:rPr>
          <w:color w:val="auto"/>
          <w:lang w:val="en-US"/>
        </w:rPr>
        <w:instrText xml:space="preserve"> REF _Ref69481033 \h </w:instrText>
      </w:r>
      <w:r w:rsidR="007C488A">
        <w:rPr>
          <w:color w:val="auto"/>
          <w:lang w:val="en-US"/>
        </w:rPr>
        <w:instrText xml:space="preserve"> \* MERGEFORMAT </w:instrText>
      </w:r>
      <w:r w:rsidR="007F1C83" w:rsidRPr="007C488A">
        <w:rPr>
          <w:color w:val="auto"/>
          <w:lang w:val="en-US"/>
        </w:rPr>
      </w:r>
      <w:r w:rsidR="007F1C83" w:rsidRPr="007C488A">
        <w:rPr>
          <w:color w:val="auto"/>
          <w:lang w:val="en-US"/>
        </w:rPr>
        <w:fldChar w:fldCharType="separate"/>
      </w:r>
      <w:r w:rsidR="00406484" w:rsidRPr="007C488A">
        <w:rPr>
          <w:color w:val="auto"/>
        </w:rPr>
        <w:t>Table </w:t>
      </w:r>
      <w:r w:rsidR="00406484" w:rsidRPr="007C488A">
        <w:rPr>
          <w:noProof/>
          <w:color w:val="auto"/>
        </w:rPr>
        <w:t>1</w:t>
      </w:r>
      <w:r w:rsidR="007F1C83" w:rsidRPr="007C488A">
        <w:rPr>
          <w:color w:val="auto"/>
          <w:lang w:val="en-US"/>
        </w:rPr>
        <w:fldChar w:fldCharType="end"/>
      </w:r>
      <w:r w:rsidR="007F1C83" w:rsidRPr="007C488A">
        <w:rPr>
          <w:color w:val="auto"/>
          <w:lang w:val="en-US"/>
        </w:rPr>
        <w:t xml:space="preserve"> </w:t>
      </w:r>
      <w:r w:rsidRPr="007C488A">
        <w:rPr>
          <w:color w:val="auto"/>
          <w:lang w:val="en-US"/>
        </w:rPr>
        <w:t xml:space="preserve">and is consistent with </w:t>
      </w:r>
      <w:r w:rsidR="00AA1424" w:rsidRPr="007C488A">
        <w:rPr>
          <w:color w:val="auto"/>
          <w:lang w:val="en-US"/>
        </w:rPr>
        <w:t xml:space="preserve">MSAC 1749 </w:t>
      </w:r>
      <w:r w:rsidRPr="007C488A">
        <w:rPr>
          <w:color w:val="auto"/>
          <w:lang w:val="en-US"/>
        </w:rPr>
        <w:t>Ratified PICO.</w:t>
      </w:r>
    </w:p>
    <w:p w14:paraId="39392CFD" w14:textId="1AB78F49" w:rsidR="003328A9" w:rsidRPr="007C488A" w:rsidRDefault="00310C3F" w:rsidP="006C4D49">
      <w:pPr>
        <w:pStyle w:val="Caption"/>
      </w:pPr>
      <w:bookmarkStart w:id="8" w:name="_Ref69481033"/>
      <w:bookmarkStart w:id="9" w:name="_Ref155617584"/>
      <w:r w:rsidRPr="007C488A">
        <w:t>Table</w:t>
      </w:r>
      <w:r w:rsidR="004A4FDF" w:rsidRPr="007C488A">
        <w:t> </w:t>
      </w:r>
      <w:r w:rsidRPr="007C488A">
        <w:fldChar w:fldCharType="begin"/>
      </w:r>
      <w:r w:rsidRPr="007C488A">
        <w:instrText>SEQ Table \* ARABIC</w:instrText>
      </w:r>
      <w:r w:rsidRPr="007C488A">
        <w:fldChar w:fldCharType="separate"/>
      </w:r>
      <w:r w:rsidR="00406484" w:rsidRPr="007C488A">
        <w:rPr>
          <w:noProof/>
        </w:rPr>
        <w:t>1</w:t>
      </w:r>
      <w:r w:rsidRPr="007C488A">
        <w:fldChar w:fldCharType="end"/>
      </w:r>
      <w:bookmarkEnd w:id="8"/>
      <w:r w:rsidR="009B3E0F" w:rsidRPr="007C488A">
        <w:t xml:space="preserve">: </w:t>
      </w:r>
      <w:r w:rsidR="00125755" w:rsidRPr="007C488A">
        <w:t>P</w:t>
      </w:r>
      <w:r w:rsidR="00B26622" w:rsidRPr="007C488A">
        <w:t>roposed MBS item</w:t>
      </w:r>
      <w:bookmarkEnd w:id="9"/>
      <w:r w:rsidR="003328A9" w:rsidRPr="007C488A">
        <w:t xml:space="preserve"> </w:t>
      </w:r>
      <w:r w:rsidR="00125755" w:rsidRPr="007C488A">
        <w:t xml:space="preserve">with edits based on ESC </w:t>
      </w:r>
      <w:proofErr w:type="gramStart"/>
      <w:r w:rsidR="00125755" w:rsidRPr="007C488A">
        <w:t>advice</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7C488A" w14:paraId="7A70B700" w14:textId="77777777" w:rsidTr="0D14F3AC">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22A8416C" w:rsidR="003328A9" w:rsidRPr="007C488A" w:rsidRDefault="003328A9" w:rsidP="00547F9F">
            <w:pPr>
              <w:pStyle w:val="TableText"/>
              <w:rPr>
                <w:b/>
                <w:bCs/>
                <w:sz w:val="24"/>
              </w:rPr>
            </w:pPr>
            <w:r w:rsidRPr="007C488A">
              <w:rPr>
                <w:b/>
                <w:bCs/>
              </w:rPr>
              <w:t xml:space="preserve">Category </w:t>
            </w:r>
            <w:r w:rsidR="00EE2BFD" w:rsidRPr="007C488A">
              <w:rPr>
                <w:b/>
                <w:bCs/>
              </w:rPr>
              <w:t xml:space="preserve">3 </w:t>
            </w:r>
            <w:r w:rsidRPr="007C488A">
              <w:rPr>
                <w:b/>
                <w:bCs/>
              </w:rPr>
              <w:t xml:space="preserve">– </w:t>
            </w:r>
            <w:r w:rsidR="00EE2BFD" w:rsidRPr="007C488A">
              <w:rPr>
                <w:b/>
                <w:bCs/>
              </w:rPr>
              <w:t>Therapeutic Procedures</w:t>
            </w:r>
          </w:p>
        </w:tc>
      </w:tr>
      <w:tr w:rsidR="003328A9" w:rsidRPr="007C488A" w14:paraId="05A9B76F" w14:textId="77777777" w:rsidTr="0D14F3A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DC9DD" w14:textId="3A1956F5" w:rsidR="00EE2BFD" w:rsidRPr="007C488A" w:rsidRDefault="00EE2BFD" w:rsidP="00A45A0E">
            <w:pPr>
              <w:pStyle w:val="TableText"/>
            </w:pPr>
            <w:r w:rsidRPr="007C488A">
              <w:t xml:space="preserve">MBS item </w:t>
            </w:r>
            <w:proofErr w:type="spellStart"/>
            <w:r w:rsidRPr="007C488A">
              <w:t>xxxx</w:t>
            </w:r>
            <w:proofErr w:type="spellEnd"/>
            <w:r w:rsidRPr="007C488A">
              <w:t xml:space="preserve"> </w:t>
            </w:r>
          </w:p>
          <w:p w14:paraId="545B701D" w14:textId="0216C16B" w:rsidR="00EE2BFD" w:rsidRPr="007C488A" w:rsidRDefault="4C59B715" w:rsidP="00A45A0E">
            <w:pPr>
              <w:pStyle w:val="TableText"/>
            </w:pPr>
            <w:r w:rsidRPr="007C488A">
              <w:t xml:space="preserve">Insertion of a </w:t>
            </w:r>
            <w:r w:rsidR="2BDD3F05" w:rsidRPr="007C488A">
              <w:t xml:space="preserve">durable </w:t>
            </w:r>
            <w:r w:rsidRPr="007C488A">
              <w:t>left ventricular assist device (</w:t>
            </w:r>
            <w:r w:rsidR="02EC469D" w:rsidRPr="007C488A">
              <w:t>L</w:t>
            </w:r>
            <w:r w:rsidRPr="007C488A">
              <w:t>VAD) capable of providing mechanical circulatory support for at least six months, in a</w:t>
            </w:r>
            <w:r w:rsidR="0AE08C40" w:rsidRPr="007C488A">
              <w:t>n</w:t>
            </w:r>
            <w:r w:rsidRPr="007C488A">
              <w:t xml:space="preserve"> </w:t>
            </w:r>
            <w:r w:rsidR="0AE08C40" w:rsidRPr="007C488A">
              <w:t>L</w:t>
            </w:r>
            <w:r w:rsidRPr="007C488A">
              <w:t>VAD Patient for use as:</w:t>
            </w:r>
          </w:p>
          <w:p w14:paraId="0581F031" w14:textId="09BC73E6" w:rsidR="00BF0FBD" w:rsidRPr="007C488A" w:rsidRDefault="4C59B715" w:rsidP="00C944A4">
            <w:pPr>
              <w:pStyle w:val="TableText"/>
              <w:spacing w:before="240"/>
            </w:pPr>
            <w:r w:rsidRPr="007C488A">
              <w:t>(a) destination therapy in the management of a patient with refractory heart failure, despite optimal medical management including device use where appropriate, with INTERMACS profile 1–4, who is not eligible for cardiac transplantation</w:t>
            </w:r>
            <w:r w:rsidR="4DD5CDE5" w:rsidRPr="007C488A">
              <w:t>; and</w:t>
            </w:r>
            <w:r w:rsidRPr="007C488A">
              <w:t xml:space="preserve"> </w:t>
            </w:r>
            <w:r w:rsidR="7A175036" w:rsidRPr="007C488A">
              <w:t>(b)</w:t>
            </w:r>
            <w:r w:rsidR="00D76182" w:rsidRPr="007C488A">
              <w:t xml:space="preserve"> o</w:t>
            </w:r>
            <w:r w:rsidRPr="007C488A">
              <w:t>ther than a service associated with a service to which</w:t>
            </w:r>
            <w:r w:rsidR="00D76182" w:rsidRPr="007C488A">
              <w:t xml:space="preserve"> </w:t>
            </w:r>
            <w:r w:rsidRPr="007C488A">
              <w:t xml:space="preserve">item 11704, 11705, 11707, 11714, 18260, 33824, 38816, 38828 or 45503 applies. (H) </w:t>
            </w:r>
          </w:p>
          <w:p w14:paraId="1C7AA0F2" w14:textId="1DB70391" w:rsidR="00A27ADD" w:rsidRPr="00C944A4" w:rsidRDefault="6F15E7D5" w:rsidP="00C944A4">
            <w:pPr>
              <w:spacing w:before="240" w:after="240"/>
              <w:textAlignment w:val="baseline"/>
              <w:rPr>
                <w:rFonts w:ascii="Arial Narrow" w:hAnsi="Arial Narrow"/>
                <w:sz w:val="20"/>
                <w:szCs w:val="20"/>
                <w:lang w:eastAsia="en-AU"/>
              </w:rPr>
            </w:pPr>
            <w:r w:rsidRPr="007C488A">
              <w:rPr>
                <w:rFonts w:ascii="Arial Narrow" w:hAnsi="Arial Narrow"/>
                <w:sz w:val="20"/>
                <w:szCs w:val="20"/>
                <w:lang w:eastAsia="en-AU"/>
              </w:rPr>
              <w:t>Includes</w:t>
            </w:r>
            <w:r w:rsidR="7710976C" w:rsidRPr="007C488A">
              <w:rPr>
                <w:rFonts w:ascii="Arial Narrow" w:hAnsi="Arial Narrow"/>
                <w:sz w:val="20"/>
                <w:szCs w:val="20"/>
                <w:lang w:eastAsia="en-AU"/>
              </w:rPr>
              <w:t xml:space="preserve"> all associated </w:t>
            </w:r>
            <w:r w:rsidR="06240ED2" w:rsidRPr="007C488A">
              <w:rPr>
                <w:rFonts w:ascii="Arial Narrow" w:hAnsi="Arial Narrow"/>
                <w:sz w:val="20"/>
                <w:szCs w:val="20"/>
                <w:lang w:eastAsia="en-AU"/>
              </w:rPr>
              <w:t xml:space="preserve">intra-operative </w:t>
            </w:r>
            <w:r w:rsidR="7710976C" w:rsidRPr="007C488A">
              <w:rPr>
                <w:rFonts w:ascii="Arial Narrow" w:hAnsi="Arial Narrow"/>
                <w:sz w:val="20"/>
                <w:szCs w:val="20"/>
                <w:lang w:eastAsia="en-AU"/>
              </w:rPr>
              <w:t>imaging</w:t>
            </w:r>
            <w:r w:rsidRPr="007C488A">
              <w:rPr>
                <w:rFonts w:ascii="Arial Narrow" w:hAnsi="Arial Narrow"/>
                <w:sz w:val="20"/>
                <w:szCs w:val="20"/>
                <w:lang w:eastAsia="en-AU"/>
              </w:rPr>
              <w:t>.</w:t>
            </w:r>
          </w:p>
          <w:p w14:paraId="373C0F22" w14:textId="40D8F78F" w:rsidR="00EE2BFD" w:rsidRPr="007C488A" w:rsidRDefault="0063450D" w:rsidP="00A45A0E">
            <w:pPr>
              <w:pStyle w:val="TableText"/>
            </w:pPr>
            <w:hyperlink r:id="rId9" w:history="1">
              <w:r w:rsidR="00EE2BFD" w:rsidRPr="007C488A">
                <w:rPr>
                  <w:rStyle w:val="Hyperlink"/>
                  <w:color w:val="auto"/>
                  <w:u w:val="none"/>
                </w:rPr>
                <w:t>Multiple Operation Rule</w:t>
              </w:r>
            </w:hyperlink>
            <w:r w:rsidR="00EE2BFD" w:rsidRPr="007C488A">
              <w:t xml:space="preserve"> </w:t>
            </w:r>
          </w:p>
          <w:p w14:paraId="14045FFE" w14:textId="77777777" w:rsidR="00EE2BFD" w:rsidRPr="007C488A" w:rsidRDefault="00EE2BFD" w:rsidP="00A45A0E">
            <w:pPr>
              <w:pStyle w:val="TableText"/>
            </w:pPr>
            <w:r w:rsidRPr="007C488A">
              <w:t>(</w:t>
            </w:r>
            <w:proofErr w:type="spellStart"/>
            <w:r w:rsidRPr="007C488A">
              <w:t>Anaes</w:t>
            </w:r>
            <w:proofErr w:type="spellEnd"/>
            <w:r w:rsidRPr="007C488A">
              <w:t>.) (Assist.)</w:t>
            </w:r>
          </w:p>
          <w:p w14:paraId="5B0F238A" w14:textId="7AC7B1B0" w:rsidR="00EE2BFD" w:rsidRPr="007C488A" w:rsidRDefault="00EE2BFD" w:rsidP="00C944A4">
            <w:pPr>
              <w:pStyle w:val="TableText"/>
              <w:spacing w:before="240" w:after="240"/>
            </w:pPr>
            <w:r w:rsidRPr="007C488A">
              <w:t>Fee: $1,677.85 Benefit: 75% = $1,258.40</w:t>
            </w:r>
          </w:p>
          <w:p w14:paraId="3EEC2DE6" w14:textId="59F8B994" w:rsidR="003328A9" w:rsidRPr="007C488A" w:rsidRDefault="00EE2BFD" w:rsidP="00A45A0E">
            <w:pPr>
              <w:pStyle w:val="TableText"/>
            </w:pPr>
            <w:r w:rsidRPr="007C488A">
              <w:t xml:space="preserve">(See </w:t>
            </w:r>
            <w:proofErr w:type="gramStart"/>
            <w:r w:rsidRPr="007C488A">
              <w:t>para TN.</w:t>
            </w:r>
            <w:proofErr w:type="gramEnd"/>
            <w:r w:rsidRPr="007C488A">
              <w:t xml:space="preserve">8.xx of explanatory notes to this Category) </w:t>
            </w:r>
          </w:p>
        </w:tc>
      </w:tr>
      <w:tr w:rsidR="003328A9" w:rsidRPr="007C488A" w14:paraId="190EE027" w14:textId="77777777" w:rsidTr="0D14F3A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EAAD8" w14:textId="77777777" w:rsidR="00EE2BFD" w:rsidRPr="007C488A" w:rsidRDefault="00EE2BFD" w:rsidP="00A45A0E">
            <w:pPr>
              <w:pStyle w:val="TableText"/>
            </w:pPr>
            <w:r w:rsidRPr="007C488A">
              <w:t xml:space="preserve">Explanatory Note TN.8.xx </w:t>
            </w:r>
          </w:p>
          <w:p w14:paraId="195FD264" w14:textId="77777777" w:rsidR="002176C4" w:rsidRPr="007C488A" w:rsidRDefault="00EE2BFD" w:rsidP="00A45A0E">
            <w:pPr>
              <w:pStyle w:val="TableText"/>
            </w:pPr>
            <w:r w:rsidRPr="007C488A">
              <w:t xml:space="preserve">Item </w:t>
            </w:r>
            <w:proofErr w:type="spellStart"/>
            <w:r w:rsidRPr="007C488A">
              <w:t>xxxx</w:t>
            </w:r>
            <w:proofErr w:type="spellEnd"/>
            <w:r w:rsidRPr="007C488A">
              <w:t xml:space="preserve"> must be performed using open exposure or minimally invasive surgery which excludes percutaneous and transcatheter techniques unless otherwise stated in the item.</w:t>
            </w:r>
          </w:p>
          <w:p w14:paraId="4F9F541A" w14:textId="4FF9DE1C" w:rsidR="00957A18" w:rsidRPr="007C488A" w:rsidRDefault="003A4FB3" w:rsidP="00C944A4">
            <w:pPr>
              <w:pStyle w:val="TableText"/>
              <w:spacing w:before="240"/>
            </w:pPr>
            <w:r w:rsidRPr="007C488A">
              <w:t>L</w:t>
            </w:r>
            <w:r w:rsidR="00EE2BFD" w:rsidRPr="007C488A">
              <w:t>VAD Patient</w:t>
            </w:r>
          </w:p>
          <w:p w14:paraId="479CD644" w14:textId="44D51742" w:rsidR="00EE2BFD" w:rsidRPr="007C488A" w:rsidRDefault="00EE2BFD" w:rsidP="00A45A0E">
            <w:pPr>
              <w:pStyle w:val="TableText"/>
            </w:pPr>
            <w:r w:rsidRPr="007C488A">
              <w:t>A</w:t>
            </w:r>
            <w:r w:rsidR="009B0A83" w:rsidRPr="007C488A">
              <w:t>n</w:t>
            </w:r>
            <w:r w:rsidRPr="007C488A">
              <w:t xml:space="preserve"> </w:t>
            </w:r>
            <w:r w:rsidR="009B0A83" w:rsidRPr="007C488A">
              <w:t>L</w:t>
            </w:r>
            <w:r w:rsidRPr="007C488A">
              <w:t xml:space="preserve">VAD Patient means a patient who, </w:t>
            </w:r>
            <w:proofErr w:type="gramStart"/>
            <w:r w:rsidRPr="007C488A">
              <w:t>as a result of</w:t>
            </w:r>
            <w:proofErr w:type="gramEnd"/>
            <w:r w:rsidRPr="007C488A">
              <w:t xml:space="preserve"> a</w:t>
            </w:r>
            <w:r w:rsidR="009B0A83" w:rsidRPr="007C488A">
              <w:t>n</w:t>
            </w:r>
            <w:r w:rsidRPr="007C488A">
              <w:t xml:space="preserve"> </w:t>
            </w:r>
            <w:r w:rsidR="009B0A83" w:rsidRPr="007C488A">
              <w:t>L</w:t>
            </w:r>
            <w:r w:rsidRPr="007C488A">
              <w:t xml:space="preserve">VAD Case Conference, has been assessed as suitable for </w:t>
            </w:r>
            <w:r w:rsidR="009B0A83" w:rsidRPr="007C488A">
              <w:t>L</w:t>
            </w:r>
            <w:r w:rsidRPr="007C488A">
              <w:t xml:space="preserve">VAD based on the following: </w:t>
            </w:r>
          </w:p>
          <w:p w14:paraId="66D4D893" w14:textId="5CBC0505" w:rsidR="00EE2BFD" w:rsidRPr="007C488A" w:rsidRDefault="00EE2BFD" w:rsidP="00DC74C9">
            <w:pPr>
              <w:pStyle w:val="TableText"/>
              <w:numPr>
                <w:ilvl w:val="0"/>
                <w:numId w:val="16"/>
              </w:numPr>
            </w:pPr>
            <w:r w:rsidRPr="007C488A">
              <w:lastRenderedPageBreak/>
              <w:t xml:space="preserve">destination therapy in the management of a patient with refractory heart failure, despite optimal medical management including device use where appropriate, with INTERMACS profile 1–4, who is not eligible for cardiac transplantation. </w:t>
            </w:r>
          </w:p>
          <w:p w14:paraId="1B74219F" w14:textId="10F252FA" w:rsidR="00E20391" w:rsidRPr="007C488A" w:rsidRDefault="00EE2BFD" w:rsidP="00C944A4">
            <w:pPr>
              <w:pStyle w:val="TableText"/>
              <w:spacing w:before="240"/>
            </w:pPr>
            <w:r w:rsidRPr="007C488A">
              <w:t>A</w:t>
            </w:r>
            <w:r w:rsidR="009B0A83" w:rsidRPr="007C488A">
              <w:t>n</w:t>
            </w:r>
            <w:r w:rsidRPr="007C488A">
              <w:t xml:space="preserve"> </w:t>
            </w:r>
            <w:r w:rsidR="009B0A83" w:rsidRPr="007C488A">
              <w:t>L</w:t>
            </w:r>
            <w:r w:rsidRPr="007C488A">
              <w:t>VAD Case Conference is a process by which:</w:t>
            </w:r>
          </w:p>
          <w:p w14:paraId="0E85727F" w14:textId="361107AE" w:rsidR="00EE2BFD" w:rsidRPr="007C488A" w:rsidRDefault="00EE2BFD" w:rsidP="00DC74C9">
            <w:pPr>
              <w:pStyle w:val="TableText"/>
              <w:numPr>
                <w:ilvl w:val="0"/>
                <w:numId w:val="19"/>
              </w:numPr>
            </w:pPr>
            <w:r w:rsidRPr="007C488A">
              <w:t xml:space="preserve">there is a team of </w:t>
            </w:r>
            <w:r w:rsidR="00B84B8E" w:rsidRPr="007C488A">
              <w:t>4</w:t>
            </w:r>
            <w:r w:rsidRPr="007C488A">
              <w:t xml:space="preserve"> or more participants, where: </w:t>
            </w:r>
          </w:p>
          <w:p w14:paraId="62691EC0" w14:textId="7E8B5B07" w:rsidR="006E635E" w:rsidRPr="007C488A" w:rsidRDefault="00EE2BFD" w:rsidP="00DC74C9">
            <w:pPr>
              <w:pStyle w:val="TableText"/>
              <w:numPr>
                <w:ilvl w:val="0"/>
                <w:numId w:val="17"/>
              </w:numPr>
            </w:pPr>
            <w:r w:rsidRPr="007C488A">
              <w:t>the first participant is a cardiothoracic surgeon</w:t>
            </w:r>
          </w:p>
          <w:p w14:paraId="2D2CEAA6" w14:textId="006C495D" w:rsidR="006E635E" w:rsidRPr="007C488A" w:rsidRDefault="4C59B715" w:rsidP="00DC74C9">
            <w:pPr>
              <w:pStyle w:val="TableText"/>
              <w:numPr>
                <w:ilvl w:val="0"/>
                <w:numId w:val="17"/>
              </w:numPr>
            </w:pPr>
            <w:r w:rsidRPr="007C488A">
              <w:t>the second participant is a</w:t>
            </w:r>
            <w:r w:rsidR="773D3D46" w:rsidRPr="007C488A">
              <w:t>n inte</w:t>
            </w:r>
            <w:r w:rsidR="74A1B11A" w:rsidRPr="007C488A">
              <w:t>nsive care</w:t>
            </w:r>
            <w:r w:rsidR="00D548FA" w:rsidRPr="007C488A">
              <w:t xml:space="preserve"> </w:t>
            </w:r>
            <w:r w:rsidRPr="007C488A">
              <w:t>specialist or consultant physician who does not perform a service described in item</w:t>
            </w:r>
            <w:r w:rsidR="5DFE4DA0" w:rsidRPr="007C488A">
              <w:t xml:space="preserve"> </w:t>
            </w:r>
            <w:proofErr w:type="spellStart"/>
            <w:r w:rsidRPr="007C488A">
              <w:t>xxxx</w:t>
            </w:r>
            <w:proofErr w:type="spellEnd"/>
            <w:r w:rsidRPr="007C488A">
              <w:t xml:space="preserve"> for the patient being assessed; and</w:t>
            </w:r>
          </w:p>
          <w:p w14:paraId="20076499" w14:textId="7363F30F" w:rsidR="00957A18" w:rsidRPr="007C488A" w:rsidRDefault="4C59B715" w:rsidP="00DC74C9">
            <w:pPr>
              <w:pStyle w:val="TableText"/>
              <w:numPr>
                <w:ilvl w:val="0"/>
                <w:numId w:val="17"/>
              </w:numPr>
            </w:pPr>
            <w:r w:rsidRPr="007C488A">
              <w:t xml:space="preserve">the third participant is a </w:t>
            </w:r>
            <w:r w:rsidR="18254CAB" w:rsidRPr="007C488A">
              <w:t>transplant cardiologist</w:t>
            </w:r>
            <w:r w:rsidRPr="007C488A">
              <w:t xml:space="preserve"> who does not perform a service</w:t>
            </w:r>
            <w:r w:rsidR="5DFE4DA0" w:rsidRPr="007C488A">
              <w:t xml:space="preserve"> </w:t>
            </w:r>
            <w:r w:rsidRPr="007C488A">
              <w:t xml:space="preserve">described in item </w:t>
            </w:r>
            <w:proofErr w:type="spellStart"/>
            <w:r w:rsidRPr="007C488A">
              <w:t>xxxx</w:t>
            </w:r>
            <w:proofErr w:type="spellEnd"/>
            <w:r w:rsidRPr="007C488A">
              <w:t xml:space="preserve"> for the patient being assessed; and </w:t>
            </w:r>
          </w:p>
          <w:p w14:paraId="4F668419" w14:textId="6C7A9514" w:rsidR="006129DC" w:rsidRPr="007C488A" w:rsidRDefault="006129DC" w:rsidP="00DC74C9">
            <w:pPr>
              <w:pStyle w:val="TableText"/>
              <w:numPr>
                <w:ilvl w:val="0"/>
                <w:numId w:val="17"/>
              </w:numPr>
            </w:pPr>
            <w:r w:rsidRPr="007C488A">
              <w:t>the fourth participant is a transplant coordinator</w:t>
            </w:r>
            <w:r w:rsidR="15FC8B40" w:rsidRPr="007C488A">
              <w:t xml:space="preserve"> </w:t>
            </w:r>
            <w:r w:rsidR="4124ECDA" w:rsidRPr="007C488A">
              <w:t xml:space="preserve">or LVAD </w:t>
            </w:r>
            <w:r w:rsidR="15FC8B40" w:rsidRPr="007C488A">
              <w:t>coordinator</w:t>
            </w:r>
            <w:r w:rsidRPr="007C488A">
              <w:t>; and</w:t>
            </w:r>
          </w:p>
          <w:p w14:paraId="1A0FFE25" w14:textId="700DB4E6" w:rsidR="00EE2BFD" w:rsidRPr="007C488A" w:rsidRDefault="00EE2BFD" w:rsidP="00DC74C9">
            <w:pPr>
              <w:pStyle w:val="TableText"/>
              <w:numPr>
                <w:ilvl w:val="0"/>
                <w:numId w:val="17"/>
              </w:numPr>
            </w:pPr>
            <w:r w:rsidRPr="007C488A">
              <w:t xml:space="preserve">the first participant will perform the </w:t>
            </w:r>
            <w:r w:rsidR="00493863" w:rsidRPr="007C488A">
              <w:t>L</w:t>
            </w:r>
            <w:r w:rsidRPr="007C488A">
              <w:t xml:space="preserve">VAD procedure </w:t>
            </w:r>
          </w:p>
          <w:p w14:paraId="72959FAA" w14:textId="36439A9F" w:rsidR="00EE2BFD" w:rsidRPr="007C488A" w:rsidRDefault="00EE2BFD" w:rsidP="00DC74C9">
            <w:pPr>
              <w:pStyle w:val="TableText"/>
              <w:numPr>
                <w:ilvl w:val="0"/>
                <w:numId w:val="19"/>
              </w:numPr>
            </w:pPr>
            <w:r w:rsidRPr="007C488A">
              <w:t xml:space="preserve">the team assesses a patient’s risk and technical suitability to receive the service described in item </w:t>
            </w:r>
            <w:proofErr w:type="spellStart"/>
            <w:r w:rsidRPr="007C488A">
              <w:t>xxxx</w:t>
            </w:r>
            <w:proofErr w:type="spellEnd"/>
            <w:r w:rsidRPr="007C488A">
              <w:t xml:space="preserve">, </w:t>
            </w:r>
            <w:proofErr w:type="gramStart"/>
            <w:r w:rsidRPr="007C488A">
              <w:t>taking into account</w:t>
            </w:r>
            <w:proofErr w:type="gramEnd"/>
            <w:r w:rsidRPr="007C488A">
              <w:t xml:space="preserve"> matters such as: </w:t>
            </w:r>
          </w:p>
          <w:p w14:paraId="711B2EDF" w14:textId="6F783F69" w:rsidR="00EE2BFD" w:rsidRPr="007C488A" w:rsidRDefault="00EE2BFD" w:rsidP="00DC74C9">
            <w:pPr>
              <w:pStyle w:val="TableText"/>
              <w:numPr>
                <w:ilvl w:val="0"/>
                <w:numId w:val="18"/>
              </w:numPr>
            </w:pPr>
            <w:r w:rsidRPr="007C488A">
              <w:t xml:space="preserve">the patient’s risk and technical suitability for a ventricular assist device implantation; and </w:t>
            </w:r>
          </w:p>
          <w:p w14:paraId="01B1D43C" w14:textId="77777777" w:rsidR="00917606" w:rsidRPr="007C488A" w:rsidRDefault="00EE2BFD" w:rsidP="00DC74C9">
            <w:pPr>
              <w:pStyle w:val="TableText"/>
              <w:numPr>
                <w:ilvl w:val="0"/>
                <w:numId w:val="18"/>
              </w:numPr>
            </w:pPr>
            <w:r w:rsidRPr="007C488A">
              <w:t>(ii) the patient’s cognitive function and frailty; and</w:t>
            </w:r>
          </w:p>
          <w:p w14:paraId="2A306DA1" w14:textId="31B31382" w:rsidR="003317C9" w:rsidRPr="007C488A" w:rsidRDefault="00EE2BFD" w:rsidP="00DC74C9">
            <w:pPr>
              <w:pStyle w:val="TableText"/>
              <w:numPr>
                <w:ilvl w:val="0"/>
                <w:numId w:val="19"/>
              </w:numPr>
            </w:pPr>
            <w:r w:rsidRPr="007C488A">
              <w:t xml:space="preserve">the result of the assessment is that the team makes a recommendation about </w:t>
            </w:r>
            <w:proofErr w:type="gramStart"/>
            <w:r w:rsidRPr="007C488A">
              <w:t>whether or not</w:t>
            </w:r>
            <w:proofErr w:type="gramEnd"/>
            <w:r w:rsidRPr="007C488A">
              <w:t xml:space="preserve"> the patient is suitable to receive the service described in item </w:t>
            </w:r>
            <w:proofErr w:type="spellStart"/>
            <w:r w:rsidRPr="007C488A">
              <w:t>xxxx</w:t>
            </w:r>
            <w:proofErr w:type="spellEnd"/>
            <w:r w:rsidRPr="007C488A">
              <w:t>; and</w:t>
            </w:r>
          </w:p>
          <w:p w14:paraId="5AEEDFDC" w14:textId="16CFF99B" w:rsidR="003328A9" w:rsidRPr="007C488A" w:rsidRDefault="00EE2BFD" w:rsidP="00DC74C9">
            <w:pPr>
              <w:pStyle w:val="TableText"/>
              <w:numPr>
                <w:ilvl w:val="0"/>
                <w:numId w:val="19"/>
              </w:numPr>
            </w:pPr>
            <w:r w:rsidRPr="007C488A">
              <w:t xml:space="preserve">the particulars of the assessment and recommendation are recorded in writing. </w:t>
            </w:r>
          </w:p>
        </w:tc>
      </w:tr>
    </w:tbl>
    <w:p w14:paraId="3D95913F" w14:textId="60EAA0A9" w:rsidR="00547F9F" w:rsidRPr="007C488A" w:rsidRDefault="00547F9F" w:rsidP="00A45A0E">
      <w:pPr>
        <w:pStyle w:val="Tablenotes0"/>
      </w:pPr>
      <w:bookmarkStart w:id="10" w:name="_Toc69491419"/>
      <w:r w:rsidRPr="007C488A">
        <w:lastRenderedPageBreak/>
        <w:t xml:space="preserve">Source: Table </w:t>
      </w:r>
      <w:r w:rsidR="005E0B46" w:rsidRPr="007C488A">
        <w:t>9</w:t>
      </w:r>
      <w:r w:rsidRPr="007C488A">
        <w:t xml:space="preserve">, </w:t>
      </w:r>
      <w:r w:rsidR="005E0B46" w:rsidRPr="007C488A">
        <w:t xml:space="preserve">p54 </w:t>
      </w:r>
      <w:r w:rsidRPr="007C488A">
        <w:t xml:space="preserve">of </w:t>
      </w:r>
      <w:r w:rsidR="005E0B46" w:rsidRPr="007C488A">
        <w:t>MSAC 1749 ADAR+</w:t>
      </w:r>
      <w:r w:rsidR="00FF43D6" w:rsidRPr="007C488A">
        <w:t xml:space="preserve"> </w:t>
      </w:r>
      <w:r w:rsidR="005E0B46" w:rsidRPr="007C488A">
        <w:t>in-line commentary</w:t>
      </w:r>
    </w:p>
    <w:p w14:paraId="77ADFBFB" w14:textId="3D486A4E" w:rsidR="00547F9F" w:rsidRPr="007C488A" w:rsidRDefault="00547F9F" w:rsidP="00927D73">
      <w:pPr>
        <w:pStyle w:val="Tablenotes0"/>
      </w:pPr>
      <w:r w:rsidRPr="007C488A">
        <w:t xml:space="preserve">Abbreviations: </w:t>
      </w:r>
      <w:r w:rsidR="00A45A0E" w:rsidRPr="007C488A">
        <w:t>DT</w:t>
      </w:r>
      <w:r w:rsidR="0000082E" w:rsidRPr="007C488A">
        <w:t xml:space="preserve"> = </w:t>
      </w:r>
      <w:r w:rsidR="00A45A0E" w:rsidRPr="007C488A">
        <w:t xml:space="preserve">Destination therapy; </w:t>
      </w:r>
      <w:r w:rsidRPr="007C488A">
        <w:t>INTERMACS</w:t>
      </w:r>
      <w:r w:rsidR="0000082E" w:rsidRPr="007C488A">
        <w:t xml:space="preserve"> = </w:t>
      </w:r>
      <w:r w:rsidRPr="007C488A">
        <w:t xml:space="preserve">Interagency Registry for Mechanically Assisted Circulatory Support; </w:t>
      </w:r>
      <w:r w:rsidR="00892417" w:rsidRPr="007C488A">
        <w:t>L</w:t>
      </w:r>
      <w:r w:rsidRPr="007C488A">
        <w:t>VAD</w:t>
      </w:r>
      <w:r w:rsidR="0000082E" w:rsidRPr="007C488A">
        <w:t xml:space="preserve"> = </w:t>
      </w:r>
      <w:r w:rsidR="00892417" w:rsidRPr="007C488A">
        <w:t xml:space="preserve">left </w:t>
      </w:r>
      <w:r w:rsidRPr="007C488A">
        <w:t>ventricular assist device</w:t>
      </w:r>
      <w:r w:rsidR="0000082E" w:rsidRPr="007C488A">
        <w:t xml:space="preserve">; TN </w:t>
      </w:r>
      <w:r w:rsidR="00927D73" w:rsidRPr="007C488A">
        <w:t>= technical</w:t>
      </w:r>
      <w:r w:rsidR="00F901B4" w:rsidRPr="007C488A">
        <w:t xml:space="preserve"> notes</w:t>
      </w:r>
    </w:p>
    <w:p w14:paraId="325012E4" w14:textId="466065EB" w:rsidR="00547F9F" w:rsidRPr="007C488A" w:rsidRDefault="00547F9F" w:rsidP="00A45A0E">
      <w:pPr>
        <w:pStyle w:val="Tablenotes0"/>
      </w:pPr>
      <w:r w:rsidRPr="007C488A">
        <w:t xml:space="preserve">Notes: Proposed by the </w:t>
      </w:r>
      <w:r w:rsidR="00A45A0E" w:rsidRPr="007C488A">
        <w:t>D</w:t>
      </w:r>
      <w:r w:rsidRPr="007C488A">
        <w:t xml:space="preserve">epartment based on applicant proposed amendments to MBS items 38615 and 38618 and to reflect PASC advice that the proposed MBS item should be limited to single </w:t>
      </w:r>
      <w:r w:rsidR="00892417" w:rsidRPr="007C488A">
        <w:t>L</w:t>
      </w:r>
      <w:r w:rsidRPr="007C488A">
        <w:t>VAD insertion for DT.</w:t>
      </w:r>
    </w:p>
    <w:p w14:paraId="32C1D2EB" w14:textId="689FCCBC" w:rsidR="00547F9F" w:rsidRPr="007C488A" w:rsidRDefault="00452685" w:rsidP="00547F9F">
      <w:pPr>
        <w:pStyle w:val="Instructionaltext"/>
        <w:jc w:val="both"/>
        <w:rPr>
          <w:color w:val="auto"/>
          <w:lang w:val="en-US"/>
        </w:rPr>
      </w:pPr>
      <w:r w:rsidRPr="007C488A">
        <w:rPr>
          <w:color w:val="auto"/>
          <w:lang w:val="en-US"/>
        </w:rPr>
        <w:t xml:space="preserve">As per MSAC 1749 Ratified PICO </w:t>
      </w:r>
      <w:r w:rsidR="00C25AF0" w:rsidRPr="007C488A">
        <w:rPr>
          <w:color w:val="auto"/>
          <w:lang w:val="en-US"/>
        </w:rPr>
        <w:t>c</w:t>
      </w:r>
      <w:r w:rsidRPr="007C488A">
        <w:rPr>
          <w:color w:val="auto"/>
          <w:lang w:val="en-US"/>
        </w:rPr>
        <w:t xml:space="preserve">onfirmation, </w:t>
      </w:r>
      <w:r w:rsidR="00360CCA" w:rsidRPr="007C488A">
        <w:rPr>
          <w:color w:val="auto"/>
          <w:lang w:val="en-US"/>
        </w:rPr>
        <w:t>a</w:t>
      </w:r>
      <w:r w:rsidR="004136FA" w:rsidRPr="007C488A">
        <w:rPr>
          <w:color w:val="auto"/>
          <w:lang w:val="en-US"/>
        </w:rPr>
        <w:t xml:space="preserve">n explanatory note </w:t>
      </w:r>
      <w:r w:rsidR="00DA60F2" w:rsidRPr="007C488A">
        <w:rPr>
          <w:color w:val="auto"/>
          <w:lang w:val="en-US"/>
        </w:rPr>
        <w:t>detailing</w:t>
      </w:r>
      <w:r w:rsidR="00547F9F" w:rsidRPr="007C488A">
        <w:rPr>
          <w:color w:val="auto"/>
          <w:lang w:val="en-US"/>
        </w:rPr>
        <w:t xml:space="preserve"> </w:t>
      </w:r>
      <w:r w:rsidR="00892417" w:rsidRPr="007C488A">
        <w:rPr>
          <w:color w:val="auto"/>
          <w:lang w:val="en-US"/>
        </w:rPr>
        <w:t>L</w:t>
      </w:r>
      <w:r w:rsidR="00547F9F" w:rsidRPr="007C488A">
        <w:rPr>
          <w:color w:val="auto"/>
          <w:lang w:val="en-US"/>
        </w:rPr>
        <w:t xml:space="preserve">VAD case conference </w:t>
      </w:r>
      <w:r w:rsidR="00765361" w:rsidRPr="007C488A">
        <w:rPr>
          <w:color w:val="auto"/>
          <w:lang w:val="en-US"/>
        </w:rPr>
        <w:t xml:space="preserve">to ensure appropriate patient selection and decision </w:t>
      </w:r>
      <w:r w:rsidR="004630EA" w:rsidRPr="007C488A">
        <w:rPr>
          <w:color w:val="auto"/>
          <w:lang w:val="en-US"/>
        </w:rPr>
        <w:t xml:space="preserve">for LVAD implantation </w:t>
      </w:r>
      <w:r w:rsidR="00A27433" w:rsidRPr="007C488A">
        <w:rPr>
          <w:color w:val="auto"/>
          <w:lang w:val="en-US"/>
        </w:rPr>
        <w:t xml:space="preserve">for DT </w:t>
      </w:r>
      <w:r w:rsidR="00431E1E" w:rsidRPr="007C488A">
        <w:rPr>
          <w:color w:val="auto"/>
          <w:lang w:val="en-US"/>
        </w:rPr>
        <w:t xml:space="preserve">was </w:t>
      </w:r>
      <w:r w:rsidR="00547F9F" w:rsidRPr="007C488A">
        <w:rPr>
          <w:color w:val="auto"/>
          <w:lang w:val="en-US"/>
        </w:rPr>
        <w:t xml:space="preserve">proposed </w:t>
      </w:r>
      <w:r w:rsidR="00574E0D" w:rsidRPr="007C488A">
        <w:rPr>
          <w:color w:val="auto"/>
          <w:lang w:val="en-US"/>
        </w:rPr>
        <w:t xml:space="preserve">in </w:t>
      </w:r>
      <w:r w:rsidR="00547F9F" w:rsidRPr="007C488A">
        <w:rPr>
          <w:color w:val="auto"/>
          <w:lang w:val="en-US"/>
        </w:rPr>
        <w:t xml:space="preserve">the </w:t>
      </w:r>
      <w:r w:rsidR="00B8657F" w:rsidRPr="007C488A">
        <w:rPr>
          <w:color w:val="auto"/>
          <w:lang w:val="en-US"/>
        </w:rPr>
        <w:t xml:space="preserve">Applicant Developed Assessment Report </w:t>
      </w:r>
      <w:r w:rsidR="00E959A4" w:rsidRPr="007C488A">
        <w:rPr>
          <w:color w:val="auto"/>
          <w:lang w:val="en-US"/>
        </w:rPr>
        <w:t>(</w:t>
      </w:r>
      <w:r w:rsidR="00574E0D" w:rsidRPr="007C488A">
        <w:rPr>
          <w:color w:val="auto"/>
          <w:lang w:val="en-US"/>
        </w:rPr>
        <w:t>ADAR</w:t>
      </w:r>
      <w:r w:rsidR="00E959A4" w:rsidRPr="007C488A">
        <w:rPr>
          <w:color w:val="auto"/>
          <w:lang w:val="en-US"/>
        </w:rPr>
        <w:t>)</w:t>
      </w:r>
      <w:r w:rsidR="0064731E" w:rsidRPr="007C488A">
        <w:rPr>
          <w:color w:val="auto"/>
          <w:lang w:val="en-US"/>
        </w:rPr>
        <w:t xml:space="preserve"> </w:t>
      </w:r>
      <w:r w:rsidR="00547F9F" w:rsidRPr="007C488A">
        <w:rPr>
          <w:color w:val="auto"/>
          <w:lang w:val="en-US"/>
        </w:rPr>
        <w:t>(Please see the notes in the proposed MBS descriptor in</w:t>
      </w:r>
      <w:r w:rsidR="007F1C83" w:rsidRPr="007C488A">
        <w:rPr>
          <w:color w:val="auto"/>
          <w:lang w:val="en-US"/>
        </w:rPr>
        <w:t xml:space="preserve"> </w:t>
      </w:r>
      <w:r w:rsidR="007F1C83" w:rsidRPr="007C488A">
        <w:rPr>
          <w:color w:val="auto"/>
          <w:lang w:val="en-US"/>
        </w:rPr>
        <w:fldChar w:fldCharType="begin"/>
      </w:r>
      <w:r w:rsidR="007F1C83" w:rsidRPr="007C488A">
        <w:rPr>
          <w:color w:val="auto"/>
          <w:lang w:val="en-US"/>
        </w:rPr>
        <w:instrText xml:space="preserve"> REF _Ref69481033 \h </w:instrText>
      </w:r>
      <w:r w:rsidR="007C488A">
        <w:rPr>
          <w:color w:val="auto"/>
          <w:lang w:val="en-US"/>
        </w:rPr>
        <w:instrText xml:space="preserve"> \* MERGEFORMAT </w:instrText>
      </w:r>
      <w:r w:rsidR="007F1C83" w:rsidRPr="007C488A">
        <w:rPr>
          <w:color w:val="auto"/>
          <w:lang w:val="en-US"/>
        </w:rPr>
      </w:r>
      <w:r w:rsidR="007F1C83" w:rsidRPr="007C488A">
        <w:rPr>
          <w:color w:val="auto"/>
          <w:lang w:val="en-US"/>
        </w:rPr>
        <w:fldChar w:fldCharType="separate"/>
      </w:r>
      <w:r w:rsidR="00406484" w:rsidRPr="007C488A">
        <w:rPr>
          <w:color w:val="auto"/>
        </w:rPr>
        <w:t>Table </w:t>
      </w:r>
      <w:r w:rsidR="00406484" w:rsidRPr="007C488A">
        <w:rPr>
          <w:noProof/>
          <w:color w:val="auto"/>
        </w:rPr>
        <w:t>1</w:t>
      </w:r>
      <w:r w:rsidR="007F1C83" w:rsidRPr="007C488A">
        <w:rPr>
          <w:color w:val="auto"/>
          <w:lang w:val="en-US"/>
        </w:rPr>
        <w:fldChar w:fldCharType="end"/>
      </w:r>
      <w:r w:rsidR="00547F9F" w:rsidRPr="007C488A">
        <w:rPr>
          <w:color w:val="auto"/>
          <w:lang w:val="en-US"/>
        </w:rPr>
        <w:t xml:space="preserve">). </w:t>
      </w:r>
      <w:r w:rsidR="00C61455" w:rsidRPr="007C488A">
        <w:rPr>
          <w:color w:val="auto"/>
          <w:lang w:val="en-US"/>
        </w:rPr>
        <w:t xml:space="preserve">Although MBS items for existing indications (LVAD for BTT/BTC) do not specify a </w:t>
      </w:r>
      <w:r w:rsidR="00652E2F" w:rsidRPr="007C488A">
        <w:rPr>
          <w:color w:val="auto"/>
          <w:lang w:val="en-US"/>
        </w:rPr>
        <w:t>L</w:t>
      </w:r>
      <w:r w:rsidR="00C61455" w:rsidRPr="007C488A">
        <w:rPr>
          <w:color w:val="auto"/>
          <w:lang w:val="en-US"/>
        </w:rPr>
        <w:t>VAD case conference</w:t>
      </w:r>
      <w:r w:rsidR="00DA7F6C" w:rsidRPr="007C488A">
        <w:rPr>
          <w:color w:val="auto"/>
          <w:lang w:val="en-US"/>
        </w:rPr>
        <w:t xml:space="preserve"> with </w:t>
      </w:r>
      <w:r w:rsidR="00DA7F6C" w:rsidRPr="007C488A">
        <w:rPr>
          <w:color w:val="auto"/>
        </w:rPr>
        <w:t>multi-disciplinary team (MDT)</w:t>
      </w:r>
      <w:r w:rsidR="00C61455" w:rsidRPr="007C488A">
        <w:rPr>
          <w:color w:val="auto"/>
          <w:lang w:val="en-US"/>
        </w:rPr>
        <w:t xml:space="preserve">, the ADAR stated that </w:t>
      </w:r>
      <w:r w:rsidR="00652E2F" w:rsidRPr="007C488A">
        <w:rPr>
          <w:color w:val="auto"/>
          <w:lang w:val="en-US"/>
        </w:rPr>
        <w:t>L</w:t>
      </w:r>
      <w:r w:rsidR="00DA7F6C" w:rsidRPr="007C488A">
        <w:rPr>
          <w:color w:val="auto"/>
          <w:lang w:val="en-US"/>
        </w:rPr>
        <w:t>VAD</w:t>
      </w:r>
      <w:r w:rsidR="00C61455" w:rsidRPr="007C488A">
        <w:rPr>
          <w:color w:val="auto"/>
          <w:lang w:val="en-US"/>
        </w:rPr>
        <w:t xml:space="preserve"> case conference to assess a patient suitability for LVAD for existing indications is well-established and </w:t>
      </w:r>
      <w:r w:rsidR="00DA7F6C" w:rsidRPr="007C488A">
        <w:rPr>
          <w:color w:val="auto"/>
          <w:lang w:val="en-US"/>
        </w:rPr>
        <w:t xml:space="preserve">align with </w:t>
      </w:r>
      <w:r w:rsidR="00C61455" w:rsidRPr="007C488A">
        <w:rPr>
          <w:color w:val="auto"/>
          <w:lang w:val="en-US"/>
        </w:rPr>
        <w:t>current clinical practice.</w:t>
      </w:r>
    </w:p>
    <w:p w14:paraId="50C5506C" w14:textId="209F7510" w:rsidR="00547F9F" w:rsidRPr="007C488A" w:rsidRDefault="4A8849FD" w:rsidP="00547F9F">
      <w:pPr>
        <w:pStyle w:val="Instructionaltext"/>
        <w:jc w:val="both"/>
        <w:rPr>
          <w:color w:val="auto"/>
          <w:lang w:val="en-US"/>
        </w:rPr>
      </w:pPr>
      <w:r w:rsidRPr="007C488A">
        <w:rPr>
          <w:color w:val="auto"/>
          <w:lang w:val="en-US"/>
        </w:rPr>
        <w:t>The commentary note</w:t>
      </w:r>
      <w:r w:rsidR="2DC49366" w:rsidRPr="007C488A">
        <w:rPr>
          <w:color w:val="auto"/>
          <w:lang w:val="en-US"/>
        </w:rPr>
        <w:t>d</w:t>
      </w:r>
      <w:r w:rsidRPr="007C488A">
        <w:rPr>
          <w:color w:val="auto"/>
          <w:lang w:val="en-US"/>
        </w:rPr>
        <w:t xml:space="preserve"> that</w:t>
      </w:r>
      <w:r w:rsidR="4D264F96" w:rsidRPr="007C488A">
        <w:rPr>
          <w:color w:val="auto"/>
          <w:lang w:val="en-US"/>
        </w:rPr>
        <w:t xml:space="preserve"> PASC considered the MDT explanatory note for </w:t>
      </w:r>
      <w:r w:rsidR="778E1D55" w:rsidRPr="007C488A">
        <w:rPr>
          <w:color w:val="auto"/>
          <w:lang w:val="en-US"/>
        </w:rPr>
        <w:t>L</w:t>
      </w:r>
      <w:r w:rsidR="4D264F96" w:rsidRPr="007C488A">
        <w:rPr>
          <w:color w:val="auto"/>
          <w:lang w:val="en-US"/>
        </w:rPr>
        <w:t xml:space="preserve">VAD as DT should be amended to include an intensive care clinician </w:t>
      </w:r>
      <w:bookmarkStart w:id="11" w:name="_Hlk153543565"/>
      <w:r w:rsidR="4D264F96" w:rsidRPr="007C488A">
        <w:rPr>
          <w:color w:val="auto"/>
          <w:lang w:val="en-US"/>
        </w:rPr>
        <w:t>(</w:t>
      </w:r>
      <w:r w:rsidR="40B40F6D" w:rsidRPr="007C488A">
        <w:rPr>
          <w:color w:val="auto"/>
          <w:lang w:val="en-US"/>
        </w:rPr>
        <w:t xml:space="preserve">MSAC 1749 </w:t>
      </w:r>
      <w:r w:rsidR="4D264F96" w:rsidRPr="007C488A">
        <w:rPr>
          <w:color w:val="auto"/>
          <w:lang w:val="en-US"/>
        </w:rPr>
        <w:t>Ratified PICO</w:t>
      </w:r>
      <w:r w:rsidR="40B40F6D" w:rsidRPr="007C488A">
        <w:rPr>
          <w:color w:val="auto"/>
          <w:lang w:val="en-US"/>
        </w:rPr>
        <w:t>, pg</w:t>
      </w:r>
      <w:r w:rsidR="15C448DB" w:rsidRPr="007C488A">
        <w:rPr>
          <w:color w:val="auto"/>
          <w:lang w:val="en-US"/>
        </w:rPr>
        <w:t>32</w:t>
      </w:r>
      <w:r w:rsidR="4D264F96" w:rsidRPr="007C488A">
        <w:rPr>
          <w:color w:val="auto"/>
          <w:lang w:val="en-US"/>
        </w:rPr>
        <w:t>)</w:t>
      </w:r>
      <w:bookmarkEnd w:id="11"/>
      <w:r w:rsidR="4D264F96" w:rsidRPr="007C488A">
        <w:rPr>
          <w:color w:val="auto"/>
          <w:lang w:val="en-US"/>
        </w:rPr>
        <w:t xml:space="preserve">. </w:t>
      </w:r>
      <w:r w:rsidR="3F5B214C" w:rsidRPr="007C488A">
        <w:rPr>
          <w:color w:val="auto"/>
          <w:lang w:val="en-US"/>
        </w:rPr>
        <w:t xml:space="preserve">The </w:t>
      </w:r>
      <w:r w:rsidR="1CBE967F" w:rsidRPr="007C488A">
        <w:rPr>
          <w:color w:val="auto"/>
          <w:lang w:val="en-US"/>
        </w:rPr>
        <w:t xml:space="preserve">proposed </w:t>
      </w:r>
      <w:r w:rsidR="597C950A" w:rsidRPr="007C488A">
        <w:rPr>
          <w:color w:val="auto"/>
          <w:lang w:val="en-US"/>
        </w:rPr>
        <w:t xml:space="preserve">MDT </w:t>
      </w:r>
      <w:r w:rsidR="1CBE967F" w:rsidRPr="007C488A">
        <w:rPr>
          <w:color w:val="auto"/>
          <w:lang w:val="en-US"/>
        </w:rPr>
        <w:t xml:space="preserve">explanatory note has not been updated to </w:t>
      </w:r>
      <w:r w:rsidR="78A53B82" w:rsidRPr="007C488A">
        <w:rPr>
          <w:color w:val="auto"/>
          <w:lang w:val="en-US"/>
        </w:rPr>
        <w:t>include an intensive care clinician</w:t>
      </w:r>
      <w:r w:rsidR="46E253E4" w:rsidRPr="007C488A">
        <w:rPr>
          <w:color w:val="auto"/>
          <w:lang w:val="en-US"/>
        </w:rPr>
        <w:t>. However, the commentary note</w:t>
      </w:r>
      <w:r w:rsidR="2DC49366" w:rsidRPr="007C488A">
        <w:rPr>
          <w:color w:val="auto"/>
          <w:lang w:val="en-US"/>
        </w:rPr>
        <w:t>d</w:t>
      </w:r>
      <w:r w:rsidR="46E253E4" w:rsidRPr="007C488A">
        <w:rPr>
          <w:color w:val="auto"/>
          <w:lang w:val="en-US"/>
        </w:rPr>
        <w:t xml:space="preserve"> </w:t>
      </w:r>
      <w:r w:rsidR="4D264F96" w:rsidRPr="007C488A">
        <w:rPr>
          <w:color w:val="auto"/>
          <w:lang w:val="en-US"/>
        </w:rPr>
        <w:t xml:space="preserve">that the </w:t>
      </w:r>
      <w:r w:rsidR="778E1D55" w:rsidRPr="007C488A">
        <w:rPr>
          <w:color w:val="auto"/>
          <w:lang w:val="en-US"/>
        </w:rPr>
        <w:t>L</w:t>
      </w:r>
      <w:r w:rsidR="4D264F96" w:rsidRPr="007C488A">
        <w:rPr>
          <w:color w:val="auto"/>
          <w:lang w:val="en-US"/>
        </w:rPr>
        <w:t xml:space="preserve">VAD case conference as per the proposed MBS item note does not stipulate the specialty of the physicians, meaning an intensive care clinician can form part of the MDT. </w:t>
      </w:r>
    </w:p>
    <w:p w14:paraId="4D5268BC" w14:textId="32199A2C" w:rsidR="00C662E3" w:rsidRPr="007C488A" w:rsidRDefault="00B87A22" w:rsidP="00C662E3">
      <w:pPr>
        <w:jc w:val="both"/>
        <w:rPr>
          <w:lang w:val="en-US"/>
        </w:rPr>
      </w:pPr>
      <w:r w:rsidRPr="007C488A">
        <w:t xml:space="preserve">As noted in </w:t>
      </w:r>
      <w:r w:rsidRPr="007C488A">
        <w:rPr>
          <w:lang w:val="en-US"/>
        </w:rPr>
        <w:t xml:space="preserve">MSAC 1749 Ratified PICO </w:t>
      </w:r>
      <w:r w:rsidR="00DA7F6C" w:rsidRPr="007C488A">
        <w:rPr>
          <w:lang w:val="en-US"/>
        </w:rPr>
        <w:t>c</w:t>
      </w:r>
      <w:r w:rsidRPr="007C488A">
        <w:rPr>
          <w:lang w:val="en-US"/>
        </w:rPr>
        <w:t>onfirmation,</w:t>
      </w:r>
      <w:r w:rsidRPr="007C488A">
        <w:t xml:space="preserve"> t</w:t>
      </w:r>
      <w:r w:rsidR="00C662E3" w:rsidRPr="007C488A">
        <w:t xml:space="preserve">he insertion of </w:t>
      </w:r>
      <w:r w:rsidR="00652E2F" w:rsidRPr="007C488A">
        <w:t>L</w:t>
      </w:r>
      <w:r w:rsidR="00C662E3" w:rsidRPr="007C488A">
        <w:t xml:space="preserve">VAD is currently </w:t>
      </w:r>
      <w:bookmarkStart w:id="12" w:name="_Hlk142903891"/>
      <w:r w:rsidR="00C662E3" w:rsidRPr="007C488A">
        <w:t>limited to specialised quaternary centres</w:t>
      </w:r>
      <w:bookmarkEnd w:id="12"/>
      <w:r w:rsidR="00C662E3" w:rsidRPr="007C488A">
        <w:t>, which may place capacity and capability constraints to deliver the service in Australia.</w:t>
      </w:r>
      <w:r w:rsidR="00107786" w:rsidRPr="007C488A">
        <w:t xml:space="preserve"> </w:t>
      </w:r>
      <w:r w:rsidR="00C45292" w:rsidRPr="007C488A">
        <w:t xml:space="preserve">As noted by the applicant in MSAC 1749 Ratified PICO </w:t>
      </w:r>
      <w:r w:rsidR="00DA7F6C" w:rsidRPr="007C488A">
        <w:t>c</w:t>
      </w:r>
      <w:r w:rsidR="00C45292" w:rsidRPr="007C488A">
        <w:t xml:space="preserve">onfirmation, </w:t>
      </w:r>
      <w:r w:rsidR="00E959A4" w:rsidRPr="007C488A">
        <w:rPr>
          <w:lang w:val="en-US"/>
        </w:rPr>
        <w:t>continued liaison with local experts will determine the necessity for accreditations of centers and clinicians to ensure appropriate patient care in the expanded patient population</w:t>
      </w:r>
      <w:r w:rsidR="00B84948" w:rsidRPr="007C488A">
        <w:rPr>
          <w:lang w:val="en-US"/>
        </w:rPr>
        <w:t xml:space="preserve"> intended for treatment with LVAD as DT</w:t>
      </w:r>
      <w:r w:rsidR="00E959A4" w:rsidRPr="007C488A">
        <w:rPr>
          <w:lang w:val="en-US"/>
        </w:rPr>
        <w:t>.</w:t>
      </w:r>
    </w:p>
    <w:p w14:paraId="34E0B08F" w14:textId="2BC64C29" w:rsidR="00772829" w:rsidRPr="007C488A" w:rsidRDefault="00A832A7" w:rsidP="002A18BE">
      <w:pPr>
        <w:pStyle w:val="Heading2"/>
        <w:numPr>
          <w:ilvl w:val="0"/>
          <w:numId w:val="0"/>
        </w:numPr>
      </w:pPr>
      <w:r w:rsidRPr="007C488A">
        <w:lastRenderedPageBreak/>
        <w:t>7</w:t>
      </w:r>
      <w:r w:rsidR="00C36633" w:rsidRPr="007C488A">
        <w:t>.</w:t>
      </w:r>
      <w:r w:rsidR="00C36633" w:rsidRPr="007C488A">
        <w:tab/>
      </w:r>
      <w:r w:rsidR="00772829" w:rsidRPr="007C488A">
        <w:t>Population</w:t>
      </w:r>
      <w:bookmarkEnd w:id="10"/>
      <w:r w:rsidR="00772829" w:rsidRPr="007C488A">
        <w:t xml:space="preserve"> </w:t>
      </w:r>
    </w:p>
    <w:p w14:paraId="3B8EE3A2" w14:textId="254553A4" w:rsidR="008D3141" w:rsidRPr="007C488A" w:rsidRDefault="008D3141" w:rsidP="0069739A">
      <w:pPr>
        <w:jc w:val="both"/>
      </w:pPr>
      <w:r w:rsidRPr="007C488A">
        <w:t xml:space="preserve">The proposed population are patients with advanced </w:t>
      </w:r>
      <w:r w:rsidR="00E959A4" w:rsidRPr="007C488A">
        <w:t>HF</w:t>
      </w:r>
      <w:r w:rsidRPr="007C488A">
        <w:t xml:space="preserve"> despite</w:t>
      </w:r>
      <w:r w:rsidR="004D0BED" w:rsidRPr="007C488A">
        <w:t xml:space="preserve"> optimum medical management (</w:t>
      </w:r>
      <w:r w:rsidR="00815A43" w:rsidRPr="007C488A">
        <w:t>OMM</w:t>
      </w:r>
      <w:r w:rsidR="004D0BED" w:rsidRPr="007C488A">
        <w:t>)</w:t>
      </w:r>
      <w:r w:rsidR="00815A43" w:rsidRPr="007C488A">
        <w:t>,</w:t>
      </w:r>
      <w:r w:rsidRPr="007C488A">
        <w:t xml:space="preserve"> with INTERMACS profile 1–4, who are not eligible for cardiac transplantation and in whom LVAD is used as DT (i.e., final therapy).</w:t>
      </w:r>
      <w:r w:rsidR="009E3991" w:rsidRPr="007C488A">
        <w:t xml:space="preserve"> </w:t>
      </w:r>
    </w:p>
    <w:p w14:paraId="13FC8246" w14:textId="42B9A58C" w:rsidR="008D3141" w:rsidRPr="007C488A" w:rsidRDefault="00A50F89" w:rsidP="0069739A">
      <w:pPr>
        <w:jc w:val="both"/>
        <w:rPr>
          <w:rFonts w:ascii="Times New Roman" w:hAnsi="Times New Roman"/>
        </w:rPr>
      </w:pPr>
      <w:r w:rsidRPr="007C488A">
        <w:t xml:space="preserve">According to the ADAR’s clinical management algorithms, </w:t>
      </w:r>
      <w:r w:rsidR="008D3141" w:rsidRPr="007C488A">
        <w:t xml:space="preserve">continuation of OMM </w:t>
      </w:r>
      <w:r w:rsidR="000D57D5" w:rsidRPr="007C488A">
        <w:t>is the current</w:t>
      </w:r>
      <w:r w:rsidR="00EE218A" w:rsidRPr="007C488A">
        <w:t xml:space="preserve"> management option </w:t>
      </w:r>
      <w:r w:rsidR="008D3141" w:rsidRPr="007C488A">
        <w:t xml:space="preserve">for </w:t>
      </w:r>
      <w:r w:rsidR="00EE218A" w:rsidRPr="007C488A">
        <w:t>the proposed population</w:t>
      </w:r>
      <w:r w:rsidR="008D3141" w:rsidRPr="007C488A">
        <w:t xml:space="preserve">. </w:t>
      </w:r>
    </w:p>
    <w:p w14:paraId="6C7E1A60" w14:textId="349DE26F" w:rsidR="008D3141" w:rsidRPr="007C488A" w:rsidRDefault="00E031BF" w:rsidP="0069739A">
      <w:pPr>
        <w:jc w:val="both"/>
      </w:pPr>
      <w:r w:rsidRPr="007C488A">
        <w:t>The ADAR claimed that r</w:t>
      </w:r>
      <w:r w:rsidR="008D3141" w:rsidRPr="007C488A">
        <w:t xml:space="preserve">eimbursement of LVAD as DT would provide </w:t>
      </w:r>
      <w:r w:rsidR="007860A5" w:rsidRPr="007C488A">
        <w:t>the proposed patient population with an alternative</w:t>
      </w:r>
      <w:r w:rsidR="008D3141" w:rsidRPr="007C488A">
        <w:t xml:space="preserve"> therapy option. </w:t>
      </w:r>
      <w:r w:rsidR="007860A5" w:rsidRPr="007C488A">
        <w:t>The ADAR also noted that s</w:t>
      </w:r>
      <w:r w:rsidR="008D3141" w:rsidRPr="007C488A">
        <w:t>ome</w:t>
      </w:r>
      <w:r w:rsidR="004873EA" w:rsidRPr="007C488A">
        <w:t xml:space="preserve"> patients with</w:t>
      </w:r>
      <w:r w:rsidR="008D3141" w:rsidRPr="007C488A">
        <w:t xml:space="preserve"> advanced HF are not eligible for either cardiac transplantation </w:t>
      </w:r>
      <w:proofErr w:type="gramStart"/>
      <w:r w:rsidR="008D3141" w:rsidRPr="007C488A">
        <w:t>nor</w:t>
      </w:r>
      <w:proofErr w:type="gramEnd"/>
      <w:r w:rsidR="008D3141" w:rsidRPr="007C488A">
        <w:t xml:space="preserve"> LVAD as DT (e.g., unstable psychosocial support). </w:t>
      </w:r>
      <w:r w:rsidR="00A552E0" w:rsidRPr="007C488A">
        <w:t>Therefore</w:t>
      </w:r>
      <w:r w:rsidR="008D3141" w:rsidRPr="007C488A">
        <w:t xml:space="preserve">, the OMM remains </w:t>
      </w:r>
      <w:r w:rsidR="00A552E0" w:rsidRPr="007C488A">
        <w:t xml:space="preserve">as an option </w:t>
      </w:r>
      <w:r w:rsidR="008D3141" w:rsidRPr="007C488A">
        <w:t>in the proposed management algorithm along with palliation.</w:t>
      </w:r>
    </w:p>
    <w:p w14:paraId="07BFE07C" w14:textId="6C89D3FA" w:rsidR="008D3141" w:rsidRPr="007C488A" w:rsidRDefault="00000D79" w:rsidP="0069739A">
      <w:pPr>
        <w:jc w:val="both"/>
        <w:rPr>
          <w:lang w:val="en-US"/>
        </w:rPr>
      </w:pPr>
      <w:r w:rsidRPr="007C488A">
        <w:rPr>
          <w:lang w:val="en-US"/>
        </w:rPr>
        <w:t xml:space="preserve">As per the </w:t>
      </w:r>
      <w:r w:rsidR="00393A9F" w:rsidRPr="007C488A">
        <w:rPr>
          <w:lang w:val="en-US"/>
        </w:rPr>
        <w:t xml:space="preserve">clinical algorithms in MSAC 1749 Ratified PICO </w:t>
      </w:r>
      <w:r w:rsidR="00DA7F6C" w:rsidRPr="007C488A">
        <w:rPr>
          <w:lang w:val="en-US"/>
        </w:rPr>
        <w:t>c</w:t>
      </w:r>
      <w:r w:rsidR="00107786" w:rsidRPr="007C488A">
        <w:rPr>
          <w:lang w:val="en-US"/>
        </w:rPr>
        <w:t>onfirmation</w:t>
      </w:r>
      <w:r w:rsidR="00393A9F" w:rsidRPr="007C488A">
        <w:rPr>
          <w:lang w:val="en-US"/>
        </w:rPr>
        <w:t>,</w:t>
      </w:r>
      <w:r w:rsidR="00E64733" w:rsidRPr="007C488A">
        <w:rPr>
          <w:lang w:val="en-US"/>
        </w:rPr>
        <w:t xml:space="preserve"> LVAD as DT is </w:t>
      </w:r>
      <w:r w:rsidR="002B32D9" w:rsidRPr="007C488A">
        <w:rPr>
          <w:lang w:val="en-US"/>
        </w:rPr>
        <w:t xml:space="preserve">in addition </w:t>
      </w:r>
      <w:r w:rsidR="00B82566" w:rsidRPr="007C488A">
        <w:rPr>
          <w:lang w:val="en-US"/>
        </w:rPr>
        <w:t>to OMM</w:t>
      </w:r>
      <w:r w:rsidR="002B32D9" w:rsidRPr="007C488A">
        <w:rPr>
          <w:lang w:val="en-US"/>
        </w:rPr>
        <w:t xml:space="preserve">. This is because, </w:t>
      </w:r>
      <w:r w:rsidR="008D3141" w:rsidRPr="007C488A">
        <w:rPr>
          <w:lang w:val="en-US"/>
        </w:rPr>
        <w:t xml:space="preserve">the post-operative management and long-term follow-up of patients </w:t>
      </w:r>
      <w:r w:rsidR="002B32D9" w:rsidRPr="007C488A">
        <w:rPr>
          <w:lang w:val="en-US"/>
        </w:rPr>
        <w:t xml:space="preserve">implanted with LVAD as DT </w:t>
      </w:r>
      <w:r w:rsidR="008D3141" w:rsidRPr="007C488A">
        <w:rPr>
          <w:lang w:val="en-US"/>
        </w:rPr>
        <w:t xml:space="preserve">include pharmacological management, mainly antithrombotic therapy, blood pressure control and supportive care. OMM, including angiotensin-converting enzyme (ACE) inhibitors, </w:t>
      </w:r>
      <w:r w:rsidR="00F863F3" w:rsidRPr="007C488A">
        <w:rPr>
          <w:lang w:val="en-US"/>
        </w:rPr>
        <w:t>beta-blockers (BB)</w:t>
      </w:r>
      <w:r w:rsidR="008D3141" w:rsidRPr="007C488A">
        <w:rPr>
          <w:lang w:val="en-US"/>
        </w:rPr>
        <w:t xml:space="preserve">, </w:t>
      </w:r>
      <w:r w:rsidR="00F863F3" w:rsidRPr="007C488A">
        <w:rPr>
          <w:lang w:val="en-US"/>
        </w:rPr>
        <w:t xml:space="preserve">mineralocorticoid receptor antagonists (MRAs) </w:t>
      </w:r>
      <w:r w:rsidR="008D3141" w:rsidRPr="007C488A">
        <w:rPr>
          <w:lang w:val="en-US"/>
        </w:rPr>
        <w:t xml:space="preserve">and diuretics, may be continued for some patients as </w:t>
      </w:r>
      <w:r w:rsidR="00F901B4" w:rsidRPr="007C488A">
        <w:rPr>
          <w:lang w:val="en-US"/>
        </w:rPr>
        <w:t xml:space="preserve">these drugs </w:t>
      </w:r>
      <w:r w:rsidR="008D3141" w:rsidRPr="007C488A">
        <w:rPr>
          <w:lang w:val="en-US"/>
        </w:rPr>
        <w:t>may reduce morbidity and mortality in patients with LVAD implants</w:t>
      </w:r>
      <w:r w:rsidR="004B1E16" w:rsidRPr="007C488A">
        <w:rPr>
          <w:rStyle w:val="FootnoteReference"/>
          <w:lang w:val="en-US"/>
        </w:rPr>
        <w:footnoteReference w:id="4"/>
      </w:r>
      <w:r w:rsidR="004B1E16" w:rsidRPr="007C488A">
        <w:rPr>
          <w:lang w:val="en-US"/>
        </w:rPr>
        <w:t xml:space="preserve">. </w:t>
      </w:r>
      <w:r w:rsidR="008D3141" w:rsidRPr="007C488A">
        <w:rPr>
          <w:lang w:val="en-US"/>
        </w:rPr>
        <w:t xml:space="preserve">Ongoing management requires check-ups with the patient’s </w:t>
      </w:r>
      <w:r w:rsidR="00E959A4" w:rsidRPr="007C488A">
        <w:rPr>
          <w:lang w:val="en-US"/>
        </w:rPr>
        <w:t>HF</w:t>
      </w:r>
      <w:r w:rsidR="008D3141" w:rsidRPr="007C488A">
        <w:rPr>
          <w:lang w:val="en-US"/>
        </w:rPr>
        <w:t xml:space="preserve"> specialist. </w:t>
      </w:r>
      <w:r w:rsidR="00E93D22" w:rsidRPr="007C488A">
        <w:rPr>
          <w:lang w:val="en-US"/>
        </w:rPr>
        <w:t>The</w:t>
      </w:r>
      <w:r w:rsidR="008D3141" w:rsidRPr="007C488A">
        <w:rPr>
          <w:lang w:val="en-US"/>
        </w:rPr>
        <w:t xml:space="preserve"> patient is also seen by the broader LVAD team, including the LVAD coordinator, cardiologist, a surgical team, a nutritionist, a physiotherapist, a psychiatrist, and a general practitioner. </w:t>
      </w:r>
      <w:r w:rsidR="00667895" w:rsidRPr="007C488A">
        <w:rPr>
          <w:lang w:val="en-US"/>
        </w:rPr>
        <w:t>It is unclear whether the ongoing management costs have been adequately captured in the ADAR.</w:t>
      </w:r>
    </w:p>
    <w:p w14:paraId="05E984B1" w14:textId="2E394D08" w:rsidR="008D3141" w:rsidRPr="007C488A" w:rsidRDefault="00393A9F" w:rsidP="0069739A">
      <w:pPr>
        <w:jc w:val="both"/>
        <w:rPr>
          <w:lang w:val="en-US"/>
        </w:rPr>
      </w:pPr>
      <w:r w:rsidRPr="007C488A">
        <w:rPr>
          <w:lang w:val="en-US"/>
        </w:rPr>
        <w:t>Consistent with advice from PASC, t</w:t>
      </w:r>
      <w:r w:rsidR="0031367A" w:rsidRPr="007C488A">
        <w:rPr>
          <w:lang w:val="en-US"/>
        </w:rPr>
        <w:t xml:space="preserve">he clinical algorithms also depict the </w:t>
      </w:r>
      <w:r w:rsidR="008D3141" w:rsidRPr="007C488A">
        <w:rPr>
          <w:lang w:val="en-US"/>
        </w:rPr>
        <w:t xml:space="preserve">possibility that patients may move from DT to BTT (e.g., due to marked improvement in functional class) or from BTT to DT (e.g., due to major </w:t>
      </w:r>
      <w:r w:rsidR="00E643D4" w:rsidRPr="007C488A">
        <w:rPr>
          <w:lang w:val="en-US"/>
        </w:rPr>
        <w:t>ventricular assist device</w:t>
      </w:r>
      <w:r w:rsidR="008D3141" w:rsidRPr="007C488A">
        <w:rPr>
          <w:lang w:val="en-US"/>
        </w:rPr>
        <w:t xml:space="preserve"> complications such as disabling stroke a patient may be no longer suitable for heart transplantation)</w:t>
      </w:r>
      <w:r w:rsidR="004B1E16" w:rsidRPr="007C488A">
        <w:rPr>
          <w:rStyle w:val="FootnoteReference"/>
          <w:lang w:val="en-US"/>
        </w:rPr>
        <w:footnoteReference w:id="5"/>
      </w:r>
      <w:r w:rsidR="008D3141" w:rsidRPr="007C488A">
        <w:rPr>
          <w:lang w:val="en-US"/>
        </w:rPr>
        <w:t xml:space="preserve">. </w:t>
      </w:r>
      <w:r w:rsidR="00575CA5" w:rsidRPr="007C488A">
        <w:rPr>
          <w:lang w:val="en-US"/>
        </w:rPr>
        <w:t xml:space="preserve">Of note, the ADAR provided scenario analysis in the economic evaluation based on proportion of patients who receive heart transplant </w:t>
      </w:r>
      <w:r w:rsidR="00BB6D9A" w:rsidRPr="007C488A">
        <w:rPr>
          <w:lang w:val="en-US"/>
        </w:rPr>
        <w:t xml:space="preserve">among the patients implanted with LVAD as DT </w:t>
      </w:r>
      <w:r w:rsidR="00575CA5" w:rsidRPr="007C488A">
        <w:t>(</w:t>
      </w:r>
      <w:r w:rsidR="00DC4F8C" w:rsidRPr="007C488A">
        <w:t xml:space="preserve">i.e., </w:t>
      </w:r>
      <w:r w:rsidR="00575CA5" w:rsidRPr="007C488A">
        <w:rPr>
          <w:lang w:val="en-US"/>
        </w:rPr>
        <w:t>move from DT to BTT).</w:t>
      </w:r>
    </w:p>
    <w:p w14:paraId="66BDFCC1" w14:textId="3AE75799" w:rsidR="00772829" w:rsidRPr="007C488A" w:rsidRDefault="00A832A7" w:rsidP="002A18BE">
      <w:pPr>
        <w:pStyle w:val="Heading2"/>
        <w:numPr>
          <w:ilvl w:val="0"/>
          <w:numId w:val="0"/>
        </w:numPr>
      </w:pPr>
      <w:bookmarkStart w:id="13" w:name="_Toc69491420"/>
      <w:r w:rsidRPr="007C488A">
        <w:t>8</w:t>
      </w:r>
      <w:r w:rsidR="00C36633" w:rsidRPr="007C488A">
        <w:t>.</w:t>
      </w:r>
      <w:r w:rsidR="00C36633" w:rsidRPr="007C488A">
        <w:tab/>
      </w:r>
      <w:r w:rsidR="00772829" w:rsidRPr="007C488A">
        <w:t>Comparator</w:t>
      </w:r>
      <w:bookmarkEnd w:id="13"/>
    </w:p>
    <w:p w14:paraId="2B79E3CA" w14:textId="60D863B3" w:rsidR="008D3141" w:rsidRPr="007C488A" w:rsidRDefault="00EF678C" w:rsidP="004D2863">
      <w:pPr>
        <w:jc w:val="both"/>
      </w:pPr>
      <w:r w:rsidRPr="007C488A">
        <w:t>T</w:t>
      </w:r>
      <w:r w:rsidR="00DD2FB4" w:rsidRPr="007C488A">
        <w:t xml:space="preserve">he ADAR proposed </w:t>
      </w:r>
      <w:r w:rsidR="00064BC7" w:rsidRPr="007C488A">
        <w:t>optimum medical management (OMM) as t</w:t>
      </w:r>
      <w:r w:rsidR="008D3141" w:rsidRPr="007C488A">
        <w:t>he comparator to insertion of LVAD as DT</w:t>
      </w:r>
      <w:r w:rsidR="00064BC7" w:rsidRPr="007C488A">
        <w:t xml:space="preserve">. </w:t>
      </w:r>
      <w:r w:rsidR="008D3141" w:rsidRPr="007C488A">
        <w:t>OMM</w:t>
      </w:r>
      <w:r w:rsidR="006C7A97" w:rsidRPr="007C488A">
        <w:t xml:space="preserve"> is</w:t>
      </w:r>
      <w:r w:rsidR="008D3141" w:rsidRPr="007C488A">
        <w:t xml:space="preserve"> also referred to as </w:t>
      </w:r>
      <w:r w:rsidR="004B1E16" w:rsidRPr="007C488A">
        <w:t>guideline directed medical therapy (</w:t>
      </w:r>
      <w:r w:rsidR="008D3141" w:rsidRPr="007C488A">
        <w:t>GDMT</w:t>
      </w:r>
      <w:r w:rsidR="004B1E16" w:rsidRPr="007C488A">
        <w:t>)</w:t>
      </w:r>
      <w:r w:rsidR="008D3141" w:rsidRPr="007C488A">
        <w:t xml:space="preserve"> or optimal medical therapy (OMT).</w:t>
      </w:r>
      <w:r w:rsidR="005F6280" w:rsidRPr="007C488A">
        <w:t xml:space="preserve"> The commentary noted the comparator is consistent with MSAC 1749 ratified PICO confirmation.</w:t>
      </w:r>
      <w:r w:rsidR="008D3141" w:rsidRPr="007C488A">
        <w:t xml:space="preserve"> </w:t>
      </w:r>
    </w:p>
    <w:p w14:paraId="7FF7EADF" w14:textId="09242A64" w:rsidR="008D3141" w:rsidRPr="007C488A" w:rsidRDefault="008D3141" w:rsidP="004D2863">
      <w:pPr>
        <w:jc w:val="both"/>
        <w:rPr>
          <w:rFonts w:ascii="Times New Roman" w:hAnsi="Times New Roman"/>
        </w:rPr>
      </w:pPr>
      <w:r w:rsidRPr="007C488A">
        <w:t>The comparator mainly includes pharmacological management and the relevant drugs for the OMM</w:t>
      </w:r>
      <w:r w:rsidR="004B1E16" w:rsidRPr="007C488A">
        <w:rPr>
          <w:rStyle w:val="FootnoteReference"/>
        </w:rPr>
        <w:footnoteReference w:id="6"/>
      </w:r>
      <w:r w:rsidRPr="007C488A">
        <w:t xml:space="preserve"> listed under the pharmaceutical benefits scheme (PBS</w:t>
      </w:r>
      <w:r w:rsidR="004D0BED" w:rsidRPr="007C488A">
        <w:t>) such as ACE inhibitors.</w:t>
      </w:r>
    </w:p>
    <w:p w14:paraId="15865B04" w14:textId="218EC24B" w:rsidR="008D3141" w:rsidRPr="007C488A" w:rsidRDefault="008D3141" w:rsidP="004D2863">
      <w:pPr>
        <w:jc w:val="both"/>
      </w:pPr>
      <w:r w:rsidRPr="007C488A">
        <w:t xml:space="preserve">Non-pharmacological treatments may include ventilation, pacing, angioplasty, </w:t>
      </w:r>
      <w:r w:rsidR="00437186" w:rsidRPr="007C488A">
        <w:t xml:space="preserve">extracorporeal membrane oxygenation (ECMO) </w:t>
      </w:r>
      <w:r w:rsidRPr="007C488A">
        <w:t xml:space="preserve">or </w:t>
      </w:r>
      <w:r w:rsidR="004D2863" w:rsidRPr="007C488A">
        <w:t>hemofiltration</w:t>
      </w:r>
      <w:r w:rsidRPr="007C488A">
        <w:t xml:space="preserve">. </w:t>
      </w:r>
      <w:r w:rsidR="001A5D6B" w:rsidRPr="007C488A">
        <w:t>Most</w:t>
      </w:r>
      <w:r w:rsidRPr="007C488A">
        <w:t xml:space="preserve"> patients will receive pharmacological </w:t>
      </w:r>
      <w:r w:rsidRPr="007C488A">
        <w:lastRenderedPageBreak/>
        <w:t xml:space="preserve">therapy, but these other interventions are likely to be used in addition to pharmacological management for the most severely affected patients as required. </w:t>
      </w:r>
    </w:p>
    <w:p w14:paraId="74A429C5" w14:textId="77777777" w:rsidR="00A832A7" w:rsidRPr="007C488A" w:rsidRDefault="00A832A7" w:rsidP="00A832A7">
      <w:pPr>
        <w:pStyle w:val="Heading2"/>
        <w:numPr>
          <w:ilvl w:val="0"/>
          <w:numId w:val="0"/>
        </w:numPr>
      </w:pPr>
      <w:r w:rsidRPr="007C488A">
        <w:t>9.</w:t>
      </w:r>
      <w:r w:rsidRPr="007C488A">
        <w:tab/>
        <w:t>Summary of public consultation input</w:t>
      </w:r>
    </w:p>
    <w:p w14:paraId="5220D52E" w14:textId="77777777" w:rsidR="00D92D23" w:rsidRPr="007C488A" w:rsidRDefault="00D92D23" w:rsidP="00275263">
      <w:pPr>
        <w:pStyle w:val="paragraph"/>
        <w:spacing w:before="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Consultation input was received from five (5) professional organisations, one (1) consumer organisation and five (5) individuals, all of whom were medical specialists.  </w:t>
      </w:r>
      <w:r w:rsidRPr="007C488A">
        <w:rPr>
          <w:rStyle w:val="eop"/>
          <w:rFonts w:ascii="Franklin Gothic Book" w:hAnsi="Franklin Gothic Book" w:cs="Calibri"/>
          <w:sz w:val="22"/>
          <w:szCs w:val="22"/>
        </w:rPr>
        <w:t> </w:t>
      </w:r>
    </w:p>
    <w:p w14:paraId="509F229F" w14:textId="77777777" w:rsidR="00D92D23"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The 6 organisations that submitted input were: </w:t>
      </w:r>
      <w:r w:rsidRPr="007C488A">
        <w:rPr>
          <w:rStyle w:val="eop"/>
          <w:rFonts w:ascii="Franklin Gothic Book" w:hAnsi="Franklin Gothic Book" w:cs="Calibri"/>
          <w:sz w:val="22"/>
          <w:szCs w:val="22"/>
        </w:rPr>
        <w:t> </w:t>
      </w:r>
    </w:p>
    <w:p w14:paraId="04001099" w14:textId="77777777" w:rsidR="00D92D23" w:rsidRPr="007C488A" w:rsidRDefault="00D92D23" w:rsidP="00275263">
      <w:pPr>
        <w:pStyle w:val="paragraph"/>
        <w:numPr>
          <w:ilvl w:val="0"/>
          <w:numId w:val="15"/>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Advanced Heart Failure and Cardiac Transplant Service, Fiona Stanley Hospital, Perth</w:t>
      </w:r>
      <w:r w:rsidRPr="007C488A">
        <w:rPr>
          <w:rStyle w:val="eop"/>
          <w:rFonts w:ascii="Franklin Gothic Book" w:hAnsi="Franklin Gothic Book" w:cs="Calibri"/>
          <w:sz w:val="22"/>
          <w:szCs w:val="22"/>
        </w:rPr>
        <w:t> </w:t>
      </w:r>
    </w:p>
    <w:p w14:paraId="1189611A" w14:textId="77777777" w:rsidR="00D92D23" w:rsidRPr="007C488A" w:rsidRDefault="00D92D23" w:rsidP="00275263">
      <w:pPr>
        <w:pStyle w:val="paragraph"/>
        <w:numPr>
          <w:ilvl w:val="0"/>
          <w:numId w:val="15"/>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Australian and New Zealand Society of Cardiothoracic Surgeons (ANZSCTS)</w:t>
      </w:r>
      <w:r w:rsidRPr="007C488A">
        <w:rPr>
          <w:rStyle w:val="eop"/>
          <w:rFonts w:ascii="Franklin Gothic Book" w:hAnsi="Franklin Gothic Book" w:cs="Calibri"/>
          <w:sz w:val="22"/>
          <w:szCs w:val="22"/>
        </w:rPr>
        <w:t> </w:t>
      </w:r>
    </w:p>
    <w:p w14:paraId="5E5ED9AA" w14:textId="77777777" w:rsidR="00D92D23" w:rsidRPr="007C488A" w:rsidRDefault="00D92D23" w:rsidP="00275263">
      <w:pPr>
        <w:pStyle w:val="paragraph"/>
        <w:numPr>
          <w:ilvl w:val="0"/>
          <w:numId w:val="15"/>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Central Adelaide Local Health Network, Royal Adelaide Hospital, Department of Cardiology</w:t>
      </w:r>
      <w:r w:rsidRPr="007C488A">
        <w:rPr>
          <w:rStyle w:val="eop"/>
          <w:rFonts w:ascii="Franklin Gothic Book" w:hAnsi="Franklin Gothic Book" w:cs="Calibri"/>
          <w:sz w:val="22"/>
          <w:szCs w:val="22"/>
        </w:rPr>
        <w:t> </w:t>
      </w:r>
    </w:p>
    <w:p w14:paraId="77D149F0" w14:textId="77777777" w:rsidR="00D92D23" w:rsidRPr="007C488A" w:rsidRDefault="00D92D23" w:rsidP="00275263">
      <w:pPr>
        <w:pStyle w:val="paragraph"/>
        <w:numPr>
          <w:ilvl w:val="0"/>
          <w:numId w:val="15"/>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Hearts4heart</w:t>
      </w:r>
      <w:r w:rsidRPr="007C488A">
        <w:rPr>
          <w:rStyle w:val="eop"/>
          <w:rFonts w:ascii="Franklin Gothic Book" w:hAnsi="Franklin Gothic Book" w:cs="Calibri"/>
          <w:sz w:val="22"/>
          <w:szCs w:val="22"/>
        </w:rPr>
        <w:t> </w:t>
      </w:r>
    </w:p>
    <w:p w14:paraId="330E6DB4" w14:textId="77777777" w:rsidR="00D92D23" w:rsidRPr="007C488A" w:rsidRDefault="00D92D23" w:rsidP="00275263">
      <w:pPr>
        <w:pStyle w:val="paragraph"/>
        <w:numPr>
          <w:ilvl w:val="0"/>
          <w:numId w:val="15"/>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Private Healthcare Australia (PHA)</w:t>
      </w:r>
      <w:r w:rsidRPr="007C488A">
        <w:rPr>
          <w:rStyle w:val="eop"/>
          <w:rFonts w:ascii="Franklin Gothic Book" w:hAnsi="Franklin Gothic Book" w:cs="Calibri"/>
          <w:sz w:val="22"/>
          <w:szCs w:val="22"/>
        </w:rPr>
        <w:t> </w:t>
      </w:r>
    </w:p>
    <w:p w14:paraId="4B93736C" w14:textId="77777777" w:rsidR="00D92D23" w:rsidRPr="007C488A" w:rsidRDefault="00D92D23" w:rsidP="00275263">
      <w:pPr>
        <w:pStyle w:val="paragraph"/>
        <w:numPr>
          <w:ilvl w:val="0"/>
          <w:numId w:val="15"/>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Victorian Heart Hospital.</w:t>
      </w:r>
      <w:r w:rsidRPr="007C488A">
        <w:rPr>
          <w:rStyle w:val="eop"/>
          <w:rFonts w:ascii="Franklin Gothic Book" w:hAnsi="Franklin Gothic Book" w:cs="Calibri"/>
          <w:sz w:val="22"/>
          <w:szCs w:val="22"/>
        </w:rPr>
        <w:t> </w:t>
      </w:r>
    </w:p>
    <w:p w14:paraId="72BFD8B0" w14:textId="77777777" w:rsidR="00D92D23"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The consultation feedback received was largely supportive of public funding for insertion of durable ventricular assist device (VAD) for use as destination therapy. </w:t>
      </w:r>
      <w:r w:rsidRPr="007C488A">
        <w:rPr>
          <w:rStyle w:val="eop"/>
          <w:rFonts w:ascii="Franklin Gothic Book" w:hAnsi="Franklin Gothic Book" w:cs="Calibri"/>
          <w:sz w:val="22"/>
          <w:szCs w:val="22"/>
        </w:rPr>
        <w:t> </w:t>
      </w:r>
    </w:p>
    <w:p w14:paraId="44E8CBB4" w14:textId="77777777" w:rsidR="00D92D23"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b/>
          <w:bCs/>
          <w:sz w:val="22"/>
          <w:szCs w:val="22"/>
        </w:rPr>
        <w:t>Benefits </w:t>
      </w:r>
      <w:r w:rsidRPr="007C488A">
        <w:rPr>
          <w:rStyle w:val="eop"/>
          <w:rFonts w:ascii="Franklin Gothic Book" w:hAnsi="Franklin Gothic Book" w:cs="Calibri"/>
          <w:sz w:val="22"/>
          <w:szCs w:val="22"/>
        </w:rPr>
        <w:t> </w:t>
      </w:r>
    </w:p>
    <w:p w14:paraId="31DB844B" w14:textId="77777777" w:rsidR="00D92D23" w:rsidRPr="007C488A" w:rsidRDefault="00D92D23" w:rsidP="00275263">
      <w:pPr>
        <w:pStyle w:val="paragraph"/>
        <w:spacing w:before="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The feedback indicated the benefits of the intervention include:</w:t>
      </w:r>
      <w:r w:rsidRPr="007C488A">
        <w:rPr>
          <w:rStyle w:val="eop"/>
          <w:rFonts w:ascii="Franklin Gothic Book" w:hAnsi="Franklin Gothic Book" w:cs="Calibri"/>
          <w:sz w:val="22"/>
          <w:szCs w:val="22"/>
        </w:rPr>
        <w:t> </w:t>
      </w:r>
    </w:p>
    <w:p w14:paraId="4D6F0B29" w14:textId="77777777" w:rsidR="00D92D23" w:rsidRPr="007C488A" w:rsidRDefault="00D92D23" w:rsidP="00275263">
      <w:pPr>
        <w:pStyle w:val="paragraph"/>
        <w:numPr>
          <w:ilvl w:val="0"/>
          <w:numId w:val="39"/>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For patients who are not eligible for a heart transplant, LVAD therapy is effective for prolonging life. </w:t>
      </w:r>
      <w:r w:rsidRPr="007C488A">
        <w:rPr>
          <w:rStyle w:val="eop"/>
          <w:rFonts w:ascii="Franklin Gothic Book" w:hAnsi="Franklin Gothic Book" w:cs="Calibri"/>
          <w:sz w:val="22"/>
          <w:szCs w:val="22"/>
        </w:rPr>
        <w:t> </w:t>
      </w:r>
    </w:p>
    <w:p w14:paraId="380BFC89" w14:textId="77777777" w:rsidR="00D92D23" w:rsidRPr="007C488A" w:rsidRDefault="00D92D23" w:rsidP="00275263">
      <w:pPr>
        <w:pStyle w:val="paragraph"/>
        <w:numPr>
          <w:ilvl w:val="0"/>
          <w:numId w:val="39"/>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Improved quality of life, with the potential to rehabilitate patients with advanced heart failure to the point of returning to work. </w:t>
      </w:r>
      <w:r w:rsidRPr="007C488A">
        <w:rPr>
          <w:rStyle w:val="eop"/>
          <w:rFonts w:ascii="Franklin Gothic Book" w:hAnsi="Franklin Gothic Book" w:cs="Calibri"/>
          <w:sz w:val="22"/>
          <w:szCs w:val="22"/>
        </w:rPr>
        <w:t> </w:t>
      </w:r>
    </w:p>
    <w:p w14:paraId="3EE3E90A" w14:textId="77777777" w:rsidR="00D92D23" w:rsidRPr="007C488A" w:rsidRDefault="00D92D23" w:rsidP="00275263">
      <w:pPr>
        <w:pStyle w:val="paragraph"/>
        <w:numPr>
          <w:ilvl w:val="0"/>
          <w:numId w:val="39"/>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Equity of care for advanced heart failure patients. </w:t>
      </w:r>
      <w:r w:rsidRPr="007C488A">
        <w:rPr>
          <w:rStyle w:val="eop"/>
          <w:rFonts w:ascii="Franklin Gothic Book" w:hAnsi="Franklin Gothic Book" w:cs="Calibri"/>
          <w:sz w:val="22"/>
          <w:szCs w:val="22"/>
        </w:rPr>
        <w:t> </w:t>
      </w:r>
    </w:p>
    <w:p w14:paraId="486FF33B" w14:textId="77777777" w:rsidR="00D92D23" w:rsidRPr="007C488A" w:rsidRDefault="00D92D23" w:rsidP="00275263">
      <w:pPr>
        <w:pStyle w:val="paragraph"/>
        <w:numPr>
          <w:ilvl w:val="0"/>
          <w:numId w:val="39"/>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From a health system perspective, a reduction in heart failure hospitalisations.</w:t>
      </w:r>
      <w:r w:rsidRPr="007C488A">
        <w:rPr>
          <w:rStyle w:val="eop"/>
          <w:rFonts w:ascii="Franklin Gothic Book" w:hAnsi="Franklin Gothic Book" w:cs="Calibri"/>
          <w:sz w:val="22"/>
          <w:szCs w:val="22"/>
        </w:rPr>
        <w:t> </w:t>
      </w:r>
    </w:p>
    <w:p w14:paraId="09D30D08" w14:textId="77777777" w:rsidR="00D92D23"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b/>
          <w:bCs/>
          <w:sz w:val="22"/>
          <w:szCs w:val="22"/>
        </w:rPr>
        <w:t>Disadvantages</w:t>
      </w:r>
      <w:r w:rsidRPr="007C488A">
        <w:rPr>
          <w:rStyle w:val="eop"/>
          <w:rFonts w:ascii="Franklin Gothic Book" w:hAnsi="Franklin Gothic Book" w:cs="Calibri"/>
          <w:sz w:val="22"/>
          <w:szCs w:val="22"/>
        </w:rPr>
        <w:t> </w:t>
      </w:r>
    </w:p>
    <w:p w14:paraId="00A7A348" w14:textId="77777777" w:rsidR="00D92D23" w:rsidRPr="007C488A" w:rsidRDefault="00D92D23" w:rsidP="00275263">
      <w:pPr>
        <w:pStyle w:val="paragraph"/>
        <w:spacing w:before="0" w:beforeAutospacing="0" w:after="0" w:afterAutospacing="0"/>
        <w:jc w:val="both"/>
        <w:textAlignment w:val="baseline"/>
        <w:rPr>
          <w:rFonts w:ascii="Franklin Gothic Book" w:hAnsi="Franklin Gothic Book" w:cs="Segoe UI"/>
          <w:color w:val="000000"/>
          <w:sz w:val="18"/>
          <w:szCs w:val="18"/>
        </w:rPr>
      </w:pPr>
      <w:r w:rsidRPr="007C488A">
        <w:rPr>
          <w:rStyle w:val="normaltextrun"/>
          <w:rFonts w:ascii="Franklin Gothic Book" w:hAnsi="Franklin Gothic Book" w:cs="Calibri"/>
          <w:sz w:val="22"/>
          <w:szCs w:val="22"/>
        </w:rPr>
        <w:t>The feedback suggested the following disadvantages:</w:t>
      </w:r>
      <w:r w:rsidRPr="007C488A">
        <w:rPr>
          <w:rStyle w:val="eop"/>
          <w:rFonts w:ascii="Franklin Gothic Book" w:hAnsi="Franklin Gothic Book" w:cs="Calibri"/>
          <w:sz w:val="22"/>
          <w:szCs w:val="22"/>
        </w:rPr>
        <w:t> </w:t>
      </w:r>
    </w:p>
    <w:p w14:paraId="3A2FBD8D" w14:textId="77777777" w:rsidR="00D92D23" w:rsidRPr="007C488A" w:rsidRDefault="00D92D23" w:rsidP="00275263">
      <w:pPr>
        <w:pStyle w:val="paragraph"/>
        <w:numPr>
          <w:ilvl w:val="0"/>
          <w:numId w:val="40"/>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 xml:space="preserve">Surgical risks of VADs including bleeding, </w:t>
      </w:r>
      <w:proofErr w:type="gramStart"/>
      <w:r w:rsidRPr="007C488A">
        <w:rPr>
          <w:rStyle w:val="normaltextrun"/>
          <w:rFonts w:ascii="Franklin Gothic Book" w:hAnsi="Franklin Gothic Book" w:cs="Calibri"/>
          <w:sz w:val="22"/>
          <w:szCs w:val="22"/>
        </w:rPr>
        <w:t>infection</w:t>
      </w:r>
      <w:proofErr w:type="gramEnd"/>
      <w:r w:rsidRPr="007C488A">
        <w:rPr>
          <w:rStyle w:val="normaltextrun"/>
          <w:rFonts w:ascii="Franklin Gothic Book" w:hAnsi="Franklin Gothic Book" w:cs="Calibri"/>
          <w:sz w:val="22"/>
          <w:szCs w:val="22"/>
        </w:rPr>
        <w:t xml:space="preserve"> and stroke.</w:t>
      </w:r>
      <w:r w:rsidRPr="007C488A">
        <w:rPr>
          <w:rStyle w:val="eop"/>
          <w:rFonts w:ascii="Franklin Gothic Book" w:hAnsi="Franklin Gothic Book" w:cs="Calibri"/>
          <w:sz w:val="22"/>
          <w:szCs w:val="22"/>
        </w:rPr>
        <w:t> </w:t>
      </w:r>
    </w:p>
    <w:p w14:paraId="54878D22" w14:textId="77777777" w:rsidR="00D92D23" w:rsidRPr="007C488A" w:rsidRDefault="00D92D23" w:rsidP="00275263">
      <w:pPr>
        <w:pStyle w:val="paragraph"/>
        <w:numPr>
          <w:ilvl w:val="0"/>
          <w:numId w:val="40"/>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 xml:space="preserve">The treatment is </w:t>
      </w:r>
      <w:proofErr w:type="gramStart"/>
      <w:r w:rsidRPr="007C488A">
        <w:rPr>
          <w:rStyle w:val="normaltextrun"/>
          <w:rFonts w:ascii="Franklin Gothic Book" w:hAnsi="Franklin Gothic Book" w:cs="Calibri"/>
          <w:sz w:val="22"/>
          <w:szCs w:val="22"/>
        </w:rPr>
        <w:t>invasive</w:t>
      </w:r>
      <w:proofErr w:type="gramEnd"/>
      <w:r w:rsidRPr="007C488A">
        <w:rPr>
          <w:rStyle w:val="normaltextrun"/>
          <w:rFonts w:ascii="Franklin Gothic Book" w:hAnsi="Franklin Gothic Book" w:cs="Calibri"/>
          <w:sz w:val="22"/>
          <w:szCs w:val="22"/>
        </w:rPr>
        <w:t xml:space="preserve"> and the device requires a substantial commitment by the patient and carer, including battery management, driveline management, responding to alarm codes, compliance with medications (including oral and subcutaneous anticoagulants), post-op rehab and attending regular clinic appointments. </w:t>
      </w:r>
      <w:r w:rsidRPr="007C488A">
        <w:rPr>
          <w:rStyle w:val="eop"/>
          <w:rFonts w:ascii="Franklin Gothic Book" w:hAnsi="Franklin Gothic Book" w:cs="Calibri"/>
          <w:sz w:val="22"/>
          <w:szCs w:val="22"/>
        </w:rPr>
        <w:t> </w:t>
      </w:r>
    </w:p>
    <w:p w14:paraId="6F3E3E85" w14:textId="77777777" w:rsidR="00D92D23" w:rsidRPr="007C488A" w:rsidRDefault="00D92D23" w:rsidP="00275263">
      <w:pPr>
        <w:pStyle w:val="paragraph"/>
        <w:numPr>
          <w:ilvl w:val="0"/>
          <w:numId w:val="40"/>
        </w:numPr>
        <w:spacing w:before="0" w:beforeAutospacing="0" w:after="0" w:afterAutospacing="0"/>
        <w:jc w:val="both"/>
        <w:textAlignment w:val="baseline"/>
        <w:rPr>
          <w:rFonts w:ascii="Franklin Gothic Book" w:hAnsi="Franklin Gothic Book" w:cs="Calibri"/>
          <w:sz w:val="22"/>
          <w:szCs w:val="22"/>
        </w:rPr>
      </w:pPr>
      <w:r w:rsidRPr="007C488A">
        <w:rPr>
          <w:rStyle w:val="normaltextrun"/>
          <w:rFonts w:ascii="Franklin Gothic Book" w:hAnsi="Franklin Gothic Book" w:cs="Calibri"/>
          <w:sz w:val="22"/>
          <w:szCs w:val="22"/>
        </w:rPr>
        <w:t>The ongoing maintenance and tasks associated with the device can limit independence and impose restrictions on daily routines and social interactions, which may have a psychosocial impact.</w:t>
      </w:r>
      <w:r w:rsidRPr="007C488A">
        <w:rPr>
          <w:rStyle w:val="eop"/>
          <w:rFonts w:ascii="Franklin Gothic Book" w:hAnsi="Franklin Gothic Book" w:cs="Calibri"/>
          <w:sz w:val="22"/>
          <w:szCs w:val="22"/>
        </w:rPr>
        <w:t> </w:t>
      </w:r>
    </w:p>
    <w:p w14:paraId="650D5B23" w14:textId="4C16BCE0" w:rsidR="00D92D23"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b/>
          <w:bCs/>
          <w:sz w:val="22"/>
          <w:szCs w:val="22"/>
        </w:rPr>
        <w:t>Other feedback </w:t>
      </w:r>
      <w:r w:rsidRPr="007C488A">
        <w:rPr>
          <w:rStyle w:val="eop"/>
          <w:rFonts w:ascii="Franklin Gothic Book" w:hAnsi="Franklin Gothic Book" w:cs="Calibri"/>
          <w:sz w:val="22"/>
          <w:szCs w:val="22"/>
        </w:rPr>
        <w:t> </w:t>
      </w:r>
    </w:p>
    <w:p w14:paraId="4C6E2FDF" w14:textId="77777777" w:rsidR="00D92D23" w:rsidRPr="007C488A" w:rsidRDefault="00D92D23" w:rsidP="00275263">
      <w:pPr>
        <w:pStyle w:val="paragraph"/>
        <w:spacing w:before="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The feedback highlighted that appropriate patient selection was identified as critical for good outcomes. The feedback considered that clinicians involved in patient selection have experience with this complex patient cohort and can identify with reasonable accuracy, candidates who would benefit the most from this procedure. </w:t>
      </w:r>
      <w:r w:rsidRPr="007C488A">
        <w:rPr>
          <w:rStyle w:val="eop"/>
          <w:rFonts w:ascii="Franklin Gothic Book" w:hAnsi="Franklin Gothic Book" w:cs="Calibri"/>
          <w:sz w:val="22"/>
          <w:szCs w:val="22"/>
        </w:rPr>
        <w:t> </w:t>
      </w:r>
    </w:p>
    <w:p w14:paraId="44FF5B3B" w14:textId="049AE6AA" w:rsidR="00D92D23"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 xml:space="preserve">Other services identified in the consultation feedback as being needed to be delivered before or after the intervention included comprehensive care by a multidisciplinary team including intensive care specialist, physiotherapists, dieticians, pharmacists, </w:t>
      </w:r>
      <w:proofErr w:type="gramStart"/>
      <w:r w:rsidRPr="007C488A">
        <w:rPr>
          <w:rStyle w:val="normaltextrun"/>
          <w:rFonts w:ascii="Franklin Gothic Book" w:hAnsi="Franklin Gothic Book" w:cs="Calibri"/>
          <w:sz w:val="22"/>
          <w:szCs w:val="22"/>
        </w:rPr>
        <w:t>psychologists</w:t>
      </w:r>
      <w:proofErr w:type="gramEnd"/>
      <w:r w:rsidRPr="007C488A">
        <w:rPr>
          <w:rStyle w:val="normaltextrun"/>
          <w:rFonts w:ascii="Franklin Gothic Book" w:hAnsi="Franklin Gothic Book" w:cs="Calibri"/>
          <w:sz w:val="22"/>
          <w:szCs w:val="22"/>
        </w:rPr>
        <w:t xml:space="preserve"> and social workers.</w:t>
      </w:r>
      <w:r w:rsidRPr="007C488A">
        <w:rPr>
          <w:rStyle w:val="eop"/>
          <w:rFonts w:ascii="Franklin Gothic Book" w:hAnsi="Franklin Gothic Book" w:cs="Calibri"/>
          <w:sz w:val="22"/>
          <w:szCs w:val="22"/>
        </w:rPr>
        <w:t> </w:t>
      </w:r>
    </w:p>
    <w:p w14:paraId="6A6D0D4D" w14:textId="6CE61406" w:rsidR="00A832A7" w:rsidRPr="007C488A" w:rsidRDefault="00D92D23" w:rsidP="00275263">
      <w:pPr>
        <w:pStyle w:val="paragraph"/>
        <w:spacing w:before="240" w:beforeAutospacing="0" w:after="0" w:afterAutospacing="0"/>
        <w:jc w:val="both"/>
        <w:textAlignment w:val="baseline"/>
        <w:rPr>
          <w:rFonts w:ascii="Franklin Gothic Book" w:hAnsi="Franklin Gothic Book" w:cs="Segoe UI"/>
          <w:sz w:val="18"/>
          <w:szCs w:val="18"/>
        </w:rPr>
      </w:pPr>
      <w:r w:rsidRPr="007C488A">
        <w:rPr>
          <w:rStyle w:val="normaltextrun"/>
          <w:rFonts w:ascii="Franklin Gothic Book" w:hAnsi="Franklin Gothic Book" w:cs="Calibri"/>
          <w:sz w:val="22"/>
          <w:szCs w:val="22"/>
        </w:rPr>
        <w:t>The feedback noted that Advanced Heart Failure and Transplantation programs already have the infrastructure present to support patients with Destination VAD therapy. With an increasing number of patients eligible for Destination VAD, there may be a requirement to increase the highly specialised support services necessary.</w:t>
      </w:r>
      <w:r w:rsidRPr="007C488A">
        <w:rPr>
          <w:rStyle w:val="eop"/>
          <w:rFonts w:ascii="Franklin Gothic Book" w:hAnsi="Franklin Gothic Book" w:cs="Calibri"/>
          <w:sz w:val="22"/>
          <w:szCs w:val="22"/>
        </w:rPr>
        <w:t> </w:t>
      </w:r>
    </w:p>
    <w:p w14:paraId="03C7A1F1" w14:textId="3F5ED5DF" w:rsidR="00772829" w:rsidRPr="007C488A" w:rsidRDefault="00D92D23" w:rsidP="002A18BE">
      <w:pPr>
        <w:pStyle w:val="Heading2"/>
        <w:numPr>
          <w:ilvl w:val="0"/>
          <w:numId w:val="0"/>
        </w:numPr>
      </w:pPr>
      <w:bookmarkStart w:id="14" w:name="_Toc69491422"/>
      <w:r w:rsidRPr="007C488A">
        <w:lastRenderedPageBreak/>
        <w:t>10</w:t>
      </w:r>
      <w:r w:rsidR="00C36633" w:rsidRPr="007C488A">
        <w:t>.</w:t>
      </w:r>
      <w:r w:rsidR="00C36633" w:rsidRPr="007C488A">
        <w:tab/>
      </w:r>
      <w:r w:rsidR="00772829" w:rsidRPr="007C488A">
        <w:t>Characteristics of the evidence base</w:t>
      </w:r>
      <w:bookmarkEnd w:id="14"/>
    </w:p>
    <w:p w14:paraId="0EC3F3DD" w14:textId="557E3278" w:rsidR="00B87164" w:rsidRPr="007C488A" w:rsidRDefault="00C53284" w:rsidP="00B87164">
      <w:pPr>
        <w:pStyle w:val="EXECsum"/>
        <w:jc w:val="both"/>
      </w:pPr>
      <w:r w:rsidRPr="007C488A">
        <w:t>N</w:t>
      </w:r>
      <w:r w:rsidR="00B87164" w:rsidRPr="007C488A">
        <w:t xml:space="preserve">o </w:t>
      </w:r>
      <w:r w:rsidR="008224E7" w:rsidRPr="007C488A">
        <w:t xml:space="preserve">randomised controlled trials (RCTs) </w:t>
      </w:r>
      <w:r w:rsidR="00B87164" w:rsidRPr="007C488A">
        <w:t xml:space="preserve">providing direct </w:t>
      </w:r>
      <w:r w:rsidR="00FA6A6C" w:rsidRPr="007C488A">
        <w:t>head-to-head</w:t>
      </w:r>
      <w:r w:rsidR="00B87164" w:rsidRPr="007C488A">
        <w:t xml:space="preserve"> comparison of HM3 </w:t>
      </w:r>
      <w:r w:rsidR="00806FD2" w:rsidRPr="007C488A">
        <w:t>versus</w:t>
      </w:r>
      <w:r w:rsidR="00B87164" w:rsidRPr="007C488A">
        <w:t xml:space="preserve"> OMM</w:t>
      </w:r>
      <w:r w:rsidRPr="007C488A">
        <w:t xml:space="preserve"> were identi</w:t>
      </w:r>
      <w:r w:rsidR="00BD775D" w:rsidRPr="007C488A">
        <w:t xml:space="preserve">fied. </w:t>
      </w:r>
      <w:r w:rsidR="00D16EF7" w:rsidRPr="007C488A">
        <w:t>However, direct evidence for HM2 (2nd generation device) v</w:t>
      </w:r>
      <w:r w:rsidR="00190C36" w:rsidRPr="007C488A">
        <w:t>ersu</w:t>
      </w:r>
      <w:r w:rsidR="00D16EF7" w:rsidRPr="007C488A">
        <w:t>s OMM (R</w:t>
      </w:r>
      <w:r w:rsidR="00C02BBC" w:rsidRPr="007C488A">
        <w:t>OADMAP</w:t>
      </w:r>
      <w:r w:rsidR="00D16EF7" w:rsidRPr="007C488A">
        <w:t>) and HM XVE (1st generation device) v</w:t>
      </w:r>
      <w:r w:rsidR="00190C36" w:rsidRPr="007C488A">
        <w:t>ersu</w:t>
      </w:r>
      <w:r w:rsidR="00D16EF7" w:rsidRPr="007C488A">
        <w:t>s OMM (R</w:t>
      </w:r>
      <w:r w:rsidR="00C02BBC" w:rsidRPr="007C488A">
        <w:t>EMATCH</w:t>
      </w:r>
      <w:r w:rsidR="00D16EF7" w:rsidRPr="007C488A">
        <w:t xml:space="preserve">) </w:t>
      </w:r>
      <w:r w:rsidR="00190C36" w:rsidRPr="007C488A">
        <w:t>was identified</w:t>
      </w:r>
      <w:r w:rsidR="00D16EF7" w:rsidRPr="007C488A">
        <w:t>.</w:t>
      </w:r>
      <w:r w:rsidR="00E36F66" w:rsidRPr="007C488A">
        <w:t xml:space="preserve"> </w:t>
      </w:r>
      <w:r w:rsidR="00BD775D" w:rsidRPr="007C488A">
        <w:t>Therefo</w:t>
      </w:r>
      <w:r w:rsidR="006C09EA" w:rsidRPr="007C488A">
        <w:t>r</w:t>
      </w:r>
      <w:r w:rsidR="00BD775D" w:rsidRPr="007C488A">
        <w:t>e,</w:t>
      </w:r>
      <w:r w:rsidR="001D7D43" w:rsidRPr="007C488A">
        <w:t xml:space="preserve"> to enable a comparison between the most current generation (HM3) and OMM</w:t>
      </w:r>
      <w:r w:rsidR="00B87164" w:rsidRPr="007C488A" w:rsidDel="00BD775D">
        <w:t>,</w:t>
      </w:r>
      <w:r w:rsidR="00B87164" w:rsidRPr="007C488A">
        <w:t xml:space="preserve"> the </w:t>
      </w:r>
      <w:r w:rsidR="00BD775D" w:rsidRPr="007C488A">
        <w:t xml:space="preserve">ADAR presented </w:t>
      </w:r>
      <w:r w:rsidR="00B87164" w:rsidRPr="007C488A">
        <w:t xml:space="preserve">three indirect </w:t>
      </w:r>
      <w:r w:rsidR="00FA6A6C" w:rsidRPr="007C488A">
        <w:t xml:space="preserve">treatment </w:t>
      </w:r>
      <w:r w:rsidR="00B87164" w:rsidRPr="007C488A">
        <w:t>comparison</w:t>
      </w:r>
      <w:r w:rsidR="00FA6A6C" w:rsidRPr="007C488A">
        <w:t>s</w:t>
      </w:r>
      <w:r w:rsidR="00B87164" w:rsidRPr="007C488A">
        <w:t xml:space="preserve"> </w:t>
      </w:r>
      <w:r w:rsidR="00FA6A6C" w:rsidRPr="007C488A">
        <w:t xml:space="preserve">(ITCs) </w:t>
      </w:r>
      <w:r w:rsidR="00322F9C" w:rsidRPr="007C488A">
        <w:t>based on four studies</w:t>
      </w:r>
      <w:r w:rsidR="00FA6A6C" w:rsidRPr="007C488A">
        <w:t xml:space="preserve">: </w:t>
      </w:r>
      <w:r w:rsidR="00322F9C" w:rsidRPr="007C488A">
        <w:t>MOMENTUM 3 RCT</w:t>
      </w:r>
      <w:r w:rsidR="00322F9C" w:rsidRPr="007C488A">
        <w:rPr>
          <w:rStyle w:val="FootnoteReference"/>
        </w:rPr>
        <w:footnoteReference w:id="7"/>
      </w:r>
      <w:r w:rsidR="00322F9C" w:rsidRPr="007C488A">
        <w:t>, REMATCH RCT</w:t>
      </w:r>
      <w:r w:rsidR="004C7004" w:rsidRPr="007C488A">
        <w:rPr>
          <w:rStyle w:val="FootnoteReference"/>
        </w:rPr>
        <w:footnoteReference w:id="8"/>
      </w:r>
      <w:r w:rsidR="00322F9C" w:rsidRPr="007C488A">
        <w:t>, Slaughter (2009)</w:t>
      </w:r>
      <w:r w:rsidR="004C7004" w:rsidRPr="007C488A">
        <w:rPr>
          <w:rStyle w:val="FootnoteReference"/>
        </w:rPr>
        <w:footnoteReference w:id="9"/>
      </w:r>
      <w:r w:rsidR="00322F9C" w:rsidRPr="007C488A">
        <w:t xml:space="preserve"> RCT and the ROADMAP</w:t>
      </w:r>
      <w:r w:rsidR="004C7004" w:rsidRPr="007C488A">
        <w:rPr>
          <w:rStyle w:val="FootnoteReference"/>
        </w:rPr>
        <w:footnoteReference w:id="10"/>
      </w:r>
      <w:r w:rsidR="00322F9C" w:rsidRPr="007C488A">
        <w:t xml:space="preserve"> observational study </w:t>
      </w:r>
      <w:r w:rsidR="00B87164" w:rsidRPr="007C488A">
        <w:t>(</w:t>
      </w:r>
      <w:r w:rsidR="00E17863" w:rsidRPr="007C488A">
        <w:fldChar w:fldCharType="begin"/>
      </w:r>
      <w:r w:rsidR="00E17863" w:rsidRPr="007C488A">
        <w:instrText xml:space="preserve"> REF _Ref155619417 \h </w:instrText>
      </w:r>
      <w:r w:rsidR="007C488A">
        <w:instrText xml:space="preserve"> \* MERGEFORMAT </w:instrText>
      </w:r>
      <w:r w:rsidR="00E17863" w:rsidRPr="007C488A">
        <w:fldChar w:fldCharType="separate"/>
      </w:r>
      <w:r w:rsidR="00406484" w:rsidRPr="007C488A">
        <w:t xml:space="preserve">Figure </w:t>
      </w:r>
      <w:r w:rsidR="00406484" w:rsidRPr="007C488A">
        <w:rPr>
          <w:noProof/>
        </w:rPr>
        <w:t>1</w:t>
      </w:r>
      <w:r w:rsidR="00E17863" w:rsidRPr="007C488A">
        <w:fldChar w:fldCharType="end"/>
      </w:r>
      <w:r w:rsidR="00B87164" w:rsidRPr="007C488A">
        <w:t xml:space="preserve">). </w:t>
      </w:r>
    </w:p>
    <w:p w14:paraId="04B5A039" w14:textId="1A105CDB" w:rsidR="00B87164" w:rsidRPr="007C488A" w:rsidRDefault="00B87164" w:rsidP="00B87164">
      <w:pPr>
        <w:pStyle w:val="EXECsum"/>
        <w:jc w:val="both"/>
      </w:pPr>
      <w:r w:rsidRPr="007C488A">
        <w:rPr>
          <w:u w:val="single"/>
        </w:rPr>
        <w:t>Two-step Bucher ITC (</w:t>
      </w:r>
      <w:bookmarkStart w:id="15" w:name="_Hlk151455229"/>
      <w:r w:rsidRPr="007C488A">
        <w:rPr>
          <w:u w:val="single"/>
        </w:rPr>
        <w:t>REMATCH</w:t>
      </w:r>
      <w:bookmarkEnd w:id="15"/>
      <w:r w:rsidRPr="007C488A">
        <w:rPr>
          <w:u w:val="single"/>
        </w:rPr>
        <w:t>):</w:t>
      </w:r>
      <w:r w:rsidRPr="007C488A">
        <w:t xml:space="preserve"> an ITC of HM3 versus OMM constructed via HM2 and HM XVE (via Slaughter 2009; REMATCH and MOMENTUM 3), reflecting a comparison of OMM with </w:t>
      </w:r>
      <w:r w:rsidR="00517F01" w:rsidRPr="007C488A">
        <w:t>INTERMACS profile</w:t>
      </w:r>
      <w:r w:rsidRPr="007C488A">
        <w:t>s 1–3 (</w:t>
      </w:r>
      <w:r w:rsidR="00C02BBC" w:rsidRPr="007C488A">
        <w:t xml:space="preserve">98% of the </w:t>
      </w:r>
      <w:r w:rsidRPr="007C488A">
        <w:t>MOMENTUM</w:t>
      </w:r>
      <w:r w:rsidR="00CF0D4D" w:rsidRPr="007C488A">
        <w:t xml:space="preserve"> 3</w:t>
      </w:r>
      <w:r w:rsidRPr="007C488A">
        <w:t xml:space="preserve"> </w:t>
      </w:r>
      <w:bookmarkStart w:id="16" w:name="_Hlk155081872"/>
      <w:r w:rsidR="00C02BBC" w:rsidRPr="007C488A">
        <w:t xml:space="preserve">population was </w:t>
      </w:r>
      <w:r w:rsidR="00900C82" w:rsidRPr="007C488A">
        <w:t xml:space="preserve">INTERMACS </w:t>
      </w:r>
      <w:r w:rsidRPr="007C488A">
        <w:t>1–4</w:t>
      </w:r>
      <w:bookmarkEnd w:id="16"/>
      <w:r w:rsidRPr="007C488A">
        <w:t xml:space="preserve">; other trials predominantly </w:t>
      </w:r>
      <w:r w:rsidR="00900C82" w:rsidRPr="007C488A">
        <w:t xml:space="preserve">INTERMACS </w:t>
      </w:r>
      <w:r w:rsidRPr="007C488A">
        <w:t>1–3).</w:t>
      </w:r>
    </w:p>
    <w:p w14:paraId="46D06A52" w14:textId="4A20EF84" w:rsidR="00B87164" w:rsidRPr="007C488A" w:rsidRDefault="00B87164" w:rsidP="00B87164">
      <w:pPr>
        <w:pStyle w:val="EXECsum"/>
        <w:jc w:val="both"/>
      </w:pPr>
      <w:r w:rsidRPr="007C488A">
        <w:rPr>
          <w:u w:val="single"/>
        </w:rPr>
        <w:t>One-step Bucher ITC (ROADMAP):</w:t>
      </w:r>
      <w:r w:rsidRPr="007C488A">
        <w:t xml:space="preserve"> an ITC of HM3 versus OMM constructed via HM2 (based on MOMENTUM 3 and the ROADMAP observational study). </w:t>
      </w:r>
      <w:r w:rsidR="008224E7" w:rsidRPr="007C488A">
        <w:t>Notably</w:t>
      </w:r>
      <w:r w:rsidR="00FA6A6C" w:rsidRPr="007C488A">
        <w:t>, most of the</w:t>
      </w:r>
      <w:r w:rsidRPr="007C488A">
        <w:t xml:space="preserve"> MOMENTUM 3 participants had </w:t>
      </w:r>
      <w:r w:rsidR="00517F01" w:rsidRPr="007C488A">
        <w:t>INTERMACS profile</w:t>
      </w:r>
      <w:r w:rsidRPr="007C488A">
        <w:t xml:space="preserve"> 1–4 whereas ROADMAP included </w:t>
      </w:r>
      <w:r w:rsidR="00517F01" w:rsidRPr="007C488A">
        <w:t>INTERMACS profile</w:t>
      </w:r>
      <w:r w:rsidRPr="007C488A">
        <w:t xml:space="preserve">s 4–7. However, the availability of subgroup data from ROADMAP of </w:t>
      </w:r>
      <w:r w:rsidR="00CC34A3" w:rsidRPr="007C488A">
        <w:t xml:space="preserve">patients with </w:t>
      </w:r>
      <w:r w:rsidR="006A75CA" w:rsidRPr="007C488A">
        <w:t>INTERMACS</w:t>
      </w:r>
      <w:r w:rsidR="00CC34A3" w:rsidRPr="007C488A">
        <w:t xml:space="preserve"> profile</w:t>
      </w:r>
      <w:r w:rsidR="006A75CA" w:rsidRPr="007C488A">
        <w:t xml:space="preserve"> 4</w:t>
      </w:r>
      <w:r w:rsidRPr="007C488A">
        <w:t xml:space="preserve"> allow</w:t>
      </w:r>
      <w:r w:rsidR="00884F5C" w:rsidRPr="007C488A">
        <w:t>ed</w:t>
      </w:r>
      <w:r w:rsidRPr="007C488A">
        <w:t xml:space="preserve"> comparison of HM3 vs OMM in patients with the least severe </w:t>
      </w:r>
      <w:r w:rsidR="0002704B" w:rsidRPr="007C488A">
        <w:t>HF</w:t>
      </w:r>
      <w:r w:rsidRPr="007C488A">
        <w:t xml:space="preserve"> within the target MBS population (</w:t>
      </w:r>
      <w:r w:rsidR="00900C82" w:rsidRPr="007C488A">
        <w:t xml:space="preserve">INTERMACS </w:t>
      </w:r>
      <w:r w:rsidRPr="007C488A">
        <w:t>4) which have received OMM treatment in the modern setting.</w:t>
      </w:r>
    </w:p>
    <w:p w14:paraId="448BADCC" w14:textId="676E7AE1" w:rsidR="00B87164" w:rsidRPr="007C488A" w:rsidRDefault="00B87164" w:rsidP="00B87164">
      <w:pPr>
        <w:pStyle w:val="EXECsum"/>
        <w:jc w:val="both"/>
      </w:pPr>
      <w:r w:rsidRPr="007C488A">
        <w:rPr>
          <w:u w:val="single"/>
        </w:rPr>
        <w:t>Naïve comparison:</w:t>
      </w:r>
      <w:r w:rsidRPr="007C488A">
        <w:t xml:space="preserve"> a naïve comparison of HM3 </w:t>
      </w:r>
      <w:r w:rsidR="00307F36" w:rsidRPr="007C488A">
        <w:t>(</w:t>
      </w:r>
      <w:r w:rsidRPr="007C488A">
        <w:t>from MOMENTUM 3</w:t>
      </w:r>
      <w:r w:rsidR="00307F36" w:rsidRPr="007C488A">
        <w:t xml:space="preserve">, </w:t>
      </w:r>
      <w:r w:rsidR="00285667" w:rsidRPr="007C488A">
        <w:t xml:space="preserve">98% of the patients were </w:t>
      </w:r>
      <w:r w:rsidR="00E36F66" w:rsidRPr="007C488A">
        <w:t xml:space="preserve">INTERMACS 1–4) </w:t>
      </w:r>
      <w:r w:rsidR="00307F36" w:rsidRPr="007C488A">
        <w:t xml:space="preserve">versus OMM (primarily from </w:t>
      </w:r>
      <w:r w:rsidRPr="007C488A">
        <w:t>REMATCH</w:t>
      </w:r>
      <w:r w:rsidR="00307F36" w:rsidRPr="007C488A">
        <w:t>,</w:t>
      </w:r>
      <w:r w:rsidR="00884F5C" w:rsidRPr="007C488A">
        <w:t xml:space="preserve"> </w:t>
      </w:r>
      <w:r w:rsidR="00E36F66" w:rsidRPr="007C488A">
        <w:t>suggestive of INTERMACS profiles 1–3)</w:t>
      </w:r>
      <w:r w:rsidRPr="007C488A">
        <w:t xml:space="preserve"> </w:t>
      </w:r>
      <w:r w:rsidR="00884F5C" w:rsidRPr="007C488A">
        <w:t>was</w:t>
      </w:r>
      <w:r w:rsidRPr="007C488A">
        <w:t xml:space="preserve"> presented for survival to allow for a visual comparison of </w:t>
      </w:r>
      <w:r w:rsidR="00CF0D4D" w:rsidRPr="007C488A">
        <w:t xml:space="preserve">overall </w:t>
      </w:r>
      <w:r w:rsidRPr="007C488A">
        <w:t>survival</w:t>
      </w:r>
      <w:r w:rsidR="00764EB6" w:rsidRPr="007C488A">
        <w:t xml:space="preserve"> (OS)</w:t>
      </w:r>
      <w:r w:rsidRPr="007C488A">
        <w:t xml:space="preserve"> curves of HM3 and OMM in a matched population.</w:t>
      </w:r>
    </w:p>
    <w:p w14:paraId="5A9C493F" w14:textId="70FF50FD" w:rsidR="008F1F06" w:rsidRPr="007C488A" w:rsidRDefault="008F1F06">
      <w:r w:rsidRPr="007C488A">
        <w:rPr>
          <w:noProof/>
        </w:rPr>
        <w:drawing>
          <wp:inline distT="0" distB="0" distL="0" distR="0" wp14:anchorId="1760C79B" wp14:editId="0C7063A5">
            <wp:extent cx="3995158" cy="2352675"/>
            <wp:effectExtent l="0" t="0" r="0" b="0"/>
            <wp:docPr id="2005661635" name="Picture 2005661635" descr="Network diagram of trials included to inform the indirect comparisons of HM3 vs 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61635" name="Picture 2005661635" descr="Network diagram of trials included to inform the indirect comparisons of HM3 vs O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7492" cy="2354050"/>
                    </a:xfrm>
                    <a:prstGeom prst="rect">
                      <a:avLst/>
                    </a:prstGeom>
                    <a:noFill/>
                  </pic:spPr>
                </pic:pic>
              </a:graphicData>
            </a:graphic>
          </wp:inline>
        </w:drawing>
      </w:r>
    </w:p>
    <w:p w14:paraId="5B5E7F38" w14:textId="15B10F70" w:rsidR="00990CBF" w:rsidRPr="007C488A" w:rsidRDefault="0069739A" w:rsidP="006C4D49">
      <w:pPr>
        <w:pStyle w:val="Caption"/>
      </w:pPr>
      <w:bookmarkStart w:id="17" w:name="_Ref155619417"/>
      <w:bookmarkStart w:id="18" w:name="_Ref155619411"/>
      <w:r w:rsidRPr="007C488A">
        <w:t xml:space="preserve">Figure </w:t>
      </w:r>
      <w:r w:rsidRPr="007C488A">
        <w:fldChar w:fldCharType="begin"/>
      </w:r>
      <w:r w:rsidRPr="007C488A">
        <w:instrText>SEQ Figure \* ARABIC</w:instrText>
      </w:r>
      <w:r w:rsidRPr="007C488A">
        <w:fldChar w:fldCharType="separate"/>
      </w:r>
      <w:r w:rsidR="00406484" w:rsidRPr="007C488A">
        <w:rPr>
          <w:noProof/>
        </w:rPr>
        <w:t>1</w:t>
      </w:r>
      <w:r w:rsidRPr="007C488A">
        <w:fldChar w:fldCharType="end"/>
      </w:r>
      <w:bookmarkEnd w:id="17"/>
      <w:r w:rsidRPr="007C488A">
        <w:t>:</w:t>
      </w:r>
      <w:r w:rsidR="00990CBF" w:rsidRPr="007C488A">
        <w:t xml:space="preserve"> Network diagram of trials included to inform the indirect comparisons of HM3 vs OMM</w:t>
      </w:r>
      <w:bookmarkEnd w:id="18"/>
    </w:p>
    <w:p w14:paraId="20EF8BC8" w14:textId="00573356" w:rsidR="0069739A" w:rsidRPr="007C488A" w:rsidRDefault="0069739A" w:rsidP="00EA4FE5">
      <w:pPr>
        <w:pStyle w:val="Tablenotes0"/>
      </w:pPr>
      <w:r w:rsidRPr="007C488A">
        <w:t xml:space="preserve">Source: </w:t>
      </w:r>
      <w:r w:rsidR="00990CBF" w:rsidRPr="007C488A">
        <w:t xml:space="preserve">Figure 5, </w:t>
      </w:r>
      <w:r w:rsidR="00FF43D6" w:rsidRPr="007C488A">
        <w:t>Pp63-64</w:t>
      </w:r>
      <w:r w:rsidR="00990CBF" w:rsidRPr="007C488A">
        <w:t xml:space="preserve"> of </w:t>
      </w:r>
      <w:bookmarkStart w:id="19" w:name="_Hlk153805717"/>
      <w:r w:rsidR="00881906" w:rsidRPr="007C488A">
        <w:t xml:space="preserve">MSAC 1749 </w:t>
      </w:r>
      <w:r w:rsidR="00990CBF" w:rsidRPr="007C488A">
        <w:t>ADAR</w:t>
      </w:r>
      <w:r w:rsidR="0061793C" w:rsidRPr="007C488A">
        <w:t>+</w:t>
      </w:r>
      <w:r w:rsidR="009B3E0F" w:rsidRPr="007C488A">
        <w:t xml:space="preserve"> </w:t>
      </w:r>
      <w:r w:rsidR="0061793C" w:rsidRPr="007C488A">
        <w:t>in-line commentary</w:t>
      </w:r>
      <w:bookmarkEnd w:id="19"/>
    </w:p>
    <w:p w14:paraId="4EB1E5B3" w14:textId="7403946D" w:rsidR="001F4D08" w:rsidRPr="007C488A" w:rsidRDefault="0069739A" w:rsidP="00EA4FE5">
      <w:pPr>
        <w:pStyle w:val="Tablenotes0"/>
      </w:pPr>
      <w:r w:rsidRPr="007C488A">
        <w:t xml:space="preserve">Abbreviations: </w:t>
      </w:r>
      <w:r w:rsidR="00B87164" w:rsidRPr="007C488A">
        <w:t>HM3</w:t>
      </w:r>
      <w:r w:rsidR="005368F1" w:rsidRPr="007C488A">
        <w:t xml:space="preserve"> = </w:t>
      </w:r>
      <w:r w:rsidR="00B87164" w:rsidRPr="007C488A">
        <w:t>HeartMate 3; HM2</w:t>
      </w:r>
      <w:r w:rsidR="005368F1" w:rsidRPr="007C488A">
        <w:t xml:space="preserve"> = </w:t>
      </w:r>
      <w:r w:rsidR="00B87164" w:rsidRPr="007C488A">
        <w:t>HeartMate 2; HM</w:t>
      </w:r>
      <w:r w:rsidR="005368F1" w:rsidRPr="007C488A">
        <w:t xml:space="preserve"> = </w:t>
      </w:r>
      <w:r w:rsidR="00B87164" w:rsidRPr="007C488A">
        <w:t>HeartMate;</w:t>
      </w:r>
      <w:r w:rsidR="00B1098B" w:rsidRPr="007C488A">
        <w:t xml:space="preserve"> INTERMACS = The Interagency Registry for Mechanically Assisted Circulatory Support;</w:t>
      </w:r>
      <w:r w:rsidR="005320F5" w:rsidRPr="007C488A">
        <w:t xml:space="preserve"> ITC = indirect treatment comparisons; </w:t>
      </w:r>
      <w:r w:rsidR="00B87164" w:rsidRPr="007C488A">
        <w:t>XVE</w:t>
      </w:r>
      <w:r w:rsidR="005368F1" w:rsidRPr="007C488A">
        <w:t xml:space="preserve"> = </w:t>
      </w:r>
      <w:r w:rsidR="00B87164" w:rsidRPr="007C488A">
        <w:t>HeartMate vented electric; OMM</w:t>
      </w:r>
      <w:r w:rsidR="005368F1" w:rsidRPr="007C488A">
        <w:t xml:space="preserve"> = </w:t>
      </w:r>
      <w:r w:rsidR="00B87164" w:rsidRPr="007C488A">
        <w:t>optimal medical management</w:t>
      </w:r>
      <w:r w:rsidR="00EA4FE5" w:rsidRPr="007C488A">
        <w:t>.</w:t>
      </w:r>
    </w:p>
    <w:p w14:paraId="471D7A1B" w14:textId="031000A1" w:rsidR="00A45A0E" w:rsidRPr="007C488A" w:rsidRDefault="001F4D08" w:rsidP="00A45A0E">
      <w:pPr>
        <w:jc w:val="both"/>
      </w:pPr>
      <w:r w:rsidRPr="007C488A">
        <w:lastRenderedPageBreak/>
        <w:t xml:space="preserve">MOMENTUM 3 trial was a nonblinded, prospective, multicentre, </w:t>
      </w:r>
      <w:r w:rsidR="0083063E" w:rsidRPr="007C488A">
        <w:t>RCT</w:t>
      </w:r>
      <w:r w:rsidRPr="007C488A">
        <w:t xml:space="preserve"> comparing HM3 LVAD with HM2 LVAD in 1028 patients with advanced </w:t>
      </w:r>
      <w:r w:rsidR="0083063E" w:rsidRPr="007C488A">
        <w:t>HF</w:t>
      </w:r>
      <w:r w:rsidRPr="007C488A">
        <w:t xml:space="preserve">, including BTT, BTC and DT </w:t>
      </w:r>
      <w:r w:rsidR="00DD2805" w:rsidRPr="007C488A">
        <w:t>indications</w:t>
      </w:r>
      <w:r w:rsidRPr="007C488A">
        <w:t xml:space="preserve"> (DT</w:t>
      </w:r>
      <w:r w:rsidR="00DD2805" w:rsidRPr="007C488A">
        <w:t xml:space="preserve"> indication</w:t>
      </w:r>
      <w:r w:rsidRPr="007C488A">
        <w:t xml:space="preserve"> represented 61</w:t>
      </w:r>
      <w:r w:rsidR="00515075" w:rsidRPr="007C488A">
        <w:t>%).</w:t>
      </w:r>
      <w:r w:rsidR="00A02F6D" w:rsidRPr="007C488A">
        <w:t xml:space="preserve"> </w:t>
      </w:r>
      <w:r w:rsidR="00663943" w:rsidRPr="007C488A">
        <w:t xml:space="preserve">MOMENTUM 3 </w:t>
      </w:r>
      <w:r w:rsidR="00A02F6D" w:rsidRPr="007C488A">
        <w:t xml:space="preserve">extended, </w:t>
      </w:r>
      <w:r w:rsidR="00F416A4" w:rsidRPr="007C488A">
        <w:t>is a multicentre</w:t>
      </w:r>
      <w:r w:rsidR="00A02F6D" w:rsidRPr="007C488A">
        <w:t xml:space="preserve">, </w:t>
      </w:r>
      <w:r w:rsidR="00663943" w:rsidRPr="007C488A">
        <w:t xml:space="preserve">non-randomised follow-up study </w:t>
      </w:r>
      <w:r w:rsidR="00F416A4" w:rsidRPr="007C488A">
        <w:t>that included</w:t>
      </w:r>
      <w:r w:rsidR="00663943" w:rsidRPr="007C488A">
        <w:t xml:space="preserve"> participants who received HM3 or HM2 in MOMEMTUM 3 and were still receiving LVAD support at two to five years after the implant was conducted. </w:t>
      </w:r>
      <w:r w:rsidR="00515075" w:rsidRPr="007C488A">
        <w:t>The</w:t>
      </w:r>
      <w:r w:rsidR="00663943" w:rsidRPr="007C488A">
        <w:t xml:space="preserve"> </w:t>
      </w:r>
      <w:r w:rsidR="009D750F" w:rsidRPr="007C488A">
        <w:t>OS</w:t>
      </w:r>
      <w:r w:rsidRPr="007C488A">
        <w:t xml:space="preserve"> data specific to the DT population is used in the ITC</w:t>
      </w:r>
      <w:r w:rsidR="00515075" w:rsidRPr="007C488A">
        <w:t>. Of note,</w:t>
      </w:r>
      <w:r w:rsidRPr="007C488A">
        <w:t xml:space="preserve"> safety data specific to DT that </w:t>
      </w:r>
      <w:r w:rsidR="006A75CA" w:rsidRPr="007C488A">
        <w:t>was</w:t>
      </w:r>
      <w:r w:rsidRPr="007C488A">
        <w:t xml:space="preserve"> amenable for inclusion in the ITC </w:t>
      </w:r>
      <w:r w:rsidR="006A75CA" w:rsidRPr="007C488A">
        <w:t>was</w:t>
      </w:r>
      <w:r w:rsidRPr="007C488A">
        <w:t xml:space="preserve"> not </w:t>
      </w:r>
      <w:r w:rsidR="00515075" w:rsidRPr="007C488A">
        <w:t>available, hence safety analysis was</w:t>
      </w:r>
      <w:r w:rsidRPr="007C488A">
        <w:t xml:space="preserve"> performed on the entire trial population.</w:t>
      </w:r>
      <w:r w:rsidR="00B9659E" w:rsidRPr="007C488A">
        <w:t xml:space="preserve"> </w:t>
      </w:r>
      <w:r w:rsidR="005933C0" w:rsidRPr="007C488A">
        <w:t xml:space="preserve">The </w:t>
      </w:r>
      <w:r w:rsidR="00C62F67" w:rsidRPr="007C488A">
        <w:t xml:space="preserve">ADAR </w:t>
      </w:r>
      <w:r w:rsidR="00A45A0E" w:rsidRPr="007C488A">
        <w:t xml:space="preserve">claimed that the </w:t>
      </w:r>
      <w:r w:rsidR="00C04BC8" w:rsidRPr="007C488A">
        <w:t>intention to treat (</w:t>
      </w:r>
      <w:r w:rsidR="00DD709A" w:rsidRPr="007C488A">
        <w:t>ITT</w:t>
      </w:r>
      <w:r w:rsidR="00C04BC8" w:rsidRPr="007C488A">
        <w:t>)</w:t>
      </w:r>
      <w:r w:rsidR="00DD709A" w:rsidRPr="007C488A">
        <w:t xml:space="preserve"> population from MOMENTUM 3 is considered applicable to the DT population as subgroup analyses of the primary composite outcome of survival free of a debilitating stroke or reoperation to replace the pump by therapy intent showed no statistically significant </w:t>
      </w:r>
      <w:r w:rsidR="00515075" w:rsidRPr="007C488A">
        <w:t>difference across BTT, BTC, and DT</w:t>
      </w:r>
      <w:r w:rsidR="00DD709A" w:rsidRPr="007C488A">
        <w:t xml:space="preserve">. </w:t>
      </w:r>
      <w:r w:rsidR="00515075" w:rsidRPr="007C488A">
        <w:t xml:space="preserve">However, that composite primary outcome of the MOMENTUM 3 trial </w:t>
      </w:r>
      <w:r w:rsidR="006A75CA" w:rsidRPr="007C488A">
        <w:t>was</w:t>
      </w:r>
      <w:r w:rsidR="00515075" w:rsidRPr="007C488A">
        <w:t xml:space="preserve"> different from the outcome used in the ITC (i.e., OS).</w:t>
      </w:r>
    </w:p>
    <w:p w14:paraId="26D1D990" w14:textId="20FB4AE5" w:rsidR="001F4D08" w:rsidRPr="007C488A" w:rsidRDefault="001F4D08" w:rsidP="00A45A0E">
      <w:pPr>
        <w:jc w:val="both"/>
      </w:pPr>
      <w:r w:rsidRPr="007C488A">
        <w:t xml:space="preserve">REMATCH </w:t>
      </w:r>
      <w:r w:rsidR="00F30507" w:rsidRPr="007C488A">
        <w:t>(</w:t>
      </w:r>
      <w:r w:rsidR="00FE087B" w:rsidRPr="007C488A">
        <w:t>HM XVE vs OMM</w:t>
      </w:r>
      <w:r w:rsidR="00F30507" w:rsidRPr="007C488A">
        <w:t xml:space="preserve">) </w:t>
      </w:r>
      <w:r w:rsidRPr="007C488A">
        <w:t>and Slaughter (2009)</w:t>
      </w:r>
      <w:r w:rsidR="00F30507" w:rsidRPr="007C488A">
        <w:t xml:space="preserve"> (</w:t>
      </w:r>
      <w:r w:rsidR="00FE087B" w:rsidRPr="007C488A">
        <w:t>HM2 vs HM XVE</w:t>
      </w:r>
      <w:r w:rsidR="00F30507" w:rsidRPr="007C488A">
        <w:t>)</w:t>
      </w:r>
      <w:r w:rsidRPr="007C488A">
        <w:t xml:space="preserve"> </w:t>
      </w:r>
      <w:r w:rsidR="006A75CA" w:rsidRPr="007C488A">
        <w:t>were</w:t>
      </w:r>
      <w:r w:rsidRPr="007C488A">
        <w:t xml:space="preserve"> nonblinded, multicentre, </w:t>
      </w:r>
      <w:r w:rsidR="00900C82" w:rsidRPr="007C488A">
        <w:t>RCT</w:t>
      </w:r>
      <w:r w:rsidRPr="007C488A">
        <w:t xml:space="preserve"> of 129 and 200 </w:t>
      </w:r>
      <w:r w:rsidR="009314AE" w:rsidRPr="007C488A">
        <w:t>patients eligible for LVAD as DT</w:t>
      </w:r>
      <w:r w:rsidR="009314AE" w:rsidRPr="007C488A" w:rsidDel="009314AE">
        <w:t xml:space="preserve"> </w:t>
      </w:r>
      <w:r w:rsidRPr="007C488A">
        <w:t xml:space="preserve">respectively. While REMATCH and Slaughter (2009) did not specify </w:t>
      </w:r>
      <w:r w:rsidR="00517F01" w:rsidRPr="007C488A">
        <w:t>INTERMACS profile</w:t>
      </w:r>
      <w:r w:rsidRPr="007C488A">
        <w:t xml:space="preserve">s, </w:t>
      </w:r>
      <w:r w:rsidR="00F30507" w:rsidRPr="007C488A">
        <w:t>the AD</w:t>
      </w:r>
      <w:r w:rsidR="00DF2945" w:rsidRPr="007C488A">
        <w:t>AR</w:t>
      </w:r>
      <w:r w:rsidR="00F30507" w:rsidRPr="007C488A">
        <w:t xml:space="preserve"> </w:t>
      </w:r>
      <w:r w:rsidRPr="007C488A">
        <w:t xml:space="preserve">inferred from eligibility and baseline characteristics that patients were predominantly </w:t>
      </w:r>
      <w:r w:rsidR="00900C82" w:rsidRPr="007C488A">
        <w:t>INTERMACS</w:t>
      </w:r>
      <w:r w:rsidRPr="007C488A">
        <w:t xml:space="preserve"> 1–3.</w:t>
      </w:r>
      <w:r w:rsidR="00515075" w:rsidRPr="007C488A">
        <w:t xml:space="preserve"> </w:t>
      </w:r>
    </w:p>
    <w:p w14:paraId="5B943CDB" w14:textId="40C2617E" w:rsidR="001F4D08" w:rsidRPr="007C488A" w:rsidRDefault="001F4D08" w:rsidP="00A45A0E">
      <w:pPr>
        <w:jc w:val="both"/>
      </w:pPr>
      <w:r w:rsidRPr="007C488A">
        <w:t>The ROADMAP trial was a prospective, multicentre, non-randomised, controlled observational trial of 200 patients maintained on OMM or received a HM2 LVAD with DT intent (</w:t>
      </w:r>
      <w:r w:rsidR="00900C82" w:rsidRPr="007C488A">
        <w:t xml:space="preserve">INTERMACS </w:t>
      </w:r>
      <w:r w:rsidRPr="007C488A">
        <w:t>4–7), considered of moderate bias in the context of being a non-randomised study. Given OMM patients were less ill</w:t>
      </w:r>
      <w:r w:rsidR="00515075" w:rsidRPr="007C488A">
        <w:t xml:space="preserve"> (i.e., having higher INTERMACS scores)</w:t>
      </w:r>
      <w:r w:rsidRPr="007C488A">
        <w:t xml:space="preserve">, any comparison of survival and safety from ROADMAP </w:t>
      </w:r>
      <w:r w:rsidR="00515075" w:rsidRPr="007C488A">
        <w:t xml:space="preserve">could be </w:t>
      </w:r>
      <w:r w:rsidRPr="007C488A">
        <w:t>biased against LVAD (which has a flow on effect biasing the ITC of HM3 vs OMM against HM3).</w:t>
      </w:r>
      <w:r w:rsidR="00A45A0E" w:rsidRPr="007C488A">
        <w:t xml:space="preserve"> </w:t>
      </w:r>
    </w:p>
    <w:p w14:paraId="0F2B21D4" w14:textId="65630E31" w:rsidR="00DD709A" w:rsidRPr="007C488A" w:rsidRDefault="00DD709A" w:rsidP="00DD709A">
      <w:r w:rsidRPr="007C488A">
        <w:t>A summary of the key features of the trials of LVAD used to provide clinical evidence is reported in</w:t>
      </w:r>
      <w:r w:rsidR="007F1C83" w:rsidRPr="007C488A">
        <w:t xml:space="preserve"> </w:t>
      </w:r>
      <w:r w:rsidR="007F1C83" w:rsidRPr="007C488A">
        <w:fldChar w:fldCharType="begin"/>
      </w:r>
      <w:r w:rsidR="007F1C83" w:rsidRPr="007C488A">
        <w:instrText xml:space="preserve"> REF _Ref69725651 \h </w:instrText>
      </w:r>
      <w:r w:rsidR="007C488A">
        <w:instrText xml:space="preserve"> \* MERGEFORMAT </w:instrText>
      </w:r>
      <w:r w:rsidR="007F1C83" w:rsidRPr="007C488A">
        <w:fldChar w:fldCharType="separate"/>
      </w:r>
      <w:r w:rsidR="00406484" w:rsidRPr="007C488A">
        <w:t>Table </w:t>
      </w:r>
      <w:r w:rsidR="00406484" w:rsidRPr="007C488A">
        <w:rPr>
          <w:noProof/>
        </w:rPr>
        <w:t>2</w:t>
      </w:r>
      <w:r w:rsidR="007F1C83" w:rsidRPr="007C488A">
        <w:fldChar w:fldCharType="end"/>
      </w:r>
      <w:r w:rsidRPr="007C488A">
        <w:t xml:space="preserve">. </w:t>
      </w:r>
    </w:p>
    <w:p w14:paraId="403279F9" w14:textId="6D8F3454" w:rsidR="001F4D08" w:rsidRPr="007C488A" w:rsidRDefault="001F4D08" w:rsidP="00095F01">
      <w:pPr>
        <w:pStyle w:val="Tablenotes1"/>
        <w:sectPr w:rsidR="001F4D08" w:rsidRPr="007C488A" w:rsidSect="00394D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92BCA4B" w14:textId="1F95C327" w:rsidR="00956ACE" w:rsidRPr="007C488A" w:rsidRDefault="00956ACE" w:rsidP="006C4D49">
      <w:pPr>
        <w:pStyle w:val="Caption"/>
        <w:rPr>
          <w:sz w:val="22"/>
        </w:rPr>
      </w:pPr>
      <w:bookmarkStart w:id="20" w:name="_Ref69725651"/>
      <w:r w:rsidRPr="007C488A">
        <w:lastRenderedPageBreak/>
        <w:t>Table</w:t>
      </w:r>
      <w:r w:rsidR="004A4FDF" w:rsidRPr="007C488A">
        <w:t> </w:t>
      </w:r>
      <w:r w:rsidRPr="007C488A">
        <w:fldChar w:fldCharType="begin"/>
      </w:r>
      <w:r w:rsidRPr="007C488A">
        <w:instrText>SEQ Table \* ARABIC</w:instrText>
      </w:r>
      <w:r w:rsidRPr="007C488A">
        <w:fldChar w:fldCharType="separate"/>
      </w:r>
      <w:r w:rsidR="00406484" w:rsidRPr="007C488A">
        <w:rPr>
          <w:noProof/>
        </w:rPr>
        <w:t>2</w:t>
      </w:r>
      <w:r w:rsidRPr="007C488A">
        <w:fldChar w:fldCharType="end"/>
      </w:r>
      <w:bookmarkEnd w:id="20"/>
      <w:r w:rsidR="009B3E0F" w:rsidRPr="007C488A">
        <w:rPr>
          <w:noProof/>
        </w:rPr>
        <w:t xml:space="preserve">: </w:t>
      </w:r>
      <w:r w:rsidRPr="007C488A">
        <w:t>Key features of the included evidenc</w:t>
      </w:r>
      <w:r w:rsidR="00A920B8" w:rsidRPr="007C488A">
        <w:t>e comparing LVAD with OMM</w:t>
      </w:r>
      <w:r w:rsidR="00990CBF" w:rsidRPr="007C488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6"/>
        <w:gridCol w:w="1029"/>
        <w:gridCol w:w="1985"/>
        <w:gridCol w:w="992"/>
        <w:gridCol w:w="3685"/>
        <w:gridCol w:w="3769"/>
        <w:gridCol w:w="1112"/>
      </w:tblGrid>
      <w:tr w:rsidR="0081519D" w:rsidRPr="007C488A" w14:paraId="475D8C60" w14:textId="77777777" w:rsidTr="007D1A1F">
        <w:trPr>
          <w:cantSplit/>
          <w:tblHeader/>
        </w:trPr>
        <w:tc>
          <w:tcPr>
            <w:tcW w:w="1376" w:type="dxa"/>
            <w:shd w:val="clear" w:color="auto" w:fill="auto"/>
            <w:vAlign w:val="center"/>
          </w:tcPr>
          <w:p w14:paraId="4FFC981B" w14:textId="77777777" w:rsidR="00956ACE" w:rsidRPr="007C488A" w:rsidRDefault="00956ACE" w:rsidP="00990CBF">
            <w:pPr>
              <w:pStyle w:val="TableHeading0"/>
            </w:pPr>
            <w:bookmarkStart w:id="21" w:name="_Hlk68276112"/>
            <w:r w:rsidRPr="007C488A">
              <w:t>References</w:t>
            </w:r>
          </w:p>
        </w:tc>
        <w:tc>
          <w:tcPr>
            <w:tcW w:w="1029" w:type="dxa"/>
            <w:shd w:val="clear" w:color="auto" w:fill="auto"/>
            <w:vAlign w:val="center"/>
          </w:tcPr>
          <w:p w14:paraId="28641D20" w14:textId="77777777" w:rsidR="00956ACE" w:rsidRPr="007C488A" w:rsidRDefault="00956ACE" w:rsidP="007D1A1F">
            <w:pPr>
              <w:pStyle w:val="TableHeading0"/>
              <w:jc w:val="center"/>
            </w:pPr>
            <w:r w:rsidRPr="007C488A">
              <w:t>N</w:t>
            </w:r>
          </w:p>
        </w:tc>
        <w:tc>
          <w:tcPr>
            <w:tcW w:w="1985" w:type="dxa"/>
            <w:shd w:val="clear" w:color="auto" w:fill="auto"/>
            <w:vAlign w:val="center"/>
          </w:tcPr>
          <w:p w14:paraId="23BE1BE2" w14:textId="0DE3768C" w:rsidR="00956ACE" w:rsidRPr="007C488A" w:rsidRDefault="00956ACE" w:rsidP="00990CBF">
            <w:pPr>
              <w:pStyle w:val="TableHeading0"/>
            </w:pPr>
            <w:r w:rsidRPr="007C488A">
              <w:t>Design/duration</w:t>
            </w:r>
          </w:p>
        </w:tc>
        <w:tc>
          <w:tcPr>
            <w:tcW w:w="992" w:type="dxa"/>
            <w:shd w:val="clear" w:color="auto" w:fill="auto"/>
            <w:vAlign w:val="center"/>
          </w:tcPr>
          <w:p w14:paraId="4F407CF9" w14:textId="77777777" w:rsidR="00956ACE" w:rsidRPr="007C488A" w:rsidRDefault="00956ACE" w:rsidP="00990CBF">
            <w:pPr>
              <w:pStyle w:val="TableHeading0"/>
            </w:pPr>
            <w:r w:rsidRPr="007C488A">
              <w:t>Risk of bias</w:t>
            </w:r>
          </w:p>
        </w:tc>
        <w:tc>
          <w:tcPr>
            <w:tcW w:w="3685" w:type="dxa"/>
            <w:shd w:val="clear" w:color="auto" w:fill="auto"/>
            <w:vAlign w:val="center"/>
          </w:tcPr>
          <w:p w14:paraId="78074E6B" w14:textId="77777777" w:rsidR="00956ACE" w:rsidRPr="007C488A" w:rsidRDefault="00956ACE" w:rsidP="00990CBF">
            <w:pPr>
              <w:pStyle w:val="TableHeading0"/>
            </w:pPr>
            <w:r w:rsidRPr="007C488A">
              <w:t>Patient population</w:t>
            </w:r>
          </w:p>
        </w:tc>
        <w:tc>
          <w:tcPr>
            <w:tcW w:w="3769" w:type="dxa"/>
            <w:shd w:val="clear" w:color="auto" w:fill="auto"/>
            <w:vAlign w:val="center"/>
          </w:tcPr>
          <w:p w14:paraId="4B5869A3" w14:textId="77777777" w:rsidR="00956ACE" w:rsidRPr="007C488A" w:rsidRDefault="00956ACE" w:rsidP="00990CBF">
            <w:pPr>
              <w:pStyle w:val="TableHeading0"/>
            </w:pPr>
            <w:r w:rsidRPr="007C488A">
              <w:t>Outcome(s)</w:t>
            </w:r>
          </w:p>
        </w:tc>
        <w:tc>
          <w:tcPr>
            <w:tcW w:w="1112" w:type="dxa"/>
            <w:shd w:val="clear" w:color="auto" w:fill="auto"/>
            <w:vAlign w:val="center"/>
          </w:tcPr>
          <w:p w14:paraId="19D97B58" w14:textId="77777777" w:rsidR="00956ACE" w:rsidRPr="007C488A" w:rsidRDefault="00956ACE" w:rsidP="00990CBF">
            <w:pPr>
              <w:pStyle w:val="TableHeading0"/>
            </w:pPr>
            <w:r w:rsidRPr="007C488A">
              <w:t>Use in modelled evaluation</w:t>
            </w:r>
          </w:p>
        </w:tc>
      </w:tr>
      <w:tr w:rsidR="0081519D" w:rsidRPr="007C488A" w14:paraId="7E776818" w14:textId="77777777" w:rsidTr="007D1A1F">
        <w:trPr>
          <w:cantSplit/>
        </w:trPr>
        <w:tc>
          <w:tcPr>
            <w:tcW w:w="1376" w:type="dxa"/>
            <w:shd w:val="clear" w:color="auto" w:fill="auto"/>
            <w:vAlign w:val="center"/>
          </w:tcPr>
          <w:p w14:paraId="563AC767" w14:textId="12DACAC6" w:rsidR="00BB6186" w:rsidRPr="007C488A" w:rsidRDefault="00BB6186" w:rsidP="00990CBF">
            <w:pPr>
              <w:pStyle w:val="TableText"/>
            </w:pPr>
            <w:r w:rsidRPr="007C488A">
              <w:t xml:space="preserve">MOMENTUM 3 NCT02224755 </w:t>
            </w:r>
          </w:p>
        </w:tc>
        <w:tc>
          <w:tcPr>
            <w:tcW w:w="1029" w:type="dxa"/>
            <w:shd w:val="clear" w:color="auto" w:fill="auto"/>
            <w:vAlign w:val="center"/>
          </w:tcPr>
          <w:p w14:paraId="280096E2" w14:textId="35DA298A" w:rsidR="00BB6186" w:rsidRPr="007C488A" w:rsidRDefault="00BB6186" w:rsidP="007D1A1F">
            <w:pPr>
              <w:pStyle w:val="TableText"/>
              <w:jc w:val="center"/>
            </w:pPr>
            <w:r w:rsidRPr="007C488A">
              <w:t>1028</w:t>
            </w:r>
          </w:p>
        </w:tc>
        <w:tc>
          <w:tcPr>
            <w:tcW w:w="1985" w:type="dxa"/>
            <w:shd w:val="clear" w:color="auto" w:fill="auto"/>
            <w:vAlign w:val="center"/>
          </w:tcPr>
          <w:p w14:paraId="39A9151F" w14:textId="1005646A" w:rsidR="00BB6186" w:rsidRPr="007C488A" w:rsidRDefault="00BB6186" w:rsidP="00990CBF">
            <w:pPr>
              <w:pStyle w:val="TableText"/>
            </w:pPr>
            <w:r w:rsidRPr="007C488A">
              <w:t>RCT, MC, OL</w:t>
            </w:r>
          </w:p>
        </w:tc>
        <w:tc>
          <w:tcPr>
            <w:tcW w:w="992" w:type="dxa"/>
            <w:shd w:val="clear" w:color="auto" w:fill="auto"/>
            <w:vAlign w:val="center"/>
          </w:tcPr>
          <w:p w14:paraId="269C28DF" w14:textId="77777777" w:rsidR="00BB6186" w:rsidRPr="007C488A" w:rsidRDefault="00BB6186" w:rsidP="00990CBF">
            <w:pPr>
              <w:pStyle w:val="TableText"/>
            </w:pPr>
            <w:r w:rsidRPr="007C488A">
              <w:t>Low</w:t>
            </w:r>
          </w:p>
        </w:tc>
        <w:tc>
          <w:tcPr>
            <w:tcW w:w="3685" w:type="dxa"/>
            <w:shd w:val="clear" w:color="auto" w:fill="auto"/>
            <w:vAlign w:val="center"/>
          </w:tcPr>
          <w:p w14:paraId="4FD8A7FC" w14:textId="3D53020B" w:rsidR="00BB6186" w:rsidRPr="007C488A" w:rsidRDefault="00BB6186" w:rsidP="00990CBF">
            <w:pPr>
              <w:pStyle w:val="TableText"/>
            </w:pPr>
            <w:r w:rsidRPr="007C488A">
              <w:t xml:space="preserve">Advanced HF candidates for LVAD as BTT (22.8%), BTC (16.2%) or DT (61.0%), symptomatic (NYHA class III/IV); </w:t>
            </w:r>
            <w:r w:rsidR="00900C82" w:rsidRPr="007C488A">
              <w:t xml:space="preserve">INTERMACS </w:t>
            </w:r>
            <w:r w:rsidRPr="007C488A">
              <w:t xml:space="preserve">1-7 (97.6% </w:t>
            </w:r>
            <w:r w:rsidR="00900C82" w:rsidRPr="007C488A">
              <w:t xml:space="preserve">INTERMACS </w:t>
            </w:r>
            <w:r w:rsidRPr="007C488A">
              <w:t xml:space="preserve">1-4) </w:t>
            </w:r>
          </w:p>
        </w:tc>
        <w:tc>
          <w:tcPr>
            <w:tcW w:w="3769" w:type="dxa"/>
            <w:shd w:val="clear" w:color="auto" w:fill="auto"/>
            <w:vAlign w:val="center"/>
          </w:tcPr>
          <w:p w14:paraId="45B1587F" w14:textId="0F3E982C" w:rsidR="00BB6186" w:rsidRPr="007C488A" w:rsidRDefault="00BB6186" w:rsidP="00990CBF">
            <w:pPr>
              <w:pStyle w:val="TableText"/>
            </w:pPr>
            <w:r w:rsidRPr="007C488A">
              <w:t>Primary: composite of survival free of a debilitating stroke or reoperation to replace the pump</w:t>
            </w:r>
            <w:r w:rsidRPr="007C488A">
              <w:br/>
              <w:t>Powered secondary: pump replacement</w:t>
            </w:r>
            <w:r w:rsidRPr="007C488A">
              <w:br/>
              <w:t xml:space="preserve">Other secondary: survival, device malfunctions, </w:t>
            </w:r>
            <w:proofErr w:type="spellStart"/>
            <w:r w:rsidRPr="007C488A">
              <w:t>rehospitalisations</w:t>
            </w:r>
            <w:proofErr w:type="spellEnd"/>
            <w:r w:rsidRPr="007C488A">
              <w:t>, functional status, QoL, A</w:t>
            </w:r>
            <w:r w:rsidR="006B758C" w:rsidRPr="007C488A">
              <w:t>E</w:t>
            </w:r>
            <w:r w:rsidRPr="007C488A">
              <w:t xml:space="preserve">s </w:t>
            </w:r>
          </w:p>
        </w:tc>
        <w:tc>
          <w:tcPr>
            <w:tcW w:w="1112" w:type="dxa"/>
            <w:vMerge w:val="restart"/>
            <w:shd w:val="clear" w:color="auto" w:fill="auto"/>
            <w:vAlign w:val="center"/>
          </w:tcPr>
          <w:p w14:paraId="3F9CD3D5" w14:textId="41391A39" w:rsidR="00BB6186" w:rsidRPr="007C488A" w:rsidRDefault="00BB6186" w:rsidP="00990CBF">
            <w:pPr>
              <w:pStyle w:val="TableText"/>
            </w:pPr>
            <w:r w:rsidRPr="007C488A">
              <w:t>Yes</w:t>
            </w:r>
          </w:p>
        </w:tc>
      </w:tr>
      <w:tr w:rsidR="0081519D" w:rsidRPr="007C488A" w14:paraId="6E4E23A7" w14:textId="77777777" w:rsidTr="007D1A1F">
        <w:trPr>
          <w:cantSplit/>
        </w:trPr>
        <w:tc>
          <w:tcPr>
            <w:tcW w:w="1376" w:type="dxa"/>
            <w:shd w:val="clear" w:color="auto" w:fill="auto"/>
            <w:vAlign w:val="center"/>
          </w:tcPr>
          <w:p w14:paraId="31F09574" w14:textId="77777777" w:rsidR="00BB6186" w:rsidRPr="007C488A" w:rsidRDefault="00BB6186" w:rsidP="00990CBF">
            <w:pPr>
              <w:pStyle w:val="TableText"/>
            </w:pPr>
            <w:r w:rsidRPr="007C488A">
              <w:t xml:space="preserve">MOMENTUM 3 Extended FU </w:t>
            </w:r>
          </w:p>
          <w:p w14:paraId="75A24DD7" w14:textId="77777777" w:rsidR="00BB6186" w:rsidRPr="007C488A" w:rsidRDefault="00BB6186" w:rsidP="00990CBF">
            <w:pPr>
              <w:pStyle w:val="TableText"/>
            </w:pPr>
            <w:r w:rsidRPr="007C488A">
              <w:t xml:space="preserve">NCT03982979 </w:t>
            </w:r>
          </w:p>
          <w:p w14:paraId="45E15921" w14:textId="06A98F71" w:rsidR="00BB6186" w:rsidRPr="007C488A" w:rsidRDefault="00BB6186" w:rsidP="00990CBF">
            <w:pPr>
              <w:pStyle w:val="TableText"/>
            </w:pPr>
          </w:p>
        </w:tc>
        <w:tc>
          <w:tcPr>
            <w:tcW w:w="1029" w:type="dxa"/>
            <w:shd w:val="clear" w:color="auto" w:fill="auto"/>
            <w:vAlign w:val="center"/>
          </w:tcPr>
          <w:p w14:paraId="71251CEE" w14:textId="61E7042F" w:rsidR="00BB6186" w:rsidRPr="007C488A" w:rsidRDefault="00BB6186" w:rsidP="007D1A1F">
            <w:pPr>
              <w:pStyle w:val="TableText"/>
              <w:jc w:val="center"/>
            </w:pPr>
            <w:r w:rsidRPr="007C488A">
              <w:t>1020</w:t>
            </w:r>
          </w:p>
        </w:tc>
        <w:tc>
          <w:tcPr>
            <w:tcW w:w="1985" w:type="dxa"/>
            <w:shd w:val="clear" w:color="auto" w:fill="auto"/>
            <w:vAlign w:val="center"/>
          </w:tcPr>
          <w:p w14:paraId="37D3BD6A" w14:textId="18749382" w:rsidR="00BB6186" w:rsidRPr="007C488A" w:rsidRDefault="00BB6186" w:rsidP="00990CBF">
            <w:pPr>
              <w:pStyle w:val="TableText"/>
            </w:pPr>
            <w:r w:rsidRPr="007C488A">
              <w:t>Observational, MC, non-randomised</w:t>
            </w:r>
          </w:p>
        </w:tc>
        <w:tc>
          <w:tcPr>
            <w:tcW w:w="992" w:type="dxa"/>
            <w:shd w:val="clear" w:color="auto" w:fill="auto"/>
            <w:vAlign w:val="center"/>
          </w:tcPr>
          <w:p w14:paraId="51165529" w14:textId="691D41E0" w:rsidR="00BB6186" w:rsidRPr="007C488A" w:rsidRDefault="00BB6186" w:rsidP="00990CBF">
            <w:pPr>
              <w:pStyle w:val="TableText"/>
            </w:pPr>
            <w:r w:rsidRPr="007C488A">
              <w:t>NA</w:t>
            </w:r>
          </w:p>
        </w:tc>
        <w:tc>
          <w:tcPr>
            <w:tcW w:w="3685" w:type="dxa"/>
            <w:shd w:val="clear" w:color="auto" w:fill="auto"/>
            <w:vAlign w:val="center"/>
          </w:tcPr>
          <w:p w14:paraId="60CDF4F0" w14:textId="5A4AEC82" w:rsidR="00BB6186" w:rsidRPr="007C488A" w:rsidRDefault="00BB6186" w:rsidP="00990CBF">
            <w:pPr>
              <w:pStyle w:val="TableText"/>
            </w:pPr>
            <w:r w:rsidRPr="007C488A">
              <w:t xml:space="preserve">Participants who received HM3 or HM2 in MOMEMTUM 3 and were still receiving LVAD support at the 2-year FU. </w:t>
            </w:r>
          </w:p>
        </w:tc>
        <w:tc>
          <w:tcPr>
            <w:tcW w:w="3769" w:type="dxa"/>
            <w:shd w:val="clear" w:color="auto" w:fill="auto"/>
            <w:vAlign w:val="center"/>
          </w:tcPr>
          <w:p w14:paraId="7B60A9E8" w14:textId="77777777" w:rsidR="00BB6186" w:rsidRPr="007C488A" w:rsidRDefault="00BB6186" w:rsidP="00990CBF">
            <w:pPr>
              <w:pStyle w:val="TableText"/>
            </w:pPr>
            <w:r w:rsidRPr="007C488A">
              <w:t xml:space="preserve">Composite endpoint: survival to transplant, recovery, or LVAD support free of debilitating stroke or reoperation to replace the pump 5 years post implant </w:t>
            </w:r>
          </w:p>
          <w:p w14:paraId="583A7C5E" w14:textId="6F6082C8" w:rsidR="00BB6186" w:rsidRPr="007C488A" w:rsidRDefault="00BB6186" w:rsidP="00990CBF">
            <w:pPr>
              <w:pStyle w:val="TableText"/>
            </w:pPr>
            <w:r w:rsidRPr="007C488A">
              <w:t xml:space="preserve">Others: patient outcomes (transplant, explant/permanent deactivation, or withdrawal), survival, </w:t>
            </w:r>
            <w:r w:rsidR="006B758C" w:rsidRPr="007C488A">
              <w:t>AEs</w:t>
            </w:r>
            <w:r w:rsidRPr="007C488A">
              <w:t xml:space="preserve">, functional status </w:t>
            </w:r>
          </w:p>
        </w:tc>
        <w:tc>
          <w:tcPr>
            <w:tcW w:w="1112" w:type="dxa"/>
            <w:vMerge/>
            <w:shd w:val="clear" w:color="auto" w:fill="auto"/>
            <w:vAlign w:val="center"/>
          </w:tcPr>
          <w:p w14:paraId="56C2128A" w14:textId="59FA841F" w:rsidR="00BB6186" w:rsidRPr="007C488A" w:rsidRDefault="00BB6186" w:rsidP="00990CBF">
            <w:pPr>
              <w:pStyle w:val="TableText"/>
            </w:pPr>
          </w:p>
        </w:tc>
      </w:tr>
      <w:tr w:rsidR="0081519D" w:rsidRPr="007C488A" w14:paraId="764EB7FF" w14:textId="77777777" w:rsidTr="007D1A1F">
        <w:trPr>
          <w:cantSplit/>
        </w:trPr>
        <w:tc>
          <w:tcPr>
            <w:tcW w:w="1376" w:type="dxa"/>
            <w:shd w:val="clear" w:color="auto" w:fill="auto"/>
            <w:vAlign w:val="center"/>
          </w:tcPr>
          <w:p w14:paraId="46BAB09C" w14:textId="00602E11" w:rsidR="00BB6186" w:rsidRPr="007C488A" w:rsidRDefault="00BB6186" w:rsidP="00990CBF">
            <w:pPr>
              <w:pStyle w:val="TableText"/>
            </w:pPr>
            <w:bookmarkStart w:id="22" w:name="_Hlk151455291"/>
            <w:r w:rsidRPr="007C488A">
              <w:t xml:space="preserve">Slaughter (2009) </w:t>
            </w:r>
            <w:bookmarkEnd w:id="22"/>
            <w:r w:rsidRPr="007C488A">
              <w:t>NCT00121485</w:t>
            </w:r>
            <w:r w:rsidR="0059028F" w:rsidRPr="007C488A">
              <w:rPr>
                <w:vertAlign w:val="superscript"/>
              </w:rPr>
              <w:t xml:space="preserve"> a</w:t>
            </w:r>
            <w:r w:rsidRPr="007C488A">
              <w:t xml:space="preserve"> </w:t>
            </w:r>
          </w:p>
        </w:tc>
        <w:tc>
          <w:tcPr>
            <w:tcW w:w="1029" w:type="dxa"/>
            <w:shd w:val="clear" w:color="auto" w:fill="auto"/>
            <w:vAlign w:val="center"/>
          </w:tcPr>
          <w:p w14:paraId="03161CBA" w14:textId="6E634D89" w:rsidR="00BB6186" w:rsidRPr="007C488A" w:rsidRDefault="00BB6186" w:rsidP="007D1A1F">
            <w:pPr>
              <w:pStyle w:val="TableText"/>
              <w:jc w:val="center"/>
            </w:pPr>
            <w:r w:rsidRPr="007C488A">
              <w:t>200</w:t>
            </w:r>
          </w:p>
        </w:tc>
        <w:tc>
          <w:tcPr>
            <w:tcW w:w="1985" w:type="dxa"/>
            <w:shd w:val="clear" w:color="auto" w:fill="auto"/>
            <w:vAlign w:val="center"/>
          </w:tcPr>
          <w:p w14:paraId="0258CD10" w14:textId="4A0855AC" w:rsidR="00BB6186" w:rsidRPr="007C488A" w:rsidRDefault="00BB6186" w:rsidP="00990CBF">
            <w:pPr>
              <w:pStyle w:val="TableText"/>
            </w:pPr>
            <w:r w:rsidRPr="007C488A">
              <w:t>RCT, MC, OL</w:t>
            </w:r>
          </w:p>
        </w:tc>
        <w:tc>
          <w:tcPr>
            <w:tcW w:w="992" w:type="dxa"/>
            <w:shd w:val="clear" w:color="auto" w:fill="auto"/>
            <w:vAlign w:val="center"/>
          </w:tcPr>
          <w:p w14:paraId="23BF88DA" w14:textId="77777777" w:rsidR="00BB6186" w:rsidRPr="007C488A" w:rsidRDefault="00BB6186" w:rsidP="00990CBF">
            <w:pPr>
              <w:pStyle w:val="TableText"/>
            </w:pPr>
            <w:r w:rsidRPr="007C488A">
              <w:t>Low</w:t>
            </w:r>
          </w:p>
        </w:tc>
        <w:tc>
          <w:tcPr>
            <w:tcW w:w="3685" w:type="dxa"/>
            <w:shd w:val="clear" w:color="auto" w:fill="auto"/>
            <w:vAlign w:val="center"/>
          </w:tcPr>
          <w:p w14:paraId="05F1D9DA" w14:textId="0C3A2996" w:rsidR="00BB6186" w:rsidRPr="007C488A" w:rsidRDefault="00BB6186" w:rsidP="00990CBF">
            <w:pPr>
              <w:pStyle w:val="TableText"/>
            </w:pPr>
            <w:r w:rsidRPr="007C488A">
              <w:t xml:space="preserve">Patients with advanced </w:t>
            </w:r>
            <w:r w:rsidR="0032780E" w:rsidRPr="007C488A">
              <w:t>HF</w:t>
            </w:r>
            <w:r w:rsidRPr="007C488A">
              <w:t xml:space="preserve"> who were ineligible for heart transplantation and whose </w:t>
            </w:r>
            <w:r w:rsidR="0032780E" w:rsidRPr="007C488A">
              <w:t>HF</w:t>
            </w:r>
            <w:r w:rsidRPr="007C488A">
              <w:t xml:space="preserve"> was refractory to OMM. </w:t>
            </w:r>
          </w:p>
        </w:tc>
        <w:tc>
          <w:tcPr>
            <w:tcW w:w="3769" w:type="dxa"/>
            <w:shd w:val="clear" w:color="auto" w:fill="auto"/>
            <w:vAlign w:val="center"/>
          </w:tcPr>
          <w:p w14:paraId="2A3F370B" w14:textId="2E5A0AF4" w:rsidR="00BB6186" w:rsidRPr="007C488A" w:rsidRDefault="00BB6186" w:rsidP="00990CBF">
            <w:pPr>
              <w:pStyle w:val="TableText"/>
            </w:pPr>
            <w:r w:rsidRPr="007C488A">
              <w:t>Primary: composite of survival free of a debilitating stroke or reoperation to replace the pump</w:t>
            </w:r>
            <w:r w:rsidRPr="007C488A">
              <w:br/>
              <w:t xml:space="preserve">Powered secondary: survival, pump replacement, device malfunctions, </w:t>
            </w:r>
            <w:proofErr w:type="spellStart"/>
            <w:r w:rsidRPr="007C488A">
              <w:t>rehospitalisations</w:t>
            </w:r>
            <w:proofErr w:type="spellEnd"/>
            <w:r w:rsidRPr="007C488A">
              <w:t>, functional status, QoL, A</w:t>
            </w:r>
            <w:r w:rsidR="006B758C" w:rsidRPr="007C488A">
              <w:t>E</w:t>
            </w:r>
            <w:r w:rsidRPr="007C488A">
              <w:t xml:space="preserve">s </w:t>
            </w:r>
          </w:p>
        </w:tc>
        <w:tc>
          <w:tcPr>
            <w:tcW w:w="1112" w:type="dxa"/>
            <w:shd w:val="clear" w:color="auto" w:fill="auto"/>
            <w:vAlign w:val="center"/>
          </w:tcPr>
          <w:p w14:paraId="562F7956" w14:textId="133DA819" w:rsidR="00BB6186" w:rsidRPr="007C488A" w:rsidRDefault="00BB6186" w:rsidP="00990CBF">
            <w:pPr>
              <w:pStyle w:val="TableText"/>
            </w:pPr>
            <w:r w:rsidRPr="007C488A">
              <w:t>No</w:t>
            </w:r>
          </w:p>
        </w:tc>
      </w:tr>
      <w:tr w:rsidR="0081519D" w:rsidRPr="007C488A" w14:paraId="691F3441" w14:textId="77777777" w:rsidTr="007D1A1F">
        <w:trPr>
          <w:cantSplit/>
        </w:trPr>
        <w:tc>
          <w:tcPr>
            <w:tcW w:w="1376" w:type="dxa"/>
            <w:shd w:val="clear" w:color="auto" w:fill="auto"/>
            <w:vAlign w:val="center"/>
          </w:tcPr>
          <w:p w14:paraId="44F5B716" w14:textId="76BF3718" w:rsidR="00BB6186" w:rsidRPr="007C488A" w:rsidRDefault="00BB6186" w:rsidP="00990CBF">
            <w:pPr>
              <w:pStyle w:val="TableText"/>
            </w:pPr>
            <w:r w:rsidRPr="007C488A">
              <w:t xml:space="preserve">ROADMAP NCT01452802 </w:t>
            </w:r>
          </w:p>
        </w:tc>
        <w:tc>
          <w:tcPr>
            <w:tcW w:w="1029" w:type="dxa"/>
            <w:shd w:val="clear" w:color="auto" w:fill="auto"/>
            <w:vAlign w:val="center"/>
          </w:tcPr>
          <w:p w14:paraId="217D8DCD" w14:textId="4EA14912" w:rsidR="00BB6186" w:rsidRPr="007C488A" w:rsidRDefault="00BB6186" w:rsidP="007D1A1F">
            <w:pPr>
              <w:pStyle w:val="TableText"/>
              <w:jc w:val="center"/>
            </w:pPr>
            <w:r w:rsidRPr="007C488A">
              <w:t>200</w:t>
            </w:r>
          </w:p>
        </w:tc>
        <w:tc>
          <w:tcPr>
            <w:tcW w:w="1985" w:type="dxa"/>
            <w:shd w:val="clear" w:color="auto" w:fill="auto"/>
            <w:vAlign w:val="center"/>
          </w:tcPr>
          <w:p w14:paraId="3DE9D40C" w14:textId="431FD39E" w:rsidR="00BB6186" w:rsidRPr="007C488A" w:rsidRDefault="00BB6186" w:rsidP="00990CBF">
            <w:pPr>
              <w:pStyle w:val="TableText"/>
            </w:pPr>
            <w:r w:rsidRPr="007C488A">
              <w:t>Prospective, MC, non-randomised, controlled, observational study</w:t>
            </w:r>
          </w:p>
        </w:tc>
        <w:tc>
          <w:tcPr>
            <w:tcW w:w="992" w:type="dxa"/>
            <w:shd w:val="clear" w:color="auto" w:fill="auto"/>
            <w:vAlign w:val="center"/>
          </w:tcPr>
          <w:p w14:paraId="4E789571" w14:textId="6B618FA6" w:rsidR="00BB6186" w:rsidRPr="007C488A" w:rsidRDefault="00BB6186" w:rsidP="00990CBF">
            <w:pPr>
              <w:pStyle w:val="TableText"/>
            </w:pPr>
            <w:r w:rsidRPr="007C488A">
              <w:t>Moderate</w:t>
            </w:r>
          </w:p>
        </w:tc>
        <w:tc>
          <w:tcPr>
            <w:tcW w:w="3685" w:type="dxa"/>
            <w:shd w:val="clear" w:color="auto" w:fill="auto"/>
            <w:vAlign w:val="center"/>
          </w:tcPr>
          <w:p w14:paraId="0309FC07" w14:textId="03C64ED9" w:rsidR="00BB6186" w:rsidRPr="007C488A" w:rsidRDefault="00BB6186" w:rsidP="00990CBF">
            <w:pPr>
              <w:pStyle w:val="TableText"/>
            </w:pPr>
            <w:r w:rsidRPr="007C488A">
              <w:t xml:space="preserve">Advanced HF not dependent on IV inotropes, candidates for LVAD as DT, symptomatic (NYHA class III/IV); </w:t>
            </w:r>
            <w:r w:rsidR="00900C82" w:rsidRPr="007C488A">
              <w:t xml:space="preserve">INTERMACS </w:t>
            </w:r>
            <w:r w:rsidRPr="007C488A">
              <w:t xml:space="preserve">4–7 </w:t>
            </w:r>
          </w:p>
        </w:tc>
        <w:tc>
          <w:tcPr>
            <w:tcW w:w="3769" w:type="dxa"/>
            <w:shd w:val="clear" w:color="auto" w:fill="auto"/>
            <w:vAlign w:val="center"/>
          </w:tcPr>
          <w:p w14:paraId="68B5BDE6" w14:textId="2228474B" w:rsidR="00BB6186" w:rsidRPr="007C488A" w:rsidRDefault="00BB6186" w:rsidP="00990CBF">
            <w:pPr>
              <w:pStyle w:val="TableText"/>
            </w:pPr>
            <w:r w:rsidRPr="007C488A">
              <w:t>Primary: Composite of survival and improvement ≥75</w:t>
            </w:r>
            <w:r w:rsidR="00907D8A" w:rsidRPr="007C488A">
              <w:t> </w:t>
            </w:r>
            <w:r w:rsidRPr="007C488A">
              <w:t>m in 6MWD at 12 months Secondary: survival, functional status, QoL, A</w:t>
            </w:r>
            <w:r w:rsidR="006B758C" w:rsidRPr="007C488A">
              <w:t>E</w:t>
            </w:r>
            <w:r w:rsidRPr="007C488A">
              <w:t xml:space="preserve">s </w:t>
            </w:r>
          </w:p>
        </w:tc>
        <w:tc>
          <w:tcPr>
            <w:tcW w:w="1112" w:type="dxa"/>
            <w:shd w:val="clear" w:color="auto" w:fill="auto"/>
            <w:vAlign w:val="center"/>
          </w:tcPr>
          <w:p w14:paraId="1F4304E3" w14:textId="71B55125" w:rsidR="00BB6186" w:rsidRPr="007C488A" w:rsidRDefault="00BB6186" w:rsidP="00990CBF">
            <w:pPr>
              <w:pStyle w:val="TableText"/>
            </w:pPr>
            <w:r w:rsidRPr="007C488A">
              <w:t>Yes</w:t>
            </w:r>
          </w:p>
        </w:tc>
      </w:tr>
      <w:tr w:rsidR="0081519D" w:rsidRPr="007C488A" w14:paraId="4C0FCC71" w14:textId="77777777" w:rsidTr="007D1A1F">
        <w:trPr>
          <w:cantSplit/>
        </w:trPr>
        <w:tc>
          <w:tcPr>
            <w:tcW w:w="1376" w:type="dxa"/>
            <w:shd w:val="clear" w:color="auto" w:fill="auto"/>
            <w:vAlign w:val="center"/>
          </w:tcPr>
          <w:p w14:paraId="6D249FDD" w14:textId="7E3DD9AB" w:rsidR="00BB6186" w:rsidRPr="007C488A" w:rsidRDefault="00BB6186" w:rsidP="00990CBF">
            <w:pPr>
              <w:pStyle w:val="TableText"/>
            </w:pPr>
            <w:r w:rsidRPr="007C488A">
              <w:t xml:space="preserve">REMATCH </w:t>
            </w:r>
          </w:p>
        </w:tc>
        <w:tc>
          <w:tcPr>
            <w:tcW w:w="1029" w:type="dxa"/>
            <w:shd w:val="clear" w:color="auto" w:fill="auto"/>
            <w:vAlign w:val="center"/>
          </w:tcPr>
          <w:p w14:paraId="3115E3F6" w14:textId="199FCA68" w:rsidR="00BB6186" w:rsidRPr="007C488A" w:rsidRDefault="00BB6186" w:rsidP="007D1A1F">
            <w:pPr>
              <w:pStyle w:val="TableText"/>
              <w:jc w:val="center"/>
            </w:pPr>
            <w:r w:rsidRPr="007C488A">
              <w:t>129</w:t>
            </w:r>
          </w:p>
        </w:tc>
        <w:tc>
          <w:tcPr>
            <w:tcW w:w="1985" w:type="dxa"/>
            <w:shd w:val="clear" w:color="auto" w:fill="auto"/>
            <w:vAlign w:val="center"/>
          </w:tcPr>
          <w:p w14:paraId="2FD725D1" w14:textId="2202DF38" w:rsidR="00BB6186" w:rsidRPr="007C488A" w:rsidRDefault="00BB6186" w:rsidP="00990CBF">
            <w:pPr>
              <w:pStyle w:val="TableText"/>
            </w:pPr>
            <w:r w:rsidRPr="007C488A">
              <w:t>RCT, MC, OL</w:t>
            </w:r>
          </w:p>
        </w:tc>
        <w:tc>
          <w:tcPr>
            <w:tcW w:w="992" w:type="dxa"/>
            <w:shd w:val="clear" w:color="auto" w:fill="auto"/>
            <w:vAlign w:val="center"/>
          </w:tcPr>
          <w:p w14:paraId="6BD28768" w14:textId="58D6B1F7" w:rsidR="00BB6186" w:rsidRPr="007C488A" w:rsidRDefault="00BB6186" w:rsidP="00990CBF">
            <w:pPr>
              <w:pStyle w:val="TableText"/>
            </w:pPr>
            <w:r w:rsidRPr="007C488A">
              <w:t>Low</w:t>
            </w:r>
          </w:p>
        </w:tc>
        <w:tc>
          <w:tcPr>
            <w:tcW w:w="3685" w:type="dxa"/>
            <w:shd w:val="clear" w:color="auto" w:fill="auto"/>
            <w:vAlign w:val="center"/>
          </w:tcPr>
          <w:p w14:paraId="06A1A1BD" w14:textId="4158BBC9" w:rsidR="00BB6186" w:rsidRPr="007C488A" w:rsidRDefault="00BB6186" w:rsidP="00990CBF">
            <w:pPr>
              <w:pStyle w:val="TableText"/>
            </w:pPr>
            <w:r w:rsidRPr="007C488A">
              <w:t>End-stage HF, contraindicated to heart transplantation, candidates for LVAD as DT, symptomatic (NYHA class IV); peak VO2 &lt;12 ml/kg/min or IV inotrope dependent (i.e., ~</w:t>
            </w:r>
            <w:r w:rsidR="00900C82" w:rsidRPr="007C488A">
              <w:t xml:space="preserve">INTERMACS </w:t>
            </w:r>
            <w:r w:rsidRPr="007C488A">
              <w:t xml:space="preserve">2-3 equivalent a) </w:t>
            </w:r>
          </w:p>
        </w:tc>
        <w:tc>
          <w:tcPr>
            <w:tcW w:w="3769" w:type="dxa"/>
            <w:shd w:val="clear" w:color="auto" w:fill="auto"/>
            <w:vAlign w:val="center"/>
          </w:tcPr>
          <w:p w14:paraId="64A3CAF1" w14:textId="77777777" w:rsidR="00BB6186" w:rsidRPr="007C488A" w:rsidRDefault="00BB6186" w:rsidP="00990CBF">
            <w:pPr>
              <w:pStyle w:val="TableText"/>
            </w:pPr>
            <w:r w:rsidRPr="007C488A">
              <w:t xml:space="preserve">Primary: death from any cause </w:t>
            </w:r>
          </w:p>
          <w:p w14:paraId="01C67401" w14:textId="7E43D4BF" w:rsidR="00BB6186" w:rsidRPr="007C488A" w:rsidRDefault="00BB6186" w:rsidP="00990CBF">
            <w:pPr>
              <w:pStyle w:val="TableText"/>
            </w:pPr>
            <w:r w:rsidRPr="007C488A">
              <w:t>Secondary: hospitalisation, functional status, QoL, A</w:t>
            </w:r>
            <w:r w:rsidR="006B758C" w:rsidRPr="007C488A">
              <w:t>E</w:t>
            </w:r>
            <w:r w:rsidRPr="007C488A">
              <w:t xml:space="preserve">s </w:t>
            </w:r>
          </w:p>
        </w:tc>
        <w:tc>
          <w:tcPr>
            <w:tcW w:w="1112" w:type="dxa"/>
            <w:shd w:val="clear" w:color="auto" w:fill="auto"/>
            <w:vAlign w:val="center"/>
          </w:tcPr>
          <w:p w14:paraId="355D0183" w14:textId="63FF0F41" w:rsidR="00BB6186" w:rsidRPr="007C488A" w:rsidRDefault="00BB6186" w:rsidP="00990CBF">
            <w:pPr>
              <w:pStyle w:val="TableText"/>
            </w:pPr>
            <w:r w:rsidRPr="007C488A">
              <w:t>Yes</w:t>
            </w:r>
          </w:p>
        </w:tc>
      </w:tr>
    </w:tbl>
    <w:p w14:paraId="13DF4A81" w14:textId="067FAD9D" w:rsidR="00990CBF" w:rsidRPr="007C488A" w:rsidRDefault="00990CBF" w:rsidP="00EA4FE5">
      <w:pPr>
        <w:pStyle w:val="Tablenotes0"/>
        <w:rPr>
          <w:b/>
          <w:bCs/>
          <w:snapToGrid w:val="0"/>
          <w:lang w:val="en-US" w:eastAsia="en-AU"/>
        </w:rPr>
      </w:pPr>
      <w:bookmarkStart w:id="23" w:name="_Ref69725659"/>
      <w:bookmarkEnd w:id="21"/>
      <w:r w:rsidRPr="007C488A">
        <w:rPr>
          <w:snapToGrid w:val="0"/>
          <w:lang w:val="en-US" w:eastAsia="en-AU"/>
        </w:rPr>
        <w:t xml:space="preserve">Source: Table 12, Pp 67-68 of </w:t>
      </w:r>
      <w:r w:rsidR="00F04EFD" w:rsidRPr="007C488A">
        <w:rPr>
          <w:snapToGrid w:val="0"/>
          <w:lang w:val="en-US" w:eastAsia="en-AU"/>
        </w:rPr>
        <w:t>MSAC 1749 ADAR+</w:t>
      </w:r>
      <w:r w:rsidR="009B3E0F" w:rsidRPr="007C488A">
        <w:rPr>
          <w:snapToGrid w:val="0"/>
          <w:lang w:val="en-US" w:eastAsia="en-AU"/>
        </w:rPr>
        <w:t xml:space="preserve"> </w:t>
      </w:r>
      <w:r w:rsidR="00F04EFD" w:rsidRPr="007C488A">
        <w:rPr>
          <w:snapToGrid w:val="0"/>
          <w:lang w:val="en-US" w:eastAsia="en-AU"/>
        </w:rPr>
        <w:t>in-line commentary</w:t>
      </w:r>
      <w:r w:rsidR="00F04EFD" w:rsidRPr="007C488A" w:rsidDel="00F04EFD">
        <w:rPr>
          <w:snapToGrid w:val="0"/>
          <w:lang w:val="en-US" w:eastAsia="en-AU"/>
        </w:rPr>
        <w:t xml:space="preserve"> </w:t>
      </w:r>
    </w:p>
    <w:p w14:paraId="5293E638" w14:textId="6B3411EF" w:rsidR="00BB6186" w:rsidRPr="007C488A" w:rsidRDefault="00990CBF" w:rsidP="00EA4FE5">
      <w:pPr>
        <w:pStyle w:val="Tablenotes0"/>
        <w:rPr>
          <w:b/>
          <w:bCs/>
          <w:snapToGrid w:val="0"/>
          <w:lang w:val="en-US" w:eastAsia="en-AU"/>
        </w:rPr>
      </w:pPr>
      <w:r w:rsidRPr="007C488A">
        <w:rPr>
          <w:snapToGrid w:val="0"/>
          <w:lang w:val="en-US" w:eastAsia="en-AU"/>
        </w:rPr>
        <w:t xml:space="preserve">Abbreviations: </w:t>
      </w:r>
      <w:r w:rsidR="00095F01" w:rsidRPr="007C488A">
        <w:rPr>
          <w:snapToGrid w:val="0"/>
          <w:lang w:val="en-US" w:eastAsia="en-AU"/>
        </w:rPr>
        <w:t>A</w:t>
      </w:r>
      <w:r w:rsidR="006B758C" w:rsidRPr="007C488A">
        <w:rPr>
          <w:snapToGrid w:val="0"/>
          <w:lang w:val="en-US" w:eastAsia="en-AU"/>
        </w:rPr>
        <w:t>E</w:t>
      </w:r>
      <w:r w:rsidR="00095F01" w:rsidRPr="007C488A">
        <w:rPr>
          <w:snapToGrid w:val="0"/>
          <w:lang w:val="en-US" w:eastAsia="en-AU"/>
        </w:rPr>
        <w:t>s</w:t>
      </w:r>
      <w:r w:rsidR="00A210BD" w:rsidRPr="007C488A">
        <w:rPr>
          <w:snapToGrid w:val="0"/>
          <w:lang w:val="en-US" w:eastAsia="en-AU"/>
        </w:rPr>
        <w:t xml:space="preserve"> = </w:t>
      </w:r>
      <w:r w:rsidR="00095F01" w:rsidRPr="007C488A">
        <w:rPr>
          <w:snapToGrid w:val="0"/>
          <w:lang w:val="en-US" w:eastAsia="en-AU"/>
        </w:rPr>
        <w:t xml:space="preserve">adverse events; </w:t>
      </w:r>
      <w:r w:rsidR="00BB6186" w:rsidRPr="007C488A">
        <w:rPr>
          <w:snapToGrid w:val="0"/>
          <w:lang w:val="en-US" w:eastAsia="en-AU"/>
        </w:rPr>
        <w:t>BTT</w:t>
      </w:r>
      <w:r w:rsidR="00A210BD" w:rsidRPr="007C488A">
        <w:rPr>
          <w:snapToGrid w:val="0"/>
          <w:lang w:val="en-US" w:eastAsia="en-AU"/>
        </w:rPr>
        <w:t xml:space="preserve"> = </w:t>
      </w:r>
      <w:r w:rsidR="00BB6186" w:rsidRPr="007C488A">
        <w:rPr>
          <w:snapToGrid w:val="0"/>
          <w:lang w:val="en-US" w:eastAsia="en-AU"/>
        </w:rPr>
        <w:t>bridge to transplant; BTC</w:t>
      </w:r>
      <w:r w:rsidR="00A210BD" w:rsidRPr="007C488A">
        <w:rPr>
          <w:snapToGrid w:val="0"/>
          <w:lang w:val="en-US" w:eastAsia="en-AU"/>
        </w:rPr>
        <w:t xml:space="preserve"> = </w:t>
      </w:r>
      <w:r w:rsidR="00BB6186" w:rsidRPr="007C488A">
        <w:rPr>
          <w:snapToGrid w:val="0"/>
          <w:lang w:val="en-US" w:eastAsia="en-AU"/>
        </w:rPr>
        <w:t>bridge to candidacy; DT</w:t>
      </w:r>
      <w:r w:rsidR="00A210BD" w:rsidRPr="007C488A">
        <w:rPr>
          <w:snapToGrid w:val="0"/>
          <w:lang w:val="en-US" w:eastAsia="en-AU"/>
        </w:rPr>
        <w:t xml:space="preserve"> = </w:t>
      </w:r>
      <w:r w:rsidR="00BB6186" w:rsidRPr="007C488A">
        <w:rPr>
          <w:snapToGrid w:val="0"/>
          <w:lang w:val="en-US" w:eastAsia="en-AU"/>
        </w:rPr>
        <w:t>destination therapy; FU</w:t>
      </w:r>
      <w:r w:rsidR="00A210BD" w:rsidRPr="007C488A">
        <w:rPr>
          <w:snapToGrid w:val="0"/>
          <w:lang w:val="en-US" w:eastAsia="en-AU"/>
        </w:rPr>
        <w:t xml:space="preserve"> = </w:t>
      </w:r>
      <w:r w:rsidR="00BB6186" w:rsidRPr="007C488A">
        <w:rPr>
          <w:snapToGrid w:val="0"/>
          <w:lang w:val="en-US" w:eastAsia="en-AU"/>
        </w:rPr>
        <w:t>follow-up; HF</w:t>
      </w:r>
      <w:r w:rsidR="00A210BD" w:rsidRPr="007C488A">
        <w:rPr>
          <w:snapToGrid w:val="0"/>
          <w:lang w:val="en-US" w:eastAsia="en-AU"/>
        </w:rPr>
        <w:t xml:space="preserve"> = </w:t>
      </w:r>
      <w:r w:rsidR="00BB6186" w:rsidRPr="007C488A">
        <w:rPr>
          <w:snapToGrid w:val="0"/>
          <w:lang w:val="en-US" w:eastAsia="en-AU"/>
        </w:rPr>
        <w:t>heart failure; HM2</w:t>
      </w:r>
      <w:r w:rsidR="00A210BD" w:rsidRPr="007C488A">
        <w:rPr>
          <w:snapToGrid w:val="0"/>
          <w:lang w:val="en-US" w:eastAsia="en-AU"/>
        </w:rPr>
        <w:t xml:space="preserve"> = </w:t>
      </w:r>
      <w:r w:rsidR="00BB6186" w:rsidRPr="007C488A">
        <w:rPr>
          <w:snapToGrid w:val="0"/>
          <w:lang w:val="en-US" w:eastAsia="en-AU"/>
        </w:rPr>
        <w:t>HeartMate 2; HM3</w:t>
      </w:r>
      <w:r w:rsidR="00A210BD" w:rsidRPr="007C488A">
        <w:rPr>
          <w:snapToGrid w:val="0"/>
          <w:lang w:val="en-US" w:eastAsia="en-AU"/>
        </w:rPr>
        <w:t xml:space="preserve"> = </w:t>
      </w:r>
      <w:r w:rsidR="00BB6186" w:rsidRPr="007C488A">
        <w:rPr>
          <w:snapToGrid w:val="0"/>
          <w:lang w:val="en-US" w:eastAsia="en-AU"/>
        </w:rPr>
        <w:t>HeartMate 3; INTERMACS profiles</w:t>
      </w:r>
      <w:r w:rsidR="0046534E" w:rsidRPr="007C488A">
        <w:rPr>
          <w:snapToGrid w:val="0"/>
          <w:lang w:val="en-US" w:eastAsia="en-AU"/>
        </w:rPr>
        <w:t xml:space="preserve"> = The Interagency Registry for Mechanically Assisted Circulatory Support</w:t>
      </w:r>
      <w:r w:rsidR="00BB6186" w:rsidRPr="007C488A">
        <w:rPr>
          <w:snapToGrid w:val="0"/>
          <w:lang w:val="en-US" w:eastAsia="en-AU"/>
        </w:rPr>
        <w:t>; IV</w:t>
      </w:r>
      <w:r w:rsidR="00D271D2" w:rsidRPr="007C488A">
        <w:rPr>
          <w:snapToGrid w:val="0"/>
          <w:lang w:val="en-US" w:eastAsia="en-AU"/>
        </w:rPr>
        <w:t xml:space="preserve"> = </w:t>
      </w:r>
      <w:r w:rsidR="00BB6186" w:rsidRPr="007C488A">
        <w:rPr>
          <w:snapToGrid w:val="0"/>
          <w:lang w:val="en-US" w:eastAsia="en-AU"/>
        </w:rPr>
        <w:t>intravenous;</w:t>
      </w:r>
      <w:r w:rsidR="0032780E" w:rsidRPr="007C488A">
        <w:rPr>
          <w:snapToGrid w:val="0"/>
          <w:lang w:val="en-US" w:eastAsia="en-AU"/>
        </w:rPr>
        <w:t xml:space="preserve"> </w:t>
      </w:r>
      <w:r w:rsidR="005228BC" w:rsidRPr="007C488A">
        <w:rPr>
          <w:snapToGrid w:val="0"/>
          <w:lang w:val="en-US" w:eastAsia="en-AU"/>
        </w:rPr>
        <w:t xml:space="preserve">LVAD = left ventricular assist device; </w:t>
      </w:r>
      <w:r w:rsidR="00BB6186" w:rsidRPr="007C488A">
        <w:rPr>
          <w:snapToGrid w:val="0"/>
          <w:lang w:val="en-US" w:eastAsia="en-AU"/>
        </w:rPr>
        <w:t>MC</w:t>
      </w:r>
      <w:r w:rsidR="00D211EA" w:rsidRPr="007C488A">
        <w:rPr>
          <w:snapToGrid w:val="0"/>
          <w:lang w:val="en-US" w:eastAsia="en-AU"/>
        </w:rPr>
        <w:t xml:space="preserve"> = </w:t>
      </w:r>
      <w:r w:rsidR="00BB6186" w:rsidRPr="007C488A">
        <w:rPr>
          <w:snapToGrid w:val="0"/>
          <w:lang w:val="en-US" w:eastAsia="en-AU"/>
        </w:rPr>
        <w:t xml:space="preserve"> </w:t>
      </w:r>
      <w:r w:rsidR="001A50EF" w:rsidRPr="007C488A">
        <w:rPr>
          <w:snapToGrid w:val="0"/>
          <w:lang w:val="en-US" w:eastAsia="en-AU"/>
        </w:rPr>
        <w:t>multicenter</w:t>
      </w:r>
      <w:r w:rsidR="00BB6186" w:rsidRPr="007C488A">
        <w:rPr>
          <w:snapToGrid w:val="0"/>
          <w:lang w:val="en-US" w:eastAsia="en-AU"/>
        </w:rPr>
        <w:t>;</w:t>
      </w:r>
      <w:r w:rsidR="008C5335" w:rsidRPr="007C488A">
        <w:rPr>
          <w:snapToGrid w:val="0"/>
          <w:lang w:val="en-US" w:eastAsia="en-AU"/>
        </w:rPr>
        <w:t xml:space="preserve"> </w:t>
      </w:r>
      <w:r w:rsidR="0032780E" w:rsidRPr="007C488A">
        <w:rPr>
          <w:snapToGrid w:val="0"/>
          <w:lang w:val="en-US" w:eastAsia="en-AU"/>
        </w:rPr>
        <w:t xml:space="preserve">NA = not applicable; </w:t>
      </w:r>
      <w:r w:rsidR="008C5335" w:rsidRPr="007C488A">
        <w:rPr>
          <w:snapToGrid w:val="0"/>
          <w:lang w:val="en-US" w:eastAsia="en-AU"/>
        </w:rPr>
        <w:t>NCT = National Clinical Trial;</w:t>
      </w:r>
      <w:r w:rsidR="00BB6186" w:rsidRPr="007C488A">
        <w:rPr>
          <w:snapToGrid w:val="0"/>
          <w:lang w:val="en-US" w:eastAsia="en-AU"/>
        </w:rPr>
        <w:t xml:space="preserve"> NYHA</w:t>
      </w:r>
      <w:r w:rsidR="00D211EA" w:rsidRPr="007C488A">
        <w:rPr>
          <w:snapToGrid w:val="0"/>
          <w:lang w:val="en-US" w:eastAsia="en-AU"/>
        </w:rPr>
        <w:t xml:space="preserve"> = </w:t>
      </w:r>
      <w:r w:rsidR="00BB6186" w:rsidRPr="007C488A">
        <w:rPr>
          <w:snapToGrid w:val="0"/>
          <w:lang w:val="en-US" w:eastAsia="en-AU"/>
        </w:rPr>
        <w:t>New York Heart Association; OL</w:t>
      </w:r>
      <w:r w:rsidR="00D211EA" w:rsidRPr="007C488A">
        <w:rPr>
          <w:snapToGrid w:val="0"/>
          <w:lang w:val="en-US" w:eastAsia="en-AU"/>
        </w:rPr>
        <w:t xml:space="preserve"> = </w:t>
      </w:r>
      <w:r w:rsidR="00BB6186" w:rsidRPr="007C488A">
        <w:rPr>
          <w:snapToGrid w:val="0"/>
          <w:lang w:val="en-US" w:eastAsia="en-AU"/>
        </w:rPr>
        <w:t>open label; OMM</w:t>
      </w:r>
      <w:r w:rsidR="00D211EA" w:rsidRPr="007C488A">
        <w:rPr>
          <w:snapToGrid w:val="0"/>
          <w:lang w:val="en-US" w:eastAsia="en-AU"/>
        </w:rPr>
        <w:t xml:space="preserve"> = </w:t>
      </w:r>
      <w:r w:rsidR="00BB6186" w:rsidRPr="007C488A">
        <w:rPr>
          <w:snapToGrid w:val="0"/>
          <w:lang w:val="en-US" w:eastAsia="en-AU"/>
        </w:rPr>
        <w:t>optimal medical management;</w:t>
      </w:r>
      <w:r w:rsidR="00E170C9" w:rsidRPr="007C488A">
        <w:rPr>
          <w:snapToGrid w:val="0"/>
          <w:lang w:val="en-US" w:eastAsia="en-AU"/>
        </w:rPr>
        <w:t xml:space="preserve"> QoL = quality of life;</w:t>
      </w:r>
      <w:r w:rsidR="00BB6186" w:rsidRPr="007C488A">
        <w:rPr>
          <w:snapToGrid w:val="0"/>
          <w:lang w:val="en-US" w:eastAsia="en-AU"/>
        </w:rPr>
        <w:t xml:space="preserve"> RCT</w:t>
      </w:r>
      <w:r w:rsidR="00D211EA" w:rsidRPr="007C488A">
        <w:rPr>
          <w:snapToGrid w:val="0"/>
          <w:lang w:val="en-US" w:eastAsia="en-AU"/>
        </w:rPr>
        <w:t xml:space="preserve"> = </w:t>
      </w:r>
      <w:proofErr w:type="spellStart"/>
      <w:r w:rsidR="00BB6186" w:rsidRPr="007C488A">
        <w:rPr>
          <w:snapToGrid w:val="0"/>
          <w:lang w:val="en-US" w:eastAsia="en-AU"/>
        </w:rPr>
        <w:t>randomised</w:t>
      </w:r>
      <w:proofErr w:type="spellEnd"/>
      <w:r w:rsidR="00BB6186" w:rsidRPr="007C488A">
        <w:rPr>
          <w:snapToGrid w:val="0"/>
          <w:lang w:val="en-US" w:eastAsia="en-AU"/>
        </w:rPr>
        <w:t xml:space="preserve"> controlled trial; VO2</w:t>
      </w:r>
      <w:r w:rsidR="00D211EA" w:rsidRPr="007C488A">
        <w:rPr>
          <w:snapToGrid w:val="0"/>
          <w:lang w:val="en-US" w:eastAsia="en-AU"/>
        </w:rPr>
        <w:t xml:space="preserve"> = </w:t>
      </w:r>
      <w:r w:rsidR="00BB6186" w:rsidRPr="007C488A">
        <w:rPr>
          <w:snapToGrid w:val="0"/>
          <w:lang w:val="en-US" w:eastAsia="en-AU"/>
        </w:rPr>
        <w:t>volume of oxygen</w:t>
      </w:r>
      <w:r w:rsidR="00D65E11" w:rsidRPr="007C488A">
        <w:rPr>
          <w:snapToGrid w:val="0"/>
          <w:lang w:val="en-US" w:eastAsia="en-AU"/>
        </w:rPr>
        <w:t xml:space="preserve">; 6MWD = six-minute walk </w:t>
      </w:r>
      <w:r w:rsidR="006A75CA" w:rsidRPr="007C488A">
        <w:rPr>
          <w:snapToGrid w:val="0"/>
          <w:lang w:val="en-US" w:eastAsia="en-AU"/>
        </w:rPr>
        <w:t>distance</w:t>
      </w:r>
    </w:p>
    <w:p w14:paraId="7E4C2B44" w14:textId="0EF9925B" w:rsidR="0059028F" w:rsidRPr="007C488A" w:rsidRDefault="0059028F" w:rsidP="00EA4FE5">
      <w:pPr>
        <w:pStyle w:val="Tablenotes0"/>
        <w:rPr>
          <w:lang w:val="en-US" w:eastAsia="en-AU"/>
        </w:rPr>
      </w:pPr>
      <w:r w:rsidRPr="007C488A">
        <w:rPr>
          <w:lang w:val="en-US" w:eastAsia="en-AU"/>
        </w:rPr>
        <w:t>Notes: a INTERMACS profiles were not an eligibility criterion in the trial, however ‘IV inotrope dependent’ indicates patients with INTERMACS profiles 1-3.</w:t>
      </w:r>
    </w:p>
    <w:p w14:paraId="6B7E0957" w14:textId="00661982" w:rsidR="0059028F" w:rsidRPr="007C488A" w:rsidRDefault="0059028F" w:rsidP="00D40F58">
      <w:pPr>
        <w:rPr>
          <w:lang w:val="en-US" w:eastAsia="en-AU"/>
        </w:rPr>
        <w:sectPr w:rsidR="0059028F" w:rsidRPr="007C488A" w:rsidSect="00394DC8">
          <w:pgSz w:w="16838" w:h="11906" w:orient="landscape"/>
          <w:pgMar w:top="1440" w:right="1440" w:bottom="1440" w:left="1440" w:header="708" w:footer="708" w:gutter="0"/>
          <w:cols w:space="708"/>
          <w:docGrid w:linePitch="360"/>
        </w:sectPr>
      </w:pPr>
    </w:p>
    <w:p w14:paraId="1DD05EB3" w14:textId="67E4F83D" w:rsidR="00D40F58" w:rsidRPr="007C488A" w:rsidRDefault="0059028F" w:rsidP="0059028F">
      <w:pPr>
        <w:jc w:val="both"/>
        <w:rPr>
          <w:lang w:val="en-US" w:eastAsia="en-AU"/>
        </w:rPr>
      </w:pPr>
      <w:r w:rsidRPr="007C488A">
        <w:rPr>
          <w:lang w:val="en-US" w:eastAsia="en-AU"/>
        </w:rPr>
        <w:lastRenderedPageBreak/>
        <w:t xml:space="preserve">The risk of bias assessment of the MOMENTUM 3, Slaughter (2009) and REMATCH RCTs was based on the National Heart, Lung, and Blood (NHLBI) Study Quality Assessment Tools for </w:t>
      </w:r>
      <w:r w:rsidR="00EA4FE5" w:rsidRPr="007C488A">
        <w:rPr>
          <w:lang w:val="en-US" w:eastAsia="en-AU"/>
        </w:rPr>
        <w:t>RCTs,</w:t>
      </w:r>
      <w:r w:rsidRPr="007C488A">
        <w:rPr>
          <w:lang w:val="en-US" w:eastAsia="en-AU"/>
        </w:rPr>
        <w:t xml:space="preserve"> and </w:t>
      </w:r>
      <w:r w:rsidR="00F30507" w:rsidRPr="007C488A">
        <w:rPr>
          <w:lang w:val="en-US" w:eastAsia="en-AU"/>
        </w:rPr>
        <w:t xml:space="preserve">the commentary considered that </w:t>
      </w:r>
      <w:r w:rsidRPr="007C488A">
        <w:rPr>
          <w:lang w:val="en-US" w:eastAsia="en-AU"/>
        </w:rPr>
        <w:t xml:space="preserve">all three studies were of low risk of bias. The assessment of the ROADMAP comparative study was based on the NHLBI Study Quality Assessment Tools for Observational Cohort and Cross-Sectional </w:t>
      </w:r>
      <w:r w:rsidR="00324639" w:rsidRPr="007C488A">
        <w:rPr>
          <w:lang w:val="en-US" w:eastAsia="en-AU"/>
        </w:rPr>
        <w:t>Studies,</w:t>
      </w:r>
      <w:r w:rsidRPr="007C488A">
        <w:rPr>
          <w:lang w:val="en-US" w:eastAsia="en-AU"/>
        </w:rPr>
        <w:t xml:space="preserve"> and </w:t>
      </w:r>
      <w:r w:rsidR="00F30507" w:rsidRPr="007C488A">
        <w:rPr>
          <w:lang w:val="en-US" w:eastAsia="en-AU"/>
        </w:rPr>
        <w:t xml:space="preserve">the commentary considered that </w:t>
      </w:r>
      <w:r w:rsidRPr="007C488A">
        <w:rPr>
          <w:lang w:val="en-US" w:eastAsia="en-AU"/>
        </w:rPr>
        <w:t xml:space="preserve">the study was associated with a moderate risk of bias. </w:t>
      </w:r>
    </w:p>
    <w:p w14:paraId="7D5A7023" w14:textId="515AB04A" w:rsidR="00095F01" w:rsidRPr="007C488A" w:rsidRDefault="00E4274F" w:rsidP="006B61D6">
      <w:pPr>
        <w:jc w:val="both"/>
        <w:rPr>
          <w:lang w:val="en-US" w:eastAsia="en-AU"/>
        </w:rPr>
      </w:pPr>
      <w:r w:rsidRPr="007C488A">
        <w:rPr>
          <w:lang w:val="en-US" w:eastAsia="en-AU"/>
        </w:rPr>
        <w:t xml:space="preserve">The commentary noted there </w:t>
      </w:r>
      <w:r w:rsidR="009E1F87" w:rsidRPr="007C488A">
        <w:rPr>
          <w:lang w:val="en-US" w:eastAsia="en-AU"/>
        </w:rPr>
        <w:t>were</w:t>
      </w:r>
      <w:r w:rsidRPr="007C488A">
        <w:rPr>
          <w:lang w:val="en-US" w:eastAsia="en-AU"/>
        </w:rPr>
        <w:t xml:space="preserve"> significant difference</w:t>
      </w:r>
      <w:r w:rsidR="009E1F87" w:rsidRPr="007C488A">
        <w:rPr>
          <w:lang w:val="en-US" w:eastAsia="en-AU"/>
        </w:rPr>
        <w:t>s</w:t>
      </w:r>
      <w:r w:rsidRPr="007C488A">
        <w:rPr>
          <w:lang w:val="en-US" w:eastAsia="en-AU"/>
        </w:rPr>
        <w:t xml:space="preserve"> across the four trials in terms of the intended use of LVAD and INTERMACS profiles. </w:t>
      </w:r>
      <w:r w:rsidR="004D7436" w:rsidRPr="007C488A">
        <w:rPr>
          <w:lang w:val="en-US" w:eastAsia="en-AU"/>
        </w:rPr>
        <w:t>The</w:t>
      </w:r>
      <w:r w:rsidR="00095F01" w:rsidRPr="007C488A">
        <w:rPr>
          <w:lang w:val="en-US" w:eastAsia="en-AU"/>
        </w:rPr>
        <w:t xml:space="preserve"> </w:t>
      </w:r>
      <w:r w:rsidR="00CB0E40" w:rsidRPr="007C488A">
        <w:rPr>
          <w:lang w:val="en-US" w:eastAsia="en-AU"/>
        </w:rPr>
        <w:t xml:space="preserve">MOMENTUM </w:t>
      </w:r>
      <w:r w:rsidR="00095F01" w:rsidRPr="007C488A">
        <w:rPr>
          <w:lang w:val="en-US" w:eastAsia="en-AU"/>
        </w:rPr>
        <w:t>3 trial</w:t>
      </w:r>
      <w:r w:rsidR="004D7436" w:rsidRPr="007C488A">
        <w:rPr>
          <w:lang w:val="en-US" w:eastAsia="en-AU"/>
        </w:rPr>
        <w:t xml:space="preserve"> included indications </w:t>
      </w:r>
      <w:r w:rsidR="006B188A" w:rsidRPr="007C488A">
        <w:rPr>
          <w:lang w:val="en-US" w:eastAsia="en-AU"/>
        </w:rPr>
        <w:t>other than DT</w:t>
      </w:r>
      <w:r w:rsidR="00F6439E" w:rsidRPr="007C488A">
        <w:rPr>
          <w:lang w:val="en-US" w:eastAsia="en-AU"/>
        </w:rPr>
        <w:t xml:space="preserve">, </w:t>
      </w:r>
      <w:r w:rsidR="000E2DEB" w:rsidRPr="007C488A">
        <w:rPr>
          <w:lang w:val="en-US" w:eastAsia="en-AU"/>
        </w:rPr>
        <w:t>6</w:t>
      </w:r>
      <w:r w:rsidR="00666C35" w:rsidRPr="007C488A">
        <w:rPr>
          <w:lang w:val="en-US" w:eastAsia="en-AU"/>
        </w:rPr>
        <w:t>1</w:t>
      </w:r>
      <w:r w:rsidR="000E2DEB" w:rsidRPr="007C488A">
        <w:rPr>
          <w:lang w:val="en-US" w:eastAsia="en-AU"/>
        </w:rPr>
        <w:t xml:space="preserve">% of MOMENTUM 3 patients </w:t>
      </w:r>
      <w:r w:rsidR="00343FF6" w:rsidRPr="007C488A">
        <w:rPr>
          <w:lang w:val="en-US" w:eastAsia="en-AU"/>
        </w:rPr>
        <w:t xml:space="preserve">were </w:t>
      </w:r>
      <w:r w:rsidR="0084354C" w:rsidRPr="007C488A">
        <w:rPr>
          <w:lang w:val="en-US" w:eastAsia="en-AU"/>
        </w:rPr>
        <w:t xml:space="preserve">included </w:t>
      </w:r>
      <w:r w:rsidR="00234866" w:rsidRPr="007C488A">
        <w:rPr>
          <w:lang w:val="en-US" w:eastAsia="en-AU"/>
        </w:rPr>
        <w:t xml:space="preserve">in the </w:t>
      </w:r>
      <w:r w:rsidR="00004A60" w:rsidRPr="007C488A">
        <w:rPr>
          <w:lang w:val="en-US" w:eastAsia="en-AU"/>
        </w:rPr>
        <w:t xml:space="preserve">effectiveness </w:t>
      </w:r>
      <w:r w:rsidR="00234866" w:rsidRPr="007C488A">
        <w:rPr>
          <w:lang w:val="en-US" w:eastAsia="en-AU"/>
        </w:rPr>
        <w:t xml:space="preserve">analysis </w:t>
      </w:r>
      <w:r w:rsidR="0084354C" w:rsidRPr="007C488A">
        <w:rPr>
          <w:lang w:val="en-US" w:eastAsia="en-AU"/>
        </w:rPr>
        <w:t xml:space="preserve">based on indication for </w:t>
      </w:r>
      <w:r w:rsidR="000E2DEB" w:rsidRPr="007C488A">
        <w:rPr>
          <w:lang w:val="en-US" w:eastAsia="en-AU"/>
        </w:rPr>
        <w:t>DT</w:t>
      </w:r>
      <w:r w:rsidR="00095F01" w:rsidRPr="007C488A">
        <w:rPr>
          <w:lang w:val="en-US" w:eastAsia="en-AU"/>
        </w:rPr>
        <w:t xml:space="preserve">, </w:t>
      </w:r>
      <w:r w:rsidR="001C2411" w:rsidRPr="007C488A">
        <w:rPr>
          <w:lang w:val="en-US" w:eastAsia="en-AU"/>
        </w:rPr>
        <w:t xml:space="preserve">the </w:t>
      </w:r>
      <w:r w:rsidR="00095F01" w:rsidRPr="007C488A">
        <w:rPr>
          <w:lang w:val="en-US" w:eastAsia="en-AU"/>
        </w:rPr>
        <w:t xml:space="preserve">other three studies </w:t>
      </w:r>
      <w:r w:rsidR="0084354C" w:rsidRPr="007C488A">
        <w:rPr>
          <w:lang w:val="en-US" w:eastAsia="en-AU"/>
        </w:rPr>
        <w:t xml:space="preserve">only </w:t>
      </w:r>
      <w:r w:rsidR="00095F01" w:rsidRPr="007C488A">
        <w:rPr>
          <w:lang w:val="en-US" w:eastAsia="en-AU"/>
        </w:rPr>
        <w:t xml:space="preserve">included </w:t>
      </w:r>
      <w:r w:rsidR="0084354C" w:rsidRPr="007C488A">
        <w:rPr>
          <w:lang w:val="en-US" w:eastAsia="en-AU"/>
        </w:rPr>
        <w:t xml:space="preserve">patients based on indication for </w:t>
      </w:r>
      <w:r w:rsidR="00095F01" w:rsidRPr="007C488A">
        <w:rPr>
          <w:lang w:val="en-US" w:eastAsia="en-AU"/>
        </w:rPr>
        <w:t>DT</w:t>
      </w:r>
      <w:r w:rsidR="00C1215D" w:rsidRPr="007C488A">
        <w:rPr>
          <w:lang w:val="en-US" w:eastAsia="en-AU"/>
        </w:rPr>
        <w:t xml:space="preserve">. </w:t>
      </w:r>
      <w:r w:rsidR="009C78A8" w:rsidRPr="007C488A">
        <w:rPr>
          <w:lang w:val="en-US" w:eastAsia="en-AU"/>
        </w:rPr>
        <w:t xml:space="preserve">The REMATCH study did not report </w:t>
      </w:r>
      <w:r w:rsidR="00FD724D" w:rsidRPr="007C488A">
        <w:rPr>
          <w:lang w:val="en-US" w:eastAsia="en-AU"/>
        </w:rPr>
        <w:t>INTERMACS profiles</w:t>
      </w:r>
      <w:r w:rsidR="00F877E4" w:rsidRPr="007C488A">
        <w:rPr>
          <w:lang w:val="en-US" w:eastAsia="en-AU"/>
        </w:rPr>
        <w:t>;</w:t>
      </w:r>
      <w:r w:rsidR="00FD724D" w:rsidRPr="007C488A">
        <w:rPr>
          <w:lang w:val="en-US" w:eastAsia="en-AU"/>
        </w:rPr>
        <w:t xml:space="preserve"> however, the whole cohort were classified as NYHA Class IV and assumed to be INTERMACS 1</w:t>
      </w:r>
      <w:r w:rsidR="003E2336" w:rsidRPr="007C488A">
        <w:rPr>
          <w:lang w:val="en-US" w:eastAsia="en-AU"/>
        </w:rPr>
        <w:t>-</w:t>
      </w:r>
      <w:r w:rsidR="005076C2" w:rsidRPr="007C488A">
        <w:rPr>
          <w:lang w:val="en-US" w:eastAsia="en-AU"/>
        </w:rPr>
        <w:t>3</w:t>
      </w:r>
      <w:r w:rsidR="003E2336" w:rsidRPr="007C488A">
        <w:rPr>
          <w:lang w:val="en-US" w:eastAsia="en-AU"/>
        </w:rPr>
        <w:t xml:space="preserve">. </w:t>
      </w:r>
      <w:r w:rsidR="009C2AAE" w:rsidRPr="007C488A">
        <w:rPr>
          <w:lang w:val="en-US" w:eastAsia="en-AU"/>
        </w:rPr>
        <w:t>I</w:t>
      </w:r>
      <w:r w:rsidR="00095F01" w:rsidRPr="007C488A">
        <w:rPr>
          <w:lang w:val="en-US" w:eastAsia="en-AU"/>
        </w:rPr>
        <w:t xml:space="preserve">n </w:t>
      </w:r>
      <w:r w:rsidR="00D06A17" w:rsidRPr="007C488A">
        <w:rPr>
          <w:lang w:val="en-US" w:eastAsia="en-AU"/>
        </w:rPr>
        <w:t>t</w:t>
      </w:r>
      <w:r w:rsidR="00095F01" w:rsidRPr="007C488A">
        <w:rPr>
          <w:lang w:val="en-US" w:eastAsia="en-AU"/>
        </w:rPr>
        <w:t>he Slaughter (2009) study, INTERMACS profiles were not an eligibility criterion in the trial</w:t>
      </w:r>
      <w:r w:rsidR="00004A60" w:rsidRPr="007C488A">
        <w:rPr>
          <w:lang w:val="en-US" w:eastAsia="en-AU"/>
        </w:rPr>
        <w:t>.</w:t>
      </w:r>
      <w:r w:rsidR="00D06A17" w:rsidRPr="007C488A">
        <w:rPr>
          <w:lang w:val="en-US" w:eastAsia="en-AU"/>
        </w:rPr>
        <w:t xml:space="preserve"> </w:t>
      </w:r>
      <w:r w:rsidR="001C2411" w:rsidRPr="007C488A">
        <w:t>P</w:t>
      </w:r>
      <w:proofErr w:type="spellStart"/>
      <w:r w:rsidR="001C2411" w:rsidRPr="007C488A">
        <w:rPr>
          <w:lang w:val="en-US" w:eastAsia="en-AU"/>
        </w:rPr>
        <w:t>atients</w:t>
      </w:r>
      <w:proofErr w:type="spellEnd"/>
      <w:r w:rsidR="00647160" w:rsidRPr="007C488A">
        <w:rPr>
          <w:lang w:val="en-US" w:eastAsia="en-AU"/>
        </w:rPr>
        <w:t xml:space="preserve"> on inotrope therapy within 30 days were excluded from the ROADMAP study.</w:t>
      </w:r>
      <w:r w:rsidR="00DD709A" w:rsidRPr="007C488A">
        <w:rPr>
          <w:lang w:val="en-US" w:eastAsia="en-AU"/>
        </w:rPr>
        <w:t xml:space="preserve"> </w:t>
      </w:r>
      <w:r w:rsidR="00865BD4" w:rsidRPr="007C488A">
        <w:rPr>
          <w:lang w:val="en-US" w:eastAsia="en-AU"/>
        </w:rPr>
        <w:t>Therefore,</w:t>
      </w:r>
      <w:r w:rsidR="00DD709A" w:rsidRPr="007C488A">
        <w:rPr>
          <w:lang w:val="en-US" w:eastAsia="en-AU"/>
        </w:rPr>
        <w:t xml:space="preserve"> </w:t>
      </w:r>
      <w:r w:rsidR="001E2CD8" w:rsidRPr="007C488A">
        <w:rPr>
          <w:lang w:val="en-US" w:eastAsia="en-AU"/>
        </w:rPr>
        <w:t>only a subgroup of the</w:t>
      </w:r>
      <w:r w:rsidR="00DD709A" w:rsidRPr="007C488A">
        <w:rPr>
          <w:lang w:val="en-US" w:eastAsia="en-AU"/>
        </w:rPr>
        <w:t xml:space="preserve"> ROADMAP trial population</w:t>
      </w:r>
      <w:r w:rsidR="00ED35AB" w:rsidRPr="007C488A">
        <w:rPr>
          <w:lang w:val="en-US" w:eastAsia="en-AU"/>
        </w:rPr>
        <w:t xml:space="preserve"> (36.1% of HM2 arm and 61.2% of the OMM arm)</w:t>
      </w:r>
      <w:r w:rsidR="00DD709A" w:rsidRPr="007C488A">
        <w:rPr>
          <w:lang w:val="en-US" w:eastAsia="en-AU"/>
        </w:rPr>
        <w:t xml:space="preserve">, </w:t>
      </w:r>
      <w:r w:rsidR="00C509E3" w:rsidRPr="007C488A">
        <w:rPr>
          <w:lang w:val="en-US" w:eastAsia="en-AU"/>
        </w:rPr>
        <w:t xml:space="preserve">that were </w:t>
      </w:r>
      <w:r w:rsidR="00900C82" w:rsidRPr="007C488A">
        <w:rPr>
          <w:lang w:val="en-US" w:eastAsia="en-AU"/>
        </w:rPr>
        <w:t xml:space="preserve">INTERMACS </w:t>
      </w:r>
      <w:r w:rsidR="00DD709A" w:rsidRPr="007C488A">
        <w:rPr>
          <w:lang w:val="en-US" w:eastAsia="en-AU"/>
        </w:rPr>
        <w:t>4 patients</w:t>
      </w:r>
      <w:r w:rsidR="001E2CD8" w:rsidRPr="007C488A">
        <w:rPr>
          <w:lang w:val="en-US" w:eastAsia="en-AU"/>
        </w:rPr>
        <w:t>,</w:t>
      </w:r>
      <w:r w:rsidR="00DD709A" w:rsidRPr="007C488A">
        <w:rPr>
          <w:lang w:val="en-US" w:eastAsia="en-AU"/>
        </w:rPr>
        <w:t xml:space="preserve"> </w:t>
      </w:r>
      <w:r w:rsidR="00C7721D" w:rsidRPr="007C488A">
        <w:rPr>
          <w:lang w:val="en-US" w:eastAsia="en-AU"/>
        </w:rPr>
        <w:t xml:space="preserve">were </w:t>
      </w:r>
      <w:r w:rsidR="00DD709A" w:rsidRPr="007C488A">
        <w:rPr>
          <w:lang w:val="en-US" w:eastAsia="en-AU"/>
        </w:rPr>
        <w:t>relevant for this application.</w:t>
      </w:r>
    </w:p>
    <w:p w14:paraId="16F6AF42" w14:textId="5354D64A" w:rsidR="0059028F" w:rsidRPr="007C488A" w:rsidRDefault="001C2411" w:rsidP="006B61D6">
      <w:pPr>
        <w:jc w:val="both"/>
        <w:rPr>
          <w:lang w:val="en-US" w:eastAsia="en-AU"/>
        </w:rPr>
      </w:pPr>
      <w:r w:rsidRPr="007C488A">
        <w:rPr>
          <w:lang w:val="en-US" w:eastAsia="en-AU"/>
        </w:rPr>
        <w:t>The definitions of the clinical outcomes varied across the four included studies</w:t>
      </w:r>
      <w:r w:rsidR="006B61D6" w:rsidRPr="007C488A">
        <w:rPr>
          <w:lang w:val="en-US" w:eastAsia="en-AU"/>
        </w:rPr>
        <w:t xml:space="preserve">. For example, in the </w:t>
      </w:r>
      <w:r w:rsidR="00C83A0F" w:rsidRPr="007C488A">
        <w:rPr>
          <w:lang w:val="en-US" w:eastAsia="en-AU"/>
        </w:rPr>
        <w:t xml:space="preserve">MOMENTUM </w:t>
      </w:r>
      <w:r w:rsidR="006B61D6" w:rsidRPr="007C488A">
        <w:rPr>
          <w:lang w:val="en-US" w:eastAsia="en-AU"/>
        </w:rPr>
        <w:t>3 trial, the primary endpoint was a composite of survival free of a debilitating stroke or reoperation to replace the pump. Debilitating stroke was defined as a stroke with Modified Rankin</w:t>
      </w:r>
      <w:r w:rsidR="00900C82" w:rsidRPr="007C488A">
        <w:rPr>
          <w:lang w:val="en-US" w:eastAsia="en-AU"/>
        </w:rPr>
        <w:t>g</w:t>
      </w:r>
      <w:r w:rsidR="006B61D6" w:rsidRPr="007C488A">
        <w:rPr>
          <w:lang w:val="en-US" w:eastAsia="en-AU"/>
        </w:rPr>
        <w:t xml:space="preserve"> Score (MRS) </w:t>
      </w:r>
      <w:r w:rsidR="003943D2" w:rsidRPr="007C488A">
        <w:rPr>
          <w:lang w:val="en-US" w:eastAsia="en-AU"/>
        </w:rPr>
        <w:t>≥</w:t>
      </w:r>
      <w:r w:rsidR="006B61D6" w:rsidRPr="007C488A">
        <w:rPr>
          <w:lang w:val="en-US" w:eastAsia="en-AU"/>
        </w:rPr>
        <w:t xml:space="preserve">3 assessed at 60 days after the event in accordance with adjudication from the MOMENTUM 3 Clinical Events Committee. </w:t>
      </w:r>
      <w:r w:rsidR="00AB3ED6" w:rsidRPr="007C488A">
        <w:rPr>
          <w:lang w:val="en-US" w:eastAsia="en-AU"/>
        </w:rPr>
        <w:t xml:space="preserve">The primary outcome in the </w:t>
      </w:r>
      <w:r w:rsidR="006B61D6" w:rsidRPr="007C488A">
        <w:rPr>
          <w:lang w:val="en-US" w:eastAsia="en-AU"/>
        </w:rPr>
        <w:t xml:space="preserve">ROADMAP study </w:t>
      </w:r>
      <w:r w:rsidR="00AB3ED6" w:rsidRPr="007C488A">
        <w:rPr>
          <w:lang w:val="en-US" w:eastAsia="en-AU"/>
        </w:rPr>
        <w:t>was</w:t>
      </w:r>
      <w:r w:rsidR="006B61D6" w:rsidRPr="007C488A">
        <w:rPr>
          <w:lang w:val="en-US" w:eastAsia="en-AU"/>
        </w:rPr>
        <w:t xml:space="preserve"> a composite of survival and improvement ≥75 m in </w:t>
      </w:r>
      <w:r w:rsidR="00A02F6D" w:rsidRPr="007C488A">
        <w:rPr>
          <w:lang w:val="en-US" w:eastAsia="en-AU"/>
        </w:rPr>
        <w:t xml:space="preserve">6-minutes </w:t>
      </w:r>
      <w:r w:rsidR="00EA4FE5" w:rsidRPr="007C488A">
        <w:rPr>
          <w:lang w:val="en-US" w:eastAsia="en-AU"/>
        </w:rPr>
        <w:t>walking</w:t>
      </w:r>
      <w:r w:rsidR="00A02F6D" w:rsidRPr="007C488A">
        <w:rPr>
          <w:lang w:val="en-US" w:eastAsia="en-AU"/>
        </w:rPr>
        <w:t xml:space="preserve"> test (</w:t>
      </w:r>
      <w:r w:rsidR="006B61D6" w:rsidRPr="007C488A">
        <w:rPr>
          <w:lang w:val="en-US" w:eastAsia="en-AU"/>
        </w:rPr>
        <w:t>6MW</w:t>
      </w:r>
      <w:r w:rsidR="00A02F6D" w:rsidRPr="007C488A">
        <w:rPr>
          <w:lang w:val="en-US" w:eastAsia="en-AU"/>
        </w:rPr>
        <w:t>T)</w:t>
      </w:r>
      <w:r w:rsidR="006B61D6" w:rsidRPr="007C488A">
        <w:rPr>
          <w:lang w:val="en-US" w:eastAsia="en-AU"/>
        </w:rPr>
        <w:t xml:space="preserve"> at 12 months. In the REMATCH trial, the primary end point was death from any cause. Secondary endpoints </w:t>
      </w:r>
      <w:r w:rsidR="00AB3ED6" w:rsidRPr="007C488A">
        <w:rPr>
          <w:lang w:val="en-US" w:eastAsia="en-AU"/>
        </w:rPr>
        <w:t xml:space="preserve">in the studies included OS, </w:t>
      </w:r>
      <w:r w:rsidR="006B61D6" w:rsidRPr="007C488A">
        <w:rPr>
          <w:lang w:val="en-US" w:eastAsia="en-AU"/>
        </w:rPr>
        <w:t xml:space="preserve">days of </w:t>
      </w:r>
      <w:proofErr w:type="spellStart"/>
      <w:r w:rsidR="00865BD4" w:rsidRPr="007C488A">
        <w:rPr>
          <w:lang w:val="en-US" w:eastAsia="en-AU"/>
        </w:rPr>
        <w:t>hospitalisation</w:t>
      </w:r>
      <w:proofErr w:type="spellEnd"/>
      <w:r w:rsidR="00865BD4" w:rsidRPr="007C488A">
        <w:rPr>
          <w:lang w:val="en-US" w:eastAsia="en-AU"/>
        </w:rPr>
        <w:t xml:space="preserve"> </w:t>
      </w:r>
      <w:r w:rsidR="006B61D6" w:rsidRPr="007C488A">
        <w:rPr>
          <w:lang w:val="en-US" w:eastAsia="en-AU"/>
        </w:rPr>
        <w:t xml:space="preserve">and adverse events, functional status as assessed by </w:t>
      </w:r>
      <w:r w:rsidR="00900C82" w:rsidRPr="007C488A">
        <w:rPr>
          <w:lang w:val="en-US" w:eastAsia="en-AU"/>
        </w:rPr>
        <w:t xml:space="preserve">New York </w:t>
      </w:r>
      <w:r w:rsidR="00F87ADA" w:rsidRPr="007C488A">
        <w:rPr>
          <w:lang w:val="en-US" w:eastAsia="en-AU"/>
        </w:rPr>
        <w:t xml:space="preserve">Heart </w:t>
      </w:r>
      <w:r w:rsidR="00900C82" w:rsidRPr="007C488A">
        <w:rPr>
          <w:lang w:val="en-US" w:eastAsia="en-AU"/>
        </w:rPr>
        <w:t>Association (</w:t>
      </w:r>
      <w:r w:rsidR="006B61D6" w:rsidRPr="007C488A">
        <w:rPr>
          <w:lang w:val="en-US" w:eastAsia="en-AU"/>
        </w:rPr>
        <w:t>NYHA</w:t>
      </w:r>
      <w:r w:rsidR="00900C82" w:rsidRPr="007C488A">
        <w:rPr>
          <w:lang w:val="en-US" w:eastAsia="en-AU"/>
        </w:rPr>
        <w:t xml:space="preserve">) </w:t>
      </w:r>
      <w:r w:rsidR="006B61D6" w:rsidRPr="007C488A">
        <w:rPr>
          <w:lang w:val="en-US" w:eastAsia="en-AU"/>
        </w:rPr>
        <w:t>class, and</w:t>
      </w:r>
      <w:r w:rsidR="00900C82" w:rsidRPr="007C488A">
        <w:rPr>
          <w:lang w:val="en-US" w:eastAsia="en-AU"/>
        </w:rPr>
        <w:t xml:space="preserve"> quality of life (</w:t>
      </w:r>
      <w:r w:rsidR="006B61D6" w:rsidRPr="007C488A">
        <w:rPr>
          <w:lang w:val="en-US" w:eastAsia="en-AU"/>
        </w:rPr>
        <w:t>QoL</w:t>
      </w:r>
      <w:r w:rsidR="00900C82" w:rsidRPr="007C488A">
        <w:rPr>
          <w:lang w:val="en-US" w:eastAsia="en-AU"/>
        </w:rPr>
        <w:t>)</w:t>
      </w:r>
      <w:r w:rsidR="006B61D6" w:rsidRPr="007C488A">
        <w:rPr>
          <w:lang w:val="en-US" w:eastAsia="en-AU"/>
        </w:rPr>
        <w:t xml:space="preserve"> as assessed by </w:t>
      </w:r>
      <w:r w:rsidR="00907D8A" w:rsidRPr="007C488A">
        <w:t>the 36-item Medical Outcomes Study Short-Form General Health Survey</w:t>
      </w:r>
      <w:r w:rsidR="00C422C0" w:rsidRPr="007C488A">
        <w:t xml:space="preserve"> (</w:t>
      </w:r>
      <w:r w:rsidR="006B61D6" w:rsidRPr="007C488A">
        <w:rPr>
          <w:lang w:val="en-US" w:eastAsia="en-AU"/>
        </w:rPr>
        <w:t>SF-36</w:t>
      </w:r>
      <w:r w:rsidR="00C422C0" w:rsidRPr="007C488A">
        <w:rPr>
          <w:lang w:val="en-US" w:eastAsia="en-AU"/>
        </w:rPr>
        <w:t>)</w:t>
      </w:r>
      <w:r w:rsidR="006B61D6" w:rsidRPr="007C488A">
        <w:rPr>
          <w:lang w:val="en-US" w:eastAsia="en-AU"/>
        </w:rPr>
        <w:t>.</w:t>
      </w:r>
    </w:p>
    <w:p w14:paraId="2DC2C159" w14:textId="024AD938" w:rsidR="00322F9C" w:rsidRPr="007C488A" w:rsidRDefault="002638CA" w:rsidP="002638CA">
      <w:pPr>
        <w:jc w:val="both"/>
        <w:rPr>
          <w:lang w:val="en-US" w:eastAsia="en-AU"/>
        </w:rPr>
      </w:pPr>
      <w:r w:rsidRPr="007C488A">
        <w:rPr>
          <w:lang w:val="en-US" w:eastAsia="en-AU"/>
        </w:rPr>
        <w:t xml:space="preserve">The selected </w:t>
      </w:r>
      <w:r w:rsidR="00DD74EE" w:rsidRPr="007C488A">
        <w:rPr>
          <w:lang w:val="en-US" w:eastAsia="en-AU"/>
        </w:rPr>
        <w:t xml:space="preserve">socio demographic and clinical </w:t>
      </w:r>
      <w:r w:rsidRPr="007C488A">
        <w:rPr>
          <w:lang w:val="en-US" w:eastAsia="en-AU"/>
        </w:rPr>
        <w:t>baseline characteristics of the included studies are provided in</w:t>
      </w:r>
      <w:r w:rsidR="007F1C83" w:rsidRPr="007C488A">
        <w:rPr>
          <w:lang w:val="en-US" w:eastAsia="en-AU"/>
        </w:rPr>
        <w:t xml:space="preserve"> </w:t>
      </w:r>
      <w:r w:rsidR="007F1C83" w:rsidRPr="007C488A">
        <w:fldChar w:fldCharType="begin"/>
      </w:r>
      <w:r w:rsidR="007F1C83" w:rsidRPr="007C488A">
        <w:instrText xml:space="preserve"> REF _Ref144891699 \h  \* MERGEFORMAT </w:instrText>
      </w:r>
      <w:r w:rsidR="007F1C83" w:rsidRPr="007C488A">
        <w:fldChar w:fldCharType="separate"/>
      </w:r>
      <w:r w:rsidR="00406484" w:rsidRPr="007C488A">
        <w:t>Table 3</w:t>
      </w:r>
      <w:r w:rsidR="007F1C83" w:rsidRPr="007C488A">
        <w:fldChar w:fldCharType="end"/>
      </w:r>
      <w:r w:rsidRPr="007C488A">
        <w:t>.</w:t>
      </w:r>
    </w:p>
    <w:p w14:paraId="6EB2883E" w14:textId="77777777" w:rsidR="002638CA" w:rsidRPr="007C488A" w:rsidRDefault="002638CA" w:rsidP="00095F01">
      <w:pPr>
        <w:jc w:val="both"/>
        <w:rPr>
          <w:lang w:val="en-US" w:eastAsia="en-AU"/>
        </w:rPr>
        <w:sectPr w:rsidR="002638CA" w:rsidRPr="007C488A" w:rsidSect="00394DC8">
          <w:pgSz w:w="11906" w:h="16838"/>
          <w:pgMar w:top="1440" w:right="1440" w:bottom="1440" w:left="1440" w:header="708" w:footer="708" w:gutter="0"/>
          <w:cols w:space="708"/>
          <w:docGrid w:linePitch="360"/>
        </w:sectPr>
      </w:pPr>
    </w:p>
    <w:p w14:paraId="39D3E06C" w14:textId="1AEA2547" w:rsidR="002638CA" w:rsidRPr="007C488A" w:rsidRDefault="002638CA" w:rsidP="006C4D49">
      <w:pPr>
        <w:pStyle w:val="Caption"/>
      </w:pPr>
      <w:bookmarkStart w:id="24" w:name="_Ref144891699"/>
      <w:bookmarkStart w:id="25" w:name="_Toc147323537"/>
      <w:r w:rsidRPr="007C488A">
        <w:rPr>
          <w:rStyle w:val="TableHeadingChar"/>
          <w:b/>
        </w:rPr>
        <w:lastRenderedPageBreak/>
        <w:t xml:space="preserve">Table </w:t>
      </w:r>
      <w:r w:rsidRPr="007C488A">
        <w:rPr>
          <w:rStyle w:val="TableHeadingChar"/>
          <w:b/>
        </w:rPr>
        <w:fldChar w:fldCharType="begin"/>
      </w:r>
      <w:r w:rsidRPr="007C488A">
        <w:rPr>
          <w:rStyle w:val="TableHeadingChar"/>
          <w:b/>
        </w:rPr>
        <w:instrText>SEQ Table \* ARABIC</w:instrText>
      </w:r>
      <w:r w:rsidRPr="007C488A">
        <w:rPr>
          <w:rStyle w:val="TableHeadingChar"/>
          <w:b/>
        </w:rPr>
        <w:fldChar w:fldCharType="separate"/>
      </w:r>
      <w:r w:rsidR="00406484" w:rsidRPr="007C488A">
        <w:rPr>
          <w:rStyle w:val="TableHeadingChar"/>
          <w:b/>
          <w:noProof/>
        </w:rPr>
        <w:t>3</w:t>
      </w:r>
      <w:r w:rsidRPr="007C488A">
        <w:rPr>
          <w:rStyle w:val="TableHeadingChar"/>
          <w:b/>
        </w:rPr>
        <w:fldChar w:fldCharType="end"/>
      </w:r>
      <w:bookmarkEnd w:id="24"/>
      <w:r w:rsidR="009B3E0F" w:rsidRPr="007C488A">
        <w:rPr>
          <w:rStyle w:val="TableHeadingChar"/>
          <w:b/>
        </w:rPr>
        <w:t>:</w:t>
      </w:r>
      <w:r w:rsidRPr="007C488A">
        <w:rPr>
          <w:rStyle w:val="TableHeadingChar"/>
          <w:b/>
        </w:rPr>
        <w:t xml:space="preserve"> Baseline characteristics in MOMENTUM 3, Slaughter (2009), </w:t>
      </w:r>
      <w:r w:rsidR="00907D8A" w:rsidRPr="007C488A">
        <w:rPr>
          <w:rStyle w:val="TableHeadingChar"/>
          <w:b/>
        </w:rPr>
        <w:t xml:space="preserve">REMATCH and </w:t>
      </w:r>
      <w:r w:rsidRPr="007C488A">
        <w:rPr>
          <w:rStyle w:val="TableHeadingChar"/>
          <w:b/>
        </w:rPr>
        <w:t xml:space="preserve">ROADMAP </w:t>
      </w:r>
      <w:bookmarkEnd w:id="25"/>
    </w:p>
    <w:tbl>
      <w:tblPr>
        <w:tblStyle w:val="TableGrid"/>
        <w:tblW w:w="5000" w:type="pct"/>
        <w:tblLayout w:type="fixed"/>
        <w:tblLook w:val="04A0" w:firstRow="1" w:lastRow="0" w:firstColumn="1" w:lastColumn="0" w:noHBand="0" w:noVBand="1"/>
      </w:tblPr>
      <w:tblGrid>
        <w:gridCol w:w="2094"/>
        <w:gridCol w:w="1610"/>
        <w:gridCol w:w="1526"/>
        <w:gridCol w:w="1526"/>
        <w:gridCol w:w="1353"/>
        <w:gridCol w:w="1660"/>
        <w:gridCol w:w="1356"/>
        <w:gridCol w:w="1389"/>
        <w:gridCol w:w="1434"/>
      </w:tblGrid>
      <w:tr w:rsidR="00A528DA" w:rsidRPr="007C488A" w14:paraId="2DCF0D3E" w14:textId="77777777" w:rsidTr="007D1A1F">
        <w:trPr>
          <w:trHeight w:val="70"/>
          <w:tblHeader/>
        </w:trPr>
        <w:tc>
          <w:tcPr>
            <w:tcW w:w="751" w:type="pct"/>
            <w:vMerge w:val="restart"/>
            <w:shd w:val="clear" w:color="auto" w:fill="auto"/>
          </w:tcPr>
          <w:p w14:paraId="79212660" w14:textId="77777777" w:rsidR="00A528DA" w:rsidRPr="007C488A" w:rsidRDefault="00A528DA" w:rsidP="006E2D94">
            <w:pPr>
              <w:pStyle w:val="TableHeading0"/>
              <w:spacing w:before="0"/>
              <w:rPr>
                <w:lang w:eastAsia="en-AU"/>
              </w:rPr>
            </w:pPr>
          </w:p>
        </w:tc>
        <w:tc>
          <w:tcPr>
            <w:tcW w:w="1124" w:type="pct"/>
            <w:gridSpan w:val="2"/>
            <w:shd w:val="clear" w:color="auto" w:fill="auto"/>
          </w:tcPr>
          <w:p w14:paraId="71738D53" w14:textId="1A1EDDA2" w:rsidR="00A528DA" w:rsidRPr="007C488A" w:rsidRDefault="00A528DA" w:rsidP="006E2D94">
            <w:pPr>
              <w:pStyle w:val="TableHeading0"/>
              <w:spacing w:before="0"/>
              <w:rPr>
                <w:lang w:eastAsia="en-AU"/>
              </w:rPr>
            </w:pPr>
            <w:r w:rsidRPr="007C488A">
              <w:rPr>
                <w:lang w:eastAsia="en-AU"/>
              </w:rPr>
              <w:t>MOMENTUM 3</w:t>
            </w:r>
          </w:p>
        </w:tc>
        <w:tc>
          <w:tcPr>
            <w:tcW w:w="1032" w:type="pct"/>
            <w:gridSpan w:val="2"/>
            <w:shd w:val="clear" w:color="auto" w:fill="auto"/>
          </w:tcPr>
          <w:p w14:paraId="4E7A8903" w14:textId="15437768" w:rsidR="00A528DA" w:rsidRPr="007C488A" w:rsidRDefault="00A528DA" w:rsidP="006E2D94">
            <w:pPr>
              <w:pStyle w:val="TableHeading0"/>
              <w:spacing w:before="0"/>
              <w:rPr>
                <w:lang w:eastAsia="en-AU"/>
              </w:rPr>
            </w:pPr>
            <w:r w:rsidRPr="007C488A">
              <w:rPr>
                <w:lang w:eastAsia="en-AU"/>
              </w:rPr>
              <w:t>Slaughter (2009)</w:t>
            </w:r>
          </w:p>
        </w:tc>
        <w:tc>
          <w:tcPr>
            <w:tcW w:w="1081" w:type="pct"/>
            <w:gridSpan w:val="2"/>
            <w:shd w:val="clear" w:color="auto" w:fill="auto"/>
          </w:tcPr>
          <w:p w14:paraId="3434AE4F" w14:textId="630A6225" w:rsidR="00A528DA" w:rsidRPr="007C488A" w:rsidRDefault="00A528DA" w:rsidP="006E2D94">
            <w:pPr>
              <w:pStyle w:val="TableHeading0"/>
              <w:spacing w:before="0"/>
              <w:rPr>
                <w:lang w:eastAsia="en-AU"/>
              </w:rPr>
            </w:pPr>
            <w:r w:rsidRPr="007C488A">
              <w:rPr>
                <w:lang w:eastAsia="en-AU"/>
              </w:rPr>
              <w:t>REMATCH</w:t>
            </w:r>
          </w:p>
        </w:tc>
        <w:tc>
          <w:tcPr>
            <w:tcW w:w="1011" w:type="pct"/>
            <w:gridSpan w:val="2"/>
            <w:shd w:val="clear" w:color="auto" w:fill="auto"/>
          </w:tcPr>
          <w:p w14:paraId="4CEFFD23" w14:textId="04D264FF" w:rsidR="00A528DA" w:rsidRPr="007C488A" w:rsidRDefault="00A528DA" w:rsidP="006E2D94">
            <w:pPr>
              <w:pStyle w:val="TableHeading0"/>
              <w:spacing w:before="0"/>
              <w:rPr>
                <w:lang w:eastAsia="en-AU"/>
              </w:rPr>
            </w:pPr>
            <w:r w:rsidRPr="007C488A">
              <w:rPr>
                <w:lang w:eastAsia="en-AU"/>
              </w:rPr>
              <w:t>ROADMAP</w:t>
            </w:r>
          </w:p>
        </w:tc>
      </w:tr>
      <w:tr w:rsidR="00A528DA" w:rsidRPr="007C488A" w14:paraId="34A04D39" w14:textId="77777777" w:rsidTr="007D1A1F">
        <w:trPr>
          <w:trHeight w:val="70"/>
          <w:tblHeader/>
        </w:trPr>
        <w:tc>
          <w:tcPr>
            <w:tcW w:w="751" w:type="pct"/>
            <w:vMerge/>
            <w:shd w:val="clear" w:color="auto" w:fill="auto"/>
          </w:tcPr>
          <w:p w14:paraId="0BFCA1D9" w14:textId="77777777" w:rsidR="00A528DA" w:rsidRPr="007C488A" w:rsidRDefault="00A528DA" w:rsidP="006E2D94">
            <w:pPr>
              <w:pStyle w:val="TableHeading0"/>
              <w:spacing w:before="0"/>
              <w:rPr>
                <w:lang w:eastAsia="en-AU"/>
              </w:rPr>
            </w:pPr>
          </w:p>
        </w:tc>
        <w:tc>
          <w:tcPr>
            <w:tcW w:w="577" w:type="pct"/>
            <w:shd w:val="clear" w:color="auto" w:fill="auto"/>
          </w:tcPr>
          <w:p w14:paraId="75D9AB57" w14:textId="77777777" w:rsidR="00A528DA" w:rsidRPr="007C488A" w:rsidRDefault="00A528DA" w:rsidP="006E2D94">
            <w:pPr>
              <w:pStyle w:val="TableHeading0"/>
              <w:spacing w:before="0"/>
              <w:rPr>
                <w:lang w:eastAsia="en-AU"/>
              </w:rPr>
            </w:pPr>
            <w:r w:rsidRPr="007C488A">
              <w:rPr>
                <w:lang w:eastAsia="en-AU"/>
              </w:rPr>
              <w:t>HM2</w:t>
            </w:r>
          </w:p>
        </w:tc>
        <w:tc>
          <w:tcPr>
            <w:tcW w:w="547" w:type="pct"/>
            <w:shd w:val="clear" w:color="auto" w:fill="auto"/>
          </w:tcPr>
          <w:p w14:paraId="3A8F1A92" w14:textId="77777777" w:rsidR="00A528DA" w:rsidRPr="007C488A" w:rsidRDefault="00A528DA" w:rsidP="006E2D94">
            <w:pPr>
              <w:pStyle w:val="TableHeading0"/>
              <w:spacing w:before="0"/>
              <w:rPr>
                <w:lang w:eastAsia="en-AU"/>
              </w:rPr>
            </w:pPr>
            <w:r w:rsidRPr="007C488A">
              <w:rPr>
                <w:lang w:eastAsia="en-AU"/>
              </w:rPr>
              <w:t>HM3</w:t>
            </w:r>
          </w:p>
        </w:tc>
        <w:tc>
          <w:tcPr>
            <w:tcW w:w="547" w:type="pct"/>
            <w:shd w:val="clear" w:color="auto" w:fill="auto"/>
          </w:tcPr>
          <w:p w14:paraId="268DB30C" w14:textId="77777777" w:rsidR="00A528DA" w:rsidRPr="007C488A" w:rsidRDefault="00A528DA" w:rsidP="006E2D94">
            <w:pPr>
              <w:pStyle w:val="TableHeading0"/>
              <w:spacing w:before="0"/>
              <w:rPr>
                <w:lang w:eastAsia="en-AU"/>
              </w:rPr>
            </w:pPr>
            <w:r w:rsidRPr="007C488A">
              <w:rPr>
                <w:lang w:eastAsia="en-AU"/>
              </w:rPr>
              <w:t>HM2</w:t>
            </w:r>
          </w:p>
        </w:tc>
        <w:tc>
          <w:tcPr>
            <w:tcW w:w="485" w:type="pct"/>
            <w:shd w:val="clear" w:color="auto" w:fill="auto"/>
          </w:tcPr>
          <w:p w14:paraId="251AA303" w14:textId="77777777" w:rsidR="00A528DA" w:rsidRPr="007C488A" w:rsidRDefault="00A528DA" w:rsidP="006E2D94">
            <w:pPr>
              <w:pStyle w:val="TableHeading0"/>
              <w:spacing w:before="0"/>
              <w:rPr>
                <w:lang w:eastAsia="en-AU"/>
              </w:rPr>
            </w:pPr>
            <w:r w:rsidRPr="007C488A">
              <w:rPr>
                <w:lang w:eastAsia="en-AU"/>
              </w:rPr>
              <w:t>HM XVE</w:t>
            </w:r>
          </w:p>
        </w:tc>
        <w:tc>
          <w:tcPr>
            <w:tcW w:w="595" w:type="pct"/>
            <w:shd w:val="clear" w:color="auto" w:fill="auto"/>
          </w:tcPr>
          <w:p w14:paraId="4C49EFC9" w14:textId="77777777" w:rsidR="00A528DA" w:rsidRPr="007C488A" w:rsidRDefault="00A528DA" w:rsidP="006E2D94">
            <w:pPr>
              <w:pStyle w:val="TableHeading0"/>
              <w:spacing w:before="0"/>
              <w:rPr>
                <w:lang w:eastAsia="en-AU"/>
              </w:rPr>
            </w:pPr>
            <w:r w:rsidRPr="007C488A">
              <w:rPr>
                <w:lang w:eastAsia="en-AU"/>
              </w:rPr>
              <w:t>HM XVE</w:t>
            </w:r>
          </w:p>
        </w:tc>
        <w:tc>
          <w:tcPr>
            <w:tcW w:w="485" w:type="pct"/>
            <w:shd w:val="clear" w:color="auto" w:fill="auto"/>
          </w:tcPr>
          <w:p w14:paraId="4B80DA05" w14:textId="77777777" w:rsidR="00A528DA" w:rsidRPr="007C488A" w:rsidRDefault="00A528DA" w:rsidP="006E2D94">
            <w:pPr>
              <w:pStyle w:val="TableHeading0"/>
              <w:spacing w:before="0"/>
              <w:rPr>
                <w:lang w:eastAsia="en-AU"/>
              </w:rPr>
            </w:pPr>
            <w:r w:rsidRPr="007C488A">
              <w:rPr>
                <w:lang w:eastAsia="en-AU"/>
              </w:rPr>
              <w:t>OMM</w:t>
            </w:r>
          </w:p>
        </w:tc>
        <w:tc>
          <w:tcPr>
            <w:tcW w:w="498" w:type="pct"/>
            <w:shd w:val="clear" w:color="auto" w:fill="auto"/>
          </w:tcPr>
          <w:p w14:paraId="2938D027" w14:textId="77777777" w:rsidR="00A528DA" w:rsidRPr="007C488A" w:rsidRDefault="00A528DA" w:rsidP="006E2D94">
            <w:pPr>
              <w:pStyle w:val="TableHeading0"/>
              <w:spacing w:before="0"/>
              <w:rPr>
                <w:lang w:eastAsia="en-AU"/>
              </w:rPr>
            </w:pPr>
            <w:r w:rsidRPr="007C488A">
              <w:rPr>
                <w:lang w:eastAsia="en-AU"/>
              </w:rPr>
              <w:t>HM2</w:t>
            </w:r>
          </w:p>
        </w:tc>
        <w:tc>
          <w:tcPr>
            <w:tcW w:w="513" w:type="pct"/>
            <w:shd w:val="clear" w:color="auto" w:fill="auto"/>
          </w:tcPr>
          <w:p w14:paraId="039635F3" w14:textId="77777777" w:rsidR="00A528DA" w:rsidRPr="007C488A" w:rsidRDefault="00A528DA" w:rsidP="006E2D94">
            <w:pPr>
              <w:pStyle w:val="TableHeading0"/>
              <w:spacing w:before="0"/>
              <w:rPr>
                <w:lang w:eastAsia="en-AU"/>
              </w:rPr>
            </w:pPr>
            <w:r w:rsidRPr="007C488A">
              <w:rPr>
                <w:lang w:eastAsia="en-AU"/>
              </w:rPr>
              <w:t>OMM</w:t>
            </w:r>
          </w:p>
        </w:tc>
      </w:tr>
      <w:tr w:rsidR="00A528DA" w:rsidRPr="007C488A" w14:paraId="1EF38905" w14:textId="77777777" w:rsidTr="007D1A1F">
        <w:trPr>
          <w:trHeight w:val="70"/>
        </w:trPr>
        <w:tc>
          <w:tcPr>
            <w:tcW w:w="751" w:type="pct"/>
            <w:shd w:val="clear" w:color="auto" w:fill="auto"/>
          </w:tcPr>
          <w:p w14:paraId="04BF420D" w14:textId="0F8E7D4B" w:rsidR="00A528DA" w:rsidRPr="007C488A" w:rsidRDefault="00A528DA" w:rsidP="006E2D94">
            <w:pPr>
              <w:pStyle w:val="TableHeading0"/>
              <w:spacing w:before="0"/>
              <w:rPr>
                <w:lang w:eastAsia="en-AU"/>
              </w:rPr>
            </w:pPr>
            <w:r w:rsidRPr="007C488A">
              <w:rPr>
                <w:lang w:eastAsia="en-AU"/>
              </w:rPr>
              <w:t>N (whole cohort)</w:t>
            </w:r>
          </w:p>
        </w:tc>
        <w:tc>
          <w:tcPr>
            <w:tcW w:w="577" w:type="pct"/>
            <w:shd w:val="clear" w:color="auto" w:fill="auto"/>
          </w:tcPr>
          <w:p w14:paraId="3855A4FF" w14:textId="77777777" w:rsidR="00A528DA" w:rsidRPr="007C488A" w:rsidRDefault="00A528DA" w:rsidP="006E2D94">
            <w:pPr>
              <w:pStyle w:val="TableHeading0"/>
              <w:spacing w:before="0"/>
              <w:rPr>
                <w:lang w:eastAsia="en-AU"/>
              </w:rPr>
            </w:pPr>
            <w:r w:rsidRPr="007C488A">
              <w:rPr>
                <w:lang w:eastAsia="en-AU"/>
              </w:rPr>
              <w:t>512</w:t>
            </w:r>
          </w:p>
        </w:tc>
        <w:tc>
          <w:tcPr>
            <w:tcW w:w="547" w:type="pct"/>
            <w:shd w:val="clear" w:color="auto" w:fill="auto"/>
          </w:tcPr>
          <w:p w14:paraId="48A78DEC" w14:textId="77777777" w:rsidR="00A528DA" w:rsidRPr="007C488A" w:rsidRDefault="00A528DA" w:rsidP="006E2D94">
            <w:pPr>
              <w:pStyle w:val="TableHeading0"/>
              <w:spacing w:before="0"/>
              <w:rPr>
                <w:lang w:eastAsia="en-AU"/>
              </w:rPr>
            </w:pPr>
            <w:r w:rsidRPr="007C488A">
              <w:rPr>
                <w:lang w:eastAsia="en-AU"/>
              </w:rPr>
              <w:t>516</w:t>
            </w:r>
          </w:p>
        </w:tc>
        <w:tc>
          <w:tcPr>
            <w:tcW w:w="547" w:type="pct"/>
            <w:shd w:val="clear" w:color="auto" w:fill="auto"/>
          </w:tcPr>
          <w:p w14:paraId="161E4193" w14:textId="77777777" w:rsidR="00A528DA" w:rsidRPr="007C488A" w:rsidRDefault="00A528DA" w:rsidP="006E2D94">
            <w:pPr>
              <w:pStyle w:val="TableHeading0"/>
              <w:spacing w:before="0"/>
              <w:rPr>
                <w:lang w:eastAsia="en-AU"/>
              </w:rPr>
            </w:pPr>
            <w:r w:rsidRPr="007C488A">
              <w:rPr>
                <w:lang w:eastAsia="en-AU"/>
              </w:rPr>
              <w:t>134</w:t>
            </w:r>
          </w:p>
        </w:tc>
        <w:tc>
          <w:tcPr>
            <w:tcW w:w="485" w:type="pct"/>
            <w:shd w:val="clear" w:color="auto" w:fill="auto"/>
          </w:tcPr>
          <w:p w14:paraId="21C674F4" w14:textId="77777777" w:rsidR="00A528DA" w:rsidRPr="007C488A" w:rsidRDefault="00A528DA" w:rsidP="006E2D94">
            <w:pPr>
              <w:pStyle w:val="TableHeading0"/>
              <w:spacing w:before="0"/>
              <w:rPr>
                <w:lang w:eastAsia="en-AU"/>
              </w:rPr>
            </w:pPr>
            <w:r w:rsidRPr="007C488A">
              <w:rPr>
                <w:lang w:eastAsia="en-AU"/>
              </w:rPr>
              <w:t>66</w:t>
            </w:r>
          </w:p>
        </w:tc>
        <w:tc>
          <w:tcPr>
            <w:tcW w:w="595" w:type="pct"/>
            <w:shd w:val="clear" w:color="auto" w:fill="auto"/>
          </w:tcPr>
          <w:p w14:paraId="6208271C" w14:textId="77777777" w:rsidR="00A528DA" w:rsidRPr="007C488A" w:rsidRDefault="00A528DA" w:rsidP="006E2D94">
            <w:pPr>
              <w:pStyle w:val="TableHeading0"/>
              <w:spacing w:before="0"/>
              <w:rPr>
                <w:lang w:eastAsia="en-AU"/>
              </w:rPr>
            </w:pPr>
            <w:r w:rsidRPr="007C488A">
              <w:rPr>
                <w:lang w:eastAsia="en-AU"/>
              </w:rPr>
              <w:t>68</w:t>
            </w:r>
          </w:p>
        </w:tc>
        <w:tc>
          <w:tcPr>
            <w:tcW w:w="485" w:type="pct"/>
            <w:shd w:val="clear" w:color="auto" w:fill="auto"/>
          </w:tcPr>
          <w:p w14:paraId="6DD149AA" w14:textId="77777777" w:rsidR="00A528DA" w:rsidRPr="007C488A" w:rsidRDefault="00A528DA" w:rsidP="006E2D94">
            <w:pPr>
              <w:pStyle w:val="TableHeading0"/>
              <w:spacing w:before="0"/>
              <w:rPr>
                <w:lang w:eastAsia="en-AU"/>
              </w:rPr>
            </w:pPr>
            <w:r w:rsidRPr="007C488A">
              <w:rPr>
                <w:lang w:eastAsia="en-AU"/>
              </w:rPr>
              <w:t>61</w:t>
            </w:r>
          </w:p>
        </w:tc>
        <w:tc>
          <w:tcPr>
            <w:tcW w:w="498" w:type="pct"/>
            <w:shd w:val="clear" w:color="auto" w:fill="auto"/>
          </w:tcPr>
          <w:p w14:paraId="1103FF90" w14:textId="77777777" w:rsidR="00A528DA" w:rsidRPr="007C488A" w:rsidRDefault="00A528DA" w:rsidP="006E2D94">
            <w:pPr>
              <w:pStyle w:val="TableHeading0"/>
              <w:spacing w:before="0"/>
              <w:rPr>
                <w:lang w:eastAsia="en-AU"/>
              </w:rPr>
            </w:pPr>
            <w:r w:rsidRPr="007C488A">
              <w:rPr>
                <w:lang w:eastAsia="en-AU"/>
              </w:rPr>
              <w:t>97</w:t>
            </w:r>
          </w:p>
        </w:tc>
        <w:tc>
          <w:tcPr>
            <w:tcW w:w="513" w:type="pct"/>
            <w:shd w:val="clear" w:color="auto" w:fill="auto"/>
          </w:tcPr>
          <w:p w14:paraId="616FF414" w14:textId="77777777" w:rsidR="00A528DA" w:rsidRPr="007C488A" w:rsidRDefault="00A528DA" w:rsidP="006E2D94">
            <w:pPr>
              <w:pStyle w:val="TableHeading0"/>
              <w:spacing w:before="0"/>
              <w:rPr>
                <w:lang w:eastAsia="en-AU"/>
              </w:rPr>
            </w:pPr>
            <w:r w:rsidRPr="007C488A">
              <w:rPr>
                <w:lang w:eastAsia="en-AU"/>
              </w:rPr>
              <w:t>103</w:t>
            </w:r>
          </w:p>
        </w:tc>
      </w:tr>
      <w:tr w:rsidR="00A528DA" w:rsidRPr="007C488A" w14:paraId="1A5981C9" w14:textId="77777777" w:rsidTr="007D1A1F">
        <w:trPr>
          <w:trHeight w:val="70"/>
        </w:trPr>
        <w:tc>
          <w:tcPr>
            <w:tcW w:w="5000" w:type="pct"/>
            <w:gridSpan w:val="9"/>
            <w:shd w:val="clear" w:color="auto" w:fill="auto"/>
          </w:tcPr>
          <w:p w14:paraId="42F3B452" w14:textId="6203AC45" w:rsidR="00A528DA" w:rsidRPr="007C488A" w:rsidRDefault="00A528DA" w:rsidP="006E2D94">
            <w:pPr>
              <w:pStyle w:val="TableHeading0"/>
              <w:spacing w:before="0"/>
              <w:rPr>
                <w:lang w:eastAsia="en-AU"/>
              </w:rPr>
            </w:pPr>
            <w:r w:rsidRPr="007C488A">
              <w:rPr>
                <w:lang w:eastAsia="en-AU"/>
              </w:rPr>
              <w:t>N (population and indication of interest)</w:t>
            </w:r>
            <w:r w:rsidRPr="007C488A">
              <w:rPr>
                <w:vertAlign w:val="superscript"/>
                <w:lang w:eastAsia="en-AU"/>
              </w:rPr>
              <w:t>a</w:t>
            </w:r>
          </w:p>
        </w:tc>
      </w:tr>
      <w:tr w:rsidR="00A528DA" w:rsidRPr="007C488A" w14:paraId="1DD567EC" w14:textId="77777777" w:rsidTr="007D1A1F">
        <w:trPr>
          <w:trHeight w:val="70"/>
        </w:trPr>
        <w:tc>
          <w:tcPr>
            <w:tcW w:w="751" w:type="pct"/>
            <w:shd w:val="clear" w:color="auto" w:fill="auto"/>
          </w:tcPr>
          <w:p w14:paraId="42576F9A" w14:textId="43A88DB7" w:rsidR="00A528DA" w:rsidRPr="007C488A" w:rsidRDefault="00A528DA" w:rsidP="00637ADC">
            <w:pPr>
              <w:pStyle w:val="TableHeading0"/>
              <w:spacing w:before="0"/>
              <w:rPr>
                <w:b w:val="0"/>
                <w:bCs/>
                <w:lang w:eastAsia="en-AU"/>
              </w:rPr>
            </w:pPr>
            <w:r w:rsidRPr="007C488A">
              <w:rPr>
                <w:b w:val="0"/>
                <w:bCs/>
                <w:lang w:eastAsia="en-AU"/>
              </w:rPr>
              <w:t>DT</w:t>
            </w:r>
          </w:p>
        </w:tc>
        <w:tc>
          <w:tcPr>
            <w:tcW w:w="577" w:type="pct"/>
            <w:shd w:val="clear" w:color="auto" w:fill="auto"/>
          </w:tcPr>
          <w:p w14:paraId="2F614535" w14:textId="5DCD31D8" w:rsidR="00A528DA" w:rsidRPr="007C488A" w:rsidRDefault="00A528DA" w:rsidP="00637ADC">
            <w:pPr>
              <w:pStyle w:val="TableHeading0"/>
              <w:spacing w:before="0"/>
              <w:rPr>
                <w:b w:val="0"/>
                <w:bCs/>
                <w:lang w:eastAsia="en-AU"/>
              </w:rPr>
            </w:pPr>
            <w:r w:rsidRPr="007C488A">
              <w:rPr>
                <w:rFonts w:eastAsia="Times New Roman" w:cs="Tahoma"/>
                <w:b w:val="0"/>
                <w:bCs/>
                <w:szCs w:val="20"/>
                <w:lang w:eastAsia="en-AU"/>
              </w:rPr>
              <w:t>310/512 (60.5%)</w:t>
            </w:r>
          </w:p>
        </w:tc>
        <w:tc>
          <w:tcPr>
            <w:tcW w:w="547" w:type="pct"/>
            <w:shd w:val="clear" w:color="auto" w:fill="auto"/>
          </w:tcPr>
          <w:p w14:paraId="41A8C910" w14:textId="69F4BDB5" w:rsidR="00A528DA" w:rsidRPr="007C488A" w:rsidRDefault="00A528DA" w:rsidP="00637ADC">
            <w:pPr>
              <w:pStyle w:val="TableHeading0"/>
              <w:spacing w:before="0"/>
              <w:rPr>
                <w:b w:val="0"/>
                <w:bCs/>
                <w:lang w:eastAsia="en-AU"/>
              </w:rPr>
            </w:pPr>
            <w:r w:rsidRPr="007C488A">
              <w:rPr>
                <w:rFonts w:eastAsia="Times New Roman" w:cs="Tahoma"/>
                <w:b w:val="0"/>
                <w:bCs/>
                <w:szCs w:val="20"/>
                <w:lang w:eastAsia="en-AU"/>
              </w:rPr>
              <w:t>317/516 (61.4%)</w:t>
            </w:r>
          </w:p>
        </w:tc>
        <w:tc>
          <w:tcPr>
            <w:tcW w:w="547" w:type="pct"/>
          </w:tcPr>
          <w:p w14:paraId="51F2037D" w14:textId="34518192" w:rsidR="00A528DA" w:rsidRPr="007C488A" w:rsidRDefault="00A528DA" w:rsidP="00637ADC">
            <w:pPr>
              <w:pStyle w:val="TableHeading0"/>
              <w:spacing w:before="0"/>
              <w:rPr>
                <w:b w:val="0"/>
                <w:bCs/>
                <w:lang w:eastAsia="en-AU"/>
              </w:rPr>
            </w:pPr>
            <w:r w:rsidRPr="007C488A">
              <w:rPr>
                <w:rFonts w:eastAsia="Times New Roman" w:cs="Tahoma"/>
                <w:b w:val="0"/>
                <w:bCs/>
                <w:szCs w:val="20"/>
                <w:lang w:eastAsia="en-AU"/>
              </w:rPr>
              <w:t>134/134 (100.0%)</w:t>
            </w:r>
          </w:p>
        </w:tc>
        <w:tc>
          <w:tcPr>
            <w:tcW w:w="485" w:type="pct"/>
          </w:tcPr>
          <w:p w14:paraId="4C7CB491" w14:textId="35E47A95" w:rsidR="00A528DA" w:rsidRPr="007C488A" w:rsidRDefault="00A528DA" w:rsidP="00637ADC">
            <w:pPr>
              <w:pStyle w:val="TableHeading0"/>
              <w:spacing w:before="0"/>
              <w:rPr>
                <w:b w:val="0"/>
                <w:bCs/>
                <w:lang w:eastAsia="en-AU"/>
              </w:rPr>
            </w:pPr>
            <w:r w:rsidRPr="007C488A">
              <w:rPr>
                <w:rFonts w:eastAsia="Times New Roman" w:cs="Tahoma"/>
                <w:b w:val="0"/>
                <w:bCs/>
                <w:szCs w:val="20"/>
                <w:lang w:eastAsia="en-AU"/>
              </w:rPr>
              <w:t>66/66 (100.0%)</w:t>
            </w:r>
          </w:p>
        </w:tc>
        <w:tc>
          <w:tcPr>
            <w:tcW w:w="595" w:type="pct"/>
            <w:shd w:val="clear" w:color="auto" w:fill="auto"/>
          </w:tcPr>
          <w:p w14:paraId="1CF3676D" w14:textId="77777777" w:rsidR="00A528DA" w:rsidRPr="007C488A" w:rsidRDefault="00A528DA" w:rsidP="00637ADC">
            <w:pPr>
              <w:pStyle w:val="TableHeading0"/>
              <w:spacing w:before="0"/>
              <w:rPr>
                <w:rFonts w:eastAsia="Times New Roman" w:cs="Tahoma"/>
                <w:b w:val="0"/>
                <w:bCs/>
                <w:szCs w:val="20"/>
                <w:lang w:eastAsia="en-AU"/>
              </w:rPr>
            </w:pPr>
            <w:r w:rsidRPr="007C488A">
              <w:rPr>
                <w:rFonts w:eastAsia="Times New Roman" w:cs="Tahoma"/>
                <w:b w:val="0"/>
                <w:bCs/>
                <w:szCs w:val="20"/>
                <w:lang w:eastAsia="en-AU"/>
              </w:rPr>
              <w:t>68/68 (100.0%)</w:t>
            </w:r>
          </w:p>
          <w:p w14:paraId="069D6D4A" w14:textId="0A920040" w:rsidR="00A528DA" w:rsidRPr="007C488A" w:rsidRDefault="00A528DA" w:rsidP="00637ADC">
            <w:pPr>
              <w:pStyle w:val="TableHeading0"/>
              <w:spacing w:before="0"/>
              <w:rPr>
                <w:b w:val="0"/>
                <w:bCs/>
                <w:lang w:eastAsia="en-AU"/>
              </w:rPr>
            </w:pPr>
          </w:p>
        </w:tc>
        <w:tc>
          <w:tcPr>
            <w:tcW w:w="485" w:type="pct"/>
            <w:shd w:val="clear" w:color="auto" w:fill="auto"/>
          </w:tcPr>
          <w:p w14:paraId="55C25950" w14:textId="77777777" w:rsidR="00A528DA" w:rsidRPr="007C488A" w:rsidRDefault="00A528DA" w:rsidP="00637ADC">
            <w:pPr>
              <w:pStyle w:val="TableHeading0"/>
              <w:spacing w:before="0"/>
              <w:rPr>
                <w:rFonts w:eastAsia="Times New Roman" w:cs="Tahoma"/>
                <w:b w:val="0"/>
                <w:bCs/>
                <w:szCs w:val="20"/>
                <w:lang w:eastAsia="en-AU"/>
              </w:rPr>
            </w:pPr>
            <w:r w:rsidRPr="007C488A">
              <w:rPr>
                <w:rFonts w:eastAsia="Times New Roman" w:cs="Tahoma"/>
                <w:b w:val="0"/>
                <w:bCs/>
                <w:szCs w:val="20"/>
                <w:lang w:eastAsia="en-AU"/>
              </w:rPr>
              <w:t>61/61 (100.0%)</w:t>
            </w:r>
          </w:p>
          <w:p w14:paraId="60765BCA" w14:textId="1449725E" w:rsidR="00A528DA" w:rsidRPr="007C488A" w:rsidRDefault="00A528DA" w:rsidP="00637ADC">
            <w:pPr>
              <w:pStyle w:val="TableHeading0"/>
              <w:spacing w:before="0"/>
              <w:rPr>
                <w:b w:val="0"/>
                <w:bCs/>
                <w:lang w:eastAsia="en-AU"/>
              </w:rPr>
            </w:pPr>
          </w:p>
        </w:tc>
        <w:tc>
          <w:tcPr>
            <w:tcW w:w="498" w:type="pct"/>
            <w:shd w:val="clear" w:color="auto" w:fill="auto"/>
          </w:tcPr>
          <w:p w14:paraId="37AC3F28" w14:textId="193F76FB" w:rsidR="00A528DA" w:rsidRPr="007C488A" w:rsidRDefault="00A528DA" w:rsidP="00637ADC">
            <w:pPr>
              <w:pStyle w:val="TableHeading0"/>
              <w:spacing w:before="0"/>
              <w:rPr>
                <w:b w:val="0"/>
                <w:bCs/>
                <w:lang w:eastAsia="en-AU"/>
              </w:rPr>
            </w:pPr>
            <w:r w:rsidRPr="007C488A">
              <w:rPr>
                <w:rFonts w:eastAsia="Times New Roman" w:cs="Tahoma"/>
                <w:b w:val="0"/>
                <w:bCs/>
                <w:szCs w:val="20"/>
                <w:lang w:eastAsia="en-AU"/>
              </w:rPr>
              <w:t>97/97 (100.0%)</w:t>
            </w:r>
          </w:p>
        </w:tc>
        <w:tc>
          <w:tcPr>
            <w:tcW w:w="513" w:type="pct"/>
            <w:shd w:val="clear" w:color="auto" w:fill="auto"/>
          </w:tcPr>
          <w:p w14:paraId="65FFB526" w14:textId="32C42E49" w:rsidR="00A528DA" w:rsidRPr="007C488A" w:rsidRDefault="00A528DA" w:rsidP="00637ADC">
            <w:pPr>
              <w:pStyle w:val="TableHeading0"/>
              <w:spacing w:before="0"/>
              <w:rPr>
                <w:b w:val="0"/>
                <w:bCs/>
                <w:lang w:eastAsia="en-AU"/>
              </w:rPr>
            </w:pPr>
            <w:r w:rsidRPr="007C488A">
              <w:rPr>
                <w:rFonts w:eastAsia="Times New Roman" w:cs="Tahoma"/>
                <w:b w:val="0"/>
                <w:bCs/>
                <w:szCs w:val="20"/>
                <w:lang w:eastAsia="en-AU"/>
              </w:rPr>
              <w:t>103/103 (100.0%)</w:t>
            </w:r>
          </w:p>
        </w:tc>
      </w:tr>
      <w:tr w:rsidR="00A528DA" w:rsidRPr="007C488A" w14:paraId="7642EAD0" w14:textId="77777777" w:rsidTr="007D1A1F">
        <w:trPr>
          <w:trHeight w:val="70"/>
        </w:trPr>
        <w:tc>
          <w:tcPr>
            <w:tcW w:w="751" w:type="pct"/>
            <w:shd w:val="clear" w:color="auto" w:fill="auto"/>
          </w:tcPr>
          <w:p w14:paraId="56354A75" w14:textId="511B9999" w:rsidR="00A528DA" w:rsidRPr="007C488A" w:rsidRDefault="00A528DA" w:rsidP="00D1636B">
            <w:pPr>
              <w:pStyle w:val="TableHeading0"/>
              <w:spacing w:before="0"/>
              <w:rPr>
                <w:b w:val="0"/>
                <w:bCs/>
                <w:lang w:eastAsia="en-AU"/>
              </w:rPr>
            </w:pPr>
            <w:r w:rsidRPr="007C488A">
              <w:rPr>
                <w:b w:val="0"/>
                <w:bCs/>
                <w:lang w:eastAsia="en-AU"/>
              </w:rPr>
              <w:t>INTERMACS 1-4</w:t>
            </w:r>
            <w:r w:rsidR="005D60C2" w:rsidRPr="007C488A">
              <w:rPr>
                <w:b w:val="0"/>
                <w:bCs/>
                <w:lang w:eastAsia="en-AU"/>
              </w:rPr>
              <w:t xml:space="preserve"> patients indicated for DT</w:t>
            </w:r>
          </w:p>
        </w:tc>
        <w:tc>
          <w:tcPr>
            <w:tcW w:w="577" w:type="pct"/>
            <w:shd w:val="clear" w:color="auto" w:fill="auto"/>
          </w:tcPr>
          <w:p w14:paraId="014CDBA1" w14:textId="6E87A61D" w:rsidR="00A528DA" w:rsidRPr="007C488A" w:rsidRDefault="00A528DA" w:rsidP="00D1636B">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1-3 259/304 (85.2%)</w:t>
            </w:r>
          </w:p>
          <w:p w14:paraId="4AA84217" w14:textId="77777777" w:rsidR="00A528DA" w:rsidRPr="007C488A" w:rsidRDefault="00A528DA" w:rsidP="00D1636B">
            <w:pPr>
              <w:pStyle w:val="TableHeading0"/>
              <w:spacing w:before="0"/>
              <w:rPr>
                <w:rFonts w:eastAsia="Times New Roman" w:cs="Tahoma"/>
                <w:b w:val="0"/>
                <w:bCs/>
                <w:szCs w:val="20"/>
                <w:lang w:eastAsia="en-AU"/>
              </w:rPr>
            </w:pPr>
          </w:p>
          <w:p w14:paraId="557644B7" w14:textId="044FDA0B" w:rsidR="00A528DA" w:rsidRPr="007C488A" w:rsidRDefault="00A528DA" w:rsidP="00D1636B">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4-7 45/304 (14.8%)</w:t>
            </w:r>
            <w:r w:rsidRPr="007C488A">
              <w:rPr>
                <w:rFonts w:eastAsia="Times New Roman" w:cs="Tahoma"/>
                <w:b w:val="0"/>
                <w:bCs/>
                <w:szCs w:val="20"/>
                <w:vertAlign w:val="superscript"/>
                <w:lang w:eastAsia="en-AU"/>
              </w:rPr>
              <w:t>b</w:t>
            </w:r>
          </w:p>
        </w:tc>
        <w:tc>
          <w:tcPr>
            <w:tcW w:w="547" w:type="pct"/>
            <w:shd w:val="clear" w:color="auto" w:fill="auto"/>
          </w:tcPr>
          <w:p w14:paraId="6822BD45" w14:textId="23744CAA" w:rsidR="00A528DA" w:rsidRPr="007C488A" w:rsidRDefault="00A528DA" w:rsidP="00E61833">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1-3 265/316 (83.8%)</w:t>
            </w:r>
          </w:p>
          <w:p w14:paraId="353714FF" w14:textId="17C3EFF0" w:rsidR="00A528DA" w:rsidRPr="007C488A" w:rsidRDefault="00A528DA" w:rsidP="00E61833">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4-7 51/316 (16.1%)</w:t>
            </w:r>
            <w:r w:rsidRPr="007C488A">
              <w:rPr>
                <w:rFonts w:eastAsia="Times New Roman" w:cs="Tahoma"/>
                <w:b w:val="0"/>
                <w:bCs/>
                <w:szCs w:val="20"/>
                <w:vertAlign w:val="superscript"/>
                <w:lang w:eastAsia="en-AU"/>
              </w:rPr>
              <w:t>b</w:t>
            </w:r>
          </w:p>
        </w:tc>
        <w:tc>
          <w:tcPr>
            <w:tcW w:w="547" w:type="pct"/>
            <w:shd w:val="clear" w:color="auto" w:fill="auto"/>
          </w:tcPr>
          <w:p w14:paraId="6BE6E255" w14:textId="299F1BCF" w:rsidR="00A528DA" w:rsidRPr="007C488A" w:rsidRDefault="00A528DA" w:rsidP="00D1636B">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profiles not reported.</w:t>
            </w:r>
          </w:p>
        </w:tc>
        <w:tc>
          <w:tcPr>
            <w:tcW w:w="485" w:type="pct"/>
            <w:shd w:val="clear" w:color="auto" w:fill="auto"/>
          </w:tcPr>
          <w:p w14:paraId="1385B764" w14:textId="13C5B148" w:rsidR="00A528DA" w:rsidRPr="007C488A" w:rsidRDefault="00A528DA" w:rsidP="00D1636B">
            <w:pPr>
              <w:pStyle w:val="TableHeading0"/>
              <w:spacing w:before="0"/>
              <w:rPr>
                <w:rFonts w:eastAsia="Times New Roman" w:cs="Tahoma"/>
                <w:b w:val="0"/>
                <w:bCs/>
                <w:szCs w:val="20"/>
                <w:lang w:eastAsia="en-AU"/>
              </w:rPr>
            </w:pPr>
            <w:r w:rsidRPr="007C488A">
              <w:rPr>
                <w:b w:val="0"/>
                <w:bCs/>
                <w:lang w:eastAsia="en-AU"/>
              </w:rPr>
              <w:t>INTERMACS profiles not reported.</w:t>
            </w:r>
          </w:p>
        </w:tc>
        <w:tc>
          <w:tcPr>
            <w:tcW w:w="595" w:type="pct"/>
            <w:shd w:val="clear" w:color="auto" w:fill="auto"/>
          </w:tcPr>
          <w:p w14:paraId="2506F59D" w14:textId="1E2043E9" w:rsidR="00A528DA" w:rsidRPr="007C488A" w:rsidRDefault="00A528DA" w:rsidP="00D1636B">
            <w:pPr>
              <w:pStyle w:val="TableHeading0"/>
              <w:spacing w:before="0"/>
              <w:rPr>
                <w:rFonts w:eastAsia="Times New Roman" w:cs="Tahoma"/>
                <w:b w:val="0"/>
                <w:bCs/>
                <w:szCs w:val="20"/>
                <w:lang w:eastAsia="en-AU"/>
              </w:rPr>
            </w:pPr>
            <w:r w:rsidRPr="007C488A">
              <w:rPr>
                <w:b w:val="0"/>
                <w:bCs/>
                <w:lang w:eastAsia="en-AU"/>
              </w:rPr>
              <w:t>INTERMACS profiles not reported. Suggestive of INTERMACS 1-3.</w:t>
            </w:r>
          </w:p>
        </w:tc>
        <w:tc>
          <w:tcPr>
            <w:tcW w:w="485" w:type="pct"/>
            <w:shd w:val="clear" w:color="auto" w:fill="auto"/>
          </w:tcPr>
          <w:p w14:paraId="1709513E" w14:textId="60B53007" w:rsidR="00A528DA" w:rsidRPr="007C488A" w:rsidRDefault="00A528DA" w:rsidP="00D1636B">
            <w:pPr>
              <w:pStyle w:val="TableHeading0"/>
              <w:spacing w:before="0"/>
              <w:rPr>
                <w:rFonts w:eastAsia="Times New Roman" w:cs="Tahoma"/>
                <w:b w:val="0"/>
                <w:bCs/>
                <w:szCs w:val="20"/>
                <w:lang w:eastAsia="en-AU"/>
              </w:rPr>
            </w:pPr>
            <w:r w:rsidRPr="007C488A">
              <w:rPr>
                <w:b w:val="0"/>
                <w:bCs/>
                <w:lang w:eastAsia="en-AU"/>
              </w:rPr>
              <w:t>INTERMACS profiles not reported. Suggestive of INTERMACS 1-3.</w:t>
            </w:r>
          </w:p>
        </w:tc>
        <w:tc>
          <w:tcPr>
            <w:tcW w:w="498" w:type="pct"/>
            <w:shd w:val="clear" w:color="auto" w:fill="auto"/>
          </w:tcPr>
          <w:p w14:paraId="5B7E7CC1" w14:textId="164DD168" w:rsidR="00A528DA" w:rsidRPr="007C488A" w:rsidRDefault="00A528DA" w:rsidP="00D1636B">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4 35/97 (36.1%)</w:t>
            </w:r>
          </w:p>
        </w:tc>
        <w:tc>
          <w:tcPr>
            <w:tcW w:w="513" w:type="pct"/>
            <w:shd w:val="clear" w:color="auto" w:fill="auto"/>
          </w:tcPr>
          <w:p w14:paraId="1E84F206" w14:textId="43ADE689" w:rsidR="00A528DA" w:rsidRPr="007C488A" w:rsidRDefault="00A528DA" w:rsidP="00D1636B">
            <w:pPr>
              <w:pStyle w:val="TableHeading0"/>
              <w:spacing w:before="0"/>
              <w:rPr>
                <w:rFonts w:eastAsia="Times New Roman" w:cs="Tahoma"/>
                <w:b w:val="0"/>
                <w:bCs/>
                <w:szCs w:val="20"/>
                <w:lang w:eastAsia="en-AU"/>
              </w:rPr>
            </w:pPr>
            <w:r w:rsidRPr="007C488A">
              <w:rPr>
                <w:rFonts w:eastAsia="Times New Roman" w:cs="Tahoma"/>
                <w:b w:val="0"/>
                <w:bCs/>
                <w:szCs w:val="20"/>
                <w:lang w:eastAsia="en-AU"/>
              </w:rPr>
              <w:t>INTERMACS 4 63/103 (61.2%)</w:t>
            </w:r>
          </w:p>
        </w:tc>
      </w:tr>
      <w:tr w:rsidR="00A528DA" w:rsidRPr="007C488A" w14:paraId="365BAE12" w14:textId="77777777" w:rsidTr="007D1A1F">
        <w:trPr>
          <w:trHeight w:val="60"/>
        </w:trPr>
        <w:tc>
          <w:tcPr>
            <w:tcW w:w="5000" w:type="pct"/>
            <w:gridSpan w:val="9"/>
          </w:tcPr>
          <w:p w14:paraId="3130C0A8" w14:textId="2D22D034"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Baseline demographics</w:t>
            </w:r>
          </w:p>
        </w:tc>
      </w:tr>
      <w:tr w:rsidR="00A528DA" w:rsidRPr="007C488A" w14:paraId="3A337CC6" w14:textId="77777777" w:rsidTr="007D1A1F">
        <w:trPr>
          <w:trHeight w:val="60"/>
        </w:trPr>
        <w:tc>
          <w:tcPr>
            <w:tcW w:w="5000" w:type="pct"/>
            <w:gridSpan w:val="9"/>
          </w:tcPr>
          <w:p w14:paraId="4BF61293" w14:textId="6C6C16F8"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Age, years</w:t>
            </w:r>
          </w:p>
        </w:tc>
      </w:tr>
      <w:tr w:rsidR="00A528DA" w:rsidRPr="007C488A" w14:paraId="691F8D46" w14:textId="77777777" w:rsidTr="007D1A1F">
        <w:trPr>
          <w:trHeight w:val="60"/>
        </w:trPr>
        <w:tc>
          <w:tcPr>
            <w:tcW w:w="751" w:type="pct"/>
          </w:tcPr>
          <w:p w14:paraId="2F842920"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Mean (SD)</w:t>
            </w:r>
          </w:p>
        </w:tc>
        <w:tc>
          <w:tcPr>
            <w:tcW w:w="577" w:type="pct"/>
          </w:tcPr>
          <w:p w14:paraId="7C2A887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60 (12.0)</w:t>
            </w:r>
          </w:p>
        </w:tc>
        <w:tc>
          <w:tcPr>
            <w:tcW w:w="547" w:type="pct"/>
          </w:tcPr>
          <w:p w14:paraId="06C12C6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59 (12.0)</w:t>
            </w:r>
          </w:p>
        </w:tc>
        <w:tc>
          <w:tcPr>
            <w:tcW w:w="547" w:type="pct"/>
          </w:tcPr>
          <w:p w14:paraId="5A3A525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62 (12)</w:t>
            </w:r>
          </w:p>
        </w:tc>
        <w:tc>
          <w:tcPr>
            <w:tcW w:w="485" w:type="pct"/>
          </w:tcPr>
          <w:p w14:paraId="0A74EDC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62 (12)</w:t>
            </w:r>
          </w:p>
        </w:tc>
        <w:tc>
          <w:tcPr>
            <w:tcW w:w="595" w:type="pct"/>
          </w:tcPr>
          <w:p w14:paraId="2BBED11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66 (9.1)</w:t>
            </w:r>
          </w:p>
        </w:tc>
        <w:tc>
          <w:tcPr>
            <w:tcW w:w="485" w:type="pct"/>
          </w:tcPr>
          <w:p w14:paraId="5267482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68 (8.2)</w:t>
            </w:r>
          </w:p>
        </w:tc>
        <w:tc>
          <w:tcPr>
            <w:tcW w:w="498" w:type="pct"/>
          </w:tcPr>
          <w:p w14:paraId="5F47C4E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13" w:type="pct"/>
          </w:tcPr>
          <w:p w14:paraId="5F58B4D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A528DA" w:rsidRPr="007C488A" w14:paraId="66463AB5" w14:textId="77777777" w:rsidTr="007D1A1F">
        <w:trPr>
          <w:trHeight w:val="60"/>
        </w:trPr>
        <w:tc>
          <w:tcPr>
            <w:tcW w:w="751" w:type="pct"/>
          </w:tcPr>
          <w:p w14:paraId="7A7BB475"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Median (range)</w:t>
            </w:r>
          </w:p>
        </w:tc>
        <w:tc>
          <w:tcPr>
            <w:tcW w:w="577" w:type="pct"/>
          </w:tcPr>
          <w:p w14:paraId="76C6DA4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63 (21-84)</w:t>
            </w:r>
          </w:p>
        </w:tc>
        <w:tc>
          <w:tcPr>
            <w:tcW w:w="547" w:type="pct"/>
          </w:tcPr>
          <w:p w14:paraId="45B08D5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62 (18-83)</w:t>
            </w:r>
          </w:p>
        </w:tc>
        <w:tc>
          <w:tcPr>
            <w:tcW w:w="547" w:type="pct"/>
          </w:tcPr>
          <w:p w14:paraId="69207B0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64 (26-79)</w:t>
            </w:r>
          </w:p>
        </w:tc>
        <w:tc>
          <w:tcPr>
            <w:tcW w:w="485" w:type="pct"/>
          </w:tcPr>
          <w:p w14:paraId="1E1C26C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65 (29-81)</w:t>
            </w:r>
          </w:p>
        </w:tc>
        <w:tc>
          <w:tcPr>
            <w:tcW w:w="595" w:type="pct"/>
          </w:tcPr>
          <w:p w14:paraId="24B2AA3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75384B3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0BAAF51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64 (55-70) </w:t>
            </w:r>
            <w:r w:rsidRPr="007C488A">
              <w:rPr>
                <w:rFonts w:ascii="Arial Narrow" w:eastAsia="Times New Roman" w:hAnsi="Arial Narrow" w:cs="Tahoma"/>
                <w:sz w:val="20"/>
                <w:szCs w:val="20"/>
                <w:vertAlign w:val="superscript"/>
                <w:lang w:eastAsia="en-AU"/>
              </w:rPr>
              <w:t>a</w:t>
            </w:r>
          </w:p>
        </w:tc>
        <w:tc>
          <w:tcPr>
            <w:tcW w:w="513" w:type="pct"/>
          </w:tcPr>
          <w:p w14:paraId="388876E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66 (54-74) </w:t>
            </w:r>
            <w:r w:rsidRPr="007C488A">
              <w:rPr>
                <w:rFonts w:ascii="Arial Narrow" w:eastAsia="Times New Roman" w:hAnsi="Arial Narrow" w:cs="Tahoma"/>
                <w:sz w:val="20"/>
                <w:szCs w:val="20"/>
                <w:vertAlign w:val="superscript"/>
                <w:lang w:eastAsia="en-AU"/>
              </w:rPr>
              <w:t>a</w:t>
            </w:r>
          </w:p>
        </w:tc>
      </w:tr>
      <w:tr w:rsidR="00A528DA" w:rsidRPr="007C488A" w14:paraId="3D214C6C" w14:textId="77777777" w:rsidTr="007D1A1F">
        <w:trPr>
          <w:trHeight w:val="60"/>
        </w:trPr>
        <w:tc>
          <w:tcPr>
            <w:tcW w:w="751" w:type="pct"/>
          </w:tcPr>
          <w:p w14:paraId="36D221BC"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Mean (SD)</w:t>
            </w:r>
          </w:p>
        </w:tc>
        <w:tc>
          <w:tcPr>
            <w:tcW w:w="577" w:type="pct"/>
          </w:tcPr>
          <w:p w14:paraId="3665092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28.8 (6.2)</w:t>
            </w:r>
          </w:p>
        </w:tc>
        <w:tc>
          <w:tcPr>
            <w:tcW w:w="547" w:type="pct"/>
          </w:tcPr>
          <w:p w14:paraId="5D1C1D0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29.2 (6.3)</w:t>
            </w:r>
          </w:p>
        </w:tc>
        <w:tc>
          <w:tcPr>
            <w:tcW w:w="547" w:type="pct"/>
          </w:tcPr>
          <w:p w14:paraId="124BB38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28.2 (5.5)</w:t>
            </w:r>
          </w:p>
        </w:tc>
        <w:tc>
          <w:tcPr>
            <w:tcW w:w="485" w:type="pct"/>
          </w:tcPr>
          <w:p w14:paraId="7D3240C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28.2 (5.6)</w:t>
            </w:r>
          </w:p>
        </w:tc>
        <w:tc>
          <w:tcPr>
            <w:tcW w:w="595" w:type="pct"/>
          </w:tcPr>
          <w:p w14:paraId="09E7D32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1D9D05D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2BF6E90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13" w:type="pct"/>
          </w:tcPr>
          <w:p w14:paraId="3A572B3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A528DA" w:rsidRPr="007C488A" w14:paraId="50E6C823" w14:textId="77777777" w:rsidTr="007D1A1F">
        <w:trPr>
          <w:trHeight w:val="60"/>
        </w:trPr>
        <w:tc>
          <w:tcPr>
            <w:tcW w:w="751" w:type="pct"/>
          </w:tcPr>
          <w:p w14:paraId="417D9F9B"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Median (range)</w:t>
            </w:r>
          </w:p>
        </w:tc>
        <w:tc>
          <w:tcPr>
            <w:tcW w:w="577" w:type="pct"/>
          </w:tcPr>
          <w:p w14:paraId="0B60C505"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27.9 (14.9-53.1)</w:t>
            </w:r>
          </w:p>
        </w:tc>
        <w:tc>
          <w:tcPr>
            <w:tcW w:w="547" w:type="pct"/>
          </w:tcPr>
          <w:p w14:paraId="1A72FDC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28.5 (12.8-54.0)</w:t>
            </w:r>
          </w:p>
        </w:tc>
        <w:tc>
          <w:tcPr>
            <w:tcW w:w="547" w:type="pct"/>
          </w:tcPr>
          <w:p w14:paraId="35554E4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24A8A76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2C37459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5F75163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29E1C81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29 (25-33) </w:t>
            </w:r>
            <w:r w:rsidRPr="007C488A">
              <w:rPr>
                <w:rFonts w:ascii="Arial Narrow" w:eastAsia="Times New Roman" w:hAnsi="Arial Narrow" w:cs="Tahoma"/>
                <w:sz w:val="20"/>
                <w:szCs w:val="20"/>
                <w:vertAlign w:val="superscript"/>
                <w:lang w:eastAsia="en-AU"/>
              </w:rPr>
              <w:t>a</w:t>
            </w:r>
          </w:p>
        </w:tc>
        <w:tc>
          <w:tcPr>
            <w:tcW w:w="513" w:type="pct"/>
          </w:tcPr>
          <w:p w14:paraId="55C7111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28 (23-37) </w:t>
            </w:r>
            <w:r w:rsidRPr="007C488A">
              <w:rPr>
                <w:rFonts w:ascii="Arial Narrow" w:eastAsia="Times New Roman" w:hAnsi="Arial Narrow" w:cs="Tahoma"/>
                <w:sz w:val="20"/>
                <w:szCs w:val="20"/>
                <w:vertAlign w:val="superscript"/>
                <w:lang w:eastAsia="en-AU"/>
              </w:rPr>
              <w:t>a</w:t>
            </w:r>
          </w:p>
        </w:tc>
      </w:tr>
      <w:tr w:rsidR="00A528DA" w:rsidRPr="007C488A" w14:paraId="69B301BC" w14:textId="77777777" w:rsidTr="007D1A1F">
        <w:trPr>
          <w:trHeight w:val="60"/>
        </w:trPr>
        <w:tc>
          <w:tcPr>
            <w:tcW w:w="751" w:type="pct"/>
          </w:tcPr>
          <w:p w14:paraId="3A9CBC3D"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Males</w:t>
            </w:r>
          </w:p>
        </w:tc>
        <w:tc>
          <w:tcPr>
            <w:tcW w:w="577" w:type="pct"/>
          </w:tcPr>
          <w:p w14:paraId="29EE45B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419/512 (81.8%)</w:t>
            </w:r>
          </w:p>
        </w:tc>
        <w:tc>
          <w:tcPr>
            <w:tcW w:w="547" w:type="pct"/>
          </w:tcPr>
          <w:p w14:paraId="34F5DB0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411/516 (79.7%)</w:t>
            </w:r>
          </w:p>
        </w:tc>
        <w:tc>
          <w:tcPr>
            <w:tcW w:w="547" w:type="pct"/>
          </w:tcPr>
          <w:p w14:paraId="13A6D20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108/134 (80.6%)</w:t>
            </w:r>
          </w:p>
        </w:tc>
        <w:tc>
          <w:tcPr>
            <w:tcW w:w="485" w:type="pct"/>
          </w:tcPr>
          <w:p w14:paraId="01D4C4A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61/66 (92.4%)</w:t>
            </w:r>
          </w:p>
        </w:tc>
        <w:tc>
          <w:tcPr>
            <w:tcW w:w="595" w:type="pct"/>
          </w:tcPr>
          <w:p w14:paraId="6A99797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53/68 (77.9%)</w:t>
            </w:r>
          </w:p>
        </w:tc>
        <w:tc>
          <w:tcPr>
            <w:tcW w:w="485" w:type="pct"/>
          </w:tcPr>
          <w:p w14:paraId="1CD4D5C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50/61 (82.0%)</w:t>
            </w:r>
          </w:p>
        </w:tc>
        <w:tc>
          <w:tcPr>
            <w:tcW w:w="498" w:type="pct"/>
          </w:tcPr>
          <w:p w14:paraId="2C1A9C3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75/97 (77.3%)</w:t>
            </w:r>
          </w:p>
        </w:tc>
        <w:tc>
          <w:tcPr>
            <w:tcW w:w="513" w:type="pct"/>
          </w:tcPr>
          <w:p w14:paraId="13E8EC0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71/103 (68.9%)</w:t>
            </w:r>
          </w:p>
        </w:tc>
      </w:tr>
      <w:tr w:rsidR="00A528DA" w:rsidRPr="007C488A" w14:paraId="1D632C34" w14:textId="77777777" w:rsidTr="007D1A1F">
        <w:trPr>
          <w:trHeight w:val="60"/>
        </w:trPr>
        <w:tc>
          <w:tcPr>
            <w:tcW w:w="751" w:type="pct"/>
          </w:tcPr>
          <w:p w14:paraId="1356708D"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Females</w:t>
            </w:r>
          </w:p>
        </w:tc>
        <w:tc>
          <w:tcPr>
            <w:tcW w:w="577" w:type="pct"/>
          </w:tcPr>
          <w:p w14:paraId="7628903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93/512 (18.2%)</w:t>
            </w:r>
          </w:p>
        </w:tc>
        <w:tc>
          <w:tcPr>
            <w:tcW w:w="547" w:type="pct"/>
          </w:tcPr>
          <w:p w14:paraId="0D3244C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105/516 (20.3%)</w:t>
            </w:r>
          </w:p>
        </w:tc>
        <w:tc>
          <w:tcPr>
            <w:tcW w:w="547" w:type="pct"/>
          </w:tcPr>
          <w:p w14:paraId="0C14EA5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26/134 (19.4%)</w:t>
            </w:r>
          </w:p>
        </w:tc>
        <w:tc>
          <w:tcPr>
            <w:tcW w:w="485" w:type="pct"/>
          </w:tcPr>
          <w:p w14:paraId="196E38A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5/66 (7.6%)</w:t>
            </w:r>
          </w:p>
        </w:tc>
        <w:tc>
          <w:tcPr>
            <w:tcW w:w="595" w:type="pct"/>
          </w:tcPr>
          <w:p w14:paraId="4114058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15/68 (22.1%)</w:t>
            </w:r>
          </w:p>
        </w:tc>
        <w:tc>
          <w:tcPr>
            <w:tcW w:w="485" w:type="pct"/>
          </w:tcPr>
          <w:p w14:paraId="3824534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11/61 (18.0%)</w:t>
            </w:r>
          </w:p>
        </w:tc>
        <w:tc>
          <w:tcPr>
            <w:tcW w:w="498" w:type="pct"/>
          </w:tcPr>
          <w:p w14:paraId="649A7DD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22/97 (22.7%)</w:t>
            </w:r>
          </w:p>
        </w:tc>
        <w:tc>
          <w:tcPr>
            <w:tcW w:w="513" w:type="pct"/>
          </w:tcPr>
          <w:p w14:paraId="15DB694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32/103 (31.1%)</w:t>
            </w:r>
          </w:p>
        </w:tc>
      </w:tr>
      <w:tr w:rsidR="00A528DA" w:rsidRPr="007C488A" w14:paraId="344CACA5" w14:textId="77777777" w:rsidTr="007D1A1F">
        <w:trPr>
          <w:trHeight w:val="60"/>
        </w:trPr>
        <w:tc>
          <w:tcPr>
            <w:tcW w:w="751" w:type="pct"/>
          </w:tcPr>
          <w:p w14:paraId="00A38516"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Ischaemic aetiology, n/N (%)</w:t>
            </w:r>
          </w:p>
        </w:tc>
        <w:tc>
          <w:tcPr>
            <w:tcW w:w="577" w:type="pct"/>
          </w:tcPr>
          <w:p w14:paraId="1C35475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240/512 (46.9%)</w:t>
            </w:r>
          </w:p>
        </w:tc>
        <w:tc>
          <w:tcPr>
            <w:tcW w:w="547" w:type="pct"/>
          </w:tcPr>
          <w:p w14:paraId="42FE2D0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216/516 (41.9%)</w:t>
            </w:r>
          </w:p>
        </w:tc>
        <w:tc>
          <w:tcPr>
            <w:tcW w:w="547" w:type="pct"/>
          </w:tcPr>
          <w:p w14:paraId="6C58916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88/134 (65.7%)</w:t>
            </w:r>
          </w:p>
        </w:tc>
        <w:tc>
          <w:tcPr>
            <w:tcW w:w="485" w:type="pct"/>
          </w:tcPr>
          <w:p w14:paraId="1CCE93C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45/66 (68.2%)</w:t>
            </w:r>
          </w:p>
        </w:tc>
        <w:tc>
          <w:tcPr>
            <w:tcW w:w="595" w:type="pct"/>
          </w:tcPr>
          <w:p w14:paraId="3FF7FC3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53/68 (77.9%)</w:t>
            </w:r>
          </w:p>
        </w:tc>
        <w:tc>
          <w:tcPr>
            <w:tcW w:w="485" w:type="pct"/>
          </w:tcPr>
          <w:p w14:paraId="27945A5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42/61 (68.9%)</w:t>
            </w:r>
          </w:p>
        </w:tc>
        <w:tc>
          <w:tcPr>
            <w:tcW w:w="498" w:type="pct"/>
          </w:tcPr>
          <w:p w14:paraId="015AC5E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58/97 (59.8%)</w:t>
            </w:r>
          </w:p>
        </w:tc>
        <w:tc>
          <w:tcPr>
            <w:tcW w:w="513" w:type="pct"/>
          </w:tcPr>
          <w:p w14:paraId="1267D46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51/103 (49.5%)</w:t>
            </w:r>
          </w:p>
        </w:tc>
      </w:tr>
      <w:tr w:rsidR="00A528DA" w:rsidRPr="007C488A" w14:paraId="6601ED3C" w14:textId="77777777" w:rsidTr="007D1A1F">
        <w:trPr>
          <w:trHeight w:val="60"/>
        </w:trPr>
        <w:tc>
          <w:tcPr>
            <w:tcW w:w="751" w:type="pct"/>
          </w:tcPr>
          <w:p w14:paraId="431F9E44"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Non-Hispanic </w:t>
            </w:r>
          </w:p>
        </w:tc>
        <w:tc>
          <w:tcPr>
            <w:tcW w:w="577" w:type="pct"/>
          </w:tcPr>
          <w:p w14:paraId="2F076B6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485/512 (94.7%)</w:t>
            </w:r>
          </w:p>
        </w:tc>
        <w:tc>
          <w:tcPr>
            <w:tcW w:w="547" w:type="pct"/>
          </w:tcPr>
          <w:p w14:paraId="4AAEFF1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486/516 (94.2%)</w:t>
            </w:r>
          </w:p>
        </w:tc>
        <w:tc>
          <w:tcPr>
            <w:tcW w:w="547" w:type="pct"/>
          </w:tcPr>
          <w:p w14:paraId="743E685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193510B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5EA2EAE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2B1A85E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338F843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13" w:type="pct"/>
          </w:tcPr>
          <w:p w14:paraId="23CF627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A528DA" w:rsidRPr="007C488A" w14:paraId="32190FE0" w14:textId="77777777" w:rsidTr="007D1A1F">
        <w:trPr>
          <w:trHeight w:val="60"/>
        </w:trPr>
        <w:tc>
          <w:tcPr>
            <w:tcW w:w="751" w:type="pct"/>
          </w:tcPr>
          <w:p w14:paraId="72F70DDB"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Hispanic,</w:t>
            </w:r>
          </w:p>
        </w:tc>
        <w:tc>
          <w:tcPr>
            <w:tcW w:w="577" w:type="pct"/>
          </w:tcPr>
          <w:p w14:paraId="0ADB7C7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27/512 (5.3%)</w:t>
            </w:r>
          </w:p>
        </w:tc>
        <w:tc>
          <w:tcPr>
            <w:tcW w:w="547" w:type="pct"/>
          </w:tcPr>
          <w:p w14:paraId="2142253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29/516 (5.6%)</w:t>
            </w:r>
          </w:p>
        </w:tc>
        <w:tc>
          <w:tcPr>
            <w:tcW w:w="547" w:type="pct"/>
          </w:tcPr>
          <w:p w14:paraId="1DA872A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62445D6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448EE3F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38CCA66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1E18297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13" w:type="pct"/>
          </w:tcPr>
          <w:p w14:paraId="1FFC6E1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A528DA" w:rsidRPr="007C488A" w14:paraId="37347B50" w14:textId="77777777" w:rsidTr="007D1A1F">
        <w:trPr>
          <w:trHeight w:val="60"/>
        </w:trPr>
        <w:tc>
          <w:tcPr>
            <w:tcW w:w="751" w:type="pct"/>
          </w:tcPr>
          <w:p w14:paraId="0682C6D7"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Subject refused to provide</w:t>
            </w:r>
          </w:p>
        </w:tc>
        <w:tc>
          <w:tcPr>
            <w:tcW w:w="577" w:type="pct"/>
          </w:tcPr>
          <w:p w14:paraId="6212DE0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0/512 (0.0%)</w:t>
            </w:r>
          </w:p>
        </w:tc>
        <w:tc>
          <w:tcPr>
            <w:tcW w:w="547" w:type="pct"/>
          </w:tcPr>
          <w:p w14:paraId="08DB932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1/516 (0.2%)</w:t>
            </w:r>
          </w:p>
        </w:tc>
        <w:tc>
          <w:tcPr>
            <w:tcW w:w="547" w:type="pct"/>
          </w:tcPr>
          <w:p w14:paraId="0EED5F7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4374871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34A4A0E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2ABDDC1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50B1493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13" w:type="pct"/>
          </w:tcPr>
          <w:p w14:paraId="3C522A7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A528DA" w:rsidRPr="007C488A" w14:paraId="46BA05AD" w14:textId="77777777" w:rsidTr="007D1A1F">
        <w:trPr>
          <w:trHeight w:val="60"/>
        </w:trPr>
        <w:tc>
          <w:tcPr>
            <w:tcW w:w="751" w:type="pct"/>
          </w:tcPr>
          <w:p w14:paraId="4D5B0735"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White</w:t>
            </w:r>
          </w:p>
        </w:tc>
        <w:tc>
          <w:tcPr>
            <w:tcW w:w="577" w:type="pct"/>
          </w:tcPr>
          <w:p w14:paraId="3830480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367/512 (71.7%)</w:t>
            </w:r>
          </w:p>
        </w:tc>
        <w:tc>
          <w:tcPr>
            <w:tcW w:w="547" w:type="pct"/>
          </w:tcPr>
          <w:p w14:paraId="2F4740B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342/516 (66.3%)</w:t>
            </w:r>
          </w:p>
        </w:tc>
        <w:tc>
          <w:tcPr>
            <w:tcW w:w="547" w:type="pct"/>
          </w:tcPr>
          <w:p w14:paraId="5C1EC3F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101/134 (75.4%)</w:t>
            </w:r>
          </w:p>
        </w:tc>
        <w:tc>
          <w:tcPr>
            <w:tcW w:w="485" w:type="pct"/>
          </w:tcPr>
          <w:p w14:paraId="235016E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48/66 (72.7%)</w:t>
            </w:r>
          </w:p>
        </w:tc>
        <w:tc>
          <w:tcPr>
            <w:tcW w:w="595" w:type="pct"/>
          </w:tcPr>
          <w:p w14:paraId="65B9D38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24F5A7D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7F34678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72/97 (74.2%)</w:t>
            </w:r>
          </w:p>
        </w:tc>
        <w:tc>
          <w:tcPr>
            <w:tcW w:w="513" w:type="pct"/>
          </w:tcPr>
          <w:p w14:paraId="1874750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60/103 (58.3%)</w:t>
            </w:r>
          </w:p>
        </w:tc>
      </w:tr>
      <w:tr w:rsidR="00A528DA" w:rsidRPr="007C488A" w14:paraId="5409CF0C" w14:textId="77777777" w:rsidTr="007D1A1F">
        <w:trPr>
          <w:trHeight w:val="60"/>
        </w:trPr>
        <w:tc>
          <w:tcPr>
            <w:tcW w:w="751" w:type="pct"/>
          </w:tcPr>
          <w:p w14:paraId="697894EA"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Black or African American</w:t>
            </w:r>
          </w:p>
        </w:tc>
        <w:tc>
          <w:tcPr>
            <w:tcW w:w="577" w:type="pct"/>
          </w:tcPr>
          <w:p w14:paraId="51F5B16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120/512 (23.4%)</w:t>
            </w:r>
          </w:p>
        </w:tc>
        <w:tc>
          <w:tcPr>
            <w:tcW w:w="547" w:type="pct"/>
          </w:tcPr>
          <w:p w14:paraId="59A3481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145/516 (28.1%)</w:t>
            </w:r>
          </w:p>
        </w:tc>
        <w:tc>
          <w:tcPr>
            <w:tcW w:w="547" w:type="pct"/>
          </w:tcPr>
          <w:p w14:paraId="1990D4B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24/134 (17.9%)</w:t>
            </w:r>
          </w:p>
        </w:tc>
        <w:tc>
          <w:tcPr>
            <w:tcW w:w="485" w:type="pct"/>
          </w:tcPr>
          <w:p w14:paraId="643DF76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16/66 (24.2%)</w:t>
            </w:r>
          </w:p>
        </w:tc>
        <w:tc>
          <w:tcPr>
            <w:tcW w:w="595" w:type="pct"/>
          </w:tcPr>
          <w:p w14:paraId="665FF0B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09A1739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11DC580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21/97 (21.6%)</w:t>
            </w:r>
          </w:p>
        </w:tc>
        <w:tc>
          <w:tcPr>
            <w:tcW w:w="513" w:type="pct"/>
          </w:tcPr>
          <w:p w14:paraId="4D29B4C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35/103 (34.0%)</w:t>
            </w:r>
          </w:p>
        </w:tc>
      </w:tr>
      <w:tr w:rsidR="00A528DA" w:rsidRPr="007C488A" w14:paraId="127F5A65" w14:textId="77777777" w:rsidTr="007D1A1F">
        <w:trPr>
          <w:trHeight w:val="60"/>
        </w:trPr>
        <w:tc>
          <w:tcPr>
            <w:tcW w:w="751" w:type="pct"/>
          </w:tcPr>
          <w:p w14:paraId="1758F081"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Asian</w:t>
            </w:r>
          </w:p>
        </w:tc>
        <w:tc>
          <w:tcPr>
            <w:tcW w:w="577" w:type="pct"/>
          </w:tcPr>
          <w:p w14:paraId="4A0F42F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3/512 (0.6%)</w:t>
            </w:r>
          </w:p>
        </w:tc>
        <w:tc>
          <w:tcPr>
            <w:tcW w:w="547" w:type="pct"/>
          </w:tcPr>
          <w:p w14:paraId="468960E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8/516 (1.6%)</w:t>
            </w:r>
          </w:p>
        </w:tc>
        <w:tc>
          <w:tcPr>
            <w:tcW w:w="547" w:type="pct"/>
          </w:tcPr>
          <w:p w14:paraId="0486CA1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4203C51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23CBCEA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5CC4909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7BED126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tcPr>
          <w:p w14:paraId="50E8EAA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7FDC48D1" w14:textId="77777777" w:rsidTr="007D1A1F">
        <w:trPr>
          <w:trHeight w:val="60"/>
        </w:trPr>
        <w:tc>
          <w:tcPr>
            <w:tcW w:w="751" w:type="pct"/>
          </w:tcPr>
          <w:p w14:paraId="3ABB97FA"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Native Hawaiian or </w:t>
            </w:r>
            <w:proofErr w:type="gramStart"/>
            <w:r w:rsidRPr="007C488A">
              <w:rPr>
                <w:rFonts w:ascii="Arial Narrow" w:eastAsia="Times New Roman" w:hAnsi="Arial Narrow" w:cs="Tahoma"/>
                <w:sz w:val="20"/>
                <w:szCs w:val="20"/>
                <w:lang w:eastAsia="en-AU"/>
              </w:rPr>
              <w:t>other</w:t>
            </w:r>
            <w:proofErr w:type="gramEnd"/>
            <w:r w:rsidRPr="007C488A">
              <w:rPr>
                <w:rFonts w:ascii="Arial Narrow" w:eastAsia="Times New Roman" w:hAnsi="Arial Narrow" w:cs="Tahoma"/>
                <w:sz w:val="20"/>
                <w:szCs w:val="20"/>
                <w:lang w:eastAsia="en-AU"/>
              </w:rPr>
              <w:t xml:space="preserve"> Pacific Islander</w:t>
            </w:r>
          </w:p>
        </w:tc>
        <w:tc>
          <w:tcPr>
            <w:tcW w:w="577" w:type="pct"/>
          </w:tcPr>
          <w:p w14:paraId="49C2300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4/512 (0.8%)</w:t>
            </w:r>
          </w:p>
        </w:tc>
        <w:tc>
          <w:tcPr>
            <w:tcW w:w="547" w:type="pct"/>
          </w:tcPr>
          <w:p w14:paraId="39B87C9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0/516 (0.0%)</w:t>
            </w:r>
          </w:p>
        </w:tc>
        <w:tc>
          <w:tcPr>
            <w:tcW w:w="547" w:type="pct"/>
          </w:tcPr>
          <w:p w14:paraId="20A949A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197BBE3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3D4FF87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3FFCB73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5D0D90B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tcPr>
          <w:p w14:paraId="6C75D79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195552DA" w14:textId="77777777" w:rsidTr="007D1A1F">
        <w:trPr>
          <w:trHeight w:val="60"/>
        </w:trPr>
        <w:tc>
          <w:tcPr>
            <w:tcW w:w="751" w:type="pct"/>
          </w:tcPr>
          <w:p w14:paraId="40E26419" w14:textId="77777777" w:rsidR="00A528DA" w:rsidRPr="007C488A" w:rsidRDefault="00A528DA" w:rsidP="00D1636B">
            <w:pPr>
              <w:spacing w:before="0"/>
              <w:ind w:left="17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Other</w:t>
            </w:r>
          </w:p>
        </w:tc>
        <w:tc>
          <w:tcPr>
            <w:tcW w:w="577" w:type="pct"/>
          </w:tcPr>
          <w:p w14:paraId="4826FBC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18/512 (3.5%)</w:t>
            </w:r>
          </w:p>
        </w:tc>
        <w:tc>
          <w:tcPr>
            <w:tcW w:w="547" w:type="pct"/>
          </w:tcPr>
          <w:p w14:paraId="1A9511C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21/516 (4.1%)</w:t>
            </w:r>
          </w:p>
        </w:tc>
        <w:tc>
          <w:tcPr>
            <w:tcW w:w="547" w:type="pct"/>
          </w:tcPr>
          <w:p w14:paraId="0B92445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9/134 (6.7%)</w:t>
            </w:r>
          </w:p>
        </w:tc>
        <w:tc>
          <w:tcPr>
            <w:tcW w:w="485" w:type="pct"/>
            <w:shd w:val="clear" w:color="auto" w:fill="auto"/>
          </w:tcPr>
          <w:p w14:paraId="0555426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2/66 (3.0%)</w:t>
            </w:r>
          </w:p>
        </w:tc>
        <w:tc>
          <w:tcPr>
            <w:tcW w:w="595" w:type="pct"/>
            <w:shd w:val="clear" w:color="auto" w:fill="auto"/>
          </w:tcPr>
          <w:p w14:paraId="30C889E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185E2F8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7052A0D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4/97 (4.1%)</w:t>
            </w:r>
          </w:p>
        </w:tc>
        <w:tc>
          <w:tcPr>
            <w:tcW w:w="513" w:type="pct"/>
          </w:tcPr>
          <w:p w14:paraId="2CF04A0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8/103 (7.8%)</w:t>
            </w:r>
          </w:p>
        </w:tc>
      </w:tr>
      <w:tr w:rsidR="00A528DA" w:rsidRPr="007C488A" w14:paraId="57F340CA" w14:textId="77777777" w:rsidTr="007D1A1F">
        <w:trPr>
          <w:trHeight w:val="60"/>
        </w:trPr>
        <w:tc>
          <w:tcPr>
            <w:tcW w:w="5000" w:type="pct"/>
            <w:gridSpan w:val="9"/>
            <w:shd w:val="clear" w:color="auto" w:fill="auto"/>
          </w:tcPr>
          <w:p w14:paraId="32C558FA" w14:textId="20B83CF0"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Intended use, INTERMACS Profile and NYHA Class</w:t>
            </w:r>
          </w:p>
        </w:tc>
      </w:tr>
      <w:tr w:rsidR="00A528DA" w:rsidRPr="007C488A" w14:paraId="4B93743D" w14:textId="77777777" w:rsidTr="007D1A1F">
        <w:trPr>
          <w:trHeight w:val="60"/>
        </w:trPr>
        <w:tc>
          <w:tcPr>
            <w:tcW w:w="5000" w:type="pct"/>
            <w:gridSpan w:val="9"/>
            <w:shd w:val="clear" w:color="auto" w:fill="auto"/>
          </w:tcPr>
          <w:p w14:paraId="5F89FBF3" w14:textId="2DB33166"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lastRenderedPageBreak/>
              <w:t>Intended use, n/N (%)</w:t>
            </w:r>
          </w:p>
        </w:tc>
      </w:tr>
      <w:tr w:rsidR="00A528DA" w:rsidRPr="007C488A" w14:paraId="741CAD0F" w14:textId="77777777" w:rsidTr="007D1A1F">
        <w:trPr>
          <w:trHeight w:val="60"/>
        </w:trPr>
        <w:tc>
          <w:tcPr>
            <w:tcW w:w="751" w:type="pct"/>
            <w:shd w:val="clear" w:color="auto" w:fill="auto"/>
          </w:tcPr>
          <w:p w14:paraId="3916D4BA"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BTT</w:t>
            </w:r>
          </w:p>
        </w:tc>
        <w:tc>
          <w:tcPr>
            <w:tcW w:w="577" w:type="pct"/>
            <w:shd w:val="clear" w:color="auto" w:fill="auto"/>
          </w:tcPr>
          <w:p w14:paraId="3BEBA77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121/512 (23.6%)</w:t>
            </w:r>
          </w:p>
        </w:tc>
        <w:tc>
          <w:tcPr>
            <w:tcW w:w="547" w:type="pct"/>
            <w:shd w:val="clear" w:color="auto" w:fill="auto"/>
          </w:tcPr>
          <w:p w14:paraId="5A83FCB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113/516 (21.9%)</w:t>
            </w:r>
          </w:p>
        </w:tc>
        <w:tc>
          <w:tcPr>
            <w:tcW w:w="547" w:type="pct"/>
          </w:tcPr>
          <w:p w14:paraId="70F52B3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0/134 (0.0%)</w:t>
            </w:r>
          </w:p>
        </w:tc>
        <w:tc>
          <w:tcPr>
            <w:tcW w:w="485" w:type="pct"/>
          </w:tcPr>
          <w:p w14:paraId="0888B14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0/66 (0.0%)</w:t>
            </w:r>
          </w:p>
        </w:tc>
        <w:tc>
          <w:tcPr>
            <w:tcW w:w="595" w:type="pct"/>
            <w:shd w:val="clear" w:color="auto" w:fill="auto"/>
          </w:tcPr>
          <w:p w14:paraId="4490A9F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0/68 (0.0%)</w:t>
            </w:r>
          </w:p>
        </w:tc>
        <w:tc>
          <w:tcPr>
            <w:tcW w:w="485" w:type="pct"/>
            <w:shd w:val="clear" w:color="auto" w:fill="auto"/>
          </w:tcPr>
          <w:p w14:paraId="7CD6077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0/61 (0.0%)</w:t>
            </w:r>
          </w:p>
        </w:tc>
        <w:tc>
          <w:tcPr>
            <w:tcW w:w="498" w:type="pct"/>
            <w:shd w:val="clear" w:color="auto" w:fill="auto"/>
          </w:tcPr>
          <w:p w14:paraId="39E9D8D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5B30A45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0FC9A7EC" w14:textId="77777777" w:rsidTr="007D1A1F">
        <w:trPr>
          <w:trHeight w:val="60"/>
        </w:trPr>
        <w:tc>
          <w:tcPr>
            <w:tcW w:w="751" w:type="pct"/>
            <w:shd w:val="clear" w:color="auto" w:fill="auto"/>
          </w:tcPr>
          <w:p w14:paraId="0B281F66"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Possibly BTT: likely be eligible</w:t>
            </w:r>
          </w:p>
        </w:tc>
        <w:tc>
          <w:tcPr>
            <w:tcW w:w="577" w:type="pct"/>
            <w:shd w:val="clear" w:color="auto" w:fill="auto"/>
          </w:tcPr>
          <w:p w14:paraId="1D4944C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45/512 (8.8%)</w:t>
            </w:r>
          </w:p>
        </w:tc>
        <w:tc>
          <w:tcPr>
            <w:tcW w:w="547" w:type="pct"/>
            <w:shd w:val="clear" w:color="auto" w:fill="auto"/>
          </w:tcPr>
          <w:p w14:paraId="1EE04D0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45/516 (8.7%)</w:t>
            </w:r>
          </w:p>
        </w:tc>
        <w:tc>
          <w:tcPr>
            <w:tcW w:w="547" w:type="pct"/>
          </w:tcPr>
          <w:p w14:paraId="4633A77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0/134 (0.0%)</w:t>
            </w:r>
          </w:p>
        </w:tc>
        <w:tc>
          <w:tcPr>
            <w:tcW w:w="485" w:type="pct"/>
          </w:tcPr>
          <w:p w14:paraId="46ABC88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0/66 (0.0%)</w:t>
            </w:r>
          </w:p>
        </w:tc>
        <w:tc>
          <w:tcPr>
            <w:tcW w:w="595" w:type="pct"/>
            <w:shd w:val="clear" w:color="auto" w:fill="auto"/>
          </w:tcPr>
          <w:p w14:paraId="14ED475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0/68 (0.0%)</w:t>
            </w:r>
          </w:p>
        </w:tc>
        <w:tc>
          <w:tcPr>
            <w:tcW w:w="485" w:type="pct"/>
            <w:shd w:val="clear" w:color="auto" w:fill="auto"/>
          </w:tcPr>
          <w:p w14:paraId="6DD6A42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0/61 (0.0%)</w:t>
            </w:r>
          </w:p>
        </w:tc>
        <w:tc>
          <w:tcPr>
            <w:tcW w:w="498" w:type="pct"/>
            <w:shd w:val="clear" w:color="auto" w:fill="auto"/>
          </w:tcPr>
          <w:p w14:paraId="5E654EC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6F8D036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7B4BC05F" w14:textId="77777777" w:rsidTr="007D1A1F">
        <w:trPr>
          <w:trHeight w:val="60"/>
        </w:trPr>
        <w:tc>
          <w:tcPr>
            <w:tcW w:w="751" w:type="pct"/>
            <w:shd w:val="clear" w:color="auto" w:fill="auto"/>
          </w:tcPr>
          <w:p w14:paraId="463BC01B"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Possibly BTT: moderate likelihood</w:t>
            </w:r>
          </w:p>
        </w:tc>
        <w:tc>
          <w:tcPr>
            <w:tcW w:w="577" w:type="pct"/>
            <w:shd w:val="clear" w:color="auto" w:fill="auto"/>
          </w:tcPr>
          <w:p w14:paraId="7D45AE9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33/512 (6.4%)</w:t>
            </w:r>
          </w:p>
        </w:tc>
        <w:tc>
          <w:tcPr>
            <w:tcW w:w="547" w:type="pct"/>
            <w:shd w:val="clear" w:color="auto" w:fill="auto"/>
          </w:tcPr>
          <w:p w14:paraId="7546B39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32/516 (6.2%)</w:t>
            </w:r>
          </w:p>
        </w:tc>
        <w:tc>
          <w:tcPr>
            <w:tcW w:w="547" w:type="pct"/>
          </w:tcPr>
          <w:p w14:paraId="0A414FE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0/134 (0.0%)</w:t>
            </w:r>
          </w:p>
        </w:tc>
        <w:tc>
          <w:tcPr>
            <w:tcW w:w="485" w:type="pct"/>
          </w:tcPr>
          <w:p w14:paraId="06A3BBE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0/66 (0.0%)</w:t>
            </w:r>
          </w:p>
        </w:tc>
        <w:tc>
          <w:tcPr>
            <w:tcW w:w="595" w:type="pct"/>
            <w:shd w:val="clear" w:color="auto" w:fill="auto"/>
          </w:tcPr>
          <w:p w14:paraId="16078F6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0/68 (0.0%)</w:t>
            </w:r>
          </w:p>
        </w:tc>
        <w:tc>
          <w:tcPr>
            <w:tcW w:w="485" w:type="pct"/>
            <w:shd w:val="clear" w:color="auto" w:fill="auto"/>
          </w:tcPr>
          <w:p w14:paraId="3B157A2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0/61 (0.0%)</w:t>
            </w:r>
          </w:p>
        </w:tc>
        <w:tc>
          <w:tcPr>
            <w:tcW w:w="498" w:type="pct"/>
            <w:shd w:val="clear" w:color="auto" w:fill="auto"/>
          </w:tcPr>
          <w:p w14:paraId="41FBD6D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756D406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41717526" w14:textId="77777777" w:rsidTr="007D1A1F">
        <w:trPr>
          <w:trHeight w:val="60"/>
        </w:trPr>
        <w:tc>
          <w:tcPr>
            <w:tcW w:w="751" w:type="pct"/>
            <w:shd w:val="clear" w:color="auto" w:fill="auto"/>
          </w:tcPr>
          <w:p w14:paraId="241FF586"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Possibly BTT: unlikely to be eligible</w:t>
            </w:r>
          </w:p>
        </w:tc>
        <w:tc>
          <w:tcPr>
            <w:tcW w:w="577" w:type="pct"/>
            <w:shd w:val="clear" w:color="auto" w:fill="auto"/>
          </w:tcPr>
          <w:p w14:paraId="791AD6A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3/512 (0.6%)</w:t>
            </w:r>
          </w:p>
        </w:tc>
        <w:tc>
          <w:tcPr>
            <w:tcW w:w="547" w:type="pct"/>
            <w:shd w:val="clear" w:color="auto" w:fill="auto"/>
          </w:tcPr>
          <w:p w14:paraId="15A93DE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9/516 (1.7%)</w:t>
            </w:r>
          </w:p>
        </w:tc>
        <w:tc>
          <w:tcPr>
            <w:tcW w:w="547" w:type="pct"/>
          </w:tcPr>
          <w:p w14:paraId="1E808DA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0/134 (0.0%)</w:t>
            </w:r>
          </w:p>
        </w:tc>
        <w:tc>
          <w:tcPr>
            <w:tcW w:w="485" w:type="pct"/>
          </w:tcPr>
          <w:p w14:paraId="44C5E28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0/66 (0.0%)</w:t>
            </w:r>
          </w:p>
        </w:tc>
        <w:tc>
          <w:tcPr>
            <w:tcW w:w="595" w:type="pct"/>
            <w:shd w:val="clear" w:color="auto" w:fill="auto"/>
          </w:tcPr>
          <w:p w14:paraId="3C81F7B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0/68 (0.0%)</w:t>
            </w:r>
          </w:p>
        </w:tc>
        <w:tc>
          <w:tcPr>
            <w:tcW w:w="485" w:type="pct"/>
            <w:shd w:val="clear" w:color="auto" w:fill="auto"/>
          </w:tcPr>
          <w:p w14:paraId="610821B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0/61 (0.0%)</w:t>
            </w:r>
          </w:p>
        </w:tc>
        <w:tc>
          <w:tcPr>
            <w:tcW w:w="498" w:type="pct"/>
            <w:shd w:val="clear" w:color="auto" w:fill="auto"/>
          </w:tcPr>
          <w:p w14:paraId="1002FA5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5D4BD68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3ECA2CFF" w14:textId="77777777" w:rsidTr="007D1A1F">
        <w:trPr>
          <w:trHeight w:val="60"/>
        </w:trPr>
        <w:tc>
          <w:tcPr>
            <w:tcW w:w="751" w:type="pct"/>
            <w:shd w:val="clear" w:color="auto" w:fill="auto"/>
          </w:tcPr>
          <w:p w14:paraId="38A7FB90"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DT</w:t>
            </w:r>
          </w:p>
        </w:tc>
        <w:tc>
          <w:tcPr>
            <w:tcW w:w="577" w:type="pct"/>
            <w:shd w:val="clear" w:color="auto" w:fill="auto"/>
          </w:tcPr>
          <w:p w14:paraId="1F6A851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310/512 (60.5%)</w:t>
            </w:r>
          </w:p>
        </w:tc>
        <w:tc>
          <w:tcPr>
            <w:tcW w:w="547" w:type="pct"/>
            <w:shd w:val="clear" w:color="auto" w:fill="auto"/>
          </w:tcPr>
          <w:p w14:paraId="5480FC5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317/516 (61.4%)</w:t>
            </w:r>
          </w:p>
        </w:tc>
        <w:tc>
          <w:tcPr>
            <w:tcW w:w="547" w:type="pct"/>
          </w:tcPr>
          <w:p w14:paraId="767D344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134/134 (100.0%)</w:t>
            </w:r>
          </w:p>
        </w:tc>
        <w:tc>
          <w:tcPr>
            <w:tcW w:w="485" w:type="pct"/>
          </w:tcPr>
          <w:p w14:paraId="3C4B3F2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66/66 (100.0%)</w:t>
            </w:r>
          </w:p>
        </w:tc>
        <w:tc>
          <w:tcPr>
            <w:tcW w:w="595" w:type="pct"/>
            <w:shd w:val="clear" w:color="auto" w:fill="auto"/>
          </w:tcPr>
          <w:p w14:paraId="2F73693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68/68 (100.0%)</w:t>
            </w:r>
          </w:p>
        </w:tc>
        <w:tc>
          <w:tcPr>
            <w:tcW w:w="485" w:type="pct"/>
            <w:shd w:val="clear" w:color="auto" w:fill="auto"/>
          </w:tcPr>
          <w:p w14:paraId="7999006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61/61 (100.0%)</w:t>
            </w:r>
          </w:p>
        </w:tc>
        <w:tc>
          <w:tcPr>
            <w:tcW w:w="498" w:type="pct"/>
            <w:shd w:val="clear" w:color="auto" w:fill="auto"/>
          </w:tcPr>
          <w:p w14:paraId="7DB0846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97/97 (100.0%)</w:t>
            </w:r>
          </w:p>
        </w:tc>
        <w:tc>
          <w:tcPr>
            <w:tcW w:w="513" w:type="pct"/>
            <w:shd w:val="clear" w:color="auto" w:fill="auto"/>
          </w:tcPr>
          <w:p w14:paraId="77D4EE6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103/103 (100.0%)</w:t>
            </w:r>
          </w:p>
        </w:tc>
      </w:tr>
      <w:tr w:rsidR="00A528DA" w:rsidRPr="007C488A" w14:paraId="5D540EDA" w14:textId="77777777" w:rsidTr="007D1A1F">
        <w:trPr>
          <w:trHeight w:val="60"/>
        </w:trPr>
        <w:tc>
          <w:tcPr>
            <w:tcW w:w="5000" w:type="pct"/>
            <w:gridSpan w:val="9"/>
            <w:shd w:val="clear" w:color="auto" w:fill="auto"/>
          </w:tcPr>
          <w:p w14:paraId="6D9A8E5A" w14:textId="3741B98E"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INTERMACS Profile, n/N (%)</w:t>
            </w:r>
          </w:p>
        </w:tc>
      </w:tr>
      <w:tr w:rsidR="00A528DA" w:rsidRPr="007C488A" w14:paraId="616E339D" w14:textId="77777777" w:rsidTr="007D1A1F">
        <w:trPr>
          <w:trHeight w:val="60"/>
        </w:trPr>
        <w:tc>
          <w:tcPr>
            <w:tcW w:w="751" w:type="pct"/>
            <w:shd w:val="clear" w:color="auto" w:fill="auto"/>
          </w:tcPr>
          <w:p w14:paraId="79576620"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w:t>
            </w:r>
          </w:p>
        </w:tc>
        <w:tc>
          <w:tcPr>
            <w:tcW w:w="577" w:type="pct"/>
            <w:shd w:val="clear" w:color="auto" w:fill="auto"/>
          </w:tcPr>
          <w:p w14:paraId="28F5E15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18/512 (3.5%)</w:t>
            </w:r>
          </w:p>
        </w:tc>
        <w:tc>
          <w:tcPr>
            <w:tcW w:w="547" w:type="pct"/>
            <w:shd w:val="clear" w:color="auto" w:fill="auto"/>
          </w:tcPr>
          <w:p w14:paraId="7BD1DED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11/516 (2.1%)</w:t>
            </w:r>
          </w:p>
        </w:tc>
        <w:tc>
          <w:tcPr>
            <w:tcW w:w="547" w:type="pct"/>
          </w:tcPr>
          <w:p w14:paraId="66F9DB0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1A55A19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6B0F80B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4CC9730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674D995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2700B6B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53E86CCC" w14:textId="77777777" w:rsidTr="007D1A1F">
        <w:trPr>
          <w:trHeight w:val="60"/>
        </w:trPr>
        <w:tc>
          <w:tcPr>
            <w:tcW w:w="751" w:type="pct"/>
            <w:shd w:val="clear" w:color="auto" w:fill="auto"/>
          </w:tcPr>
          <w:p w14:paraId="5BBF0385"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w:t>
            </w:r>
          </w:p>
        </w:tc>
        <w:tc>
          <w:tcPr>
            <w:tcW w:w="577" w:type="pct"/>
            <w:shd w:val="clear" w:color="auto" w:fill="auto"/>
          </w:tcPr>
          <w:p w14:paraId="49F6FE5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146/512 (28.5%)</w:t>
            </w:r>
          </w:p>
        </w:tc>
        <w:tc>
          <w:tcPr>
            <w:tcW w:w="547" w:type="pct"/>
            <w:shd w:val="clear" w:color="auto" w:fill="auto"/>
          </w:tcPr>
          <w:p w14:paraId="23879D6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156/516 (30.2%)</w:t>
            </w:r>
          </w:p>
        </w:tc>
        <w:tc>
          <w:tcPr>
            <w:tcW w:w="547" w:type="pct"/>
          </w:tcPr>
          <w:p w14:paraId="50512BB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55078FD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4BBF936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0F86D3B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4274487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020D50F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6B3274BC" w14:textId="77777777" w:rsidTr="007D1A1F">
        <w:trPr>
          <w:trHeight w:val="60"/>
        </w:trPr>
        <w:tc>
          <w:tcPr>
            <w:tcW w:w="751" w:type="pct"/>
            <w:shd w:val="clear" w:color="auto" w:fill="auto"/>
          </w:tcPr>
          <w:p w14:paraId="16A2B01F"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w:t>
            </w:r>
          </w:p>
        </w:tc>
        <w:tc>
          <w:tcPr>
            <w:tcW w:w="577" w:type="pct"/>
            <w:shd w:val="clear" w:color="auto" w:fill="auto"/>
          </w:tcPr>
          <w:p w14:paraId="7A4B4FD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251/512 (49.0%)</w:t>
            </w:r>
          </w:p>
        </w:tc>
        <w:tc>
          <w:tcPr>
            <w:tcW w:w="547" w:type="pct"/>
            <w:shd w:val="clear" w:color="auto" w:fill="auto"/>
          </w:tcPr>
          <w:p w14:paraId="3643600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272/516 (52.7%)</w:t>
            </w:r>
          </w:p>
        </w:tc>
        <w:tc>
          <w:tcPr>
            <w:tcW w:w="547" w:type="pct"/>
          </w:tcPr>
          <w:p w14:paraId="1394F26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542511F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61CBD8B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6446E68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0F06023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74909F0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653D0E26" w14:textId="77777777" w:rsidTr="007D1A1F">
        <w:trPr>
          <w:trHeight w:val="60"/>
        </w:trPr>
        <w:tc>
          <w:tcPr>
            <w:tcW w:w="751" w:type="pct"/>
            <w:shd w:val="clear" w:color="auto" w:fill="auto"/>
          </w:tcPr>
          <w:p w14:paraId="09B5475D"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w:t>
            </w:r>
          </w:p>
        </w:tc>
        <w:tc>
          <w:tcPr>
            <w:tcW w:w="577" w:type="pct"/>
            <w:shd w:val="clear" w:color="auto" w:fill="auto"/>
          </w:tcPr>
          <w:p w14:paraId="0A7F600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82/512 (16.0%)</w:t>
            </w:r>
          </w:p>
        </w:tc>
        <w:tc>
          <w:tcPr>
            <w:tcW w:w="547" w:type="pct"/>
            <w:shd w:val="clear" w:color="auto" w:fill="auto"/>
          </w:tcPr>
          <w:p w14:paraId="5393AA9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67/516 (13.0%)</w:t>
            </w:r>
          </w:p>
        </w:tc>
        <w:tc>
          <w:tcPr>
            <w:tcW w:w="547" w:type="pct"/>
          </w:tcPr>
          <w:p w14:paraId="2B64346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3E3A704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0F439F7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30488E8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6A9016F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35/97 (36.1%)</w:t>
            </w:r>
          </w:p>
        </w:tc>
        <w:tc>
          <w:tcPr>
            <w:tcW w:w="513" w:type="pct"/>
            <w:shd w:val="clear" w:color="auto" w:fill="auto"/>
          </w:tcPr>
          <w:p w14:paraId="34CE311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63/103 (61.2%)</w:t>
            </w:r>
          </w:p>
        </w:tc>
      </w:tr>
      <w:tr w:rsidR="00A528DA" w:rsidRPr="007C488A" w14:paraId="402A24E5" w14:textId="77777777" w:rsidTr="007D1A1F">
        <w:trPr>
          <w:trHeight w:val="60"/>
        </w:trPr>
        <w:tc>
          <w:tcPr>
            <w:tcW w:w="751" w:type="pct"/>
            <w:shd w:val="clear" w:color="auto" w:fill="auto"/>
          </w:tcPr>
          <w:p w14:paraId="7254B1C0"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w:t>
            </w:r>
          </w:p>
        </w:tc>
        <w:tc>
          <w:tcPr>
            <w:tcW w:w="577" w:type="pct"/>
            <w:shd w:val="clear" w:color="auto" w:fill="auto"/>
          </w:tcPr>
          <w:p w14:paraId="36340CC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6/512 (1.2%)</w:t>
            </w:r>
          </w:p>
        </w:tc>
        <w:tc>
          <w:tcPr>
            <w:tcW w:w="547" w:type="pct"/>
            <w:shd w:val="clear" w:color="auto" w:fill="auto"/>
          </w:tcPr>
          <w:p w14:paraId="05DC36F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5/516 (1.0%)</w:t>
            </w:r>
          </w:p>
        </w:tc>
        <w:tc>
          <w:tcPr>
            <w:tcW w:w="547" w:type="pct"/>
          </w:tcPr>
          <w:p w14:paraId="02F0F3A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70BF47E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591A594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62E00C5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4845BEF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21/97 (21.6%)</w:t>
            </w:r>
          </w:p>
        </w:tc>
        <w:tc>
          <w:tcPr>
            <w:tcW w:w="513" w:type="pct"/>
            <w:shd w:val="clear" w:color="auto" w:fill="auto"/>
          </w:tcPr>
          <w:p w14:paraId="36BB07E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29/103 (28.2%)</w:t>
            </w:r>
          </w:p>
        </w:tc>
      </w:tr>
      <w:tr w:rsidR="00A528DA" w:rsidRPr="007C488A" w14:paraId="6D3E4541" w14:textId="77777777" w:rsidTr="007D1A1F">
        <w:trPr>
          <w:trHeight w:val="60"/>
        </w:trPr>
        <w:tc>
          <w:tcPr>
            <w:tcW w:w="751" w:type="pct"/>
            <w:shd w:val="clear" w:color="auto" w:fill="auto"/>
          </w:tcPr>
          <w:p w14:paraId="2BD63D15"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6 </w:t>
            </w:r>
          </w:p>
        </w:tc>
        <w:tc>
          <w:tcPr>
            <w:tcW w:w="577" w:type="pct"/>
            <w:vMerge w:val="restart"/>
            <w:shd w:val="clear" w:color="auto" w:fill="auto"/>
            <w:vAlign w:val="center"/>
          </w:tcPr>
          <w:p w14:paraId="54F22AF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4/512 (0.8%)</w:t>
            </w:r>
          </w:p>
        </w:tc>
        <w:tc>
          <w:tcPr>
            <w:tcW w:w="547" w:type="pct"/>
            <w:vMerge w:val="restart"/>
            <w:shd w:val="clear" w:color="auto" w:fill="auto"/>
            <w:vAlign w:val="center"/>
          </w:tcPr>
          <w:p w14:paraId="696630F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3/516 (0.6%)</w:t>
            </w:r>
          </w:p>
        </w:tc>
        <w:tc>
          <w:tcPr>
            <w:tcW w:w="547" w:type="pct"/>
          </w:tcPr>
          <w:p w14:paraId="16441CA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4E0B63D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3C5F411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2D4FD1B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6A2D173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35/97 (17.8%)</w:t>
            </w:r>
          </w:p>
        </w:tc>
        <w:tc>
          <w:tcPr>
            <w:tcW w:w="513" w:type="pct"/>
            <w:shd w:val="clear" w:color="auto" w:fill="auto"/>
          </w:tcPr>
          <w:p w14:paraId="5EE0B2F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10/103 (9.7%)</w:t>
            </w:r>
          </w:p>
        </w:tc>
      </w:tr>
      <w:tr w:rsidR="00A528DA" w:rsidRPr="007C488A" w14:paraId="7E484A25" w14:textId="77777777" w:rsidTr="007D1A1F">
        <w:trPr>
          <w:trHeight w:val="60"/>
        </w:trPr>
        <w:tc>
          <w:tcPr>
            <w:tcW w:w="751" w:type="pct"/>
            <w:shd w:val="clear" w:color="auto" w:fill="auto"/>
          </w:tcPr>
          <w:p w14:paraId="08F3D02B"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7</w:t>
            </w:r>
          </w:p>
        </w:tc>
        <w:tc>
          <w:tcPr>
            <w:tcW w:w="577" w:type="pct"/>
            <w:vMerge/>
            <w:shd w:val="clear" w:color="auto" w:fill="auto"/>
          </w:tcPr>
          <w:p w14:paraId="0C85B759" w14:textId="77777777" w:rsidR="00A528DA" w:rsidRPr="007C488A" w:rsidRDefault="00A528DA" w:rsidP="00D1636B">
            <w:pPr>
              <w:spacing w:before="0"/>
              <w:jc w:val="both"/>
              <w:rPr>
                <w:rFonts w:ascii="Arial Narrow" w:eastAsia="Times New Roman" w:hAnsi="Arial Narrow" w:cs="Tahoma"/>
                <w:sz w:val="20"/>
                <w:szCs w:val="20"/>
                <w:lang w:eastAsia="en-AU"/>
              </w:rPr>
            </w:pPr>
          </w:p>
        </w:tc>
        <w:tc>
          <w:tcPr>
            <w:tcW w:w="547" w:type="pct"/>
            <w:vMerge/>
            <w:shd w:val="clear" w:color="auto" w:fill="auto"/>
          </w:tcPr>
          <w:p w14:paraId="00D78DE1" w14:textId="77777777" w:rsidR="00A528DA" w:rsidRPr="007C488A" w:rsidRDefault="00A528DA" w:rsidP="00D1636B">
            <w:pPr>
              <w:spacing w:before="0"/>
              <w:jc w:val="both"/>
              <w:rPr>
                <w:rFonts w:ascii="Arial Narrow" w:eastAsia="Times New Roman" w:hAnsi="Arial Narrow" w:cs="Tahoma"/>
                <w:sz w:val="20"/>
                <w:szCs w:val="20"/>
                <w:lang w:eastAsia="en-AU"/>
              </w:rPr>
            </w:pPr>
          </w:p>
        </w:tc>
        <w:tc>
          <w:tcPr>
            <w:tcW w:w="547" w:type="pct"/>
          </w:tcPr>
          <w:p w14:paraId="5CD1B32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73D37FA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5E86D5A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75BFD20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5AE9D06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0/197 (0.0%)</w:t>
            </w:r>
          </w:p>
        </w:tc>
        <w:tc>
          <w:tcPr>
            <w:tcW w:w="513" w:type="pct"/>
            <w:shd w:val="clear" w:color="auto" w:fill="auto"/>
          </w:tcPr>
          <w:p w14:paraId="56EDDD1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2/103 (1.9%)</w:t>
            </w:r>
          </w:p>
        </w:tc>
      </w:tr>
      <w:tr w:rsidR="00A528DA" w:rsidRPr="007C488A" w14:paraId="5A108D88" w14:textId="77777777" w:rsidTr="007D1A1F">
        <w:trPr>
          <w:trHeight w:val="60"/>
        </w:trPr>
        <w:tc>
          <w:tcPr>
            <w:tcW w:w="751" w:type="pct"/>
            <w:shd w:val="clear" w:color="auto" w:fill="auto"/>
          </w:tcPr>
          <w:p w14:paraId="36515884"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Not provided</w:t>
            </w:r>
          </w:p>
        </w:tc>
        <w:tc>
          <w:tcPr>
            <w:tcW w:w="577" w:type="pct"/>
            <w:shd w:val="clear" w:color="auto" w:fill="auto"/>
          </w:tcPr>
          <w:p w14:paraId="69BD892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5/512 (1.0%)</w:t>
            </w:r>
          </w:p>
        </w:tc>
        <w:tc>
          <w:tcPr>
            <w:tcW w:w="547" w:type="pct"/>
            <w:shd w:val="clear" w:color="auto" w:fill="auto"/>
          </w:tcPr>
          <w:p w14:paraId="2743AF2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2/516 (0.4%)</w:t>
            </w:r>
          </w:p>
        </w:tc>
        <w:tc>
          <w:tcPr>
            <w:tcW w:w="547" w:type="pct"/>
          </w:tcPr>
          <w:p w14:paraId="712B478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2464C68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shd w:val="clear" w:color="auto" w:fill="auto"/>
          </w:tcPr>
          <w:p w14:paraId="7AC73AA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shd w:val="clear" w:color="auto" w:fill="auto"/>
          </w:tcPr>
          <w:p w14:paraId="4821E50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shd w:val="clear" w:color="auto" w:fill="auto"/>
          </w:tcPr>
          <w:p w14:paraId="575BCE40"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78045A7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3E49FD54" w14:textId="77777777" w:rsidTr="007D1A1F">
        <w:trPr>
          <w:trHeight w:val="60"/>
        </w:trPr>
        <w:tc>
          <w:tcPr>
            <w:tcW w:w="5000" w:type="pct"/>
            <w:gridSpan w:val="9"/>
            <w:shd w:val="clear" w:color="auto" w:fill="auto"/>
          </w:tcPr>
          <w:p w14:paraId="0D4229CB" w14:textId="248076A3"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NYHA Class, n/N (%)</w:t>
            </w:r>
          </w:p>
        </w:tc>
      </w:tr>
      <w:tr w:rsidR="00A528DA" w:rsidRPr="007C488A" w14:paraId="2E8AE0B4" w14:textId="77777777" w:rsidTr="007D1A1F">
        <w:trPr>
          <w:trHeight w:val="60"/>
        </w:trPr>
        <w:tc>
          <w:tcPr>
            <w:tcW w:w="751" w:type="pct"/>
            <w:shd w:val="clear" w:color="auto" w:fill="auto"/>
          </w:tcPr>
          <w:p w14:paraId="0DCCE7F0"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Class IIIA</w:t>
            </w:r>
          </w:p>
        </w:tc>
        <w:tc>
          <w:tcPr>
            <w:tcW w:w="577" w:type="pct"/>
            <w:shd w:val="clear" w:color="auto" w:fill="auto"/>
          </w:tcPr>
          <w:p w14:paraId="08EAAA4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0/512 (0.0%)</w:t>
            </w:r>
          </w:p>
        </w:tc>
        <w:tc>
          <w:tcPr>
            <w:tcW w:w="547" w:type="pct"/>
            <w:shd w:val="clear" w:color="auto" w:fill="auto"/>
          </w:tcPr>
          <w:p w14:paraId="2D92E8D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0/516 (0.0%)</w:t>
            </w:r>
          </w:p>
        </w:tc>
        <w:tc>
          <w:tcPr>
            <w:tcW w:w="547" w:type="pct"/>
          </w:tcPr>
          <w:p w14:paraId="25C71FA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27/134 (20.1%)</w:t>
            </w:r>
          </w:p>
        </w:tc>
        <w:tc>
          <w:tcPr>
            <w:tcW w:w="485" w:type="pct"/>
          </w:tcPr>
          <w:p w14:paraId="63173F0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11/66 (16.7%)</w:t>
            </w:r>
          </w:p>
        </w:tc>
        <w:tc>
          <w:tcPr>
            <w:tcW w:w="595" w:type="pct"/>
            <w:shd w:val="clear" w:color="auto" w:fill="auto"/>
          </w:tcPr>
          <w:p w14:paraId="03389A38"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0/68 (0.0%)</w:t>
            </w:r>
          </w:p>
        </w:tc>
        <w:tc>
          <w:tcPr>
            <w:tcW w:w="485" w:type="pct"/>
            <w:shd w:val="clear" w:color="auto" w:fill="auto"/>
          </w:tcPr>
          <w:p w14:paraId="2D80FC6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0/61 (0.0%)</w:t>
            </w:r>
          </w:p>
        </w:tc>
        <w:tc>
          <w:tcPr>
            <w:tcW w:w="498" w:type="pct"/>
            <w:shd w:val="clear" w:color="auto" w:fill="auto"/>
          </w:tcPr>
          <w:p w14:paraId="4860061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0/97 (0.0%)</w:t>
            </w:r>
          </w:p>
        </w:tc>
        <w:tc>
          <w:tcPr>
            <w:tcW w:w="513" w:type="pct"/>
            <w:shd w:val="clear" w:color="auto" w:fill="auto"/>
          </w:tcPr>
          <w:p w14:paraId="26D7595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0/103 (0.0%)</w:t>
            </w:r>
          </w:p>
        </w:tc>
      </w:tr>
      <w:tr w:rsidR="00A528DA" w:rsidRPr="007C488A" w14:paraId="6079D4DC" w14:textId="77777777" w:rsidTr="007D1A1F">
        <w:trPr>
          <w:trHeight w:val="60"/>
        </w:trPr>
        <w:tc>
          <w:tcPr>
            <w:tcW w:w="751" w:type="pct"/>
            <w:shd w:val="clear" w:color="auto" w:fill="auto"/>
          </w:tcPr>
          <w:p w14:paraId="20DB3687"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Class IIIB</w:t>
            </w:r>
          </w:p>
        </w:tc>
        <w:tc>
          <w:tcPr>
            <w:tcW w:w="577" w:type="pct"/>
            <w:shd w:val="clear" w:color="auto" w:fill="auto"/>
          </w:tcPr>
          <w:p w14:paraId="14C7AA6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20/512 (3.9%)</w:t>
            </w:r>
          </w:p>
        </w:tc>
        <w:tc>
          <w:tcPr>
            <w:tcW w:w="547" w:type="pct"/>
            <w:shd w:val="clear" w:color="auto" w:fill="auto"/>
          </w:tcPr>
          <w:p w14:paraId="4AE1886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36/516 (7.0%)</w:t>
            </w:r>
          </w:p>
        </w:tc>
        <w:tc>
          <w:tcPr>
            <w:tcW w:w="547" w:type="pct"/>
          </w:tcPr>
          <w:p w14:paraId="556AE31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4/134 (3.0%)</w:t>
            </w:r>
          </w:p>
        </w:tc>
        <w:tc>
          <w:tcPr>
            <w:tcW w:w="485" w:type="pct"/>
          </w:tcPr>
          <w:p w14:paraId="0097368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1/66 (1.5%)</w:t>
            </w:r>
          </w:p>
        </w:tc>
        <w:tc>
          <w:tcPr>
            <w:tcW w:w="595" w:type="pct"/>
            <w:shd w:val="clear" w:color="auto" w:fill="auto"/>
          </w:tcPr>
          <w:p w14:paraId="27EC4ED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0/68 (0.0%)</w:t>
            </w:r>
          </w:p>
        </w:tc>
        <w:tc>
          <w:tcPr>
            <w:tcW w:w="485" w:type="pct"/>
            <w:shd w:val="clear" w:color="auto" w:fill="auto"/>
          </w:tcPr>
          <w:p w14:paraId="2F9A4F1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0/61 (0.0%)</w:t>
            </w:r>
          </w:p>
        </w:tc>
        <w:tc>
          <w:tcPr>
            <w:tcW w:w="498" w:type="pct"/>
            <w:shd w:val="clear" w:color="auto" w:fill="auto"/>
          </w:tcPr>
          <w:p w14:paraId="4DD9519D"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47/97 (48.5%)</w:t>
            </w:r>
          </w:p>
        </w:tc>
        <w:tc>
          <w:tcPr>
            <w:tcW w:w="513" w:type="pct"/>
            <w:shd w:val="clear" w:color="auto" w:fill="auto"/>
          </w:tcPr>
          <w:p w14:paraId="251CE49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77/103 (74.8%)</w:t>
            </w:r>
          </w:p>
        </w:tc>
      </w:tr>
      <w:tr w:rsidR="00A528DA" w:rsidRPr="007C488A" w14:paraId="609F3C70" w14:textId="77777777" w:rsidTr="007D1A1F">
        <w:trPr>
          <w:trHeight w:val="60"/>
        </w:trPr>
        <w:tc>
          <w:tcPr>
            <w:tcW w:w="751" w:type="pct"/>
            <w:shd w:val="clear" w:color="auto" w:fill="auto"/>
          </w:tcPr>
          <w:p w14:paraId="3CE7E69F"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Class IV</w:t>
            </w:r>
          </w:p>
        </w:tc>
        <w:tc>
          <w:tcPr>
            <w:tcW w:w="577" w:type="pct"/>
            <w:shd w:val="clear" w:color="auto" w:fill="auto"/>
          </w:tcPr>
          <w:p w14:paraId="27872E6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490/512 (95.7%)</w:t>
            </w:r>
          </w:p>
        </w:tc>
        <w:tc>
          <w:tcPr>
            <w:tcW w:w="547" w:type="pct"/>
            <w:shd w:val="clear" w:color="auto" w:fill="auto"/>
          </w:tcPr>
          <w:p w14:paraId="080C6B6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477/516 (92.4%)</w:t>
            </w:r>
          </w:p>
        </w:tc>
        <w:tc>
          <w:tcPr>
            <w:tcW w:w="547" w:type="pct"/>
          </w:tcPr>
          <w:p w14:paraId="55D891E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95/134 (70.9%)</w:t>
            </w:r>
          </w:p>
        </w:tc>
        <w:tc>
          <w:tcPr>
            <w:tcW w:w="485" w:type="pct"/>
          </w:tcPr>
          <w:p w14:paraId="7062DC7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43/66 (65.2%)</w:t>
            </w:r>
          </w:p>
        </w:tc>
        <w:tc>
          <w:tcPr>
            <w:tcW w:w="595" w:type="pct"/>
            <w:shd w:val="clear" w:color="auto" w:fill="auto"/>
          </w:tcPr>
          <w:p w14:paraId="7932DF3F"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68/68 (100.0%)</w:t>
            </w:r>
          </w:p>
        </w:tc>
        <w:tc>
          <w:tcPr>
            <w:tcW w:w="485" w:type="pct"/>
            <w:shd w:val="clear" w:color="auto" w:fill="auto"/>
          </w:tcPr>
          <w:p w14:paraId="2FAB745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61/61 (100.0%)</w:t>
            </w:r>
          </w:p>
        </w:tc>
        <w:tc>
          <w:tcPr>
            <w:tcW w:w="498" w:type="pct"/>
            <w:shd w:val="clear" w:color="auto" w:fill="auto"/>
          </w:tcPr>
          <w:p w14:paraId="5F9A07C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50/97 (51.5%)</w:t>
            </w:r>
          </w:p>
        </w:tc>
        <w:tc>
          <w:tcPr>
            <w:tcW w:w="513" w:type="pct"/>
            <w:shd w:val="clear" w:color="auto" w:fill="auto"/>
          </w:tcPr>
          <w:p w14:paraId="3329AB59"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26/103 (25.2%)</w:t>
            </w:r>
          </w:p>
        </w:tc>
      </w:tr>
      <w:tr w:rsidR="00A528DA" w:rsidRPr="007C488A" w14:paraId="449AB4E0" w14:textId="77777777" w:rsidTr="007D1A1F">
        <w:trPr>
          <w:trHeight w:val="60"/>
        </w:trPr>
        <w:tc>
          <w:tcPr>
            <w:tcW w:w="5000" w:type="pct"/>
            <w:gridSpan w:val="9"/>
          </w:tcPr>
          <w:p w14:paraId="7E455354" w14:textId="4A19DA75"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Baseline 6MWD, m</w:t>
            </w:r>
          </w:p>
        </w:tc>
      </w:tr>
      <w:tr w:rsidR="00A528DA" w:rsidRPr="007C488A" w14:paraId="46DA59E5" w14:textId="77777777" w:rsidTr="007D1A1F">
        <w:trPr>
          <w:trHeight w:val="60"/>
        </w:trPr>
        <w:tc>
          <w:tcPr>
            <w:tcW w:w="751" w:type="pct"/>
          </w:tcPr>
          <w:p w14:paraId="3AC69668"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Mean (SD)</w:t>
            </w:r>
          </w:p>
        </w:tc>
        <w:tc>
          <w:tcPr>
            <w:tcW w:w="577" w:type="pct"/>
          </w:tcPr>
          <w:p w14:paraId="6F84F6F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128 (155.0)</w:t>
            </w:r>
          </w:p>
        </w:tc>
        <w:tc>
          <w:tcPr>
            <w:tcW w:w="547" w:type="pct"/>
          </w:tcPr>
          <w:p w14:paraId="5B040E4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136 (160.0)</w:t>
            </w:r>
          </w:p>
        </w:tc>
        <w:tc>
          <w:tcPr>
            <w:tcW w:w="547" w:type="pct"/>
          </w:tcPr>
          <w:p w14:paraId="47BD20E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3DA4D986"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583D1773"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3AB96ED2"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76DD322C"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13" w:type="pct"/>
          </w:tcPr>
          <w:p w14:paraId="1EDAB18E"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A528DA" w:rsidRPr="007C488A" w14:paraId="6501D54F" w14:textId="77777777" w:rsidTr="007D1A1F">
        <w:trPr>
          <w:trHeight w:val="60"/>
        </w:trPr>
        <w:tc>
          <w:tcPr>
            <w:tcW w:w="751" w:type="pct"/>
          </w:tcPr>
          <w:p w14:paraId="41B780B4" w14:textId="77777777" w:rsidR="00A528DA" w:rsidRPr="007C488A" w:rsidRDefault="00A528DA" w:rsidP="00D1636B">
            <w:pPr>
              <w:spacing w:before="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Median (range)</w:t>
            </w:r>
          </w:p>
        </w:tc>
        <w:tc>
          <w:tcPr>
            <w:tcW w:w="577" w:type="pct"/>
          </w:tcPr>
          <w:p w14:paraId="37D1636A"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47" w:type="pct"/>
          </w:tcPr>
          <w:p w14:paraId="76DFB42B"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47" w:type="pct"/>
          </w:tcPr>
          <w:p w14:paraId="1C4E9FA1"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0F4E9685"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595" w:type="pct"/>
          </w:tcPr>
          <w:p w14:paraId="3F9FF477"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85" w:type="pct"/>
          </w:tcPr>
          <w:p w14:paraId="76724534" w14:textId="77777777"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c>
          <w:tcPr>
            <w:tcW w:w="498" w:type="pct"/>
          </w:tcPr>
          <w:p w14:paraId="18D5E324" w14:textId="7E06E31C"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182 (122-259)</w:t>
            </w:r>
            <w:r w:rsidRPr="007C488A">
              <w:rPr>
                <w:rFonts w:ascii="Arial Narrow" w:eastAsia="Times New Roman" w:hAnsi="Arial Narrow" w:cs="Tahoma"/>
                <w:sz w:val="20"/>
                <w:szCs w:val="20"/>
                <w:vertAlign w:val="superscript"/>
                <w:lang w:eastAsia="en-AU"/>
              </w:rPr>
              <w:t>c</w:t>
            </w:r>
          </w:p>
        </w:tc>
        <w:tc>
          <w:tcPr>
            <w:tcW w:w="513" w:type="pct"/>
          </w:tcPr>
          <w:p w14:paraId="60778A4F" w14:textId="61C030E6" w:rsidR="00A528DA" w:rsidRPr="007C488A" w:rsidRDefault="00A528DA" w:rsidP="00D1636B">
            <w:pPr>
              <w:spacing w:before="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219 (157-269)</w:t>
            </w:r>
            <w:r w:rsidRPr="007C488A">
              <w:rPr>
                <w:rFonts w:ascii="Arial Narrow" w:eastAsia="Times New Roman" w:hAnsi="Arial Narrow" w:cs="Tahoma"/>
                <w:sz w:val="20"/>
                <w:szCs w:val="20"/>
                <w:vertAlign w:val="superscript"/>
                <w:lang w:eastAsia="en-AU"/>
              </w:rPr>
              <w:t>c</w:t>
            </w:r>
          </w:p>
        </w:tc>
      </w:tr>
    </w:tbl>
    <w:p w14:paraId="5157D8EA" w14:textId="52E5CD01" w:rsidR="00F04EFD" w:rsidRPr="007C488A" w:rsidRDefault="002638CA" w:rsidP="00EA4FE5">
      <w:pPr>
        <w:pStyle w:val="Tablenotes0"/>
      </w:pPr>
      <w:r w:rsidRPr="007C488A">
        <w:t>Source: Table 88, Pp</w:t>
      </w:r>
      <w:r w:rsidR="009B3E0F" w:rsidRPr="007C488A">
        <w:t>296-300</w:t>
      </w:r>
      <w:r w:rsidRPr="007C488A">
        <w:t xml:space="preserve"> of </w:t>
      </w:r>
      <w:r w:rsidR="00F04EFD" w:rsidRPr="007C488A">
        <w:t>MSAC 1749 ADAR+</w:t>
      </w:r>
      <w:r w:rsidR="009B3E0F" w:rsidRPr="007C488A">
        <w:t xml:space="preserve"> </w:t>
      </w:r>
      <w:r w:rsidR="00F04EFD" w:rsidRPr="007C488A">
        <w:t>in-line commentary</w:t>
      </w:r>
      <w:r w:rsidR="00F04EFD" w:rsidRPr="007C488A" w:rsidDel="00F04EFD">
        <w:t xml:space="preserve"> </w:t>
      </w:r>
    </w:p>
    <w:p w14:paraId="12612506" w14:textId="34EEA80C" w:rsidR="002638CA" w:rsidRPr="007C488A" w:rsidRDefault="00647160" w:rsidP="00EA4FE5">
      <w:pPr>
        <w:pStyle w:val="Tablenotes0"/>
      </w:pPr>
      <w:r w:rsidRPr="007C488A">
        <w:t xml:space="preserve">Abbreviations: </w:t>
      </w:r>
      <w:r w:rsidR="002638CA" w:rsidRPr="007C488A">
        <w:t>6MWD</w:t>
      </w:r>
      <w:r w:rsidR="00D45966" w:rsidRPr="007C488A">
        <w:t xml:space="preserve"> = </w:t>
      </w:r>
      <w:r w:rsidR="002638CA" w:rsidRPr="007C488A">
        <w:t>6-minute walk distance; BMI</w:t>
      </w:r>
      <w:r w:rsidR="00D45966" w:rsidRPr="007C488A">
        <w:t xml:space="preserve"> = </w:t>
      </w:r>
      <w:r w:rsidR="002638CA" w:rsidRPr="007C488A">
        <w:t>body mass index; BTT</w:t>
      </w:r>
      <w:r w:rsidR="00D45966" w:rsidRPr="007C488A">
        <w:t xml:space="preserve"> = </w:t>
      </w:r>
      <w:r w:rsidR="002638CA" w:rsidRPr="007C488A">
        <w:t>bridge to therapy; DT</w:t>
      </w:r>
      <w:r w:rsidR="00D45966" w:rsidRPr="007C488A">
        <w:t xml:space="preserve"> = </w:t>
      </w:r>
      <w:r w:rsidR="002638CA" w:rsidRPr="007C488A">
        <w:t>destination therapy; HM</w:t>
      </w:r>
      <w:r w:rsidR="00D45966" w:rsidRPr="007C488A">
        <w:t xml:space="preserve"> = </w:t>
      </w:r>
      <w:r w:rsidR="002638CA" w:rsidRPr="007C488A">
        <w:t>HeartMate;</w:t>
      </w:r>
      <w:r w:rsidR="000F66EF" w:rsidRPr="007C488A">
        <w:t xml:space="preserve"> HM XVE = </w:t>
      </w:r>
      <w:r w:rsidR="005E59D7" w:rsidRPr="007C488A">
        <w:t xml:space="preserve">HeartMate </w:t>
      </w:r>
      <w:r w:rsidR="000F66EF" w:rsidRPr="007C488A">
        <w:t>vented electric left ventricular assist device</w:t>
      </w:r>
      <w:r w:rsidR="00636CAB" w:rsidRPr="007C488A">
        <w:t>;</w:t>
      </w:r>
      <w:r w:rsidR="006B758C" w:rsidRPr="007C488A">
        <w:t xml:space="preserve"> </w:t>
      </w:r>
      <w:r w:rsidR="003D72D5" w:rsidRPr="007C488A">
        <w:rPr>
          <w:snapToGrid w:val="0"/>
          <w:lang w:val="en-US" w:eastAsia="en-AU"/>
        </w:rPr>
        <w:t>INTERMACS</w:t>
      </w:r>
      <w:r w:rsidR="003D72D5" w:rsidRPr="007C488A">
        <w:rPr>
          <w:b/>
          <w:bCs/>
          <w:snapToGrid w:val="0"/>
          <w:lang w:val="en-US" w:eastAsia="en-AU"/>
        </w:rPr>
        <w:t xml:space="preserve"> </w:t>
      </w:r>
      <w:r w:rsidR="003D72D5" w:rsidRPr="007C488A">
        <w:rPr>
          <w:snapToGrid w:val="0"/>
          <w:lang w:val="en-US" w:eastAsia="en-AU"/>
        </w:rPr>
        <w:t>=</w:t>
      </w:r>
      <w:r w:rsidR="003D72D5" w:rsidRPr="007C488A">
        <w:rPr>
          <w:b/>
          <w:bCs/>
          <w:snapToGrid w:val="0"/>
          <w:lang w:val="en-US" w:eastAsia="en-AU"/>
        </w:rPr>
        <w:t xml:space="preserve"> </w:t>
      </w:r>
      <w:r w:rsidR="003D72D5" w:rsidRPr="007C488A">
        <w:rPr>
          <w:snapToGrid w:val="0"/>
          <w:lang w:val="en-US" w:eastAsia="en-AU"/>
        </w:rPr>
        <w:t xml:space="preserve">The Interagency Registry for Mechanically Assisted Circulatory </w:t>
      </w:r>
      <w:r w:rsidR="006B758C" w:rsidRPr="007C488A">
        <w:rPr>
          <w:snapToGrid w:val="0"/>
          <w:lang w:val="en-US" w:eastAsia="en-AU"/>
        </w:rPr>
        <w:t xml:space="preserve">Support; </w:t>
      </w:r>
      <w:r w:rsidR="006B758C" w:rsidRPr="007C488A">
        <w:t>LV</w:t>
      </w:r>
      <w:r w:rsidR="00D45966" w:rsidRPr="007C488A">
        <w:t xml:space="preserve"> = </w:t>
      </w:r>
      <w:r w:rsidR="002638CA" w:rsidRPr="007C488A">
        <w:t>left ventricular; NR</w:t>
      </w:r>
      <w:r w:rsidR="00D45966" w:rsidRPr="007C488A">
        <w:t xml:space="preserve"> = </w:t>
      </w:r>
      <w:r w:rsidR="002638CA" w:rsidRPr="007C488A">
        <w:t>not reported; NYHA</w:t>
      </w:r>
      <w:r w:rsidR="00D45966" w:rsidRPr="007C488A">
        <w:t xml:space="preserve"> = </w:t>
      </w:r>
      <w:r w:rsidR="002638CA" w:rsidRPr="007C488A">
        <w:t>New York Heart Association; OMM</w:t>
      </w:r>
      <w:r w:rsidR="00D45966" w:rsidRPr="007C488A">
        <w:t xml:space="preserve"> = </w:t>
      </w:r>
      <w:r w:rsidR="002638CA" w:rsidRPr="007C488A">
        <w:t>optimal medical management; SD</w:t>
      </w:r>
      <w:r w:rsidR="00D45966" w:rsidRPr="007C488A">
        <w:t xml:space="preserve"> = </w:t>
      </w:r>
      <w:r w:rsidR="002638CA" w:rsidRPr="007C488A">
        <w:t>standard deviation.</w:t>
      </w:r>
    </w:p>
    <w:p w14:paraId="4D0378E5" w14:textId="108FA420" w:rsidR="001874D4" w:rsidRPr="007C488A" w:rsidRDefault="002638CA" w:rsidP="00EA4FE5">
      <w:pPr>
        <w:pStyle w:val="Tablenotes0"/>
      </w:pPr>
      <w:r w:rsidRPr="007C488A">
        <w:t>Notes:</w:t>
      </w:r>
      <w:r w:rsidR="006B758C" w:rsidRPr="007C488A">
        <w:t xml:space="preserve"> </w:t>
      </w:r>
      <w:proofErr w:type="gramStart"/>
      <w:r w:rsidR="001874D4" w:rsidRPr="007C488A">
        <w:rPr>
          <w:vertAlign w:val="superscript"/>
        </w:rPr>
        <w:t>a</w:t>
      </w:r>
      <w:proofErr w:type="gramEnd"/>
      <w:r w:rsidR="00DD74EE" w:rsidRPr="007C488A">
        <w:t xml:space="preserve"> </w:t>
      </w:r>
      <w:r w:rsidR="001874D4" w:rsidRPr="007C488A">
        <w:t>Population and indication of interest (i.e., patients received LVAD as DT and INTERMACS profile 1-4)</w:t>
      </w:r>
    </w:p>
    <w:p w14:paraId="36ED68F4" w14:textId="42B1916D" w:rsidR="002638CA" w:rsidRPr="007C488A" w:rsidRDefault="00E61833" w:rsidP="007D1A1F">
      <w:pPr>
        <w:pStyle w:val="Tablenotes0"/>
        <w:rPr>
          <w:lang w:val="en-US" w:eastAsia="en-AU"/>
        </w:rPr>
        <w:sectPr w:rsidR="002638CA" w:rsidRPr="007C488A" w:rsidSect="00394DC8">
          <w:pgSz w:w="16838" w:h="11906" w:orient="landscape"/>
          <w:pgMar w:top="1440" w:right="1440" w:bottom="1440" w:left="1440" w:header="708" w:footer="708" w:gutter="0"/>
          <w:cols w:space="708"/>
          <w:docGrid w:linePitch="360"/>
        </w:sectPr>
      </w:pPr>
      <w:r w:rsidRPr="007C488A">
        <w:rPr>
          <w:vertAlign w:val="superscript"/>
        </w:rPr>
        <w:t xml:space="preserve">b </w:t>
      </w:r>
      <w:r w:rsidRPr="007C488A">
        <w:t>84% of DT patients implanted with HM3 had INTERMACS 1-3 and 16.1% had INTERMACS 4-7. Amongst the INTERMACS 4-7, the majority were INTERMACS 4. Therefore, ADAR approximate the whole DT population to INTERMACS 1-4 during the analysis.</w:t>
      </w:r>
      <w:r w:rsidR="00732DDE" w:rsidRPr="007C488A">
        <w:t xml:space="preserve"> </w:t>
      </w:r>
      <w:r w:rsidRPr="007C488A">
        <w:rPr>
          <w:vertAlign w:val="superscript"/>
        </w:rPr>
        <w:t xml:space="preserve">c </w:t>
      </w:r>
      <w:r w:rsidR="00DD74EE" w:rsidRPr="007C488A">
        <w:t>Result is median (IQR)</w:t>
      </w:r>
      <w:r w:rsidR="0081519D" w:rsidRPr="007C488A">
        <w:t>.</w:t>
      </w:r>
    </w:p>
    <w:p w14:paraId="31565103" w14:textId="6E39F3DE" w:rsidR="00865BD4" w:rsidRPr="007C488A" w:rsidRDefault="00865BD4" w:rsidP="002D5E9F">
      <w:pPr>
        <w:jc w:val="both"/>
        <w:rPr>
          <w:lang w:val="en-US" w:eastAsia="en-AU"/>
        </w:rPr>
      </w:pPr>
      <w:r w:rsidRPr="007C488A">
        <w:rPr>
          <w:lang w:val="en-US" w:eastAsia="en-AU"/>
        </w:rPr>
        <w:lastRenderedPageBreak/>
        <w:t>Certain patient characteristics vary across the included studies. For example, the study population in REMATCH study is older (mean age 66 years in the HM XVE arm and 68 years in the OMM arm) compared to the other studies</w:t>
      </w:r>
      <w:r w:rsidR="00F10700" w:rsidRPr="007C488A">
        <w:rPr>
          <w:lang w:val="en-US" w:eastAsia="en-AU"/>
        </w:rPr>
        <w:t xml:space="preserve"> (mean age ranged </w:t>
      </w:r>
      <w:r w:rsidR="00085058" w:rsidRPr="007C488A">
        <w:rPr>
          <w:lang w:val="en-US" w:eastAsia="en-AU"/>
        </w:rPr>
        <w:t>from 59 years to 66 years</w:t>
      </w:r>
      <w:r w:rsidR="00F10700" w:rsidRPr="007C488A">
        <w:rPr>
          <w:lang w:val="en-US" w:eastAsia="en-AU"/>
        </w:rPr>
        <w:t>)</w:t>
      </w:r>
      <w:r w:rsidRPr="007C488A">
        <w:rPr>
          <w:lang w:val="en-US" w:eastAsia="en-AU"/>
        </w:rPr>
        <w:t xml:space="preserve">. ROADMAP study included higher percentage of females in both arms compared to other studies. The Slaughter (2009) study, HM XVE arm </w:t>
      </w:r>
      <w:r w:rsidR="00AB3ED6" w:rsidRPr="007C488A">
        <w:rPr>
          <w:lang w:val="en-US" w:eastAsia="en-AU"/>
        </w:rPr>
        <w:t xml:space="preserve">included </w:t>
      </w:r>
      <w:r w:rsidRPr="007C488A">
        <w:rPr>
          <w:lang w:val="en-US" w:eastAsia="en-AU"/>
        </w:rPr>
        <w:t>7.6% female</w:t>
      </w:r>
      <w:r w:rsidR="00AB3ED6" w:rsidRPr="007C488A">
        <w:rPr>
          <w:lang w:val="en-US" w:eastAsia="en-AU"/>
        </w:rPr>
        <w:t xml:space="preserve"> patients</w:t>
      </w:r>
      <w:r w:rsidRPr="007C488A">
        <w:rPr>
          <w:lang w:val="en-US" w:eastAsia="en-AU"/>
        </w:rPr>
        <w:t xml:space="preserve"> whereas MOMENTUM 3, REMATCH and HM2 arm of the Slaughter (2009) studies included around 20% females. </w:t>
      </w:r>
      <w:r w:rsidR="00085058" w:rsidRPr="007C488A">
        <w:t xml:space="preserve">Patients with </w:t>
      </w:r>
      <w:r w:rsidR="00085058" w:rsidRPr="007C488A">
        <w:rPr>
          <w:lang w:val="en-US" w:eastAsia="en-AU"/>
        </w:rPr>
        <w:t>NYHA stage IV was highest in REMATCH (100%) compared with MOMENTUM 3 (</w:t>
      </w:r>
      <w:r w:rsidR="00AB3ED6" w:rsidRPr="007C488A">
        <w:rPr>
          <w:lang w:val="en-US" w:eastAsia="en-AU"/>
        </w:rPr>
        <w:t xml:space="preserve">ranged between </w:t>
      </w:r>
      <w:r w:rsidR="00085058" w:rsidRPr="007C488A">
        <w:rPr>
          <w:lang w:val="en-US" w:eastAsia="en-AU"/>
        </w:rPr>
        <w:t>92-95%) and Slaughter, 2009 (</w:t>
      </w:r>
      <w:r w:rsidR="00AB3ED6" w:rsidRPr="007C488A">
        <w:rPr>
          <w:lang w:val="en-US" w:eastAsia="en-AU"/>
        </w:rPr>
        <w:t xml:space="preserve">ranged between </w:t>
      </w:r>
      <w:r w:rsidR="00085058" w:rsidRPr="007C488A">
        <w:rPr>
          <w:lang w:val="en-US" w:eastAsia="en-AU"/>
        </w:rPr>
        <w:t>65%-71%).</w:t>
      </w:r>
      <w:r w:rsidR="00AB3ED6" w:rsidRPr="007C488A">
        <w:rPr>
          <w:lang w:val="en-US" w:eastAsia="en-AU"/>
        </w:rPr>
        <w:t xml:space="preserve"> </w:t>
      </w:r>
    </w:p>
    <w:p w14:paraId="4488FFAF" w14:textId="77777777" w:rsidR="009A08B2" w:rsidRPr="007C488A" w:rsidRDefault="009A08B2" w:rsidP="00757664">
      <w:pPr>
        <w:jc w:val="both"/>
        <w:rPr>
          <w:lang w:val="en-US" w:eastAsia="en-AU"/>
        </w:rPr>
      </w:pPr>
      <w:r w:rsidRPr="007C488A">
        <w:rPr>
          <w:lang w:val="en-US" w:eastAsia="en-AU"/>
        </w:rPr>
        <w:t>Only MOMENTUM 3 reported the breakdown of cardiovascular history by specific diagnoses and the other 3 trials had minimal record. Patients with history of defibrillator was recorded in MOMENTUM 3, Slaughter (2009) and ROADMAP, where latter had the lowest proportion (69.1% HM2 and 64.1% OMM in ROADMAP) and Slaughter (2009) had the most proportion (82.8% HM2 and 78.8% HM XVE).</w:t>
      </w:r>
    </w:p>
    <w:p w14:paraId="37102D24" w14:textId="77777777" w:rsidR="00E94687" w:rsidRPr="007C488A" w:rsidRDefault="00E94687" w:rsidP="00E94687">
      <w:pPr>
        <w:jc w:val="both"/>
        <w:rPr>
          <w:lang w:val="en-US" w:eastAsia="en-AU"/>
        </w:rPr>
      </w:pPr>
      <w:r w:rsidRPr="007C488A">
        <w:rPr>
          <w:lang w:val="en-US" w:eastAsia="en-AU"/>
        </w:rPr>
        <w:t xml:space="preserve">The OMM in the comparator arm of the REMATCH RCT refers to the management of patients with end-stage HF based on guidelines developed by the medical committee, with the aim of </w:t>
      </w:r>
      <w:proofErr w:type="spellStart"/>
      <w:r w:rsidRPr="007C488A">
        <w:rPr>
          <w:lang w:val="en-US" w:eastAsia="en-AU"/>
        </w:rPr>
        <w:t>minimising</w:t>
      </w:r>
      <w:proofErr w:type="spellEnd"/>
      <w:r w:rsidRPr="007C488A">
        <w:rPr>
          <w:lang w:val="en-US" w:eastAsia="en-AU"/>
        </w:rPr>
        <w:t xml:space="preserve"> HF symptoms and </w:t>
      </w:r>
      <w:proofErr w:type="spellStart"/>
      <w:r w:rsidRPr="007C488A">
        <w:rPr>
          <w:lang w:val="en-US" w:eastAsia="en-AU"/>
        </w:rPr>
        <w:t>optimising</w:t>
      </w:r>
      <w:proofErr w:type="spellEnd"/>
      <w:r w:rsidRPr="007C488A">
        <w:rPr>
          <w:lang w:val="en-US" w:eastAsia="en-AU"/>
        </w:rPr>
        <w:t xml:space="preserve"> organ perfusion. Notably, REMATCH was reported in 2001 and therefore the contemporary management of advanced HF is different to the OMM in the REMATCH study</w:t>
      </w:r>
      <w:r w:rsidRPr="007C488A">
        <w:rPr>
          <w:rStyle w:val="FootnoteReference"/>
          <w:lang w:val="en-US" w:eastAsia="en-AU"/>
        </w:rPr>
        <w:t>3</w:t>
      </w:r>
      <w:r w:rsidRPr="007C488A">
        <w:rPr>
          <w:lang w:val="en-US" w:eastAsia="en-AU"/>
        </w:rPr>
        <w:t>. Based on the recent 2022 American Heart Association/American College of Cardiology/Heart Failure Society of America (AHA/ACC/HFSA) guideline for the management of HF, GDMT (i.e., OMM) for HF with reduced ejection fraction (</w:t>
      </w:r>
      <w:proofErr w:type="spellStart"/>
      <w:r w:rsidRPr="007C488A">
        <w:rPr>
          <w:lang w:val="en-US" w:eastAsia="en-AU"/>
        </w:rPr>
        <w:t>HFrEF</w:t>
      </w:r>
      <w:proofErr w:type="spellEnd"/>
      <w:r w:rsidRPr="007C488A">
        <w:rPr>
          <w:lang w:val="en-US" w:eastAsia="en-AU"/>
        </w:rPr>
        <w:t>) consists of new medication classes including sodium-glucose cotransporter-2 inhibitors (SGLT2i) which provide further survival benefit compared to old treatment regimens.</w:t>
      </w:r>
      <w:r w:rsidRPr="007C488A">
        <w:rPr>
          <w:rStyle w:val="FootnoteReference"/>
          <w:lang w:val="en-US" w:eastAsia="en-AU"/>
        </w:rPr>
        <w:footnoteReference w:id="11"/>
      </w:r>
      <w:r w:rsidRPr="007C488A">
        <w:rPr>
          <w:vertAlign w:val="superscript"/>
          <w:lang w:val="en-US" w:eastAsia="en-AU"/>
        </w:rPr>
        <w:t>,</w:t>
      </w:r>
      <w:r w:rsidRPr="007C488A">
        <w:rPr>
          <w:rStyle w:val="FootnoteReference"/>
          <w:lang w:val="en-US" w:eastAsia="en-AU"/>
        </w:rPr>
        <w:footnoteReference w:id="12"/>
      </w:r>
    </w:p>
    <w:p w14:paraId="16BEB241" w14:textId="6E6023E6" w:rsidR="00722797" w:rsidRPr="007C488A" w:rsidRDefault="009A08B2" w:rsidP="00757664">
      <w:pPr>
        <w:jc w:val="both"/>
        <w:rPr>
          <w:lang w:val="en-US" w:eastAsia="en-AU"/>
        </w:rPr>
      </w:pPr>
      <w:r w:rsidRPr="007C488A">
        <w:rPr>
          <w:lang w:val="en-US" w:eastAsia="en-AU"/>
        </w:rPr>
        <w:t>The baseline medications were not consistent across all 4 trials. The prescription of ACE inhibitor</w:t>
      </w:r>
      <w:r w:rsidR="00AB3ED6" w:rsidRPr="007C488A">
        <w:rPr>
          <w:lang w:val="en-US" w:eastAsia="en-AU"/>
        </w:rPr>
        <w:t>s</w:t>
      </w:r>
      <w:r w:rsidRPr="007C488A">
        <w:rPr>
          <w:lang w:val="en-US" w:eastAsia="en-AU"/>
        </w:rPr>
        <w:t xml:space="preserve"> was more common in ROADMAP (68.0% HM2 and 76.7% OMM) but minimal in MOMENTUM 3 (23.2% HM2 and 22.9% HM3) and Slaughter (2009) (32.1% HM2 and 33.3% HM XVE). Similar trend was observed for beta-blocker</w:t>
      </w:r>
      <w:r w:rsidR="00AB3ED6" w:rsidRPr="007C488A">
        <w:rPr>
          <w:lang w:val="en-US" w:eastAsia="en-AU"/>
        </w:rPr>
        <w:t>s</w:t>
      </w:r>
      <w:r w:rsidRPr="007C488A">
        <w:rPr>
          <w:lang w:val="en-US" w:eastAsia="en-AU"/>
        </w:rPr>
        <w:t xml:space="preserve">, where about half of the patients in MOMENTUM 3 and Slaughter (2009) were prescribed </w:t>
      </w:r>
      <w:r w:rsidR="00AB3ED6" w:rsidRPr="007C488A">
        <w:rPr>
          <w:lang w:val="en-US" w:eastAsia="en-AU"/>
        </w:rPr>
        <w:t xml:space="preserve">a </w:t>
      </w:r>
      <w:r w:rsidRPr="007C488A">
        <w:rPr>
          <w:lang w:val="en-US" w:eastAsia="en-AU"/>
        </w:rPr>
        <w:t xml:space="preserve">beta-blocker </w:t>
      </w:r>
      <w:r w:rsidR="00AB3ED6" w:rsidRPr="007C488A">
        <w:rPr>
          <w:lang w:val="en-US" w:eastAsia="en-AU"/>
        </w:rPr>
        <w:t>compared with</w:t>
      </w:r>
      <w:r w:rsidRPr="007C488A">
        <w:rPr>
          <w:lang w:val="en-US" w:eastAsia="en-AU"/>
        </w:rPr>
        <w:t xml:space="preserve"> 86.6% in </w:t>
      </w:r>
      <w:r w:rsidR="00AB3ED6" w:rsidRPr="007C488A">
        <w:rPr>
          <w:lang w:val="en-US" w:eastAsia="en-AU"/>
        </w:rPr>
        <w:t xml:space="preserve">the </w:t>
      </w:r>
      <w:r w:rsidRPr="007C488A">
        <w:rPr>
          <w:lang w:val="en-US" w:eastAsia="en-AU"/>
        </w:rPr>
        <w:t>HM2 group in ROADMAP.</w:t>
      </w:r>
      <w:r w:rsidR="00511F1C" w:rsidRPr="007C488A">
        <w:rPr>
          <w:lang w:val="en-US" w:eastAsia="en-AU"/>
        </w:rPr>
        <w:t xml:space="preserve"> While above differences in study characteristics can affect the transitivity of the ITC, it is difficult to assess the impact of </w:t>
      </w:r>
      <w:r w:rsidR="00572F91" w:rsidRPr="007C488A">
        <w:rPr>
          <w:lang w:val="en-US" w:eastAsia="en-AU"/>
        </w:rPr>
        <w:t xml:space="preserve">these </w:t>
      </w:r>
      <w:r w:rsidR="00511F1C" w:rsidRPr="007C488A">
        <w:rPr>
          <w:lang w:val="en-US" w:eastAsia="en-AU"/>
        </w:rPr>
        <w:t>variation</w:t>
      </w:r>
      <w:r w:rsidR="00572F91" w:rsidRPr="007C488A">
        <w:rPr>
          <w:lang w:val="en-US" w:eastAsia="en-AU"/>
        </w:rPr>
        <w:t>s</w:t>
      </w:r>
      <w:r w:rsidR="00511F1C" w:rsidRPr="007C488A">
        <w:rPr>
          <w:lang w:val="en-US" w:eastAsia="en-AU"/>
        </w:rPr>
        <w:t xml:space="preserve"> on the ITC results.</w:t>
      </w:r>
    </w:p>
    <w:p w14:paraId="3B9FC2AD" w14:textId="394052F3" w:rsidR="00772829" w:rsidRPr="007C488A" w:rsidRDefault="00D92D23" w:rsidP="002A18BE">
      <w:pPr>
        <w:pStyle w:val="Heading2"/>
        <w:numPr>
          <w:ilvl w:val="0"/>
          <w:numId w:val="0"/>
        </w:numPr>
      </w:pPr>
      <w:bookmarkStart w:id="26" w:name="_Toc69491423"/>
      <w:bookmarkEnd w:id="23"/>
      <w:r w:rsidRPr="007C488A">
        <w:t>11</w:t>
      </w:r>
      <w:r w:rsidR="00C36633" w:rsidRPr="007C488A">
        <w:t>.</w:t>
      </w:r>
      <w:r w:rsidR="00C36633" w:rsidRPr="007C488A">
        <w:tab/>
      </w:r>
      <w:r w:rsidR="00772829" w:rsidRPr="007C488A">
        <w:t>Comparative safety</w:t>
      </w:r>
      <w:bookmarkEnd w:id="26"/>
    </w:p>
    <w:p w14:paraId="15AFA715" w14:textId="3F9FCC57" w:rsidR="00D95533" w:rsidRPr="007C488A" w:rsidRDefault="00795AA9" w:rsidP="00900C82">
      <w:pPr>
        <w:jc w:val="both"/>
      </w:pPr>
      <w:r w:rsidRPr="007C488A">
        <w:t>The main safety outcomes presented in the ADAR were</w:t>
      </w:r>
      <w:r w:rsidR="00DA1FE6" w:rsidRPr="007C488A">
        <w:t xml:space="preserve"> all cause adverse events (</w:t>
      </w:r>
      <w:r w:rsidR="00900C82" w:rsidRPr="007C488A">
        <w:t>a</w:t>
      </w:r>
      <w:r w:rsidR="00DA1FE6" w:rsidRPr="007C488A">
        <w:t xml:space="preserve">ll cause AEs) and </w:t>
      </w:r>
      <w:r w:rsidR="00396669" w:rsidRPr="007C488A">
        <w:t>serious adverse events (</w:t>
      </w:r>
      <w:r w:rsidR="00293865" w:rsidRPr="007C488A">
        <w:t>SAEs</w:t>
      </w:r>
      <w:r w:rsidR="00396669" w:rsidRPr="007C488A">
        <w:t>)</w:t>
      </w:r>
      <w:r w:rsidR="00293865" w:rsidRPr="007C488A">
        <w:t>.</w:t>
      </w:r>
      <w:r w:rsidR="00DA1FE6" w:rsidRPr="007C488A">
        <w:t xml:space="preserve"> These safety outcomes are presented as single or composite outcome measures based on following ITC.</w:t>
      </w:r>
    </w:p>
    <w:p w14:paraId="496DA006" w14:textId="706EFF97" w:rsidR="00A02F6D" w:rsidRPr="007C488A" w:rsidRDefault="00033BBD" w:rsidP="00DC74C9">
      <w:pPr>
        <w:pStyle w:val="ListParagraph"/>
        <w:numPr>
          <w:ilvl w:val="0"/>
          <w:numId w:val="14"/>
        </w:numPr>
        <w:spacing w:before="0" w:after="0"/>
        <w:jc w:val="both"/>
      </w:pPr>
      <w:r w:rsidRPr="007C488A">
        <w:t xml:space="preserve">Two-step Bucher ITC: </w:t>
      </w:r>
      <w:r w:rsidR="00A02F6D" w:rsidRPr="007C488A">
        <w:t xml:space="preserve">Common SAEs in the As-Treated population at two years (MOMENTUM 3/Slaughter (2009)/REMATCH) </w:t>
      </w:r>
      <w:r w:rsidR="009F5F20" w:rsidRPr="007C488A">
        <w:t xml:space="preserve">were </w:t>
      </w:r>
      <w:r w:rsidR="00A02F6D" w:rsidRPr="007C488A">
        <w:t xml:space="preserve">compared, noting that Slaughter (2009) reported AEs without specifying if these were serious or not. </w:t>
      </w:r>
    </w:p>
    <w:p w14:paraId="7F825167" w14:textId="300A322F" w:rsidR="00DA1FE6" w:rsidRPr="007C488A" w:rsidRDefault="00033BBD" w:rsidP="00DC74C9">
      <w:pPr>
        <w:pStyle w:val="ListParagraph"/>
        <w:numPr>
          <w:ilvl w:val="0"/>
          <w:numId w:val="13"/>
        </w:numPr>
        <w:spacing w:before="0" w:after="0"/>
        <w:jc w:val="both"/>
      </w:pPr>
      <w:r w:rsidRPr="007C488A">
        <w:t xml:space="preserve">One-step Bucher ITC: </w:t>
      </w:r>
      <w:r w:rsidR="00DA1FE6" w:rsidRPr="007C488A">
        <w:t>Common AEs in the As-</w:t>
      </w:r>
      <w:r w:rsidR="00C2521F" w:rsidRPr="007C488A">
        <w:t>t</w:t>
      </w:r>
      <w:r w:rsidR="00DA1FE6" w:rsidRPr="007C488A">
        <w:t>reated population at two years (MOMENTUM 3 and ROADMAP)</w:t>
      </w:r>
    </w:p>
    <w:p w14:paraId="769E2EDC" w14:textId="6ADB906A" w:rsidR="00DA1FE6" w:rsidRPr="007C488A" w:rsidRDefault="00033BBD" w:rsidP="00DC74C9">
      <w:pPr>
        <w:pStyle w:val="ListParagraph"/>
        <w:numPr>
          <w:ilvl w:val="0"/>
          <w:numId w:val="13"/>
        </w:numPr>
        <w:spacing w:before="0" w:after="0"/>
        <w:jc w:val="both"/>
      </w:pPr>
      <w:r w:rsidRPr="007C488A">
        <w:t xml:space="preserve">Naïve ITC: </w:t>
      </w:r>
      <w:r w:rsidR="00DA1FE6" w:rsidRPr="007C488A">
        <w:t>SAEs in MOMENTUM 3 and REMATCH at two years</w:t>
      </w:r>
    </w:p>
    <w:p w14:paraId="32973B50" w14:textId="6D5049D3" w:rsidR="0004173E" w:rsidRPr="007C488A" w:rsidRDefault="00795AA9" w:rsidP="00B4697B">
      <w:pPr>
        <w:jc w:val="both"/>
      </w:pPr>
      <w:r w:rsidRPr="007C488A">
        <w:lastRenderedPageBreak/>
        <w:t xml:space="preserve">The analyses </w:t>
      </w:r>
      <w:r w:rsidR="0061625B" w:rsidRPr="007C488A">
        <w:t xml:space="preserve">were </w:t>
      </w:r>
      <w:r w:rsidRPr="007C488A">
        <w:t xml:space="preserve">performed on the </w:t>
      </w:r>
      <w:r w:rsidR="00900C82" w:rsidRPr="007C488A">
        <w:t>e</w:t>
      </w:r>
      <w:r w:rsidR="00D95533" w:rsidRPr="007C488A">
        <w:t>vents per patient year (</w:t>
      </w:r>
      <w:r w:rsidRPr="007C488A">
        <w:t>EPPYs</w:t>
      </w:r>
      <w:r w:rsidR="00D95533" w:rsidRPr="007C488A">
        <w:t>)</w:t>
      </w:r>
      <w:r w:rsidRPr="007C488A">
        <w:t xml:space="preserve"> with resultant relative risk estimates and associated confidence intervals. </w:t>
      </w:r>
    </w:p>
    <w:p w14:paraId="7D8F242D" w14:textId="24245D85" w:rsidR="00E1134E" w:rsidRPr="007C488A" w:rsidRDefault="00396669" w:rsidP="00E1134E">
      <w:pPr>
        <w:jc w:val="both"/>
      </w:pPr>
      <w:r w:rsidRPr="007C488A">
        <w:t xml:space="preserve">However, the ADAR </w:t>
      </w:r>
      <w:r w:rsidR="00902F19" w:rsidRPr="007C488A">
        <w:t xml:space="preserve">interpreted the </w:t>
      </w:r>
      <w:r w:rsidR="002521F6" w:rsidRPr="007C488A">
        <w:t xml:space="preserve">comparative </w:t>
      </w:r>
      <w:r w:rsidRPr="007C488A">
        <w:t xml:space="preserve">safety based on </w:t>
      </w:r>
      <w:r w:rsidR="00F21679" w:rsidRPr="007C488A">
        <w:t xml:space="preserve">the </w:t>
      </w:r>
      <w:r w:rsidRPr="007C488A">
        <w:t xml:space="preserve">two-step Bucher ITC of HM3 vs OMM </w:t>
      </w:r>
      <w:r w:rsidR="00F21679" w:rsidRPr="007C488A">
        <w:t>(</w:t>
      </w:r>
      <w:r w:rsidRPr="007C488A">
        <w:t>via HM2 and HM XVE</w:t>
      </w:r>
      <w:r w:rsidR="00F21679" w:rsidRPr="007C488A">
        <w:t>)</w:t>
      </w:r>
      <w:r w:rsidRPr="007C488A">
        <w:t>.</w:t>
      </w:r>
      <w:r w:rsidR="00E1134E" w:rsidRPr="007C488A">
        <w:t xml:space="preserve"> </w:t>
      </w:r>
      <w:r w:rsidR="00E8226C" w:rsidRPr="007C488A">
        <w:t>T</w:t>
      </w:r>
      <w:r w:rsidR="00E1134E" w:rsidRPr="007C488A">
        <w:t>he evidence profile for the safety ITC of HM3 vs OMM in DT</w:t>
      </w:r>
      <w:r w:rsidR="00E8226C" w:rsidRPr="007C488A">
        <w:t xml:space="preserve"> is presented in </w:t>
      </w:r>
      <w:r w:rsidR="00E8226C" w:rsidRPr="007C488A">
        <w:fldChar w:fldCharType="begin"/>
      </w:r>
      <w:r w:rsidR="00E8226C" w:rsidRPr="007C488A">
        <w:instrText xml:space="preserve"> REF _Ref155618333 \h </w:instrText>
      </w:r>
      <w:r w:rsidR="007C488A">
        <w:instrText xml:space="preserve"> \* MERGEFORMAT </w:instrText>
      </w:r>
      <w:r w:rsidR="00E8226C" w:rsidRPr="007C488A">
        <w:fldChar w:fldCharType="separate"/>
      </w:r>
      <w:r w:rsidR="00406484" w:rsidRPr="007C488A">
        <w:t xml:space="preserve">Table </w:t>
      </w:r>
      <w:r w:rsidR="00406484" w:rsidRPr="007C488A">
        <w:rPr>
          <w:noProof/>
        </w:rPr>
        <w:t>4</w:t>
      </w:r>
      <w:r w:rsidR="00E8226C" w:rsidRPr="007C488A">
        <w:fldChar w:fldCharType="end"/>
      </w:r>
      <w:r w:rsidR="00E1134E" w:rsidRPr="007C488A">
        <w:t>.</w:t>
      </w:r>
    </w:p>
    <w:p w14:paraId="769BFD75" w14:textId="636C49CF" w:rsidR="0004173E" w:rsidRPr="007C488A" w:rsidRDefault="0004173E" w:rsidP="002D5E9F">
      <w:pPr>
        <w:jc w:val="both"/>
        <w:sectPr w:rsidR="0004173E" w:rsidRPr="007C488A" w:rsidSect="00394DC8">
          <w:pgSz w:w="11906" w:h="16838"/>
          <w:pgMar w:top="1440" w:right="1440" w:bottom="1440" w:left="1440" w:header="708" w:footer="708" w:gutter="0"/>
          <w:cols w:space="708"/>
          <w:docGrid w:linePitch="360"/>
        </w:sectPr>
      </w:pPr>
    </w:p>
    <w:p w14:paraId="381C6ED1" w14:textId="1BBF9FBF" w:rsidR="00B4697B" w:rsidRPr="007C488A" w:rsidRDefault="00B4697B" w:rsidP="006C4D49">
      <w:pPr>
        <w:pStyle w:val="Caption"/>
      </w:pPr>
      <w:bookmarkStart w:id="27" w:name="_Ref155618333"/>
      <w:r w:rsidRPr="007C488A">
        <w:lastRenderedPageBreak/>
        <w:t xml:space="preserve">Table </w:t>
      </w:r>
      <w:r w:rsidRPr="007C488A">
        <w:fldChar w:fldCharType="begin"/>
      </w:r>
      <w:r w:rsidRPr="007C488A">
        <w:instrText>SEQ Table \* ARABIC</w:instrText>
      </w:r>
      <w:r w:rsidRPr="007C488A">
        <w:fldChar w:fldCharType="separate"/>
      </w:r>
      <w:r w:rsidR="00406484" w:rsidRPr="007C488A">
        <w:rPr>
          <w:noProof/>
        </w:rPr>
        <w:t>4</w:t>
      </w:r>
      <w:r w:rsidRPr="007C488A">
        <w:fldChar w:fldCharType="end"/>
      </w:r>
      <w:bookmarkEnd w:id="27"/>
      <w:r w:rsidRPr="007C488A">
        <w:t>: Evidence profile table for the safety ITC of HM3 vs OMM in DT</w:t>
      </w:r>
    </w:p>
    <w:tbl>
      <w:tblPr>
        <w:tblStyle w:val="TableGrid"/>
        <w:tblW w:w="5000" w:type="pct"/>
        <w:tblLook w:val="04A0" w:firstRow="1" w:lastRow="0" w:firstColumn="1" w:lastColumn="0" w:noHBand="0" w:noVBand="1"/>
      </w:tblPr>
      <w:tblGrid>
        <w:gridCol w:w="1613"/>
        <w:gridCol w:w="1468"/>
        <w:gridCol w:w="1763"/>
        <w:gridCol w:w="1615"/>
        <w:gridCol w:w="1969"/>
        <w:gridCol w:w="1319"/>
        <w:gridCol w:w="4201"/>
      </w:tblGrid>
      <w:tr w:rsidR="00816D16" w:rsidRPr="007C488A" w14:paraId="4CA2DD39" w14:textId="77777777" w:rsidTr="007D1A1F">
        <w:trPr>
          <w:trHeight w:val="270"/>
        </w:trPr>
        <w:tc>
          <w:tcPr>
            <w:tcW w:w="578" w:type="pct"/>
          </w:tcPr>
          <w:p w14:paraId="2AD607F4" w14:textId="77777777" w:rsidR="00816D16" w:rsidRPr="007C488A" w:rsidRDefault="00816D16" w:rsidP="00816D16">
            <w:pPr>
              <w:pStyle w:val="TableFigureHeading"/>
            </w:pPr>
            <w:r w:rsidRPr="007C488A">
              <w:t>Outcome -</w:t>
            </w:r>
          </w:p>
        </w:tc>
        <w:tc>
          <w:tcPr>
            <w:tcW w:w="526" w:type="pct"/>
          </w:tcPr>
          <w:p w14:paraId="6FFBE06C" w14:textId="77777777" w:rsidR="00816D16" w:rsidRPr="007C488A" w:rsidRDefault="00816D16" w:rsidP="00816D16">
            <w:pPr>
              <w:pStyle w:val="TableFigureHeading"/>
            </w:pPr>
            <w:r w:rsidRPr="007C488A">
              <w:t>No. of studies &amp; design</w:t>
            </w:r>
          </w:p>
        </w:tc>
        <w:tc>
          <w:tcPr>
            <w:tcW w:w="632" w:type="pct"/>
          </w:tcPr>
          <w:p w14:paraId="2CDD85B3" w14:textId="6FAB5D56" w:rsidR="00816D16" w:rsidRPr="007C488A" w:rsidRDefault="00816D16" w:rsidP="00816D16">
            <w:pPr>
              <w:pStyle w:val="TableFigureHeading"/>
            </w:pPr>
            <w:r w:rsidRPr="007C488A">
              <w:t xml:space="preserve">HM3 vs HM XVE </w:t>
            </w:r>
            <w:r w:rsidRPr="007C488A">
              <w:br/>
              <w:t>(via HM2)</w:t>
            </w:r>
            <w:r w:rsidR="00511F1C" w:rsidRPr="007C488A">
              <w:t xml:space="preserve"> </w:t>
            </w:r>
            <w:r w:rsidR="00E945ED" w:rsidRPr="007C488A">
              <w:t>[95%CI]</w:t>
            </w:r>
          </w:p>
        </w:tc>
        <w:tc>
          <w:tcPr>
            <w:tcW w:w="579" w:type="pct"/>
          </w:tcPr>
          <w:p w14:paraId="495EDE3F" w14:textId="364BBA39" w:rsidR="00816D16" w:rsidRPr="007C488A" w:rsidRDefault="00816D16" w:rsidP="00816D16">
            <w:pPr>
              <w:pStyle w:val="TableFigureHeading"/>
            </w:pPr>
            <w:r w:rsidRPr="007C488A">
              <w:t>OMM vs HM XVE</w:t>
            </w:r>
            <w:r w:rsidR="00511F1C" w:rsidRPr="007C488A">
              <w:t xml:space="preserve"> </w:t>
            </w:r>
            <w:r w:rsidR="00E945ED" w:rsidRPr="007C488A">
              <w:t>[95%CI]</w:t>
            </w:r>
          </w:p>
        </w:tc>
        <w:tc>
          <w:tcPr>
            <w:tcW w:w="706" w:type="pct"/>
          </w:tcPr>
          <w:p w14:paraId="5780F5E5" w14:textId="20403652" w:rsidR="00816D16" w:rsidRPr="007C488A" w:rsidRDefault="00816D16" w:rsidP="00816D16">
            <w:pPr>
              <w:pStyle w:val="TableFigureHeading"/>
            </w:pPr>
            <w:r w:rsidRPr="007C488A">
              <w:t>IEE: HM3 vs OMM RR</w:t>
            </w:r>
            <w:r w:rsidR="00033BBD" w:rsidRPr="007C488A">
              <w:t xml:space="preserve"> [95%CI]</w:t>
            </w:r>
            <w:r w:rsidRPr="007C488A">
              <w:t xml:space="preserve"> </w:t>
            </w:r>
          </w:p>
        </w:tc>
        <w:tc>
          <w:tcPr>
            <w:tcW w:w="473" w:type="pct"/>
          </w:tcPr>
          <w:p w14:paraId="09663853" w14:textId="77777777" w:rsidR="00816D16" w:rsidRPr="007C488A" w:rsidRDefault="00816D16" w:rsidP="00816D16">
            <w:pPr>
              <w:pStyle w:val="TableFigureHeading"/>
              <w:rPr>
                <w:rFonts w:ascii="Cambria Math" w:hAnsi="Cambria Math"/>
                <w:color w:val="00B050"/>
              </w:rPr>
            </w:pPr>
            <w:r w:rsidRPr="007C488A">
              <w:t>Quality</w:t>
            </w:r>
          </w:p>
        </w:tc>
        <w:tc>
          <w:tcPr>
            <w:tcW w:w="1506" w:type="pct"/>
          </w:tcPr>
          <w:p w14:paraId="318B6B5F" w14:textId="77777777" w:rsidR="00816D16" w:rsidRPr="007C488A" w:rsidRDefault="00816D16" w:rsidP="00816D16">
            <w:pPr>
              <w:pStyle w:val="TableFigureHeading"/>
            </w:pPr>
            <w:r w:rsidRPr="007C488A">
              <w:t>Importance</w:t>
            </w:r>
          </w:p>
        </w:tc>
      </w:tr>
      <w:tr w:rsidR="00816D16" w:rsidRPr="007C488A" w14:paraId="6C7F71BE" w14:textId="77777777" w:rsidTr="007D1A1F">
        <w:trPr>
          <w:trHeight w:val="261"/>
        </w:trPr>
        <w:tc>
          <w:tcPr>
            <w:tcW w:w="5000" w:type="pct"/>
            <w:gridSpan w:val="7"/>
            <w:shd w:val="clear" w:color="auto" w:fill="auto"/>
          </w:tcPr>
          <w:p w14:paraId="1F0DB903" w14:textId="77777777" w:rsidR="00816D16" w:rsidRPr="007C488A" w:rsidRDefault="00816D16" w:rsidP="00816D16">
            <w:pPr>
              <w:pStyle w:val="TableText"/>
              <w:rPr>
                <w:b/>
                <w:bCs/>
              </w:rPr>
            </w:pPr>
            <w:r w:rsidRPr="007C488A">
              <w:rPr>
                <w:b/>
                <w:bCs/>
              </w:rPr>
              <w:t>Two-step Bucher ITC (REMATCH)</w:t>
            </w:r>
          </w:p>
        </w:tc>
      </w:tr>
      <w:tr w:rsidR="00816D16" w:rsidRPr="007C488A" w14:paraId="15109E77" w14:textId="77777777" w:rsidTr="007D1A1F">
        <w:trPr>
          <w:trHeight w:val="261"/>
        </w:trPr>
        <w:tc>
          <w:tcPr>
            <w:tcW w:w="578" w:type="pct"/>
          </w:tcPr>
          <w:p w14:paraId="703B7511" w14:textId="77777777" w:rsidR="00816D16" w:rsidRPr="007C488A" w:rsidRDefault="00816D16" w:rsidP="00816D16">
            <w:pPr>
              <w:pStyle w:val="TableText"/>
            </w:pPr>
            <w:r w:rsidRPr="007C488A">
              <w:t xml:space="preserve">Bleeding, 2 years </w:t>
            </w:r>
          </w:p>
        </w:tc>
        <w:tc>
          <w:tcPr>
            <w:tcW w:w="526" w:type="pct"/>
          </w:tcPr>
          <w:p w14:paraId="3406EE82" w14:textId="77777777" w:rsidR="00816D16" w:rsidRPr="007C488A" w:rsidRDefault="00816D16" w:rsidP="00816D16">
            <w:pPr>
              <w:pStyle w:val="TableText"/>
            </w:pPr>
            <w:r w:rsidRPr="007C488A">
              <w:t>ITC of RCT</w:t>
            </w:r>
          </w:p>
          <w:p w14:paraId="08F8C945" w14:textId="77777777" w:rsidR="00816D16" w:rsidRPr="007C488A" w:rsidRDefault="00816D16" w:rsidP="00816D16">
            <w:pPr>
              <w:pStyle w:val="TableText"/>
            </w:pPr>
            <w:r w:rsidRPr="007C488A">
              <w:t>K=3; N=1349</w:t>
            </w:r>
          </w:p>
        </w:tc>
        <w:tc>
          <w:tcPr>
            <w:tcW w:w="632" w:type="pct"/>
          </w:tcPr>
          <w:p w14:paraId="4B4E1FF3" w14:textId="77777777" w:rsidR="00816D16" w:rsidRPr="007C488A" w:rsidRDefault="00816D16" w:rsidP="00816D16">
            <w:pPr>
              <w:pStyle w:val="TableText"/>
            </w:pPr>
            <w:r w:rsidRPr="007C488A">
              <w:t>0.428 [0.283, 0.647]</w:t>
            </w:r>
          </w:p>
        </w:tc>
        <w:tc>
          <w:tcPr>
            <w:tcW w:w="579" w:type="pct"/>
          </w:tcPr>
          <w:p w14:paraId="0F2C9CD9" w14:textId="77777777" w:rsidR="00816D16" w:rsidRPr="007C488A" w:rsidRDefault="00816D16" w:rsidP="00816D16">
            <w:pPr>
              <w:pStyle w:val="TableText"/>
            </w:pPr>
            <w:r w:rsidRPr="007C488A">
              <w:t>0.11 [0.03, 0.43]</w:t>
            </w:r>
          </w:p>
        </w:tc>
        <w:tc>
          <w:tcPr>
            <w:tcW w:w="706" w:type="pct"/>
          </w:tcPr>
          <w:p w14:paraId="17B58CFF" w14:textId="77777777" w:rsidR="00816D16" w:rsidRPr="007C488A" w:rsidRDefault="00816D16" w:rsidP="00816D16">
            <w:pPr>
              <w:pStyle w:val="TableText"/>
            </w:pPr>
            <w:r w:rsidRPr="007C488A">
              <w:t xml:space="preserve">4.051 [0.929, 17.676] </w:t>
            </w:r>
          </w:p>
          <w:p w14:paraId="3D89F611" w14:textId="08B5E3A4" w:rsidR="00816D16" w:rsidRPr="007C488A" w:rsidRDefault="00816D16" w:rsidP="00816D16">
            <w:pPr>
              <w:pStyle w:val="TableText"/>
            </w:pPr>
            <w:r w:rsidRPr="007C488A">
              <w:t>(p=0.0627)</w:t>
            </w:r>
          </w:p>
        </w:tc>
        <w:tc>
          <w:tcPr>
            <w:tcW w:w="473" w:type="pct"/>
          </w:tcPr>
          <w:p w14:paraId="70B1BDB8" w14:textId="77777777" w:rsidR="00816D16" w:rsidRPr="007C488A" w:rsidRDefault="00816D16" w:rsidP="00816D16">
            <w:pPr>
              <w:pStyle w:val="TableText"/>
            </w:pPr>
            <w:r w:rsidRPr="007C488A">
              <w:rPr>
                <w:rFonts w:ascii="Cambria Math" w:hAnsi="Cambria Math"/>
                <w:color w:val="00B050"/>
              </w:rPr>
              <w:t>⨁⨁⨁</w:t>
            </w:r>
            <w:r w:rsidRPr="007C488A">
              <w:rPr>
                <w:rFonts w:ascii="Cambria Math" w:hAnsi="Cambria Math" w:cs="Cambria Math"/>
                <w:color w:val="C00000"/>
              </w:rPr>
              <w:t>⨀</w:t>
            </w:r>
          </w:p>
          <w:p w14:paraId="6DC829FC" w14:textId="45E16FDE" w:rsidR="00816D16" w:rsidRPr="007C488A" w:rsidRDefault="00816D16" w:rsidP="00816D16">
            <w:pPr>
              <w:pStyle w:val="TableText"/>
            </w:pPr>
            <w:r w:rsidRPr="007C488A">
              <w:t xml:space="preserve">MODERATE </w:t>
            </w:r>
            <w:r w:rsidR="001806F8" w:rsidRPr="007C488A">
              <w:rPr>
                <w:vertAlign w:val="superscript"/>
              </w:rPr>
              <w:t>a</w:t>
            </w:r>
          </w:p>
        </w:tc>
        <w:tc>
          <w:tcPr>
            <w:tcW w:w="1506" w:type="pct"/>
          </w:tcPr>
          <w:p w14:paraId="32FFA95A" w14:textId="021888A1" w:rsidR="00816D16" w:rsidRPr="007C488A" w:rsidRDefault="00816D16" w:rsidP="00816D16">
            <w:pPr>
              <w:pStyle w:val="TableText"/>
            </w:pPr>
            <w:r w:rsidRPr="007C488A">
              <w:t>A higher rate of bleeding was experienced by HM3</w:t>
            </w:r>
            <w:r w:rsidR="000D3F41" w:rsidRPr="007C488A">
              <w:t xml:space="preserve"> patients based on 2 years data from MOMENTUM 3 </w:t>
            </w:r>
            <w:r w:rsidRPr="007C488A">
              <w:t xml:space="preserve"> vs OMM</w:t>
            </w:r>
            <w:r w:rsidR="000D3F41" w:rsidRPr="007C488A">
              <w:t>.</w:t>
            </w:r>
            <w:r w:rsidRPr="007C488A">
              <w:t xml:space="preserve"> </w:t>
            </w:r>
          </w:p>
        </w:tc>
      </w:tr>
      <w:tr w:rsidR="00816D16" w:rsidRPr="007C488A" w14:paraId="41085AA5" w14:textId="77777777" w:rsidTr="007D1A1F">
        <w:trPr>
          <w:trHeight w:val="270"/>
        </w:trPr>
        <w:tc>
          <w:tcPr>
            <w:tcW w:w="578" w:type="pct"/>
          </w:tcPr>
          <w:p w14:paraId="399BFA9F" w14:textId="77777777" w:rsidR="00816D16" w:rsidRPr="007C488A" w:rsidRDefault="00816D16" w:rsidP="00816D16">
            <w:pPr>
              <w:pStyle w:val="TableText"/>
            </w:pPr>
            <w:r w:rsidRPr="007C488A">
              <w:t>Bleeding, 5 years data from MOMENTUM 3</w:t>
            </w:r>
          </w:p>
        </w:tc>
        <w:tc>
          <w:tcPr>
            <w:tcW w:w="526" w:type="pct"/>
          </w:tcPr>
          <w:p w14:paraId="2FEA72DD" w14:textId="77777777" w:rsidR="00816D16" w:rsidRPr="007C488A" w:rsidRDefault="00816D16" w:rsidP="00816D16">
            <w:pPr>
              <w:pStyle w:val="TableText"/>
            </w:pPr>
            <w:r w:rsidRPr="007C488A">
              <w:t>ITC of RCT</w:t>
            </w:r>
          </w:p>
          <w:p w14:paraId="50455E9A" w14:textId="77777777" w:rsidR="00816D16" w:rsidRPr="007C488A" w:rsidRDefault="00816D16" w:rsidP="00816D16">
            <w:pPr>
              <w:pStyle w:val="TableText"/>
            </w:pPr>
            <w:r w:rsidRPr="007C488A">
              <w:t>K=3; N=1349</w:t>
            </w:r>
          </w:p>
        </w:tc>
        <w:tc>
          <w:tcPr>
            <w:tcW w:w="632" w:type="pct"/>
          </w:tcPr>
          <w:p w14:paraId="104B1D61" w14:textId="77777777" w:rsidR="00816D16" w:rsidRPr="007C488A" w:rsidRDefault="00816D16" w:rsidP="00816D16">
            <w:pPr>
              <w:pStyle w:val="TableText"/>
            </w:pPr>
            <w:r w:rsidRPr="007C488A">
              <w:t xml:space="preserve">0.388 [0.258, 0.583] </w:t>
            </w:r>
          </w:p>
        </w:tc>
        <w:tc>
          <w:tcPr>
            <w:tcW w:w="579" w:type="pct"/>
          </w:tcPr>
          <w:p w14:paraId="2CB2C724" w14:textId="77777777" w:rsidR="00816D16" w:rsidRPr="007C488A" w:rsidRDefault="00816D16" w:rsidP="00816D16">
            <w:pPr>
              <w:pStyle w:val="TableText"/>
            </w:pPr>
            <w:r w:rsidRPr="007C488A">
              <w:t>0.11 [0.03, 0.43]</w:t>
            </w:r>
          </w:p>
        </w:tc>
        <w:tc>
          <w:tcPr>
            <w:tcW w:w="706" w:type="pct"/>
          </w:tcPr>
          <w:p w14:paraId="271EB076" w14:textId="3FEDA6CB" w:rsidR="00816D16" w:rsidRPr="007C488A" w:rsidRDefault="00816D16" w:rsidP="00816D16">
            <w:pPr>
              <w:pStyle w:val="TableText"/>
            </w:pPr>
            <w:r w:rsidRPr="007C488A">
              <w:t xml:space="preserve">3.67 </w:t>
            </w:r>
            <w:r w:rsidR="00AE0B61" w:rsidRPr="007C488A">
              <w:t>[</w:t>
            </w:r>
            <w:r w:rsidRPr="007C488A">
              <w:t>0.84, 15.60</w:t>
            </w:r>
            <w:proofErr w:type="gramStart"/>
            <w:r w:rsidR="00AE0B61" w:rsidRPr="007C488A">
              <w:t>]</w:t>
            </w:r>
            <w:r w:rsidRPr="007C488A">
              <w:t>;</w:t>
            </w:r>
            <w:proofErr w:type="gramEnd"/>
            <w:r w:rsidRPr="007C488A">
              <w:t xml:space="preserve"> </w:t>
            </w:r>
          </w:p>
          <w:p w14:paraId="618E6CB2" w14:textId="7C0B7672" w:rsidR="00816D16" w:rsidRPr="007C488A" w:rsidRDefault="00AE0B61" w:rsidP="00816D16">
            <w:pPr>
              <w:pStyle w:val="TableText"/>
            </w:pPr>
            <w:r w:rsidRPr="007C488A">
              <w:t>(</w:t>
            </w:r>
            <w:r w:rsidR="00816D16" w:rsidRPr="007C488A">
              <w:t>p=0.083</w:t>
            </w:r>
            <w:r w:rsidRPr="007C488A">
              <w:t>)</w:t>
            </w:r>
          </w:p>
        </w:tc>
        <w:tc>
          <w:tcPr>
            <w:tcW w:w="473" w:type="pct"/>
          </w:tcPr>
          <w:p w14:paraId="2FECC07B" w14:textId="77777777" w:rsidR="00816D16" w:rsidRPr="007C488A" w:rsidRDefault="00816D16" w:rsidP="00816D16">
            <w:pPr>
              <w:pStyle w:val="TableText"/>
            </w:pPr>
            <w:r w:rsidRPr="007C488A">
              <w:rPr>
                <w:rFonts w:ascii="Cambria Math" w:hAnsi="Cambria Math"/>
                <w:color w:val="00B050"/>
              </w:rPr>
              <w:t>⨁⨁</w:t>
            </w:r>
            <w:r w:rsidRPr="007C488A">
              <w:rPr>
                <w:rFonts w:ascii="Cambria Math" w:hAnsi="Cambria Math" w:cs="Cambria Math"/>
                <w:color w:val="C00000"/>
              </w:rPr>
              <w:t>⨀⨀</w:t>
            </w:r>
          </w:p>
          <w:p w14:paraId="28A10407" w14:textId="45E754B6" w:rsidR="00816D16" w:rsidRPr="007C488A" w:rsidRDefault="00816D16" w:rsidP="00816D16">
            <w:pPr>
              <w:pStyle w:val="TableText"/>
            </w:pPr>
            <w:r w:rsidRPr="007C488A">
              <w:t xml:space="preserve">LOW </w:t>
            </w:r>
            <w:proofErr w:type="spellStart"/>
            <w:r w:rsidR="001806F8" w:rsidRPr="007C488A">
              <w:rPr>
                <w:vertAlign w:val="superscript"/>
              </w:rPr>
              <w:t>a,b</w:t>
            </w:r>
            <w:proofErr w:type="spellEnd"/>
          </w:p>
        </w:tc>
        <w:tc>
          <w:tcPr>
            <w:tcW w:w="1506" w:type="pct"/>
          </w:tcPr>
          <w:p w14:paraId="4424561C" w14:textId="281C4994" w:rsidR="00816D16" w:rsidRPr="007C488A" w:rsidRDefault="00816D16" w:rsidP="00816D16">
            <w:pPr>
              <w:pStyle w:val="TableText"/>
            </w:pPr>
            <w:r w:rsidRPr="007C488A">
              <w:t xml:space="preserve">A higher rate of bleeding was experienced by HM3 </w:t>
            </w:r>
            <w:r w:rsidR="000D3F41" w:rsidRPr="007C488A">
              <w:t xml:space="preserve"> patients based on 5 years data from MOMENTUM 3 </w:t>
            </w:r>
            <w:r w:rsidRPr="007C488A">
              <w:t>vs OMM</w:t>
            </w:r>
            <w:r w:rsidR="000D3F41" w:rsidRPr="007C488A">
              <w:t>.</w:t>
            </w:r>
          </w:p>
        </w:tc>
      </w:tr>
      <w:tr w:rsidR="00816D16" w:rsidRPr="007C488A" w14:paraId="460A6BB6" w14:textId="77777777" w:rsidTr="007D1A1F">
        <w:trPr>
          <w:trHeight w:val="270"/>
        </w:trPr>
        <w:tc>
          <w:tcPr>
            <w:tcW w:w="578" w:type="pct"/>
          </w:tcPr>
          <w:p w14:paraId="788A4A0C" w14:textId="77777777" w:rsidR="00816D16" w:rsidRPr="007C488A" w:rsidRDefault="00816D16" w:rsidP="00816D16">
            <w:pPr>
              <w:pStyle w:val="TableText"/>
            </w:pPr>
            <w:r w:rsidRPr="007C488A">
              <w:t>Stroke, 2 years</w:t>
            </w:r>
          </w:p>
        </w:tc>
        <w:tc>
          <w:tcPr>
            <w:tcW w:w="526" w:type="pct"/>
          </w:tcPr>
          <w:p w14:paraId="6C47B3F4" w14:textId="77777777" w:rsidR="00816D16" w:rsidRPr="007C488A" w:rsidRDefault="00816D16" w:rsidP="00816D16">
            <w:pPr>
              <w:pStyle w:val="TableText"/>
            </w:pPr>
            <w:r w:rsidRPr="007C488A">
              <w:t>ITC of RCT</w:t>
            </w:r>
          </w:p>
          <w:p w14:paraId="15CF92C0" w14:textId="77777777" w:rsidR="00816D16" w:rsidRPr="007C488A" w:rsidRDefault="00816D16" w:rsidP="00816D16">
            <w:pPr>
              <w:pStyle w:val="TableText"/>
            </w:pPr>
            <w:r w:rsidRPr="007C488A">
              <w:t>K=3; N=1349</w:t>
            </w:r>
          </w:p>
        </w:tc>
        <w:tc>
          <w:tcPr>
            <w:tcW w:w="632" w:type="pct"/>
          </w:tcPr>
          <w:p w14:paraId="573D9402" w14:textId="77777777" w:rsidR="00816D16" w:rsidRPr="007C488A" w:rsidRDefault="00816D16" w:rsidP="00816D16">
            <w:pPr>
              <w:pStyle w:val="TableText"/>
            </w:pPr>
            <w:r w:rsidRPr="007C488A">
              <w:t xml:space="preserve">0.248 [0.102, 0.6] </w:t>
            </w:r>
          </w:p>
        </w:tc>
        <w:tc>
          <w:tcPr>
            <w:tcW w:w="579" w:type="pct"/>
          </w:tcPr>
          <w:p w14:paraId="7063FCC5" w14:textId="77777777" w:rsidR="00816D16" w:rsidRPr="007C488A" w:rsidRDefault="00816D16" w:rsidP="00816D16">
            <w:pPr>
              <w:pStyle w:val="TableText"/>
            </w:pPr>
            <w:r w:rsidRPr="007C488A">
              <w:t>0.27 [0.03, 1.23]</w:t>
            </w:r>
          </w:p>
        </w:tc>
        <w:tc>
          <w:tcPr>
            <w:tcW w:w="706" w:type="pct"/>
          </w:tcPr>
          <w:p w14:paraId="2ABCDD58" w14:textId="77777777" w:rsidR="00816D16" w:rsidRPr="007C488A" w:rsidRDefault="00816D16" w:rsidP="00816D16">
            <w:pPr>
              <w:pStyle w:val="TableText"/>
            </w:pPr>
            <w:r w:rsidRPr="007C488A">
              <w:t xml:space="preserve">0.905 [0.115, 7.104] </w:t>
            </w:r>
          </w:p>
          <w:p w14:paraId="46E50EEC" w14:textId="4FAA1907" w:rsidR="00816D16" w:rsidRPr="007C488A" w:rsidRDefault="00816D16" w:rsidP="00816D16">
            <w:pPr>
              <w:pStyle w:val="TableText"/>
            </w:pPr>
            <w:r w:rsidRPr="007C488A">
              <w:t>(p=0.9247)</w:t>
            </w:r>
          </w:p>
        </w:tc>
        <w:tc>
          <w:tcPr>
            <w:tcW w:w="473" w:type="pct"/>
          </w:tcPr>
          <w:p w14:paraId="5C7A493A" w14:textId="77777777" w:rsidR="00816D16" w:rsidRPr="007C488A" w:rsidRDefault="00816D16" w:rsidP="00816D16">
            <w:pPr>
              <w:pStyle w:val="TableText"/>
            </w:pPr>
            <w:r w:rsidRPr="007C488A">
              <w:rPr>
                <w:rFonts w:ascii="Cambria Math" w:hAnsi="Cambria Math"/>
                <w:color w:val="00B050"/>
              </w:rPr>
              <w:t>⨁⨁⨁</w:t>
            </w:r>
            <w:r w:rsidRPr="007C488A">
              <w:rPr>
                <w:rFonts w:ascii="Cambria Math" w:hAnsi="Cambria Math" w:cs="Cambria Math"/>
                <w:color w:val="C00000"/>
              </w:rPr>
              <w:t>⨀</w:t>
            </w:r>
          </w:p>
          <w:p w14:paraId="5A581993" w14:textId="338F15F8" w:rsidR="00816D16" w:rsidRPr="007C488A" w:rsidRDefault="00816D16" w:rsidP="00816D16">
            <w:pPr>
              <w:pStyle w:val="TableText"/>
              <w:rPr>
                <w:rFonts w:ascii="Cambria Math" w:hAnsi="Cambria Math"/>
                <w:color w:val="00B050"/>
              </w:rPr>
            </w:pPr>
            <w:r w:rsidRPr="007C488A">
              <w:t xml:space="preserve">MODERATE </w:t>
            </w:r>
            <w:r w:rsidR="001806F8" w:rsidRPr="007C488A">
              <w:rPr>
                <w:vertAlign w:val="superscript"/>
              </w:rPr>
              <w:t>a</w:t>
            </w:r>
          </w:p>
        </w:tc>
        <w:tc>
          <w:tcPr>
            <w:tcW w:w="1506" w:type="pct"/>
          </w:tcPr>
          <w:p w14:paraId="00D9FEA3" w14:textId="77777777" w:rsidR="00816D16" w:rsidRPr="007C488A" w:rsidRDefault="00816D16" w:rsidP="00816D16">
            <w:pPr>
              <w:pStyle w:val="TableText"/>
            </w:pPr>
            <w:r w:rsidRPr="007C488A">
              <w:t>A lower rate of stroke was experienced by HM3 patients based on 2 years data from MOMENTUM 3 vs OMM.</w:t>
            </w:r>
          </w:p>
        </w:tc>
      </w:tr>
      <w:tr w:rsidR="00816D16" w:rsidRPr="007C488A" w14:paraId="67A8FD10" w14:textId="77777777" w:rsidTr="007D1A1F">
        <w:trPr>
          <w:trHeight w:val="390"/>
        </w:trPr>
        <w:tc>
          <w:tcPr>
            <w:tcW w:w="578" w:type="pct"/>
          </w:tcPr>
          <w:p w14:paraId="18D2FD50" w14:textId="77777777" w:rsidR="00816D16" w:rsidRPr="007C488A" w:rsidRDefault="00816D16" w:rsidP="00816D16">
            <w:pPr>
              <w:pStyle w:val="TableText"/>
            </w:pPr>
            <w:r w:rsidRPr="007C488A">
              <w:t>Stroke, 5 years data from MOMENTUM 3</w:t>
            </w:r>
          </w:p>
        </w:tc>
        <w:tc>
          <w:tcPr>
            <w:tcW w:w="526" w:type="pct"/>
          </w:tcPr>
          <w:p w14:paraId="714C9CFB" w14:textId="77777777" w:rsidR="00816D16" w:rsidRPr="007C488A" w:rsidRDefault="00816D16" w:rsidP="00816D16">
            <w:pPr>
              <w:pStyle w:val="TableText"/>
            </w:pPr>
            <w:r w:rsidRPr="007C488A">
              <w:t>ITC of RCT</w:t>
            </w:r>
          </w:p>
          <w:p w14:paraId="232F4EDC" w14:textId="77777777" w:rsidR="00816D16" w:rsidRPr="007C488A" w:rsidRDefault="00816D16" w:rsidP="00816D16">
            <w:pPr>
              <w:pStyle w:val="TableText"/>
            </w:pPr>
            <w:r w:rsidRPr="007C488A">
              <w:t>K=3; N=1349</w:t>
            </w:r>
          </w:p>
        </w:tc>
        <w:tc>
          <w:tcPr>
            <w:tcW w:w="632" w:type="pct"/>
          </w:tcPr>
          <w:p w14:paraId="68F10332" w14:textId="77777777" w:rsidR="00816D16" w:rsidRPr="007C488A" w:rsidRDefault="00816D16" w:rsidP="00816D16">
            <w:pPr>
              <w:pStyle w:val="TableText"/>
            </w:pPr>
            <w:r w:rsidRPr="007C488A">
              <w:t xml:space="preserve">0.217 [0.09, 0.522] </w:t>
            </w:r>
          </w:p>
        </w:tc>
        <w:tc>
          <w:tcPr>
            <w:tcW w:w="579" w:type="pct"/>
          </w:tcPr>
          <w:p w14:paraId="011474A0" w14:textId="77777777" w:rsidR="00816D16" w:rsidRPr="007C488A" w:rsidRDefault="00816D16" w:rsidP="00816D16">
            <w:pPr>
              <w:pStyle w:val="TableText"/>
            </w:pPr>
            <w:r w:rsidRPr="007C488A">
              <w:t>0.27 [0.03, 1.23]</w:t>
            </w:r>
          </w:p>
        </w:tc>
        <w:tc>
          <w:tcPr>
            <w:tcW w:w="706" w:type="pct"/>
          </w:tcPr>
          <w:p w14:paraId="2EB7BFE9" w14:textId="77777777" w:rsidR="00816D16" w:rsidRPr="007C488A" w:rsidRDefault="00816D16" w:rsidP="00816D16">
            <w:pPr>
              <w:pStyle w:val="TableText"/>
            </w:pPr>
            <w:r w:rsidRPr="007C488A">
              <w:t xml:space="preserve">0.793 [0.101, 6.204] </w:t>
            </w:r>
          </w:p>
          <w:p w14:paraId="08CAE157" w14:textId="467719F9" w:rsidR="00816D16" w:rsidRPr="007C488A" w:rsidRDefault="00816D16" w:rsidP="00816D16">
            <w:pPr>
              <w:pStyle w:val="TableText"/>
            </w:pPr>
            <w:r w:rsidRPr="007C488A">
              <w:t>(p=0.8254)</w:t>
            </w:r>
          </w:p>
        </w:tc>
        <w:tc>
          <w:tcPr>
            <w:tcW w:w="473" w:type="pct"/>
          </w:tcPr>
          <w:p w14:paraId="6A337775" w14:textId="77777777" w:rsidR="00816D16" w:rsidRPr="007C488A" w:rsidRDefault="00816D16" w:rsidP="00816D16">
            <w:pPr>
              <w:pStyle w:val="TableText"/>
            </w:pPr>
            <w:r w:rsidRPr="007C488A">
              <w:rPr>
                <w:rFonts w:ascii="Cambria Math" w:hAnsi="Cambria Math"/>
                <w:color w:val="00B050"/>
              </w:rPr>
              <w:t>⨁⨁</w:t>
            </w:r>
            <w:r w:rsidRPr="007C488A">
              <w:rPr>
                <w:rFonts w:ascii="Cambria Math" w:hAnsi="Cambria Math" w:cs="Cambria Math"/>
                <w:color w:val="C00000"/>
              </w:rPr>
              <w:t>⨀⨀</w:t>
            </w:r>
          </w:p>
          <w:p w14:paraId="537AB954" w14:textId="085B130C" w:rsidR="00816D16" w:rsidRPr="007C488A" w:rsidRDefault="00816D16" w:rsidP="00816D16">
            <w:pPr>
              <w:pStyle w:val="TableText"/>
              <w:rPr>
                <w:rFonts w:ascii="Cambria Math" w:hAnsi="Cambria Math"/>
                <w:color w:val="00B050"/>
              </w:rPr>
            </w:pPr>
            <w:r w:rsidRPr="007C488A">
              <w:t xml:space="preserve">LOW </w:t>
            </w:r>
            <w:proofErr w:type="spellStart"/>
            <w:r w:rsidR="001806F8" w:rsidRPr="007C488A">
              <w:rPr>
                <w:vertAlign w:val="superscript"/>
              </w:rPr>
              <w:t>a,b</w:t>
            </w:r>
            <w:proofErr w:type="spellEnd"/>
          </w:p>
        </w:tc>
        <w:tc>
          <w:tcPr>
            <w:tcW w:w="1506" w:type="pct"/>
          </w:tcPr>
          <w:p w14:paraId="2624AA60" w14:textId="77777777" w:rsidR="00816D16" w:rsidRPr="007C488A" w:rsidRDefault="00816D16" w:rsidP="00816D16">
            <w:pPr>
              <w:pStyle w:val="TableText"/>
            </w:pPr>
            <w:r w:rsidRPr="007C488A">
              <w:t>A lower rate of stroke was experienced by HM3 patients based on 5 years data from MOMENTUM 3 vs OMM.</w:t>
            </w:r>
          </w:p>
        </w:tc>
      </w:tr>
      <w:tr w:rsidR="00816D16" w:rsidRPr="007C488A" w14:paraId="79F9D2C2" w14:textId="77777777" w:rsidTr="007D1A1F">
        <w:trPr>
          <w:trHeight w:val="370"/>
        </w:trPr>
        <w:tc>
          <w:tcPr>
            <w:tcW w:w="578" w:type="pct"/>
          </w:tcPr>
          <w:p w14:paraId="590146FF" w14:textId="77777777" w:rsidR="00816D16" w:rsidRPr="007C488A" w:rsidRDefault="00816D16" w:rsidP="00816D16">
            <w:pPr>
              <w:pStyle w:val="TableText"/>
            </w:pPr>
            <w:r w:rsidRPr="007C488A">
              <w:t>Sepsis, 2 years</w:t>
            </w:r>
          </w:p>
        </w:tc>
        <w:tc>
          <w:tcPr>
            <w:tcW w:w="526" w:type="pct"/>
          </w:tcPr>
          <w:p w14:paraId="210D8BF7" w14:textId="77777777" w:rsidR="00816D16" w:rsidRPr="007C488A" w:rsidRDefault="00816D16" w:rsidP="00816D16">
            <w:pPr>
              <w:pStyle w:val="TableText"/>
            </w:pPr>
            <w:r w:rsidRPr="007C488A">
              <w:t>ITC of RCT</w:t>
            </w:r>
          </w:p>
          <w:p w14:paraId="1FBF48B7" w14:textId="77777777" w:rsidR="00816D16" w:rsidRPr="007C488A" w:rsidRDefault="00816D16" w:rsidP="00816D16">
            <w:pPr>
              <w:pStyle w:val="TableText"/>
            </w:pPr>
            <w:r w:rsidRPr="007C488A">
              <w:t>K=3; N=1349</w:t>
            </w:r>
          </w:p>
        </w:tc>
        <w:tc>
          <w:tcPr>
            <w:tcW w:w="632" w:type="pct"/>
          </w:tcPr>
          <w:p w14:paraId="085560FC" w14:textId="77777777" w:rsidR="00816D16" w:rsidRPr="007C488A" w:rsidRDefault="00816D16" w:rsidP="00816D16">
            <w:pPr>
              <w:pStyle w:val="TableText"/>
            </w:pPr>
            <w:r w:rsidRPr="007C488A">
              <w:t>0.347 [0.196, 0.614]</w:t>
            </w:r>
          </w:p>
        </w:tc>
        <w:tc>
          <w:tcPr>
            <w:tcW w:w="579" w:type="pct"/>
          </w:tcPr>
          <w:p w14:paraId="4E76687B" w14:textId="77777777" w:rsidR="00816D16" w:rsidRPr="007C488A" w:rsidRDefault="00816D16" w:rsidP="00816D16">
            <w:pPr>
              <w:pStyle w:val="TableText"/>
            </w:pPr>
            <w:r w:rsidRPr="007C488A">
              <w:t>0.49 [0.24, 1.01]</w:t>
            </w:r>
          </w:p>
        </w:tc>
        <w:tc>
          <w:tcPr>
            <w:tcW w:w="706" w:type="pct"/>
          </w:tcPr>
          <w:p w14:paraId="2F9314B8" w14:textId="628CEBA2" w:rsidR="00816D16" w:rsidRPr="007C488A" w:rsidRDefault="00816D16" w:rsidP="00816D16">
            <w:pPr>
              <w:pStyle w:val="TableText"/>
            </w:pPr>
            <w:r w:rsidRPr="007C488A">
              <w:t>0.703 [0.282, 1.756] (p=0.4541</w:t>
            </w:r>
            <w:r w:rsidR="00AE0B61" w:rsidRPr="007C488A">
              <w:t>)</w:t>
            </w:r>
          </w:p>
        </w:tc>
        <w:tc>
          <w:tcPr>
            <w:tcW w:w="473" w:type="pct"/>
          </w:tcPr>
          <w:p w14:paraId="388EAF1C" w14:textId="77777777" w:rsidR="00816D16" w:rsidRPr="007C488A" w:rsidRDefault="00816D16" w:rsidP="00816D16">
            <w:pPr>
              <w:pStyle w:val="TableText"/>
            </w:pPr>
            <w:r w:rsidRPr="007C488A">
              <w:rPr>
                <w:rFonts w:ascii="Cambria Math" w:hAnsi="Cambria Math"/>
                <w:color w:val="00B050"/>
              </w:rPr>
              <w:t>⨁⨁⨁</w:t>
            </w:r>
            <w:r w:rsidRPr="007C488A">
              <w:rPr>
                <w:rFonts w:ascii="Cambria Math" w:hAnsi="Cambria Math" w:cs="Cambria Math"/>
                <w:color w:val="C00000"/>
              </w:rPr>
              <w:t>⨀</w:t>
            </w:r>
          </w:p>
          <w:p w14:paraId="54E09DF6" w14:textId="30D1B6C5" w:rsidR="00816D16" w:rsidRPr="007C488A" w:rsidRDefault="00816D16" w:rsidP="00816D16">
            <w:pPr>
              <w:pStyle w:val="TableText"/>
              <w:rPr>
                <w:rFonts w:ascii="Cambria Math" w:hAnsi="Cambria Math"/>
                <w:color w:val="00B050"/>
              </w:rPr>
            </w:pPr>
            <w:r w:rsidRPr="007C488A">
              <w:t xml:space="preserve">MODERATE </w:t>
            </w:r>
            <w:r w:rsidR="001806F8" w:rsidRPr="007C488A">
              <w:rPr>
                <w:vertAlign w:val="superscript"/>
              </w:rPr>
              <w:t>a</w:t>
            </w:r>
          </w:p>
        </w:tc>
        <w:tc>
          <w:tcPr>
            <w:tcW w:w="1506" w:type="pct"/>
          </w:tcPr>
          <w:p w14:paraId="4818C992" w14:textId="77777777" w:rsidR="00816D16" w:rsidRPr="007C488A" w:rsidRDefault="00816D16" w:rsidP="00816D16">
            <w:pPr>
              <w:pStyle w:val="TableText"/>
            </w:pPr>
            <w:r w:rsidRPr="007C488A">
              <w:t>A lower rate of sepsis was experienced by HM3 patients based on 2 years data from MOMENTUM 3 vs OMM.</w:t>
            </w:r>
          </w:p>
        </w:tc>
      </w:tr>
      <w:tr w:rsidR="00816D16" w:rsidRPr="007C488A" w14:paraId="4E7F35B0" w14:textId="77777777" w:rsidTr="007D1A1F">
        <w:trPr>
          <w:trHeight w:val="316"/>
        </w:trPr>
        <w:tc>
          <w:tcPr>
            <w:tcW w:w="578" w:type="pct"/>
          </w:tcPr>
          <w:p w14:paraId="00174BD3" w14:textId="77777777" w:rsidR="00816D16" w:rsidRPr="007C488A" w:rsidRDefault="00816D16" w:rsidP="00816D16">
            <w:pPr>
              <w:pStyle w:val="TableText"/>
            </w:pPr>
            <w:r w:rsidRPr="007C488A">
              <w:t>Sepsis, 5 years data from MOMENTUM 3</w:t>
            </w:r>
          </w:p>
        </w:tc>
        <w:tc>
          <w:tcPr>
            <w:tcW w:w="526" w:type="pct"/>
          </w:tcPr>
          <w:p w14:paraId="18C48E22" w14:textId="77777777" w:rsidR="00816D16" w:rsidRPr="007C488A" w:rsidRDefault="00816D16" w:rsidP="00816D16">
            <w:pPr>
              <w:pStyle w:val="TableText"/>
            </w:pPr>
            <w:r w:rsidRPr="007C488A">
              <w:t>ITC of RCT</w:t>
            </w:r>
          </w:p>
          <w:p w14:paraId="478D75D6" w14:textId="77777777" w:rsidR="00816D16" w:rsidRPr="007C488A" w:rsidRDefault="00816D16" w:rsidP="00816D16">
            <w:pPr>
              <w:pStyle w:val="TableText"/>
            </w:pPr>
            <w:r w:rsidRPr="007C488A">
              <w:t>K=3; N=1349</w:t>
            </w:r>
          </w:p>
        </w:tc>
        <w:tc>
          <w:tcPr>
            <w:tcW w:w="632" w:type="pct"/>
          </w:tcPr>
          <w:p w14:paraId="18EE5ED1" w14:textId="77777777" w:rsidR="00816D16" w:rsidRPr="007C488A" w:rsidRDefault="00816D16" w:rsidP="00816D16">
            <w:pPr>
              <w:pStyle w:val="TableText"/>
            </w:pPr>
            <w:r w:rsidRPr="007C488A">
              <w:t>0.337 [0.192, 0.591]</w:t>
            </w:r>
          </w:p>
        </w:tc>
        <w:tc>
          <w:tcPr>
            <w:tcW w:w="579" w:type="pct"/>
          </w:tcPr>
          <w:p w14:paraId="0BB8318D" w14:textId="77777777" w:rsidR="00816D16" w:rsidRPr="007C488A" w:rsidRDefault="00816D16" w:rsidP="00816D16">
            <w:pPr>
              <w:pStyle w:val="TableText"/>
            </w:pPr>
            <w:r w:rsidRPr="007C488A">
              <w:t>0.49 [0.24, 1.01]</w:t>
            </w:r>
          </w:p>
        </w:tc>
        <w:tc>
          <w:tcPr>
            <w:tcW w:w="706" w:type="pct"/>
          </w:tcPr>
          <w:p w14:paraId="688660FA" w14:textId="77777777" w:rsidR="00816D16" w:rsidRPr="007C488A" w:rsidRDefault="00816D16" w:rsidP="00816D16">
            <w:pPr>
              <w:pStyle w:val="TableText"/>
            </w:pPr>
            <w:r w:rsidRPr="007C488A">
              <w:t xml:space="preserve">0.684 [0.275, 1.697] </w:t>
            </w:r>
          </w:p>
          <w:p w14:paraId="3451957C" w14:textId="56C7354E" w:rsidR="00816D16" w:rsidRPr="007C488A" w:rsidRDefault="00816D16" w:rsidP="00816D16">
            <w:pPr>
              <w:pStyle w:val="TableText"/>
            </w:pPr>
            <w:r w:rsidRPr="007C488A">
              <w:t>(p=0.4121)</w:t>
            </w:r>
          </w:p>
        </w:tc>
        <w:tc>
          <w:tcPr>
            <w:tcW w:w="473" w:type="pct"/>
          </w:tcPr>
          <w:p w14:paraId="38E096C8" w14:textId="77777777" w:rsidR="00816D16" w:rsidRPr="007C488A" w:rsidRDefault="00816D16" w:rsidP="00816D16">
            <w:pPr>
              <w:pStyle w:val="TableText"/>
            </w:pPr>
            <w:r w:rsidRPr="007C488A">
              <w:rPr>
                <w:rFonts w:ascii="Cambria Math" w:hAnsi="Cambria Math"/>
                <w:color w:val="00B050"/>
              </w:rPr>
              <w:t>⨁⨁</w:t>
            </w:r>
            <w:r w:rsidRPr="007C488A">
              <w:rPr>
                <w:rFonts w:ascii="Cambria Math" w:hAnsi="Cambria Math" w:cs="Cambria Math"/>
                <w:color w:val="C00000"/>
              </w:rPr>
              <w:t>⨀⨀</w:t>
            </w:r>
          </w:p>
          <w:p w14:paraId="1B053D3E" w14:textId="5D5CAA83" w:rsidR="00816D16" w:rsidRPr="007C488A" w:rsidRDefault="00816D16" w:rsidP="00816D16">
            <w:pPr>
              <w:pStyle w:val="TableText"/>
              <w:rPr>
                <w:rFonts w:ascii="Cambria Math" w:hAnsi="Cambria Math"/>
                <w:color w:val="00B050"/>
              </w:rPr>
            </w:pPr>
            <w:r w:rsidRPr="007C488A">
              <w:t xml:space="preserve">LOW </w:t>
            </w:r>
            <w:proofErr w:type="spellStart"/>
            <w:r w:rsidR="001806F8" w:rsidRPr="007C488A">
              <w:rPr>
                <w:vertAlign w:val="superscript"/>
              </w:rPr>
              <w:t>a,b</w:t>
            </w:r>
            <w:proofErr w:type="spellEnd"/>
          </w:p>
        </w:tc>
        <w:tc>
          <w:tcPr>
            <w:tcW w:w="1506" w:type="pct"/>
          </w:tcPr>
          <w:p w14:paraId="330B2B0C" w14:textId="77777777" w:rsidR="00816D16" w:rsidRPr="007C488A" w:rsidRDefault="00816D16" w:rsidP="00816D16">
            <w:pPr>
              <w:pStyle w:val="TableText"/>
            </w:pPr>
            <w:r w:rsidRPr="007C488A">
              <w:t>A lower rate of sepsis was experienced by HM3 patients based on 5 years data from MOMENTUM 3 vs OMM.</w:t>
            </w:r>
          </w:p>
        </w:tc>
      </w:tr>
    </w:tbl>
    <w:p w14:paraId="325D0E85" w14:textId="0554C4F5" w:rsidR="00816D16" w:rsidRPr="007C488A" w:rsidRDefault="00816D16" w:rsidP="00EA4FE5">
      <w:pPr>
        <w:pStyle w:val="Tablenotes0"/>
      </w:pPr>
      <w:bookmarkStart w:id="28" w:name="_Hlk155258133"/>
      <w:r w:rsidRPr="007C488A">
        <w:t xml:space="preserve">Source: </w:t>
      </w:r>
      <w:r w:rsidR="00F04EFD" w:rsidRPr="007C488A">
        <w:t>Table 48, p181 of MSAC 1749 ADAR+</w:t>
      </w:r>
      <w:r w:rsidR="009B3E0F" w:rsidRPr="007C488A">
        <w:t xml:space="preserve"> </w:t>
      </w:r>
      <w:r w:rsidR="00F04EFD" w:rsidRPr="007C488A">
        <w:t xml:space="preserve">in-line commentary </w:t>
      </w:r>
      <w:bookmarkEnd w:id="28"/>
    </w:p>
    <w:p w14:paraId="6037EB64" w14:textId="49DFB67F" w:rsidR="00816D16" w:rsidRPr="007C488A" w:rsidRDefault="00816D16" w:rsidP="00EA4FE5">
      <w:pPr>
        <w:pStyle w:val="Tablenotes0"/>
      </w:pPr>
      <w:r w:rsidRPr="007C488A">
        <w:t>Abbreviations: CI</w:t>
      </w:r>
      <w:r w:rsidR="00CB056F" w:rsidRPr="007C488A">
        <w:t xml:space="preserve"> = </w:t>
      </w:r>
      <w:r w:rsidRPr="007C488A">
        <w:t>confidence interval; DT</w:t>
      </w:r>
      <w:r w:rsidR="00CB056F" w:rsidRPr="007C488A">
        <w:t xml:space="preserve"> = </w:t>
      </w:r>
      <w:r w:rsidRPr="007C488A">
        <w:t xml:space="preserve">destination therapy; </w:t>
      </w:r>
      <w:r w:rsidR="005E59D7" w:rsidRPr="007C488A">
        <w:t xml:space="preserve">EPPY = events per patient year; </w:t>
      </w:r>
      <w:r w:rsidRPr="007C488A">
        <w:t>HM2</w:t>
      </w:r>
      <w:r w:rsidR="00CB056F" w:rsidRPr="007C488A">
        <w:t xml:space="preserve"> = </w:t>
      </w:r>
      <w:r w:rsidRPr="007C488A">
        <w:t>HeartMate 2; HM3</w:t>
      </w:r>
      <w:r w:rsidR="00CB056F" w:rsidRPr="007C488A">
        <w:t xml:space="preserve"> = </w:t>
      </w:r>
      <w:r w:rsidRPr="007C488A">
        <w:t>HeartMate 3; HM XVE</w:t>
      </w:r>
      <w:r w:rsidR="00CB056F" w:rsidRPr="007C488A">
        <w:t xml:space="preserve"> = </w:t>
      </w:r>
      <w:r w:rsidRPr="007C488A">
        <w:t>vented electric left ventricular assist device; HR</w:t>
      </w:r>
      <w:r w:rsidR="00CB056F" w:rsidRPr="007C488A">
        <w:t xml:space="preserve"> = </w:t>
      </w:r>
      <w:r w:rsidRPr="007C488A">
        <w:t xml:space="preserve">hazard ratio; </w:t>
      </w:r>
      <w:r w:rsidR="005E59D7" w:rsidRPr="007C488A">
        <w:t xml:space="preserve">IEE = indirect estimate of effect; </w:t>
      </w:r>
      <w:r w:rsidRPr="007C488A">
        <w:t>ITC</w:t>
      </w:r>
      <w:r w:rsidR="00CB056F" w:rsidRPr="007C488A">
        <w:t xml:space="preserve"> = </w:t>
      </w:r>
      <w:r w:rsidRPr="007C488A">
        <w:t>indirect treatment comparison; OMM</w:t>
      </w:r>
      <w:r w:rsidR="0084132D" w:rsidRPr="007C488A">
        <w:t xml:space="preserve"> = </w:t>
      </w:r>
      <w:r w:rsidRPr="007C488A">
        <w:t>optimal medical management; RCT</w:t>
      </w:r>
      <w:r w:rsidR="0084132D" w:rsidRPr="007C488A">
        <w:t xml:space="preserve"> = </w:t>
      </w:r>
      <w:r w:rsidRPr="007C488A">
        <w:t>randomised controlled trial; RR</w:t>
      </w:r>
      <w:r w:rsidR="0084132D" w:rsidRPr="007C488A">
        <w:t xml:space="preserve"> = </w:t>
      </w:r>
      <w:r w:rsidRPr="007C488A">
        <w:t>relative risk.</w:t>
      </w:r>
    </w:p>
    <w:p w14:paraId="5C4E48A6" w14:textId="77777777" w:rsidR="00816D16" w:rsidRPr="007C488A" w:rsidRDefault="00816D16" w:rsidP="00EA4FE5">
      <w:pPr>
        <w:pStyle w:val="Tablenotes0"/>
      </w:pPr>
      <w:r w:rsidRPr="007C488A">
        <w:t>Notes:</w:t>
      </w:r>
    </w:p>
    <w:p w14:paraId="4245E2AB" w14:textId="1E6BEC00" w:rsidR="00816D16" w:rsidRPr="007C488A" w:rsidRDefault="00816D16" w:rsidP="00EA4FE5">
      <w:pPr>
        <w:pStyle w:val="Tablenotes0"/>
      </w:pPr>
      <w:r w:rsidRPr="007C488A">
        <w:rPr>
          <w:rFonts w:ascii="Cambria Math" w:hAnsi="Cambria Math" w:cs="Cambria Math"/>
          <w:color w:val="00B050"/>
        </w:rPr>
        <w:t>⨁⨁⨁⨁</w:t>
      </w:r>
      <w:r w:rsidRPr="007C488A">
        <w:rPr>
          <w:rFonts w:asciiTheme="minorHAnsi" w:hAnsiTheme="minorHAnsi" w:cstheme="minorHAnsi"/>
          <w:color w:val="00B050"/>
        </w:rPr>
        <w:t xml:space="preserve"> </w:t>
      </w:r>
      <w:r w:rsidRPr="007C488A">
        <w:rPr>
          <w:rFonts w:asciiTheme="minorHAnsi" w:hAnsiTheme="minorHAnsi" w:cstheme="minorHAnsi"/>
          <w:b/>
          <w:bCs/>
          <w:szCs w:val="18"/>
        </w:rPr>
        <w:t>High quality:</w:t>
      </w:r>
      <w:r w:rsidRPr="007C488A">
        <w:rPr>
          <w:rFonts w:asciiTheme="minorHAnsi" w:hAnsiTheme="minorHAnsi" w:cstheme="minorHAnsi"/>
          <w:szCs w:val="18"/>
        </w:rPr>
        <w:t xml:space="preserve"> </w:t>
      </w:r>
      <w:r w:rsidR="0076392A" w:rsidRPr="007C488A">
        <w:t>V</w:t>
      </w:r>
      <w:r w:rsidRPr="007C488A">
        <w:t xml:space="preserve">ery confident that the true effect lies close to that of the estimate of effect. </w:t>
      </w:r>
      <w:r w:rsidRPr="007C488A">
        <w:rPr>
          <w:rFonts w:ascii="Cambria Math" w:hAnsi="Cambria Math" w:cs="Cambria Math"/>
          <w:color w:val="00B050"/>
        </w:rPr>
        <w:t>⨁⨁⨁</w:t>
      </w:r>
      <w:r w:rsidRPr="007C488A">
        <w:rPr>
          <w:rFonts w:ascii="Cambria Math" w:hAnsi="Cambria Math" w:cs="Cambria Math"/>
          <w:color w:val="C00000"/>
        </w:rPr>
        <w:t>⨀</w:t>
      </w:r>
      <w:r w:rsidRPr="007C488A">
        <w:rPr>
          <w:rFonts w:asciiTheme="minorHAnsi" w:hAnsiTheme="minorHAnsi" w:cstheme="minorHAnsi"/>
          <w:color w:val="C00000"/>
        </w:rPr>
        <w:t xml:space="preserve"> </w:t>
      </w:r>
      <w:r w:rsidRPr="007C488A">
        <w:rPr>
          <w:rFonts w:asciiTheme="minorHAnsi" w:hAnsiTheme="minorHAnsi" w:cstheme="minorHAnsi"/>
          <w:b/>
          <w:bCs/>
          <w:szCs w:val="18"/>
        </w:rPr>
        <w:t>Moderate quality:</w:t>
      </w:r>
      <w:r w:rsidRPr="007C488A">
        <w:rPr>
          <w:rFonts w:asciiTheme="minorHAnsi" w:hAnsiTheme="minorHAnsi" w:cstheme="minorHAnsi"/>
          <w:szCs w:val="18"/>
        </w:rPr>
        <w:t xml:space="preserve"> </w:t>
      </w:r>
      <w:r w:rsidR="0076392A" w:rsidRPr="007C488A">
        <w:t>M</w:t>
      </w:r>
      <w:r w:rsidRPr="007C488A">
        <w:t xml:space="preserve">oderately confident in the effect estimate: The true effect is likely to be close to the estimate of the effect, but there is a possibility that it is substantially different. </w:t>
      </w:r>
      <w:r w:rsidRPr="007C488A">
        <w:rPr>
          <w:rFonts w:ascii="Cambria Math" w:hAnsi="Cambria Math" w:cs="Cambria Math"/>
          <w:color w:val="00B050"/>
        </w:rPr>
        <w:t>⨁⨁</w:t>
      </w:r>
      <w:r w:rsidRPr="007C488A">
        <w:rPr>
          <w:rFonts w:ascii="Cambria Math" w:hAnsi="Cambria Math" w:cs="Cambria Math"/>
          <w:color w:val="C00000"/>
        </w:rPr>
        <w:t>⨀⨀</w:t>
      </w:r>
      <w:r w:rsidRPr="007C488A">
        <w:rPr>
          <w:rFonts w:asciiTheme="minorHAnsi" w:hAnsiTheme="minorHAnsi" w:cstheme="minorHAnsi"/>
          <w:color w:val="C00000"/>
        </w:rPr>
        <w:t xml:space="preserve"> </w:t>
      </w:r>
      <w:r w:rsidRPr="007C488A">
        <w:rPr>
          <w:rFonts w:asciiTheme="minorHAnsi" w:hAnsiTheme="minorHAnsi" w:cstheme="minorHAnsi"/>
          <w:b/>
          <w:bCs/>
          <w:szCs w:val="18"/>
        </w:rPr>
        <w:t>Low quality:</w:t>
      </w:r>
      <w:r w:rsidRPr="007C488A">
        <w:rPr>
          <w:rFonts w:asciiTheme="minorHAnsi" w:hAnsiTheme="minorHAnsi" w:cstheme="minorHAnsi"/>
          <w:szCs w:val="18"/>
        </w:rPr>
        <w:t xml:space="preserve"> </w:t>
      </w:r>
      <w:r w:rsidR="0076392A" w:rsidRPr="007C488A">
        <w:t>C</w:t>
      </w:r>
      <w:r w:rsidRPr="007C488A">
        <w:t xml:space="preserve">onfidence in the effect estimate is limited: The true effect may be substantially different from the estimate of the effect. </w:t>
      </w:r>
      <w:r w:rsidRPr="007C488A">
        <w:rPr>
          <w:rFonts w:ascii="Cambria Math" w:hAnsi="Cambria Math" w:cs="Cambria Math"/>
          <w:color w:val="00B050"/>
        </w:rPr>
        <w:t>⨁</w:t>
      </w:r>
      <w:r w:rsidRPr="007C488A">
        <w:rPr>
          <w:rFonts w:ascii="Cambria Math" w:hAnsi="Cambria Math" w:cs="Cambria Math"/>
          <w:color w:val="C00000"/>
        </w:rPr>
        <w:t>⨀⨀⨀</w:t>
      </w:r>
      <w:r w:rsidRPr="007C488A">
        <w:rPr>
          <w:rFonts w:asciiTheme="minorHAnsi" w:hAnsiTheme="minorHAnsi" w:cstheme="minorHAnsi"/>
          <w:color w:val="C00000"/>
        </w:rPr>
        <w:t xml:space="preserve"> </w:t>
      </w:r>
      <w:r w:rsidRPr="007C488A">
        <w:t xml:space="preserve">Very low quality: </w:t>
      </w:r>
      <w:r w:rsidR="0076392A" w:rsidRPr="007C488A">
        <w:t>V</w:t>
      </w:r>
      <w:r w:rsidRPr="007C488A">
        <w:t xml:space="preserve">ery little confidence in the effect </w:t>
      </w:r>
      <w:r w:rsidR="007D1A1F" w:rsidRPr="007C488A">
        <w:t>estimates</w:t>
      </w:r>
      <w:r w:rsidRPr="007C488A">
        <w:t>: The true effect is likely to be substantially different from the estimate of effect.</w:t>
      </w:r>
    </w:p>
    <w:p w14:paraId="6D305228" w14:textId="1AF90D38" w:rsidR="00816D16" w:rsidRPr="007C488A" w:rsidRDefault="001806F8" w:rsidP="00EA4FE5">
      <w:pPr>
        <w:pStyle w:val="Tablenotes0"/>
      </w:pPr>
      <w:proofErr w:type="spellStart"/>
      <w:r w:rsidRPr="007C488A">
        <w:rPr>
          <w:vertAlign w:val="superscript"/>
        </w:rPr>
        <w:t>a</w:t>
      </w:r>
      <w:r w:rsidR="00816D16" w:rsidRPr="007C488A">
        <w:t>The</w:t>
      </w:r>
      <w:proofErr w:type="spellEnd"/>
      <w:r w:rsidR="00816D16" w:rsidRPr="007C488A">
        <w:t xml:space="preserve"> starting grade for the two-step Bucher ITC is HIGH, on the basis of including three RCTs with low risk of bias and based on a </w:t>
      </w:r>
      <w:proofErr w:type="gramStart"/>
      <w:r w:rsidR="00816D16" w:rsidRPr="007C488A">
        <w:t>well matched</w:t>
      </w:r>
      <w:proofErr w:type="gramEnd"/>
      <w:r w:rsidR="00816D16" w:rsidRPr="007C488A">
        <w:t xml:space="preserve"> population; rated down to MODERATE due to the two-step indirect nature of the comparison.</w:t>
      </w:r>
    </w:p>
    <w:p w14:paraId="71CCBFBD" w14:textId="4D28E092" w:rsidR="00816D16" w:rsidRPr="007C488A" w:rsidRDefault="001806F8" w:rsidP="00EA4FE5">
      <w:pPr>
        <w:pStyle w:val="Tablenotes0"/>
      </w:pPr>
      <w:proofErr w:type="spellStart"/>
      <w:r w:rsidRPr="007C488A">
        <w:rPr>
          <w:vertAlign w:val="superscript"/>
        </w:rPr>
        <w:t>b</w:t>
      </w:r>
      <w:r w:rsidR="00816D16" w:rsidRPr="007C488A">
        <w:t>The</w:t>
      </w:r>
      <w:proofErr w:type="spellEnd"/>
      <w:r w:rsidR="00816D16" w:rsidRPr="007C488A">
        <w:t xml:space="preserve"> Extended </w:t>
      </w:r>
      <w:r w:rsidR="0076392A" w:rsidRPr="007C488A">
        <w:t xml:space="preserve">follow-up </w:t>
      </w:r>
      <w:r w:rsidR="00816D16" w:rsidRPr="007C488A">
        <w:t>study was further rated down because the survival analysis censored subjects at Year 2 who were at sites that declined participation, transferred, were unable to be reached, or who were unable to participate for other reasons. Missing outcome data from the extended-phase study were filled in with additional data (occurrence of death, transplant, device explant, including dates of these outcomes, within 5 years after implant) from the sponsor’s device tracking database as permissible by state regulations.</w:t>
      </w:r>
    </w:p>
    <w:p w14:paraId="59575E39" w14:textId="77777777" w:rsidR="00816D16" w:rsidRPr="007C488A" w:rsidRDefault="00816D16" w:rsidP="00816D16">
      <w:pPr>
        <w:sectPr w:rsidR="00816D16" w:rsidRPr="007C488A" w:rsidSect="00394DC8">
          <w:pgSz w:w="16838" w:h="11906" w:orient="landscape"/>
          <w:pgMar w:top="1440" w:right="1440" w:bottom="1440" w:left="1440" w:header="708" w:footer="708" w:gutter="0"/>
          <w:cols w:space="708"/>
          <w:docGrid w:linePitch="360"/>
        </w:sectPr>
      </w:pPr>
    </w:p>
    <w:p w14:paraId="6F4C0AC7" w14:textId="22248A7D" w:rsidR="00C32FED" w:rsidRPr="007C488A" w:rsidRDefault="00C32FED" w:rsidP="00C32FED">
      <w:pPr>
        <w:jc w:val="both"/>
      </w:pPr>
      <w:r w:rsidRPr="007C488A">
        <w:lastRenderedPageBreak/>
        <w:t>The two-step Bucher ITC showed that the rate of bleeding was numerically higher with HM3 vs OMM</w:t>
      </w:r>
      <w:r w:rsidR="00C4072B" w:rsidRPr="007C488A">
        <w:t xml:space="preserve"> (</w:t>
      </w:r>
      <w:r w:rsidR="00C91CA8" w:rsidRPr="007C488A">
        <w:fldChar w:fldCharType="begin"/>
      </w:r>
      <w:r w:rsidR="00C91CA8" w:rsidRPr="007C488A">
        <w:instrText xml:space="preserve"> REF _Ref155618333 \h </w:instrText>
      </w:r>
      <w:r w:rsidR="007C488A">
        <w:instrText xml:space="preserve"> \* MERGEFORMAT </w:instrText>
      </w:r>
      <w:r w:rsidR="00C91CA8" w:rsidRPr="007C488A">
        <w:fldChar w:fldCharType="separate"/>
      </w:r>
      <w:r w:rsidR="00406484" w:rsidRPr="007C488A">
        <w:t xml:space="preserve">Table </w:t>
      </w:r>
      <w:r w:rsidR="00406484" w:rsidRPr="007C488A">
        <w:rPr>
          <w:noProof/>
        </w:rPr>
        <w:t>4</w:t>
      </w:r>
      <w:r w:rsidR="00C91CA8" w:rsidRPr="007C488A">
        <w:fldChar w:fldCharType="end"/>
      </w:r>
      <w:r w:rsidR="006E2D94" w:rsidRPr="007C488A">
        <w:t>)</w:t>
      </w:r>
      <w:r w:rsidRPr="007C488A">
        <w:t xml:space="preserve">. The </w:t>
      </w:r>
      <w:r w:rsidR="007E3832" w:rsidRPr="007C488A">
        <w:t xml:space="preserve">ADAR </w:t>
      </w:r>
      <w:r w:rsidRPr="007C488A">
        <w:t>claimed that the magnitude of the RR from the comparison of HM XVE vs OMM from REMATCH (RR</w:t>
      </w:r>
      <w:r w:rsidR="00C04BC8" w:rsidRPr="007C488A">
        <w:t xml:space="preserve"> </w:t>
      </w:r>
      <w:r w:rsidRPr="007C488A">
        <w:t>=</w:t>
      </w:r>
      <w:r w:rsidR="00C04BC8" w:rsidRPr="007C488A">
        <w:t xml:space="preserve"> </w:t>
      </w:r>
      <w:r w:rsidRPr="007C488A">
        <w:t>9.47) compared with the estimate derived from the indirect comparison of HM3 vs OMM (RR</w:t>
      </w:r>
      <w:r w:rsidR="00C04BC8" w:rsidRPr="007C488A">
        <w:t xml:space="preserve"> </w:t>
      </w:r>
      <w:r w:rsidRPr="007C488A">
        <w:t>=</w:t>
      </w:r>
      <w:r w:rsidR="00C04BC8" w:rsidRPr="007C488A">
        <w:t xml:space="preserve"> </w:t>
      </w:r>
      <w:r w:rsidRPr="007C488A">
        <w:t>4.05) highlights that HM3 showed a device improvement compared to HM XVE in relation to bleeding. This could be possible, but the magnitude of improvement is hard to assess given the differences in the characteristics of the studies as outlined above. The observed rates for the stroke (</w:t>
      </w:r>
      <w:r w:rsidR="00511F1C" w:rsidRPr="007C488A">
        <w:t>24-month</w:t>
      </w:r>
      <w:r w:rsidRPr="007C488A">
        <w:t xml:space="preserve"> endpoint</w:t>
      </w:r>
      <w:r w:rsidR="00511F1C" w:rsidRPr="007C488A">
        <w:t xml:space="preserve">) in the </w:t>
      </w:r>
      <w:r w:rsidRPr="007C488A">
        <w:t>two-step</w:t>
      </w:r>
      <w:r w:rsidR="00511F1C" w:rsidRPr="007C488A">
        <w:t xml:space="preserve"> ITC was</w:t>
      </w:r>
      <w:r w:rsidRPr="007C488A">
        <w:t xml:space="preserve"> 0.90 </w:t>
      </w:r>
      <w:r w:rsidR="00511F1C" w:rsidRPr="007C488A">
        <w:t xml:space="preserve">(95% CI: </w:t>
      </w:r>
      <w:r w:rsidRPr="007C488A">
        <w:t>0.11, 7.10</w:t>
      </w:r>
      <w:r w:rsidR="00511F1C" w:rsidRPr="007C488A">
        <w:t>) and in the</w:t>
      </w:r>
      <w:r w:rsidRPr="007C488A">
        <w:t xml:space="preserve"> one-</w:t>
      </w:r>
      <w:r w:rsidR="00511F1C" w:rsidRPr="007C488A">
        <w:t>step 0.58</w:t>
      </w:r>
      <w:r w:rsidRPr="007C488A">
        <w:t xml:space="preserve"> </w:t>
      </w:r>
      <w:r w:rsidR="00511F1C" w:rsidRPr="007C488A">
        <w:t>(95% CI: not estimated). S</w:t>
      </w:r>
      <w:r w:rsidRPr="007C488A">
        <w:t xml:space="preserve">epsis </w:t>
      </w:r>
      <w:r w:rsidR="00511F1C" w:rsidRPr="007C488A">
        <w:t xml:space="preserve">at the </w:t>
      </w:r>
      <w:r w:rsidRPr="007C488A">
        <w:t>24</w:t>
      </w:r>
      <w:r w:rsidR="00511F1C" w:rsidRPr="007C488A">
        <w:t>-</w:t>
      </w:r>
      <w:r w:rsidRPr="007C488A">
        <w:t>month endpoint</w:t>
      </w:r>
      <w:r w:rsidR="00511F1C" w:rsidRPr="007C488A">
        <w:t xml:space="preserve"> for </w:t>
      </w:r>
      <w:r w:rsidR="006B758C" w:rsidRPr="007C488A">
        <w:t>the two</w:t>
      </w:r>
      <w:r w:rsidRPr="007C488A">
        <w:t>-step</w:t>
      </w:r>
      <w:r w:rsidR="00511F1C" w:rsidRPr="007C488A">
        <w:t xml:space="preserve"> ITC was </w:t>
      </w:r>
      <w:r w:rsidRPr="007C488A">
        <w:t xml:space="preserve">0.70 </w:t>
      </w:r>
      <w:r w:rsidR="00511F1C" w:rsidRPr="007C488A">
        <w:t xml:space="preserve">(95% CI: </w:t>
      </w:r>
      <w:r w:rsidRPr="007C488A">
        <w:t>0.28, 1.</w:t>
      </w:r>
      <w:r w:rsidR="00A64171" w:rsidRPr="007C488A">
        <w:t>76</w:t>
      </w:r>
      <w:r w:rsidR="00511F1C" w:rsidRPr="007C488A">
        <w:t xml:space="preserve">), </w:t>
      </w:r>
      <w:r w:rsidRPr="007C488A">
        <w:t xml:space="preserve">numerically in favour of HM3. </w:t>
      </w:r>
    </w:p>
    <w:p w14:paraId="4A8D618A" w14:textId="5C59CF1F" w:rsidR="00C06ED3" w:rsidRPr="007C488A" w:rsidRDefault="00C06ED3" w:rsidP="00C32FED">
      <w:pPr>
        <w:jc w:val="both"/>
      </w:pPr>
      <w:r w:rsidRPr="007C488A">
        <w:t xml:space="preserve">In the Momentum 3 RCT adverse events were not reported based on the intend use for HM3 and HM2 arms separately. Therefore, </w:t>
      </w:r>
      <w:r w:rsidR="006B758C" w:rsidRPr="007C488A">
        <w:t>the data</w:t>
      </w:r>
      <w:r w:rsidRPr="007C488A">
        <w:t xml:space="preserve"> from </w:t>
      </w:r>
      <w:r w:rsidR="003D08C3" w:rsidRPr="007C488A">
        <w:t>MOMENTUM</w:t>
      </w:r>
      <w:r w:rsidRPr="007C488A">
        <w:t xml:space="preserve"> 3 RCT for common SAEs were related to the entire cohort not only DT patients</w:t>
      </w:r>
      <w:r w:rsidR="001806F8" w:rsidRPr="007C488A">
        <w:t xml:space="preserve"> relevant for this application.</w:t>
      </w:r>
      <w:r w:rsidRPr="007C488A">
        <w:t xml:space="preserve"> </w:t>
      </w:r>
    </w:p>
    <w:p w14:paraId="6995E8A0" w14:textId="12698D07" w:rsidR="00104FDA" w:rsidRPr="007C488A" w:rsidRDefault="000D3F41" w:rsidP="00036A70">
      <w:pPr>
        <w:jc w:val="both"/>
      </w:pPr>
      <w:r w:rsidRPr="007C488A">
        <w:t>Overall, the commentary considered t</w:t>
      </w:r>
      <w:r w:rsidR="00ED76E7" w:rsidRPr="007C488A">
        <w:t>he safety analysis was limited by the indirect nature of the comparison and the lack of safety data</w:t>
      </w:r>
      <w:r w:rsidR="00036A70" w:rsidRPr="007C488A">
        <w:t xml:space="preserve">. The differences in the characteristics of the trials such as the intent of treatment (i.e., DT), INTERMACS scores, follow-up duration, and differences in the demographics of participants affect the transitivity of the studies in the ITC. Furthermore, </w:t>
      </w:r>
      <w:r w:rsidR="00E953EC" w:rsidRPr="007C488A">
        <w:t xml:space="preserve">underreporting of </w:t>
      </w:r>
      <w:r w:rsidR="00104FDA" w:rsidRPr="007C488A">
        <w:t xml:space="preserve">worsening </w:t>
      </w:r>
      <w:r w:rsidRPr="007C488A">
        <w:t>HF</w:t>
      </w:r>
      <w:r w:rsidR="00104FDA" w:rsidRPr="007C488A">
        <w:t xml:space="preserve"> and rehospitalisation</w:t>
      </w:r>
      <w:r w:rsidR="00E953EC" w:rsidRPr="007C488A">
        <w:t xml:space="preserve"> outcome</w:t>
      </w:r>
      <w:r w:rsidR="00104FDA" w:rsidRPr="007C488A">
        <w:t>s</w:t>
      </w:r>
      <w:r w:rsidR="00E953EC" w:rsidRPr="007C488A">
        <w:t xml:space="preserve"> in the MOMENTUM 3 and REMATCH trials did not allow for ITCs</w:t>
      </w:r>
      <w:r w:rsidR="00C97D25" w:rsidRPr="007C488A">
        <w:t xml:space="preserve"> </w:t>
      </w:r>
      <w:r w:rsidR="00E953EC" w:rsidRPr="007C488A">
        <w:t xml:space="preserve">of HM3 versus OMM. </w:t>
      </w:r>
    </w:p>
    <w:p w14:paraId="3717AA01" w14:textId="7BCFEEF9" w:rsidR="00772829" w:rsidRPr="007C488A" w:rsidRDefault="00D92D23" w:rsidP="002A18BE">
      <w:pPr>
        <w:pStyle w:val="Heading2"/>
        <w:numPr>
          <w:ilvl w:val="0"/>
          <w:numId w:val="0"/>
        </w:numPr>
      </w:pPr>
      <w:bookmarkStart w:id="29" w:name="_Toc69491424"/>
      <w:r w:rsidRPr="007C488A">
        <w:t>12</w:t>
      </w:r>
      <w:r w:rsidR="00C36633" w:rsidRPr="007C488A">
        <w:t>.</w:t>
      </w:r>
      <w:r w:rsidR="00C36633" w:rsidRPr="007C488A">
        <w:tab/>
      </w:r>
      <w:r w:rsidR="00772829" w:rsidRPr="007C488A">
        <w:t>Comparative effectiveness</w:t>
      </w:r>
      <w:bookmarkEnd w:id="29"/>
    </w:p>
    <w:p w14:paraId="70715604" w14:textId="499DA67F" w:rsidR="00611DA6" w:rsidRPr="007C488A" w:rsidRDefault="00611DA6" w:rsidP="00611DA6">
      <w:pPr>
        <w:spacing w:line="240" w:lineRule="auto"/>
      </w:pPr>
      <w:r w:rsidRPr="007C488A">
        <w:t>The AD</w:t>
      </w:r>
      <w:r w:rsidR="00997DE0" w:rsidRPr="007C488A">
        <w:t>AR</w:t>
      </w:r>
      <w:r w:rsidRPr="007C488A">
        <w:t xml:space="preserve"> presented the effectiveness evidence based on following indirect </w:t>
      </w:r>
      <w:r w:rsidR="007234AA" w:rsidRPr="007C488A">
        <w:t>comparisons</w:t>
      </w:r>
      <w:r w:rsidRPr="007C488A">
        <w:t>.</w:t>
      </w:r>
    </w:p>
    <w:p w14:paraId="44F16C65" w14:textId="784716DB" w:rsidR="00022CFF" w:rsidRPr="007C488A" w:rsidRDefault="00022CFF" w:rsidP="00DC74C9">
      <w:pPr>
        <w:pStyle w:val="ListParagraph"/>
        <w:numPr>
          <w:ilvl w:val="0"/>
          <w:numId w:val="13"/>
        </w:numPr>
        <w:spacing w:before="0" w:after="0" w:line="240" w:lineRule="auto"/>
        <w:jc w:val="both"/>
      </w:pPr>
      <w:r w:rsidRPr="007C488A">
        <w:t xml:space="preserve">Two-step Bucher ITC: OS in the As-Treated DT population at two </w:t>
      </w:r>
      <w:r w:rsidR="006269D7" w:rsidRPr="007C488A">
        <w:t xml:space="preserve">and five </w:t>
      </w:r>
      <w:r w:rsidRPr="007C488A">
        <w:t>years</w:t>
      </w:r>
      <w:r w:rsidR="00A64171" w:rsidRPr="007C488A">
        <w:t xml:space="preserve"> </w:t>
      </w:r>
      <w:r w:rsidRPr="007C488A">
        <w:t>(MOMENTUM 3/Slaughter (2009)/REMATCH)</w:t>
      </w:r>
    </w:p>
    <w:p w14:paraId="04382FDB" w14:textId="7E61BEE4" w:rsidR="00611DA6" w:rsidRPr="007C488A" w:rsidRDefault="00611DA6" w:rsidP="00DC74C9">
      <w:pPr>
        <w:pStyle w:val="ListParagraph"/>
        <w:numPr>
          <w:ilvl w:val="0"/>
          <w:numId w:val="13"/>
        </w:numPr>
        <w:spacing w:before="0" w:after="0" w:line="240" w:lineRule="auto"/>
        <w:jc w:val="both"/>
        <w:rPr>
          <w:u w:val="single"/>
        </w:rPr>
      </w:pPr>
      <w:r w:rsidRPr="007C488A">
        <w:t>One-step Bucher ITC:</w:t>
      </w:r>
      <w:r w:rsidR="007234AA" w:rsidRPr="007C488A">
        <w:t xml:space="preserve"> OS in the As-Treated DT population at two years (MOMENTUM 3 and ROADMAP)</w:t>
      </w:r>
    </w:p>
    <w:p w14:paraId="0992DFB7" w14:textId="5F59F192" w:rsidR="00611DA6" w:rsidRPr="007C488A" w:rsidRDefault="007234AA" w:rsidP="00DC74C9">
      <w:pPr>
        <w:pStyle w:val="ListParagraph"/>
        <w:numPr>
          <w:ilvl w:val="0"/>
          <w:numId w:val="13"/>
        </w:numPr>
        <w:spacing w:before="0" w:after="0" w:line="240" w:lineRule="auto"/>
        <w:jc w:val="both"/>
      </w:pPr>
      <w:r w:rsidRPr="007C488A">
        <w:t>Naïve ITC:</w:t>
      </w:r>
      <w:r w:rsidR="00B8115C" w:rsidRPr="007C488A">
        <w:t xml:space="preserve"> </w:t>
      </w:r>
      <w:r w:rsidR="00611DA6" w:rsidRPr="007C488A">
        <w:t>OS in the As-Treated DT population in MOMENTUM 3 and ROADMAP, and OS in the ITT population in REMATCH, at two years</w:t>
      </w:r>
      <w:r w:rsidR="00B8115C" w:rsidRPr="007C488A">
        <w:t>, f</w:t>
      </w:r>
      <w:r w:rsidR="00611DA6" w:rsidRPr="007C488A">
        <w:t xml:space="preserve">unctional status as assessed by NYHA Classification and </w:t>
      </w:r>
      <w:r w:rsidR="00C04BC8" w:rsidRPr="007C488A">
        <w:t>6-minute walk distance (</w:t>
      </w:r>
      <w:r w:rsidR="00611DA6" w:rsidRPr="007C488A">
        <w:t>6MWD</w:t>
      </w:r>
      <w:r w:rsidR="00C04BC8" w:rsidRPr="007C488A">
        <w:t>)</w:t>
      </w:r>
      <w:r w:rsidR="00611DA6" w:rsidRPr="007C488A">
        <w:t xml:space="preserve"> in MOMENTUM 3 and ROADMAP</w:t>
      </w:r>
      <w:r w:rsidR="00B8115C" w:rsidRPr="007C488A">
        <w:t xml:space="preserve"> and </w:t>
      </w:r>
      <w:r w:rsidR="00611DA6" w:rsidRPr="007C488A">
        <w:t xml:space="preserve">QoL as assessed by EQ-5D </w:t>
      </w:r>
      <w:r w:rsidR="0050550E" w:rsidRPr="007C488A">
        <w:t xml:space="preserve">visual analogue score (VAS) </w:t>
      </w:r>
      <w:r w:rsidR="00611DA6" w:rsidRPr="007C488A">
        <w:t>in MOMENTUM 3 and ROADMAP.</w:t>
      </w:r>
    </w:p>
    <w:p w14:paraId="3542810D" w14:textId="62948F32" w:rsidR="00DA1FE6" w:rsidRPr="007C488A" w:rsidRDefault="00C2309D" w:rsidP="00E17863">
      <w:pPr>
        <w:pStyle w:val="Heading3"/>
      </w:pPr>
      <w:r w:rsidRPr="007C488A">
        <w:t>Overall survival</w:t>
      </w:r>
    </w:p>
    <w:p w14:paraId="41182B86" w14:textId="61AB0883" w:rsidR="006156B6" w:rsidRPr="007C488A" w:rsidRDefault="00C91CA8" w:rsidP="006156B6">
      <w:pPr>
        <w:jc w:val="both"/>
      </w:pPr>
      <w:r w:rsidRPr="007C488A">
        <w:fldChar w:fldCharType="begin"/>
      </w:r>
      <w:r w:rsidRPr="007C488A">
        <w:instrText xml:space="preserve"> REF _Ref155618414 \h </w:instrText>
      </w:r>
      <w:r w:rsidR="007C488A">
        <w:instrText xml:space="preserve"> \* MERGEFORMAT </w:instrText>
      </w:r>
      <w:r w:rsidR="0063450D">
        <w:fldChar w:fldCharType="separate"/>
      </w:r>
      <w:r w:rsidRPr="007C488A">
        <w:fldChar w:fldCharType="end"/>
      </w:r>
      <w:r w:rsidR="00033161" w:rsidRPr="007C488A">
        <w:fldChar w:fldCharType="begin"/>
      </w:r>
      <w:r w:rsidR="00033161" w:rsidRPr="007C488A">
        <w:instrText xml:space="preserve"> REF _Ref155618575 \h </w:instrText>
      </w:r>
      <w:r w:rsidR="007C488A">
        <w:instrText xml:space="preserve"> \* MERGEFORMAT </w:instrText>
      </w:r>
      <w:r w:rsidR="00033161" w:rsidRPr="007C488A">
        <w:fldChar w:fldCharType="separate"/>
      </w:r>
      <w:r w:rsidR="00033161" w:rsidRPr="007C488A">
        <w:t xml:space="preserve">Table </w:t>
      </w:r>
      <w:r w:rsidR="00033161" w:rsidRPr="007C488A">
        <w:rPr>
          <w:noProof/>
        </w:rPr>
        <w:t>5</w:t>
      </w:r>
      <w:r w:rsidR="00033161" w:rsidRPr="007C488A">
        <w:fldChar w:fldCharType="end"/>
      </w:r>
      <w:r w:rsidRPr="007C488A">
        <w:t xml:space="preserve"> </w:t>
      </w:r>
      <w:r w:rsidR="006156B6" w:rsidRPr="007C488A">
        <w:t>reports the evidence profile for the effectiveness ITC of HM3 vs OMM in DT based on OS</w:t>
      </w:r>
      <w:r w:rsidR="00F877E4" w:rsidRPr="007C488A">
        <w:t>.</w:t>
      </w:r>
      <w:r w:rsidR="00E17863" w:rsidRPr="007C488A">
        <w:fldChar w:fldCharType="begin"/>
      </w:r>
      <w:r w:rsidR="00E17863" w:rsidRPr="007C488A">
        <w:instrText xml:space="preserve"> REF _Ref155619472 \h </w:instrText>
      </w:r>
      <w:r w:rsidR="007C488A">
        <w:instrText xml:space="preserve"> \* MERGEFORMAT </w:instrText>
      </w:r>
      <w:r w:rsidR="0063450D">
        <w:fldChar w:fldCharType="separate"/>
      </w:r>
      <w:r w:rsidR="00E17863" w:rsidRPr="007C488A">
        <w:fldChar w:fldCharType="end"/>
      </w:r>
      <w:r w:rsidR="00E17863" w:rsidRPr="007C488A">
        <w:t xml:space="preserve"> </w:t>
      </w:r>
      <w:r w:rsidR="00033161" w:rsidRPr="007C488A">
        <w:fldChar w:fldCharType="begin"/>
      </w:r>
      <w:r w:rsidR="00033161" w:rsidRPr="007C488A">
        <w:instrText xml:space="preserve"> REF _Ref155619940 \h </w:instrText>
      </w:r>
      <w:r w:rsidR="007C488A">
        <w:instrText xml:space="preserve"> \* MERGEFORMAT </w:instrText>
      </w:r>
      <w:r w:rsidR="00033161" w:rsidRPr="007C488A">
        <w:fldChar w:fldCharType="separate"/>
      </w:r>
      <w:r w:rsidR="00033161" w:rsidRPr="007C488A">
        <w:t xml:space="preserve">Figure </w:t>
      </w:r>
      <w:r w:rsidR="00033161" w:rsidRPr="007C488A">
        <w:rPr>
          <w:noProof/>
        </w:rPr>
        <w:t>2</w:t>
      </w:r>
      <w:r w:rsidR="00033161" w:rsidRPr="007C488A">
        <w:fldChar w:fldCharType="end"/>
      </w:r>
      <w:r w:rsidR="00E17863" w:rsidRPr="007C488A">
        <w:t xml:space="preserve"> </w:t>
      </w:r>
      <w:r w:rsidR="00176FCF" w:rsidRPr="007C488A">
        <w:t>presents an overlay of the OS curves for patients eligible for LVAD as DT in the MOMENTUM 3 (</w:t>
      </w:r>
      <w:r w:rsidR="001806F8" w:rsidRPr="007C488A">
        <w:t>98</w:t>
      </w:r>
      <w:r w:rsidR="00176FCF" w:rsidRPr="007C488A">
        <w:t xml:space="preserve">% of the patients were INTERMACS 1–4), ROADMAP (INTERMACS 4) and </w:t>
      </w:r>
      <w:r w:rsidR="00D06A17" w:rsidRPr="007C488A">
        <w:t>REMATCH trials</w:t>
      </w:r>
      <w:r w:rsidR="00176FCF" w:rsidRPr="007C488A">
        <w:t xml:space="preserve"> (suggestive of INTERMACS 1–</w:t>
      </w:r>
      <w:r w:rsidR="006B758C" w:rsidRPr="007C488A">
        <w:t>3)</w:t>
      </w:r>
      <w:r w:rsidR="00176FCF" w:rsidRPr="007C488A">
        <w:t>.</w:t>
      </w:r>
    </w:p>
    <w:p w14:paraId="2F011C64" w14:textId="77777777" w:rsidR="00A323DA" w:rsidRPr="007C488A" w:rsidRDefault="00A323DA" w:rsidP="00E1134E">
      <w:pPr>
        <w:sectPr w:rsidR="00A323DA" w:rsidRPr="007C488A" w:rsidSect="00394DC8">
          <w:pgSz w:w="11906" w:h="16838"/>
          <w:pgMar w:top="1440" w:right="1440" w:bottom="1440" w:left="1440" w:header="708" w:footer="708" w:gutter="0"/>
          <w:cols w:space="708"/>
          <w:docGrid w:linePitch="360"/>
        </w:sectPr>
      </w:pPr>
    </w:p>
    <w:p w14:paraId="0650C0C7" w14:textId="774C2BA2" w:rsidR="00C91CA8" w:rsidRPr="007C488A" w:rsidRDefault="00C91CA8" w:rsidP="006C4D49">
      <w:pPr>
        <w:pStyle w:val="Caption"/>
      </w:pPr>
      <w:bookmarkStart w:id="30" w:name="_Ref155618575"/>
      <w:r w:rsidRPr="007C488A">
        <w:lastRenderedPageBreak/>
        <w:t xml:space="preserve">Table </w:t>
      </w:r>
      <w:r w:rsidRPr="007C488A">
        <w:fldChar w:fldCharType="begin"/>
      </w:r>
      <w:r w:rsidRPr="007C488A">
        <w:instrText>SEQ Table \* ARABIC</w:instrText>
      </w:r>
      <w:r w:rsidRPr="007C488A">
        <w:fldChar w:fldCharType="separate"/>
      </w:r>
      <w:r w:rsidR="00406484" w:rsidRPr="007C488A">
        <w:rPr>
          <w:noProof/>
        </w:rPr>
        <w:t>5</w:t>
      </w:r>
      <w:r w:rsidRPr="007C488A">
        <w:fldChar w:fldCharType="end"/>
      </w:r>
      <w:bookmarkEnd w:id="30"/>
      <w:r w:rsidRPr="007C488A">
        <w:t>: Evidence profile table for the effectiveness ITC of HM3 vs OMM</w:t>
      </w:r>
    </w:p>
    <w:tbl>
      <w:tblPr>
        <w:tblStyle w:val="TableGrid"/>
        <w:tblW w:w="5000" w:type="pct"/>
        <w:tblLook w:val="04A0" w:firstRow="1" w:lastRow="0" w:firstColumn="1" w:lastColumn="0" w:noHBand="0" w:noVBand="1"/>
      </w:tblPr>
      <w:tblGrid>
        <w:gridCol w:w="1131"/>
        <w:gridCol w:w="1844"/>
        <w:gridCol w:w="1841"/>
        <w:gridCol w:w="1559"/>
        <w:gridCol w:w="1559"/>
        <w:gridCol w:w="1417"/>
        <w:gridCol w:w="4597"/>
      </w:tblGrid>
      <w:tr w:rsidR="0081519D" w:rsidRPr="007C488A" w14:paraId="1B3CA053" w14:textId="77777777" w:rsidTr="007D1A1F">
        <w:trPr>
          <w:trHeight w:val="263"/>
        </w:trPr>
        <w:tc>
          <w:tcPr>
            <w:tcW w:w="405" w:type="pct"/>
          </w:tcPr>
          <w:p w14:paraId="2DDBE303"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 xml:space="preserve">Outcome </w:t>
            </w:r>
          </w:p>
        </w:tc>
        <w:tc>
          <w:tcPr>
            <w:tcW w:w="661" w:type="pct"/>
          </w:tcPr>
          <w:p w14:paraId="67A0AF79"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No. of studies and study design</w:t>
            </w:r>
          </w:p>
        </w:tc>
        <w:tc>
          <w:tcPr>
            <w:tcW w:w="660" w:type="pct"/>
          </w:tcPr>
          <w:p w14:paraId="1A789671"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HM3 vs HM XVE (via HM2) HR [95%CI]</w:t>
            </w:r>
          </w:p>
        </w:tc>
        <w:tc>
          <w:tcPr>
            <w:tcW w:w="559" w:type="pct"/>
          </w:tcPr>
          <w:p w14:paraId="1F302C98"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OMM vs HM XVE HR [95%CI]</w:t>
            </w:r>
          </w:p>
        </w:tc>
        <w:tc>
          <w:tcPr>
            <w:tcW w:w="559" w:type="pct"/>
          </w:tcPr>
          <w:p w14:paraId="162B77E5"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 xml:space="preserve">IEE: HM3 vs OMM HR [95%CI] </w:t>
            </w:r>
          </w:p>
        </w:tc>
        <w:tc>
          <w:tcPr>
            <w:tcW w:w="508" w:type="pct"/>
          </w:tcPr>
          <w:p w14:paraId="1CA35A45" w14:textId="77777777" w:rsidR="009E37D6" w:rsidRPr="007C488A" w:rsidRDefault="009E37D6" w:rsidP="00F54EE3">
            <w:pPr>
              <w:spacing w:before="40" w:after="40"/>
              <w:rPr>
                <w:rFonts w:ascii="Cambria Math" w:eastAsia="Times New Roman" w:hAnsi="Cambria Math" w:cs="Tahoma"/>
                <w:color w:val="00B050"/>
                <w:sz w:val="20"/>
                <w:szCs w:val="20"/>
                <w:lang w:eastAsia="en-AU"/>
              </w:rPr>
            </w:pPr>
            <w:r w:rsidRPr="007C488A">
              <w:rPr>
                <w:rFonts w:ascii="Arial Narrow" w:eastAsia="Times New Roman" w:hAnsi="Arial Narrow" w:cs="Tahoma"/>
                <w:b/>
                <w:bCs/>
                <w:sz w:val="20"/>
                <w:szCs w:val="20"/>
                <w:lang w:eastAsia="en-AU"/>
              </w:rPr>
              <w:t>Quality</w:t>
            </w:r>
          </w:p>
        </w:tc>
        <w:tc>
          <w:tcPr>
            <w:tcW w:w="1648" w:type="pct"/>
          </w:tcPr>
          <w:p w14:paraId="41CAC6E2"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Importance</w:t>
            </w:r>
          </w:p>
        </w:tc>
      </w:tr>
      <w:tr w:rsidR="009E37D6" w:rsidRPr="007C488A" w14:paraId="3423BE4C" w14:textId="77777777" w:rsidTr="007D1A1F">
        <w:trPr>
          <w:trHeight w:val="263"/>
        </w:trPr>
        <w:tc>
          <w:tcPr>
            <w:tcW w:w="5000" w:type="pct"/>
            <w:gridSpan w:val="7"/>
          </w:tcPr>
          <w:p w14:paraId="7FDF49EB"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lang w:eastAsia="en-AU"/>
              </w:rPr>
              <w:t>Two-step Bucher ITC (REMATCH)</w:t>
            </w:r>
          </w:p>
        </w:tc>
      </w:tr>
      <w:tr w:rsidR="0081519D" w:rsidRPr="007C488A" w14:paraId="57A153A5" w14:textId="77777777" w:rsidTr="007D1A1F">
        <w:trPr>
          <w:trHeight w:val="263"/>
        </w:trPr>
        <w:tc>
          <w:tcPr>
            <w:tcW w:w="405" w:type="pct"/>
          </w:tcPr>
          <w:p w14:paraId="5A484240"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OS, 2 years </w:t>
            </w:r>
          </w:p>
        </w:tc>
        <w:tc>
          <w:tcPr>
            <w:tcW w:w="661" w:type="pct"/>
          </w:tcPr>
          <w:p w14:paraId="21226685"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ITC of RCTs</w:t>
            </w:r>
          </w:p>
          <w:p w14:paraId="3FC3CAEB"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K=3; N=953</w:t>
            </w:r>
          </w:p>
        </w:tc>
        <w:tc>
          <w:tcPr>
            <w:tcW w:w="660" w:type="pct"/>
          </w:tcPr>
          <w:p w14:paraId="554C619A"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0.47 [0.27, 0.83] </w:t>
            </w:r>
          </w:p>
        </w:tc>
        <w:tc>
          <w:tcPr>
            <w:tcW w:w="559" w:type="pct"/>
          </w:tcPr>
          <w:p w14:paraId="6E492EAE"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1.92 [1.28, 2.94]</w:t>
            </w:r>
          </w:p>
        </w:tc>
        <w:tc>
          <w:tcPr>
            <w:tcW w:w="559" w:type="pct"/>
          </w:tcPr>
          <w:p w14:paraId="0890ABF8"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0.24 [0.12, 0.49]; p=0.0001</w:t>
            </w:r>
          </w:p>
        </w:tc>
        <w:tc>
          <w:tcPr>
            <w:tcW w:w="508" w:type="pct"/>
          </w:tcPr>
          <w:p w14:paraId="31220C28"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023923D1"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MODERATE </w:t>
            </w:r>
            <w:r w:rsidRPr="007C488A">
              <w:rPr>
                <w:rFonts w:ascii="Arial Narrow" w:eastAsia="Times New Roman" w:hAnsi="Arial Narrow" w:cs="Tahoma"/>
                <w:sz w:val="20"/>
                <w:szCs w:val="20"/>
                <w:vertAlign w:val="superscript"/>
                <w:lang w:eastAsia="en-AU"/>
              </w:rPr>
              <w:t>b</w:t>
            </w:r>
          </w:p>
          <w:p w14:paraId="651FAEC3" w14:textId="77777777" w:rsidR="009E37D6" w:rsidRPr="007C488A" w:rsidRDefault="009E37D6" w:rsidP="00F54EE3">
            <w:pPr>
              <w:spacing w:before="40" w:after="40"/>
              <w:rPr>
                <w:rFonts w:ascii="Cambria Math" w:eastAsia="Times New Roman" w:hAnsi="Cambria Math" w:cs="Tahoma"/>
                <w:color w:val="00B050"/>
                <w:sz w:val="20"/>
                <w:szCs w:val="20"/>
                <w:lang w:eastAsia="en-AU"/>
              </w:rPr>
            </w:pPr>
          </w:p>
        </w:tc>
        <w:tc>
          <w:tcPr>
            <w:tcW w:w="1648" w:type="pct"/>
          </w:tcPr>
          <w:p w14:paraId="0B8064A2"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The OS was statistically significantly greater for HM3 vs OMM over 2 years in a </w:t>
            </w:r>
            <w:proofErr w:type="gramStart"/>
            <w:r w:rsidRPr="007C488A">
              <w:rPr>
                <w:rFonts w:ascii="Arial Narrow" w:eastAsia="Times New Roman" w:hAnsi="Arial Narrow" w:cs="Tahoma"/>
                <w:sz w:val="20"/>
                <w:szCs w:val="20"/>
                <w:lang w:eastAsia="en-AU"/>
              </w:rPr>
              <w:t>well matched</w:t>
            </w:r>
            <w:proofErr w:type="gramEnd"/>
            <w:r w:rsidRPr="007C488A">
              <w:rPr>
                <w:rFonts w:ascii="Arial Narrow" w:eastAsia="Times New Roman" w:hAnsi="Arial Narrow" w:cs="Tahoma"/>
                <w:sz w:val="20"/>
                <w:szCs w:val="20"/>
                <w:lang w:eastAsia="en-AU"/>
              </w:rPr>
              <w:t xml:space="preserve"> population. However, the OMM in REMATCH was not contemporary.</w:t>
            </w:r>
          </w:p>
        </w:tc>
      </w:tr>
      <w:tr w:rsidR="0081519D" w:rsidRPr="007C488A" w14:paraId="69105C89" w14:textId="77777777" w:rsidTr="007D1A1F">
        <w:trPr>
          <w:trHeight w:val="263"/>
        </w:trPr>
        <w:tc>
          <w:tcPr>
            <w:tcW w:w="405" w:type="pct"/>
            <w:tcBorders>
              <w:bottom w:val="single" w:sz="4" w:space="0" w:color="auto"/>
            </w:tcBorders>
          </w:tcPr>
          <w:p w14:paraId="6312D501"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OS, 5 years</w:t>
            </w:r>
          </w:p>
        </w:tc>
        <w:tc>
          <w:tcPr>
            <w:tcW w:w="661" w:type="pct"/>
            <w:tcBorders>
              <w:bottom w:val="single" w:sz="4" w:space="0" w:color="auto"/>
            </w:tcBorders>
          </w:tcPr>
          <w:p w14:paraId="64826F10"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ITC of RCTs</w:t>
            </w:r>
          </w:p>
          <w:p w14:paraId="7AEBA1A2"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K=3; N=953</w:t>
            </w:r>
          </w:p>
        </w:tc>
        <w:tc>
          <w:tcPr>
            <w:tcW w:w="660" w:type="pct"/>
            <w:tcBorders>
              <w:bottom w:val="single" w:sz="4" w:space="0" w:color="auto"/>
            </w:tcBorders>
          </w:tcPr>
          <w:p w14:paraId="3CA4C87A"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0.38 [0.22, 0.64] </w:t>
            </w:r>
          </w:p>
        </w:tc>
        <w:tc>
          <w:tcPr>
            <w:tcW w:w="559" w:type="pct"/>
            <w:tcBorders>
              <w:bottom w:val="single" w:sz="4" w:space="0" w:color="auto"/>
            </w:tcBorders>
          </w:tcPr>
          <w:p w14:paraId="18ABB748"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1.92 [1.28, 2.94]</w:t>
            </w:r>
          </w:p>
        </w:tc>
        <w:tc>
          <w:tcPr>
            <w:tcW w:w="559" w:type="pct"/>
            <w:tcBorders>
              <w:bottom w:val="single" w:sz="4" w:space="0" w:color="auto"/>
            </w:tcBorders>
          </w:tcPr>
          <w:p w14:paraId="0EA2F929"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0.20 [0.10, 0.38]; p&lt;0.00001</w:t>
            </w:r>
          </w:p>
        </w:tc>
        <w:tc>
          <w:tcPr>
            <w:tcW w:w="508" w:type="pct"/>
            <w:tcBorders>
              <w:bottom w:val="single" w:sz="4" w:space="0" w:color="auto"/>
            </w:tcBorders>
          </w:tcPr>
          <w:p w14:paraId="1D3D4F9F"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5424434E"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LOW </w:t>
            </w:r>
            <w:r w:rsidRPr="007C488A">
              <w:rPr>
                <w:rFonts w:ascii="Arial Narrow" w:eastAsia="Times New Roman" w:hAnsi="Arial Narrow" w:cs="Tahoma"/>
                <w:sz w:val="20"/>
                <w:szCs w:val="20"/>
                <w:vertAlign w:val="superscript"/>
                <w:lang w:eastAsia="en-AU"/>
              </w:rPr>
              <w:t>b, d</w:t>
            </w:r>
          </w:p>
        </w:tc>
        <w:tc>
          <w:tcPr>
            <w:tcW w:w="1648" w:type="pct"/>
            <w:tcBorders>
              <w:bottom w:val="single" w:sz="4" w:space="0" w:color="auto"/>
            </w:tcBorders>
          </w:tcPr>
          <w:p w14:paraId="0E36D830"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The OS was statistically significantly greater for HM3 vs OMM over 5 </w:t>
            </w:r>
            <w:proofErr w:type="gramStart"/>
            <w:r w:rsidRPr="007C488A">
              <w:rPr>
                <w:rFonts w:ascii="Arial Narrow" w:eastAsia="Times New Roman" w:hAnsi="Arial Narrow" w:cs="Tahoma"/>
                <w:sz w:val="20"/>
                <w:szCs w:val="20"/>
                <w:lang w:eastAsia="en-AU"/>
              </w:rPr>
              <w:t>years;</w:t>
            </w:r>
            <w:proofErr w:type="gramEnd"/>
            <w:r w:rsidRPr="007C488A">
              <w:rPr>
                <w:rFonts w:ascii="Arial Narrow" w:eastAsia="Times New Roman" w:hAnsi="Arial Narrow" w:cs="Tahoma"/>
                <w:sz w:val="20"/>
                <w:szCs w:val="20"/>
                <w:lang w:eastAsia="en-AU"/>
              </w:rPr>
              <w:t xml:space="preserve"> in a well-matched population.</w:t>
            </w:r>
            <w:r w:rsidRPr="007C488A">
              <w:t xml:space="preserve"> </w:t>
            </w:r>
            <w:r w:rsidRPr="007C488A">
              <w:rPr>
                <w:rFonts w:ascii="Arial Narrow" w:eastAsia="Times New Roman" w:hAnsi="Arial Narrow" w:cs="Tahoma"/>
                <w:sz w:val="20"/>
                <w:szCs w:val="20"/>
                <w:lang w:eastAsia="en-AU"/>
              </w:rPr>
              <w:t>However, the OMM in REMATCH was not contemporary.</w:t>
            </w:r>
          </w:p>
        </w:tc>
      </w:tr>
      <w:tr w:rsidR="009E37D6" w:rsidRPr="007C488A" w14:paraId="257C3126" w14:textId="77777777" w:rsidTr="007D1A1F">
        <w:trPr>
          <w:trHeight w:val="263"/>
        </w:trPr>
        <w:tc>
          <w:tcPr>
            <w:tcW w:w="5000" w:type="pct"/>
            <w:gridSpan w:val="7"/>
            <w:tcBorders>
              <w:bottom w:val="single" w:sz="4" w:space="0" w:color="auto"/>
            </w:tcBorders>
            <w:shd w:val="clear" w:color="auto" w:fill="FFFFFF" w:themeFill="background1"/>
          </w:tcPr>
          <w:p w14:paraId="33BAEF54"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One-step Bucher ITC (ROADMAP)</w:t>
            </w:r>
          </w:p>
        </w:tc>
      </w:tr>
      <w:tr w:rsidR="0081519D" w:rsidRPr="007C488A" w14:paraId="2980879A" w14:textId="77777777" w:rsidTr="0081519D">
        <w:trPr>
          <w:trHeight w:val="263"/>
        </w:trPr>
        <w:tc>
          <w:tcPr>
            <w:tcW w:w="405" w:type="pct"/>
            <w:tcBorders>
              <w:bottom w:val="single" w:sz="4" w:space="0" w:color="auto"/>
            </w:tcBorders>
            <w:shd w:val="clear" w:color="auto" w:fill="FFFFFF" w:themeFill="background1"/>
          </w:tcPr>
          <w:p w14:paraId="28764B29"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 xml:space="preserve">Outcome </w:t>
            </w:r>
          </w:p>
        </w:tc>
        <w:tc>
          <w:tcPr>
            <w:tcW w:w="661" w:type="pct"/>
            <w:tcBorders>
              <w:bottom w:val="single" w:sz="4" w:space="0" w:color="auto"/>
            </w:tcBorders>
            <w:shd w:val="clear" w:color="auto" w:fill="FFFFFF" w:themeFill="background1"/>
          </w:tcPr>
          <w:p w14:paraId="5D2E1AE4"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No. of studies and study design</w:t>
            </w:r>
          </w:p>
        </w:tc>
        <w:tc>
          <w:tcPr>
            <w:tcW w:w="660" w:type="pct"/>
            <w:tcBorders>
              <w:bottom w:val="single" w:sz="4" w:space="0" w:color="auto"/>
            </w:tcBorders>
            <w:shd w:val="clear" w:color="auto" w:fill="FFFFFF" w:themeFill="background1"/>
          </w:tcPr>
          <w:p w14:paraId="4CCA831B"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HM3 vs HM2</w:t>
            </w:r>
          </w:p>
        </w:tc>
        <w:tc>
          <w:tcPr>
            <w:tcW w:w="559" w:type="pct"/>
            <w:tcBorders>
              <w:bottom w:val="single" w:sz="4" w:space="0" w:color="auto"/>
            </w:tcBorders>
            <w:shd w:val="clear" w:color="auto" w:fill="FFFFFF" w:themeFill="background1"/>
          </w:tcPr>
          <w:p w14:paraId="10147A54"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OMM vs HM2</w:t>
            </w:r>
          </w:p>
        </w:tc>
        <w:tc>
          <w:tcPr>
            <w:tcW w:w="559" w:type="pct"/>
            <w:tcBorders>
              <w:bottom w:val="single" w:sz="4" w:space="0" w:color="auto"/>
            </w:tcBorders>
            <w:shd w:val="clear" w:color="auto" w:fill="FFFFFF" w:themeFill="background1"/>
          </w:tcPr>
          <w:p w14:paraId="7CA5A1FB"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 xml:space="preserve">IEE: HM3 vs OMM </w:t>
            </w:r>
          </w:p>
        </w:tc>
        <w:tc>
          <w:tcPr>
            <w:tcW w:w="508" w:type="pct"/>
            <w:tcBorders>
              <w:bottom w:val="single" w:sz="4" w:space="0" w:color="auto"/>
            </w:tcBorders>
            <w:shd w:val="clear" w:color="auto" w:fill="FFFFFF" w:themeFill="background1"/>
          </w:tcPr>
          <w:p w14:paraId="79442699"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Quality</w:t>
            </w:r>
          </w:p>
        </w:tc>
        <w:tc>
          <w:tcPr>
            <w:tcW w:w="1648" w:type="pct"/>
            <w:tcBorders>
              <w:bottom w:val="single" w:sz="4" w:space="0" w:color="auto"/>
            </w:tcBorders>
            <w:shd w:val="clear" w:color="auto" w:fill="FFFFFF" w:themeFill="background1"/>
          </w:tcPr>
          <w:p w14:paraId="4689A4B5"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Importance</w:t>
            </w:r>
          </w:p>
        </w:tc>
      </w:tr>
      <w:tr w:rsidR="0081519D" w:rsidRPr="007C488A" w14:paraId="30CDD1DD" w14:textId="77777777" w:rsidTr="007D1A1F">
        <w:trPr>
          <w:trHeight w:val="263"/>
        </w:trPr>
        <w:tc>
          <w:tcPr>
            <w:tcW w:w="405" w:type="pct"/>
          </w:tcPr>
          <w:p w14:paraId="42DEDC3D"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OS, 2 years </w:t>
            </w:r>
          </w:p>
        </w:tc>
        <w:tc>
          <w:tcPr>
            <w:tcW w:w="661" w:type="pct"/>
          </w:tcPr>
          <w:p w14:paraId="7AB3D9F6"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ITC of RCT and non-RCT; K=2; N=1228</w:t>
            </w:r>
          </w:p>
        </w:tc>
        <w:tc>
          <w:tcPr>
            <w:tcW w:w="660" w:type="pct"/>
          </w:tcPr>
          <w:p w14:paraId="60BDAF59"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0.87 [0.63, 1.20] </w:t>
            </w:r>
          </w:p>
        </w:tc>
        <w:tc>
          <w:tcPr>
            <w:tcW w:w="559" w:type="pct"/>
          </w:tcPr>
          <w:p w14:paraId="67FCC245"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2.30 [1.50, 3.70]</w:t>
            </w:r>
          </w:p>
        </w:tc>
        <w:tc>
          <w:tcPr>
            <w:tcW w:w="559" w:type="pct"/>
          </w:tcPr>
          <w:p w14:paraId="66B5C235"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0.38 (0.22, 0.66); p=0.0006</w:t>
            </w:r>
          </w:p>
        </w:tc>
        <w:tc>
          <w:tcPr>
            <w:tcW w:w="508" w:type="pct"/>
          </w:tcPr>
          <w:p w14:paraId="65E84FBB"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1C47A907"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LOW </w:t>
            </w:r>
            <w:r w:rsidRPr="007C488A">
              <w:rPr>
                <w:rFonts w:ascii="Arial Narrow" w:eastAsia="Times New Roman" w:hAnsi="Arial Narrow" w:cs="Tahoma"/>
                <w:sz w:val="20"/>
                <w:szCs w:val="20"/>
                <w:vertAlign w:val="superscript"/>
                <w:lang w:eastAsia="en-AU"/>
              </w:rPr>
              <w:t>a</w:t>
            </w:r>
          </w:p>
        </w:tc>
        <w:tc>
          <w:tcPr>
            <w:tcW w:w="1648" w:type="pct"/>
          </w:tcPr>
          <w:p w14:paraId="042C4132"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The OS was statistically significantly greater for HM3 vs OMM over 2 years; however, the ITC is biased against HM3 given ROADMAP participants were less ill than MOMENTUM 3. </w:t>
            </w:r>
          </w:p>
        </w:tc>
      </w:tr>
      <w:tr w:rsidR="0081519D" w:rsidRPr="007C488A" w14:paraId="51F19FFE" w14:textId="77777777" w:rsidTr="007D1A1F">
        <w:trPr>
          <w:trHeight w:val="263"/>
        </w:trPr>
        <w:tc>
          <w:tcPr>
            <w:tcW w:w="405" w:type="pct"/>
          </w:tcPr>
          <w:p w14:paraId="62F8D5B0"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OS, 2 years: IM 4</w:t>
            </w:r>
          </w:p>
        </w:tc>
        <w:tc>
          <w:tcPr>
            <w:tcW w:w="661" w:type="pct"/>
          </w:tcPr>
          <w:p w14:paraId="7F2AA8EF"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ITC of RCT and non-RCT; K=2; N=722</w:t>
            </w:r>
          </w:p>
        </w:tc>
        <w:tc>
          <w:tcPr>
            <w:tcW w:w="660" w:type="pct"/>
          </w:tcPr>
          <w:p w14:paraId="229FDD86"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0.87 [0.63, 1.20]</w:t>
            </w:r>
          </w:p>
        </w:tc>
        <w:tc>
          <w:tcPr>
            <w:tcW w:w="559" w:type="pct"/>
          </w:tcPr>
          <w:p w14:paraId="6A022B87"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 [1.6, 5.5]</w:t>
            </w:r>
          </w:p>
        </w:tc>
        <w:tc>
          <w:tcPr>
            <w:tcW w:w="559" w:type="pct"/>
          </w:tcPr>
          <w:p w14:paraId="704CCFAE"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0.29 [0.15, 0.58]; p=0.0005</w:t>
            </w:r>
          </w:p>
        </w:tc>
        <w:tc>
          <w:tcPr>
            <w:tcW w:w="508" w:type="pct"/>
          </w:tcPr>
          <w:p w14:paraId="4DC826CB"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128518D5" w14:textId="77777777" w:rsidR="009E37D6" w:rsidRPr="007C488A" w:rsidRDefault="009E37D6" w:rsidP="00F54EE3">
            <w:pPr>
              <w:spacing w:before="40" w:after="40"/>
              <w:rPr>
                <w:rFonts w:ascii="Cambria Math" w:eastAsia="Times New Roman" w:hAnsi="Cambria Math" w:cs="Tahoma"/>
                <w:color w:val="00B050"/>
                <w:sz w:val="20"/>
                <w:szCs w:val="20"/>
                <w:lang w:eastAsia="en-AU"/>
              </w:rPr>
            </w:pPr>
            <w:r w:rsidRPr="007C488A">
              <w:rPr>
                <w:rFonts w:ascii="Arial Narrow" w:eastAsia="Times New Roman" w:hAnsi="Arial Narrow" w:cs="Tahoma"/>
                <w:sz w:val="20"/>
                <w:szCs w:val="20"/>
                <w:lang w:eastAsia="en-AU"/>
              </w:rPr>
              <w:t xml:space="preserve">LOW </w:t>
            </w:r>
            <w:r w:rsidRPr="007C488A">
              <w:rPr>
                <w:rFonts w:ascii="Arial Narrow" w:eastAsia="Times New Roman" w:hAnsi="Arial Narrow" w:cs="Tahoma"/>
                <w:sz w:val="20"/>
                <w:szCs w:val="20"/>
                <w:vertAlign w:val="superscript"/>
                <w:lang w:eastAsia="en-AU"/>
              </w:rPr>
              <w:t>a</w:t>
            </w:r>
          </w:p>
        </w:tc>
        <w:tc>
          <w:tcPr>
            <w:tcW w:w="1648" w:type="pct"/>
          </w:tcPr>
          <w:p w14:paraId="17166A1D"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The OS was statistically significantly greater for HM3 vs OMM in IM 4 patients over 2 years; with the analysis better matched in severity.</w:t>
            </w:r>
          </w:p>
        </w:tc>
      </w:tr>
      <w:tr w:rsidR="0081519D" w:rsidRPr="007C488A" w14:paraId="0CC60D8E" w14:textId="77777777" w:rsidTr="007D1A1F">
        <w:trPr>
          <w:trHeight w:val="263"/>
        </w:trPr>
        <w:tc>
          <w:tcPr>
            <w:tcW w:w="405" w:type="pct"/>
          </w:tcPr>
          <w:p w14:paraId="3D93BBB9"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OS, 5 years</w:t>
            </w:r>
          </w:p>
        </w:tc>
        <w:tc>
          <w:tcPr>
            <w:tcW w:w="661" w:type="pct"/>
          </w:tcPr>
          <w:p w14:paraId="679589FD"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ITC of RCT and non-RCT; K=2; N=1228</w:t>
            </w:r>
          </w:p>
        </w:tc>
        <w:tc>
          <w:tcPr>
            <w:tcW w:w="660" w:type="pct"/>
          </w:tcPr>
          <w:p w14:paraId="6EDB8A52"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0.7 [0.55, 0.9]</w:t>
            </w:r>
          </w:p>
        </w:tc>
        <w:tc>
          <w:tcPr>
            <w:tcW w:w="559" w:type="pct"/>
          </w:tcPr>
          <w:p w14:paraId="77565CB4"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2.3 [1.5, 3.7]</w:t>
            </w:r>
          </w:p>
        </w:tc>
        <w:tc>
          <w:tcPr>
            <w:tcW w:w="559" w:type="pct"/>
          </w:tcPr>
          <w:p w14:paraId="472F5B67"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0.35 [0.15, 0.84]; p=0.0181</w:t>
            </w:r>
          </w:p>
        </w:tc>
        <w:tc>
          <w:tcPr>
            <w:tcW w:w="508" w:type="pct"/>
          </w:tcPr>
          <w:p w14:paraId="7ED25B8D"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670F27F5" w14:textId="77777777" w:rsidR="009E37D6" w:rsidRPr="007C488A" w:rsidRDefault="009E37D6" w:rsidP="00F54EE3">
            <w:pPr>
              <w:spacing w:before="40" w:after="40"/>
              <w:rPr>
                <w:rFonts w:ascii="Cambria Math" w:eastAsia="Times New Roman" w:hAnsi="Cambria Math" w:cs="Tahoma"/>
                <w:color w:val="00B050"/>
                <w:sz w:val="20"/>
                <w:szCs w:val="20"/>
                <w:lang w:eastAsia="en-AU"/>
              </w:rPr>
            </w:pPr>
            <w:r w:rsidRPr="007C488A">
              <w:rPr>
                <w:rFonts w:ascii="Arial Narrow" w:eastAsia="Times New Roman" w:hAnsi="Arial Narrow" w:cs="Tahoma"/>
                <w:sz w:val="20"/>
                <w:szCs w:val="20"/>
                <w:lang w:eastAsia="en-AU"/>
              </w:rPr>
              <w:t xml:space="preserve">VERY LOW </w:t>
            </w:r>
            <w:r w:rsidRPr="007C488A">
              <w:rPr>
                <w:rFonts w:ascii="Arial Narrow" w:eastAsia="Times New Roman" w:hAnsi="Arial Narrow" w:cs="Tahoma"/>
                <w:sz w:val="20"/>
                <w:szCs w:val="20"/>
                <w:vertAlign w:val="superscript"/>
                <w:lang w:eastAsia="en-AU"/>
              </w:rPr>
              <w:t>a, d</w:t>
            </w:r>
          </w:p>
        </w:tc>
        <w:tc>
          <w:tcPr>
            <w:tcW w:w="1648" w:type="pct"/>
          </w:tcPr>
          <w:p w14:paraId="4B7CC608"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The OS was statistically significantly greater for HM3 vs OMM over 5 years; however, the ITC is biased against HM3 given ROADMAP participants were less ill than MOMENTUM 3.</w:t>
            </w:r>
          </w:p>
        </w:tc>
      </w:tr>
      <w:tr w:rsidR="0081519D" w:rsidRPr="007C488A" w14:paraId="334E5410" w14:textId="77777777" w:rsidTr="007D1A1F">
        <w:trPr>
          <w:trHeight w:val="263"/>
        </w:trPr>
        <w:tc>
          <w:tcPr>
            <w:tcW w:w="405" w:type="pct"/>
          </w:tcPr>
          <w:p w14:paraId="2502C29A"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OS, 5 years: IM 4</w:t>
            </w:r>
          </w:p>
        </w:tc>
        <w:tc>
          <w:tcPr>
            <w:tcW w:w="661" w:type="pct"/>
          </w:tcPr>
          <w:p w14:paraId="75F04264"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ITC of RCT and non-RCT; K=2; N=722</w:t>
            </w:r>
          </w:p>
        </w:tc>
        <w:tc>
          <w:tcPr>
            <w:tcW w:w="660" w:type="pct"/>
          </w:tcPr>
          <w:p w14:paraId="1D2FFC3A"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0.7 [0.55, 0.9]</w:t>
            </w:r>
          </w:p>
        </w:tc>
        <w:tc>
          <w:tcPr>
            <w:tcW w:w="559" w:type="pct"/>
          </w:tcPr>
          <w:p w14:paraId="54EC0753"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3 [1.6, 5.5]</w:t>
            </w:r>
          </w:p>
        </w:tc>
        <w:tc>
          <w:tcPr>
            <w:tcW w:w="559" w:type="pct"/>
          </w:tcPr>
          <w:p w14:paraId="7DE1D536"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0.233 [0.12, 0.454]; p&lt;0.0001</w:t>
            </w:r>
          </w:p>
        </w:tc>
        <w:tc>
          <w:tcPr>
            <w:tcW w:w="508" w:type="pct"/>
          </w:tcPr>
          <w:p w14:paraId="5BBD858E"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10B98C0E" w14:textId="77777777" w:rsidR="009E37D6" w:rsidRPr="007C488A" w:rsidRDefault="009E37D6" w:rsidP="00F54EE3">
            <w:pPr>
              <w:spacing w:before="40" w:after="40"/>
              <w:rPr>
                <w:rFonts w:ascii="Cambria Math" w:eastAsia="Times New Roman" w:hAnsi="Cambria Math" w:cs="Tahoma"/>
                <w:color w:val="00B050"/>
                <w:sz w:val="20"/>
                <w:szCs w:val="20"/>
                <w:lang w:eastAsia="en-AU"/>
              </w:rPr>
            </w:pPr>
            <w:r w:rsidRPr="007C488A">
              <w:rPr>
                <w:rFonts w:ascii="Arial Narrow" w:eastAsia="Times New Roman" w:hAnsi="Arial Narrow" w:cs="Tahoma"/>
                <w:sz w:val="20"/>
                <w:szCs w:val="20"/>
                <w:lang w:eastAsia="en-AU"/>
              </w:rPr>
              <w:t xml:space="preserve">VERY LOW </w:t>
            </w:r>
            <w:r w:rsidRPr="007C488A">
              <w:rPr>
                <w:rFonts w:ascii="Arial Narrow" w:eastAsia="Times New Roman" w:hAnsi="Arial Narrow" w:cs="Tahoma"/>
                <w:sz w:val="20"/>
                <w:szCs w:val="20"/>
                <w:vertAlign w:val="superscript"/>
                <w:lang w:eastAsia="en-AU"/>
              </w:rPr>
              <w:t>a, d</w:t>
            </w:r>
          </w:p>
        </w:tc>
        <w:tc>
          <w:tcPr>
            <w:tcW w:w="1648" w:type="pct"/>
          </w:tcPr>
          <w:p w14:paraId="393EA50A"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The OS was statistically significantly greater for HM3 vs OMM in IM 4 patients over 5 years; with the analysis better matched in severity.</w:t>
            </w:r>
          </w:p>
        </w:tc>
      </w:tr>
      <w:tr w:rsidR="009E37D6" w:rsidRPr="007C488A" w14:paraId="7BC44CE1" w14:textId="77777777" w:rsidTr="007D1A1F">
        <w:trPr>
          <w:trHeight w:val="263"/>
        </w:trPr>
        <w:tc>
          <w:tcPr>
            <w:tcW w:w="5000" w:type="pct"/>
            <w:gridSpan w:val="7"/>
            <w:shd w:val="clear" w:color="auto" w:fill="FFFFFF" w:themeFill="background1"/>
          </w:tcPr>
          <w:p w14:paraId="5EFBC513"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Naïve ITC (REMATCH)</w:t>
            </w:r>
          </w:p>
        </w:tc>
      </w:tr>
      <w:tr w:rsidR="0081519D" w:rsidRPr="007C488A" w14:paraId="08F53268" w14:textId="77777777" w:rsidTr="0081519D">
        <w:trPr>
          <w:trHeight w:val="263"/>
        </w:trPr>
        <w:tc>
          <w:tcPr>
            <w:tcW w:w="405" w:type="pct"/>
            <w:tcBorders>
              <w:right w:val="single" w:sz="4" w:space="0" w:color="auto"/>
            </w:tcBorders>
            <w:shd w:val="clear" w:color="auto" w:fill="FFFFFF" w:themeFill="background1"/>
          </w:tcPr>
          <w:p w14:paraId="34C651EB"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Outcome</w:t>
            </w:r>
          </w:p>
        </w:tc>
        <w:tc>
          <w:tcPr>
            <w:tcW w:w="661" w:type="pct"/>
            <w:tcBorders>
              <w:left w:val="single" w:sz="4" w:space="0" w:color="auto"/>
              <w:right w:val="single" w:sz="4" w:space="0" w:color="auto"/>
            </w:tcBorders>
            <w:shd w:val="clear" w:color="auto" w:fill="FFFFFF" w:themeFill="background1"/>
          </w:tcPr>
          <w:p w14:paraId="374179B7"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No. of studies and study design</w:t>
            </w:r>
          </w:p>
        </w:tc>
        <w:tc>
          <w:tcPr>
            <w:tcW w:w="660" w:type="pct"/>
            <w:tcBorders>
              <w:left w:val="single" w:sz="4" w:space="0" w:color="auto"/>
              <w:right w:val="single" w:sz="4" w:space="0" w:color="auto"/>
            </w:tcBorders>
            <w:shd w:val="clear" w:color="auto" w:fill="FFFFFF" w:themeFill="background1"/>
          </w:tcPr>
          <w:p w14:paraId="65E7370C"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HM3</w:t>
            </w:r>
          </w:p>
        </w:tc>
        <w:tc>
          <w:tcPr>
            <w:tcW w:w="559" w:type="pct"/>
            <w:tcBorders>
              <w:left w:val="single" w:sz="4" w:space="0" w:color="auto"/>
              <w:right w:val="single" w:sz="4" w:space="0" w:color="auto"/>
            </w:tcBorders>
            <w:shd w:val="clear" w:color="auto" w:fill="FFFFFF" w:themeFill="background1"/>
          </w:tcPr>
          <w:p w14:paraId="7237B1D4"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OMM</w:t>
            </w:r>
          </w:p>
        </w:tc>
        <w:tc>
          <w:tcPr>
            <w:tcW w:w="559" w:type="pct"/>
            <w:tcBorders>
              <w:left w:val="single" w:sz="4" w:space="0" w:color="auto"/>
              <w:right w:val="single" w:sz="4" w:space="0" w:color="auto"/>
            </w:tcBorders>
            <w:shd w:val="clear" w:color="auto" w:fill="FFFFFF" w:themeFill="background1"/>
          </w:tcPr>
          <w:p w14:paraId="5DAE167D"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IEE: HM3 vs OMM</w:t>
            </w:r>
          </w:p>
        </w:tc>
        <w:tc>
          <w:tcPr>
            <w:tcW w:w="508" w:type="pct"/>
            <w:tcBorders>
              <w:left w:val="single" w:sz="4" w:space="0" w:color="auto"/>
              <w:right w:val="single" w:sz="4" w:space="0" w:color="auto"/>
            </w:tcBorders>
            <w:shd w:val="clear" w:color="auto" w:fill="FFFFFF" w:themeFill="background1"/>
          </w:tcPr>
          <w:p w14:paraId="7AA198A4" w14:textId="77777777" w:rsidR="009E37D6" w:rsidRPr="007C488A" w:rsidRDefault="009E37D6" w:rsidP="00F54EE3">
            <w:pPr>
              <w:spacing w:before="40" w:after="40"/>
              <w:rPr>
                <w:rFonts w:ascii="Cambria Math" w:eastAsia="Times New Roman" w:hAnsi="Cambria Math" w:cs="Tahoma"/>
                <w:b/>
                <w:bCs/>
                <w:color w:val="00B050"/>
                <w:sz w:val="20"/>
                <w:szCs w:val="20"/>
                <w:lang w:eastAsia="en-AU"/>
              </w:rPr>
            </w:pPr>
            <w:r w:rsidRPr="007C488A">
              <w:rPr>
                <w:rFonts w:ascii="Arial Narrow" w:eastAsia="Times New Roman" w:hAnsi="Arial Narrow" w:cs="Tahoma"/>
                <w:b/>
                <w:bCs/>
                <w:sz w:val="20"/>
                <w:szCs w:val="20"/>
                <w:lang w:eastAsia="en-AU"/>
              </w:rPr>
              <w:t>Quality</w:t>
            </w:r>
          </w:p>
        </w:tc>
        <w:tc>
          <w:tcPr>
            <w:tcW w:w="1648" w:type="pct"/>
            <w:tcBorders>
              <w:left w:val="single" w:sz="4" w:space="0" w:color="auto"/>
            </w:tcBorders>
            <w:shd w:val="clear" w:color="auto" w:fill="FFFFFF" w:themeFill="background1"/>
          </w:tcPr>
          <w:p w14:paraId="2469C69D" w14:textId="77777777" w:rsidR="009E37D6" w:rsidRPr="007C488A" w:rsidRDefault="009E37D6" w:rsidP="00F54EE3">
            <w:pPr>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Importance</w:t>
            </w:r>
          </w:p>
        </w:tc>
      </w:tr>
      <w:tr w:rsidR="0081519D" w:rsidRPr="007C488A" w14:paraId="6027685D" w14:textId="77777777" w:rsidTr="007D1A1F">
        <w:trPr>
          <w:trHeight w:val="263"/>
        </w:trPr>
        <w:tc>
          <w:tcPr>
            <w:tcW w:w="405" w:type="pct"/>
          </w:tcPr>
          <w:p w14:paraId="419B6A31"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lastRenderedPageBreak/>
              <w:t>OS, 2 years (naïve ITC)</w:t>
            </w:r>
          </w:p>
        </w:tc>
        <w:tc>
          <w:tcPr>
            <w:tcW w:w="661" w:type="pct"/>
          </w:tcPr>
          <w:p w14:paraId="0245AC4D"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RCTs</w:t>
            </w:r>
          </w:p>
          <w:p w14:paraId="45EFB8ED"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K=2; N=753</w:t>
            </w:r>
          </w:p>
        </w:tc>
        <w:tc>
          <w:tcPr>
            <w:tcW w:w="660" w:type="pct"/>
          </w:tcPr>
          <w:p w14:paraId="1896235C"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KM estimate = 76.7%</w:t>
            </w:r>
          </w:p>
        </w:tc>
        <w:tc>
          <w:tcPr>
            <w:tcW w:w="559" w:type="pct"/>
          </w:tcPr>
          <w:p w14:paraId="52D740EF"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KM estimate = 8%</w:t>
            </w:r>
          </w:p>
        </w:tc>
        <w:tc>
          <w:tcPr>
            <w:tcW w:w="559" w:type="pct"/>
          </w:tcPr>
          <w:p w14:paraId="26E2F9BA"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RD = 68.7%</w:t>
            </w:r>
          </w:p>
          <w:p w14:paraId="6C93136F"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NNT = 2</w:t>
            </w:r>
          </w:p>
        </w:tc>
        <w:tc>
          <w:tcPr>
            <w:tcW w:w="508" w:type="pct"/>
          </w:tcPr>
          <w:p w14:paraId="615D725F"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Cambria Math" w:eastAsia="Times New Roman" w:hAnsi="Cambria Math" w:cs="Tahoma"/>
                <w:color w:val="00B050"/>
                <w:sz w:val="20"/>
                <w:szCs w:val="20"/>
                <w:lang w:eastAsia="en-AU"/>
              </w:rPr>
              <w:t>⨁</w:t>
            </w:r>
            <w:r w:rsidRPr="007C488A">
              <w:rPr>
                <w:rFonts w:ascii="Cambria Math" w:eastAsia="Times New Roman" w:hAnsi="Cambria Math" w:cs="Cambria Math"/>
                <w:color w:val="C00000"/>
                <w:sz w:val="20"/>
                <w:szCs w:val="20"/>
                <w:lang w:eastAsia="en-AU"/>
              </w:rPr>
              <w:t>⨀⨀⨀</w:t>
            </w:r>
          </w:p>
          <w:p w14:paraId="58F999D3" w14:textId="77777777" w:rsidR="009E37D6" w:rsidRPr="007C488A" w:rsidRDefault="009E37D6" w:rsidP="00F54EE3">
            <w:pPr>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VERY </w:t>
            </w:r>
            <w:proofErr w:type="spellStart"/>
            <w:r w:rsidRPr="007C488A">
              <w:rPr>
                <w:rFonts w:ascii="Arial Narrow" w:eastAsia="Times New Roman" w:hAnsi="Arial Narrow" w:cs="Tahoma"/>
                <w:sz w:val="20"/>
                <w:szCs w:val="20"/>
                <w:lang w:eastAsia="en-AU"/>
              </w:rPr>
              <w:t>LOW</w:t>
            </w:r>
            <w:r w:rsidRPr="007C488A">
              <w:rPr>
                <w:rFonts w:ascii="Arial Narrow" w:eastAsia="Times New Roman" w:hAnsi="Arial Narrow" w:cs="Tahoma"/>
                <w:sz w:val="20"/>
                <w:szCs w:val="20"/>
                <w:vertAlign w:val="superscript"/>
                <w:lang w:eastAsia="en-AU"/>
              </w:rPr>
              <w:t>c</w:t>
            </w:r>
            <w:proofErr w:type="spellEnd"/>
          </w:p>
        </w:tc>
        <w:tc>
          <w:tcPr>
            <w:tcW w:w="1648" w:type="pct"/>
          </w:tcPr>
          <w:p w14:paraId="7A8F2265" w14:textId="77777777" w:rsidR="009E37D6" w:rsidRPr="007C488A" w:rsidRDefault="009E37D6" w:rsidP="00F54EE3">
            <w:pPr>
              <w:spacing w:before="40" w:after="40"/>
              <w:rPr>
                <w:rFonts w:ascii="Arial Narrow" w:hAnsi="Arial Narrow"/>
                <w:sz w:val="20"/>
                <w:lang w:eastAsia="en-AU"/>
              </w:rPr>
            </w:pPr>
            <w:r w:rsidRPr="007C488A">
              <w:rPr>
                <w:rFonts w:ascii="Arial Narrow" w:hAnsi="Arial Narrow"/>
                <w:sz w:val="20"/>
                <w:lang w:eastAsia="en-AU"/>
              </w:rPr>
              <w:t xml:space="preserve">A higher proportion of HM3 vs OMM patients survived at 2 years. For every two patients treated with HM3 one additional patient would survive. </w:t>
            </w:r>
          </w:p>
        </w:tc>
      </w:tr>
    </w:tbl>
    <w:p w14:paraId="62DB925F" w14:textId="77777777" w:rsidR="009E37D6" w:rsidRPr="007C488A" w:rsidRDefault="009E37D6" w:rsidP="009E37D6">
      <w:pPr>
        <w:spacing w:after="360" w:line="240" w:lineRule="auto"/>
        <w:ind w:right="-613"/>
        <w:contextualSpacing/>
        <w:rPr>
          <w:sz w:val="18"/>
        </w:rPr>
      </w:pPr>
      <w:r w:rsidRPr="007C488A">
        <w:rPr>
          <w:sz w:val="18"/>
        </w:rPr>
        <w:t>Source: Table 47, Pp174-175 of MSAC 1749 ADAR+ in-line commentary</w:t>
      </w:r>
    </w:p>
    <w:p w14:paraId="1C8B3782" w14:textId="77777777" w:rsidR="009E37D6" w:rsidRPr="007C488A" w:rsidRDefault="009E37D6" w:rsidP="009E37D6">
      <w:pPr>
        <w:spacing w:after="360" w:line="240" w:lineRule="auto"/>
        <w:ind w:right="-613"/>
        <w:contextualSpacing/>
        <w:rPr>
          <w:sz w:val="18"/>
        </w:rPr>
      </w:pPr>
      <w:r w:rsidRPr="007C488A">
        <w:rPr>
          <w:sz w:val="18"/>
        </w:rPr>
        <w:t>Abbreviations: CI=confidence interval; HM2=HeartMate 2; HM3=HeartMate 3; HM XVE=vented electric left ventricular assist device; HR, hazard ratio; IM=INTERMACS; ITC=indirect treatment comparison; KM=Kaplan Meier; OMM=optimal medical management; OS=overall survival; RCT= randomised controlled trial; RD=risk difference; RR=relative risk.</w:t>
      </w:r>
    </w:p>
    <w:p w14:paraId="23DD2668" w14:textId="77777777" w:rsidR="009E37D6" w:rsidRPr="007C488A" w:rsidRDefault="009E37D6" w:rsidP="009E37D6">
      <w:pPr>
        <w:spacing w:after="360" w:line="240" w:lineRule="auto"/>
        <w:ind w:right="-613"/>
        <w:contextualSpacing/>
        <w:rPr>
          <w:sz w:val="18"/>
        </w:rPr>
      </w:pPr>
      <w:r w:rsidRPr="007C488A">
        <w:rPr>
          <w:sz w:val="18"/>
        </w:rPr>
        <w:t>Notes:</w:t>
      </w:r>
    </w:p>
    <w:p w14:paraId="761735C0" w14:textId="77777777" w:rsidR="009E37D6" w:rsidRPr="007C488A" w:rsidRDefault="009E37D6" w:rsidP="009E37D6">
      <w:pPr>
        <w:spacing w:after="360" w:line="240" w:lineRule="auto"/>
        <w:ind w:right="-613"/>
        <w:contextualSpacing/>
        <w:rPr>
          <w:sz w:val="18"/>
        </w:rPr>
      </w:pPr>
      <w:r w:rsidRPr="007C488A">
        <w:rPr>
          <w:rFonts w:ascii="Cambria Math" w:hAnsi="Cambria Math" w:cs="Cambria Math"/>
          <w:color w:val="00B050"/>
          <w:sz w:val="18"/>
        </w:rPr>
        <w:t>⨁⨁⨁⨁</w:t>
      </w:r>
      <w:r w:rsidRPr="007C488A">
        <w:rPr>
          <w:rFonts w:asciiTheme="minorHAnsi" w:hAnsiTheme="minorHAnsi" w:cstheme="minorHAnsi"/>
          <w:color w:val="00B050"/>
          <w:sz w:val="18"/>
        </w:rPr>
        <w:t xml:space="preserve"> </w:t>
      </w:r>
      <w:r w:rsidRPr="007C488A">
        <w:rPr>
          <w:rFonts w:asciiTheme="minorHAnsi" w:hAnsiTheme="minorHAnsi" w:cstheme="minorHAnsi"/>
          <w:b/>
          <w:bCs/>
          <w:sz w:val="18"/>
          <w:szCs w:val="18"/>
        </w:rPr>
        <w:t>High quality:</w:t>
      </w:r>
      <w:r w:rsidRPr="007C488A">
        <w:rPr>
          <w:rFonts w:asciiTheme="minorHAnsi" w:hAnsiTheme="minorHAnsi" w:cstheme="minorHAnsi"/>
          <w:sz w:val="18"/>
          <w:szCs w:val="18"/>
        </w:rPr>
        <w:t xml:space="preserve"> </w:t>
      </w:r>
      <w:r w:rsidRPr="007C488A">
        <w:rPr>
          <w:sz w:val="18"/>
        </w:rPr>
        <w:t xml:space="preserve">We are very confident that the true effect lies close to that of the estimate of effect. </w:t>
      </w:r>
      <w:r w:rsidRPr="007C488A">
        <w:rPr>
          <w:rFonts w:ascii="Cambria Math" w:hAnsi="Cambria Math" w:cs="Cambria Math"/>
          <w:color w:val="00B050"/>
          <w:sz w:val="18"/>
        </w:rPr>
        <w:t>⨁⨁⨁</w:t>
      </w:r>
      <w:r w:rsidRPr="007C488A">
        <w:rPr>
          <w:rFonts w:ascii="Cambria Math" w:hAnsi="Cambria Math" w:cs="Cambria Math"/>
          <w:color w:val="C00000"/>
          <w:sz w:val="18"/>
        </w:rPr>
        <w:t>⨀</w:t>
      </w:r>
      <w:r w:rsidRPr="007C488A">
        <w:rPr>
          <w:rFonts w:asciiTheme="minorHAnsi" w:hAnsiTheme="minorHAnsi" w:cstheme="minorHAnsi"/>
          <w:color w:val="C00000"/>
          <w:sz w:val="18"/>
        </w:rPr>
        <w:t xml:space="preserve"> </w:t>
      </w:r>
      <w:r w:rsidRPr="007C488A">
        <w:rPr>
          <w:rFonts w:asciiTheme="minorHAnsi" w:hAnsiTheme="minorHAnsi" w:cstheme="minorHAnsi"/>
          <w:b/>
          <w:bCs/>
          <w:sz w:val="18"/>
          <w:szCs w:val="18"/>
        </w:rPr>
        <w:t>Moderate quality:</w:t>
      </w:r>
      <w:r w:rsidRPr="007C488A">
        <w:rPr>
          <w:rFonts w:asciiTheme="minorHAnsi" w:hAnsiTheme="minorHAnsi" w:cstheme="minorHAnsi"/>
          <w:sz w:val="18"/>
          <w:szCs w:val="18"/>
        </w:rPr>
        <w:t xml:space="preserve"> </w:t>
      </w:r>
      <w:r w:rsidRPr="007C488A">
        <w:rPr>
          <w:sz w:val="18"/>
        </w:rPr>
        <w:t xml:space="preserve">We are moderately confident in the effect estimate: The true effect is likely to be close to the estimate of the effect, but there is a possibility that it is substantially different. </w:t>
      </w:r>
      <w:r w:rsidRPr="007C488A">
        <w:rPr>
          <w:rFonts w:ascii="Cambria Math" w:hAnsi="Cambria Math" w:cs="Cambria Math"/>
          <w:color w:val="00B050"/>
          <w:sz w:val="18"/>
        </w:rPr>
        <w:t>⨁⨁</w:t>
      </w:r>
      <w:r w:rsidRPr="007C488A">
        <w:rPr>
          <w:rFonts w:ascii="Cambria Math" w:hAnsi="Cambria Math" w:cs="Cambria Math"/>
          <w:color w:val="C00000"/>
          <w:sz w:val="18"/>
        </w:rPr>
        <w:t>⨀⨀</w:t>
      </w:r>
      <w:r w:rsidRPr="007C488A">
        <w:rPr>
          <w:rFonts w:asciiTheme="minorHAnsi" w:hAnsiTheme="minorHAnsi" w:cstheme="minorHAnsi"/>
          <w:color w:val="C00000"/>
          <w:sz w:val="18"/>
        </w:rPr>
        <w:t xml:space="preserve"> </w:t>
      </w:r>
      <w:r w:rsidRPr="007C488A">
        <w:rPr>
          <w:rFonts w:asciiTheme="minorHAnsi" w:hAnsiTheme="minorHAnsi" w:cstheme="minorHAnsi"/>
          <w:b/>
          <w:bCs/>
          <w:sz w:val="18"/>
          <w:szCs w:val="18"/>
        </w:rPr>
        <w:t>Low quality:</w:t>
      </w:r>
      <w:r w:rsidRPr="007C488A">
        <w:rPr>
          <w:rFonts w:asciiTheme="minorHAnsi" w:hAnsiTheme="minorHAnsi" w:cstheme="minorHAnsi"/>
          <w:sz w:val="18"/>
          <w:szCs w:val="18"/>
        </w:rPr>
        <w:t xml:space="preserve"> </w:t>
      </w:r>
      <w:r w:rsidRPr="007C488A">
        <w:rPr>
          <w:sz w:val="18"/>
        </w:rPr>
        <w:t xml:space="preserve">Our confidence in the effect estimate is limited: The true effect may be substantially different from the estimate of the effect. </w:t>
      </w:r>
      <w:r w:rsidRPr="007C488A">
        <w:rPr>
          <w:rFonts w:ascii="Cambria Math" w:hAnsi="Cambria Math" w:cs="Cambria Math"/>
          <w:color w:val="00B050"/>
          <w:sz w:val="18"/>
        </w:rPr>
        <w:t>⨁</w:t>
      </w:r>
      <w:r w:rsidRPr="007C488A">
        <w:rPr>
          <w:rFonts w:ascii="Cambria Math" w:hAnsi="Cambria Math" w:cs="Cambria Math"/>
          <w:color w:val="C00000"/>
          <w:sz w:val="18"/>
        </w:rPr>
        <w:t>⨀⨀⨀</w:t>
      </w:r>
      <w:r w:rsidRPr="007C488A">
        <w:rPr>
          <w:rFonts w:asciiTheme="minorHAnsi" w:hAnsiTheme="minorHAnsi" w:cstheme="minorHAnsi"/>
          <w:color w:val="C00000"/>
          <w:sz w:val="18"/>
        </w:rPr>
        <w:t xml:space="preserve"> </w:t>
      </w:r>
      <w:r w:rsidRPr="007C488A">
        <w:rPr>
          <w:sz w:val="18"/>
        </w:rPr>
        <w:t>Very low quality: We have very little confidence in the effect estimate: The true effect is likely to be substantially different from the estimate of effect.</w:t>
      </w:r>
    </w:p>
    <w:p w14:paraId="7375FC03" w14:textId="77777777" w:rsidR="009E37D6" w:rsidRPr="007C488A" w:rsidRDefault="009E37D6" w:rsidP="009E37D6">
      <w:pPr>
        <w:spacing w:after="360" w:line="240" w:lineRule="auto"/>
        <w:ind w:right="-613"/>
        <w:contextualSpacing/>
        <w:rPr>
          <w:sz w:val="18"/>
        </w:rPr>
      </w:pPr>
      <w:proofErr w:type="spellStart"/>
      <w:r w:rsidRPr="007C488A">
        <w:rPr>
          <w:sz w:val="18"/>
        </w:rPr>
        <w:t>a</w:t>
      </w:r>
      <w:proofErr w:type="spellEnd"/>
      <w:r w:rsidRPr="007C488A">
        <w:rPr>
          <w:sz w:val="18"/>
        </w:rPr>
        <w:t xml:space="preserve"> </w:t>
      </w:r>
      <w:proofErr w:type="gramStart"/>
      <w:r w:rsidRPr="007C488A">
        <w:rPr>
          <w:sz w:val="18"/>
        </w:rPr>
        <w:t>The</w:t>
      </w:r>
      <w:proofErr w:type="gramEnd"/>
      <w:r w:rsidRPr="007C488A">
        <w:rPr>
          <w:sz w:val="18"/>
        </w:rPr>
        <w:t xml:space="preserve"> starting grade for the one-step Bucher ITC is MODERATE (instead of HIGH), on the basis of including one RCT and one well conducted observational study (in which plausible confounders increase our confidence in the estimated effect; see Appendix D). The one-step Bucher ITC is rated down one level for indirectness due to differences in populations and due to the indirect nature of the comparison.</w:t>
      </w:r>
    </w:p>
    <w:p w14:paraId="1051E346" w14:textId="77777777" w:rsidR="009E37D6" w:rsidRPr="007C488A" w:rsidRDefault="009E37D6" w:rsidP="009E37D6">
      <w:pPr>
        <w:spacing w:after="360" w:line="240" w:lineRule="auto"/>
        <w:ind w:right="-613"/>
        <w:contextualSpacing/>
        <w:rPr>
          <w:sz w:val="18"/>
        </w:rPr>
      </w:pPr>
      <w:r w:rsidRPr="007C488A">
        <w:rPr>
          <w:sz w:val="18"/>
        </w:rPr>
        <w:t xml:space="preserve">b </w:t>
      </w:r>
      <w:proofErr w:type="gramStart"/>
      <w:r w:rsidRPr="007C488A">
        <w:rPr>
          <w:sz w:val="18"/>
        </w:rPr>
        <w:t>The</w:t>
      </w:r>
      <w:proofErr w:type="gramEnd"/>
      <w:r w:rsidRPr="007C488A">
        <w:rPr>
          <w:sz w:val="18"/>
        </w:rPr>
        <w:t xml:space="preserve"> starting grade for the two-step Bucher ITC is HIGH, on the basis of including three RCTs with low risk of bias and based on a well matched population; rated down to MODERATE due to the two-step indirect nature of the comparison.</w:t>
      </w:r>
    </w:p>
    <w:p w14:paraId="3088A25D" w14:textId="77777777" w:rsidR="009E37D6" w:rsidRPr="007C488A" w:rsidRDefault="009E37D6" w:rsidP="009E37D6">
      <w:pPr>
        <w:spacing w:after="360" w:line="240" w:lineRule="auto"/>
        <w:ind w:right="-613"/>
        <w:contextualSpacing/>
        <w:rPr>
          <w:sz w:val="18"/>
        </w:rPr>
      </w:pPr>
      <w:r w:rsidRPr="007C488A">
        <w:rPr>
          <w:sz w:val="18"/>
        </w:rPr>
        <w:t>c Based on a naïve ITC using individual arms from separate well conducted studies.</w:t>
      </w:r>
    </w:p>
    <w:p w14:paraId="04C98A87" w14:textId="77777777" w:rsidR="009E37D6" w:rsidRPr="007C488A" w:rsidRDefault="009E37D6" w:rsidP="009E37D6">
      <w:pPr>
        <w:spacing w:after="360" w:line="240" w:lineRule="auto"/>
        <w:ind w:right="-613"/>
        <w:contextualSpacing/>
        <w:rPr>
          <w:sz w:val="18"/>
        </w:rPr>
      </w:pPr>
      <w:r w:rsidRPr="007C488A">
        <w:rPr>
          <w:sz w:val="18"/>
        </w:rPr>
        <w:t>d The Extended FU study was further rated down because the survival analysis censored subjects at Year 2 who were at sites that declined participation, transferred, were unable to be reached, or who were unable to participate for other reasons. Missing out come data from the extended-phase study were filled in with additional data (occurrence of death, transplant, device explant, including dates of these outcomes, within 5 years after implant) from the sponsor’s device tracking database as permissible by state regulations.</w:t>
      </w:r>
    </w:p>
    <w:p w14:paraId="42D40E1F" w14:textId="77777777" w:rsidR="009E37D6" w:rsidRPr="007C488A" w:rsidRDefault="009E37D6" w:rsidP="009E37D6">
      <w:pPr>
        <w:spacing w:after="360" w:line="240" w:lineRule="auto"/>
        <w:ind w:right="-613"/>
        <w:contextualSpacing/>
        <w:rPr>
          <w:sz w:val="18"/>
        </w:rPr>
      </w:pPr>
      <w:r w:rsidRPr="007C488A">
        <w:rPr>
          <w:sz w:val="18"/>
        </w:rPr>
        <w:t>Source: ITC HM3 vs OMM.xlsx (Attachment 2.3).</w:t>
      </w:r>
    </w:p>
    <w:p w14:paraId="1D1A70A8" w14:textId="77777777" w:rsidR="00A323DA" w:rsidRPr="007C488A" w:rsidRDefault="00A323DA" w:rsidP="00E1134E">
      <w:pPr>
        <w:sectPr w:rsidR="00A323DA" w:rsidRPr="007C488A" w:rsidSect="00394DC8">
          <w:pgSz w:w="16838" w:h="11906" w:orient="landscape"/>
          <w:pgMar w:top="1440" w:right="1440" w:bottom="1440" w:left="1440" w:header="708" w:footer="708" w:gutter="0"/>
          <w:cols w:space="708"/>
          <w:docGrid w:linePitch="360"/>
        </w:sectPr>
      </w:pPr>
    </w:p>
    <w:p w14:paraId="5B9840F4" w14:textId="77777777" w:rsidR="007614FE" w:rsidRPr="007C488A" w:rsidRDefault="00E0707C" w:rsidP="007614FE">
      <w:pPr>
        <w:pStyle w:val="Instructionaltext"/>
        <w:keepNext/>
      </w:pPr>
      <w:r w:rsidRPr="007C488A">
        <w:rPr>
          <w:noProof/>
        </w:rPr>
        <w:lastRenderedPageBreak/>
        <w:drawing>
          <wp:inline distT="0" distB="0" distL="0" distR="0" wp14:anchorId="4BFD5695" wp14:editId="3FE7C7CE">
            <wp:extent cx="4654800" cy="2638800"/>
            <wp:effectExtent l="0" t="0" r="0" b="9525"/>
            <wp:docPr id="539396940" name="Picture 539396940" descr="A graph showing the overlay of OS curves informing the naïve ITC in the DT populations with INTERMACS 1-4 (MOMENTUM 3, ROADMAP and RE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96940" name="Picture 539396940" descr="A graph showing the overlay of OS curves informing the naïve ITC in the DT populations with INTERMACS 1-4 (MOMENTUM 3, ROADMAP and REMATCH)"/>
                    <pic:cNvPicPr/>
                  </pic:nvPicPr>
                  <pic:blipFill>
                    <a:blip r:embed="rId17"/>
                    <a:stretch>
                      <a:fillRect/>
                    </a:stretch>
                  </pic:blipFill>
                  <pic:spPr>
                    <a:xfrm>
                      <a:off x="0" y="0"/>
                      <a:ext cx="4654800" cy="2638800"/>
                    </a:xfrm>
                    <a:prstGeom prst="rect">
                      <a:avLst/>
                    </a:prstGeom>
                  </pic:spPr>
                </pic:pic>
              </a:graphicData>
            </a:graphic>
          </wp:inline>
        </w:drawing>
      </w:r>
    </w:p>
    <w:p w14:paraId="56CFB114" w14:textId="252D0D6D" w:rsidR="00E0707C" w:rsidRPr="007C488A" w:rsidRDefault="007614FE" w:rsidP="006E33A6">
      <w:pPr>
        <w:pStyle w:val="Caption"/>
      </w:pPr>
      <w:bookmarkStart w:id="31" w:name="_Ref155619940"/>
      <w:r w:rsidRPr="007C488A">
        <w:t xml:space="preserve">Figure </w:t>
      </w:r>
      <w:r w:rsidRPr="007C488A">
        <w:fldChar w:fldCharType="begin"/>
      </w:r>
      <w:r w:rsidRPr="007C488A">
        <w:instrText>SEQ Figure \* ARABIC</w:instrText>
      </w:r>
      <w:r w:rsidRPr="007C488A">
        <w:fldChar w:fldCharType="separate"/>
      </w:r>
      <w:r w:rsidR="00406484" w:rsidRPr="007C488A">
        <w:rPr>
          <w:noProof/>
        </w:rPr>
        <w:t>2</w:t>
      </w:r>
      <w:r w:rsidRPr="007C488A">
        <w:fldChar w:fldCharType="end"/>
      </w:r>
      <w:bookmarkEnd w:id="31"/>
      <w:r w:rsidRPr="007C488A">
        <w:t>: Overlay of OS curves informing the naïve ITC in the DT populations with INTERMACS 1-4 (MOMENTUM 3, ROADMAP and REMATCH)</w:t>
      </w:r>
    </w:p>
    <w:p w14:paraId="5177DBDA" w14:textId="4AE1BF5F" w:rsidR="00E0707C" w:rsidRPr="007C488A" w:rsidRDefault="00E0707C" w:rsidP="00EA4FE5">
      <w:pPr>
        <w:pStyle w:val="Tablenotes0"/>
      </w:pPr>
      <w:r w:rsidRPr="007C488A">
        <w:t xml:space="preserve">Source: </w:t>
      </w:r>
      <w:r w:rsidR="00F04EFD" w:rsidRPr="007C488A">
        <w:t xml:space="preserve">Figure 47, </w:t>
      </w:r>
      <w:r w:rsidR="009B3E0F" w:rsidRPr="007C488A">
        <w:t>p</w:t>
      </w:r>
      <w:r w:rsidR="00F04EFD" w:rsidRPr="007C488A">
        <w:t xml:space="preserve">162 of </w:t>
      </w:r>
      <w:bookmarkStart w:id="32" w:name="_Hlk153896596"/>
      <w:r w:rsidR="00F04EFD" w:rsidRPr="007C488A">
        <w:t>MSAC 1749 ADAR+</w:t>
      </w:r>
      <w:r w:rsidR="009B3E0F" w:rsidRPr="007C488A">
        <w:t xml:space="preserve"> </w:t>
      </w:r>
      <w:r w:rsidR="00F04EFD" w:rsidRPr="007C488A">
        <w:t xml:space="preserve">in-line commentary </w:t>
      </w:r>
      <w:bookmarkEnd w:id="32"/>
    </w:p>
    <w:p w14:paraId="5DD6F5BE" w14:textId="3E86C931" w:rsidR="00E0707C" w:rsidRPr="007C488A" w:rsidRDefault="00E0707C" w:rsidP="00EA4FE5">
      <w:pPr>
        <w:pStyle w:val="Tablenotes0"/>
      </w:pPr>
      <w:r w:rsidRPr="007C488A">
        <w:t>Abbreviations: HM2</w:t>
      </w:r>
      <w:r w:rsidR="00CB315B" w:rsidRPr="007C488A">
        <w:t xml:space="preserve"> = </w:t>
      </w:r>
      <w:r w:rsidRPr="007C488A">
        <w:t>HeartMate 2; HM3</w:t>
      </w:r>
      <w:r w:rsidR="00CB315B" w:rsidRPr="007C488A">
        <w:t xml:space="preserve"> = </w:t>
      </w:r>
      <w:r w:rsidRPr="007C488A">
        <w:t>HeartMate 3; HM XVE</w:t>
      </w:r>
      <w:r w:rsidR="00CB315B" w:rsidRPr="007C488A">
        <w:t xml:space="preserve"> = </w:t>
      </w:r>
      <w:r w:rsidR="005E59D7" w:rsidRPr="007C488A">
        <w:t xml:space="preserve">HeartMate </w:t>
      </w:r>
      <w:r w:rsidRPr="007C488A">
        <w:t>vented electric left ventricular assist device; IM</w:t>
      </w:r>
      <w:r w:rsidR="00665ACD" w:rsidRPr="007C488A">
        <w:t>=</w:t>
      </w:r>
      <w:r w:rsidRPr="007C488A">
        <w:t xml:space="preserve"> INTERMACS; OMM</w:t>
      </w:r>
      <w:r w:rsidR="00CB315B" w:rsidRPr="007C488A">
        <w:t xml:space="preserve"> = </w:t>
      </w:r>
      <w:r w:rsidRPr="007C488A">
        <w:t>optimal medical management.</w:t>
      </w:r>
    </w:p>
    <w:p w14:paraId="3EC67688" w14:textId="136B2CA3" w:rsidR="0011049F" w:rsidRPr="007C488A" w:rsidRDefault="00E0707C" w:rsidP="00EA4FE5">
      <w:pPr>
        <w:pStyle w:val="Tablenotes0"/>
      </w:pPr>
      <w:r w:rsidRPr="007C488A">
        <w:t>Note: red indicates HM3, yellow indicates HM2, blue indicates HM XVE, green indicates OMM.</w:t>
      </w:r>
    </w:p>
    <w:p w14:paraId="1CCCF3A4" w14:textId="79727482" w:rsidR="00FF019E" w:rsidRPr="007C488A" w:rsidRDefault="00FF019E" w:rsidP="00FF019E">
      <w:pPr>
        <w:jc w:val="both"/>
      </w:pPr>
      <w:bookmarkStart w:id="33" w:name="_Hlk155789880"/>
      <w:bookmarkStart w:id="34" w:name="_Hlk155776337"/>
      <w:r w:rsidRPr="007C488A">
        <w:t>The ADAR presented effectiveness analysis based on OS of all four trials (</w:t>
      </w:r>
      <w:r w:rsidRPr="007C488A">
        <w:fldChar w:fldCharType="begin"/>
      </w:r>
      <w:r w:rsidRPr="007C488A">
        <w:instrText xml:space="preserve"> REF _Ref155618575 \h </w:instrText>
      </w:r>
      <w:r w:rsidR="007C488A">
        <w:instrText xml:space="preserve"> \* MERGEFORMAT </w:instrText>
      </w:r>
      <w:r w:rsidRPr="007C488A">
        <w:fldChar w:fldCharType="separate"/>
      </w:r>
      <w:r w:rsidR="00406484" w:rsidRPr="007C488A">
        <w:t xml:space="preserve">Table </w:t>
      </w:r>
      <w:r w:rsidR="00406484" w:rsidRPr="007C488A">
        <w:rPr>
          <w:noProof/>
        </w:rPr>
        <w:t>5</w:t>
      </w:r>
      <w:r w:rsidRPr="007C488A">
        <w:fldChar w:fldCharType="end"/>
      </w:r>
      <w:r w:rsidRPr="007C488A">
        <w:t>). However, the commentary noted that there were differences in the definition of OS across the included trials. The ADAR used all-cause mortality and event free survival interchangeably for the OS. In the MOMENTUM 3 trial, REMATCH trial and Slaughter (2009) trial, OS data was based on the actuarial survival</w:t>
      </w:r>
      <w:r w:rsidR="00D06A17" w:rsidRPr="007C488A">
        <w:t>,</w:t>
      </w:r>
      <w:r w:rsidRPr="007C488A">
        <w:t xml:space="preserve"> which was defined as all-cause mortality in as-treated population</w:t>
      </w:r>
      <w:r w:rsidR="00D06A17" w:rsidRPr="007C488A">
        <w:t>. In</w:t>
      </w:r>
      <w:r w:rsidRPr="007C488A">
        <w:t xml:space="preserve"> contrast, the OS data from ROADMAP was based on event-free survival of as-treated population, defined as patients received LVAD as DT free of urgent heart transplant or explant, and OMM patients free of LVAD or urgent heart transplant.</w:t>
      </w:r>
    </w:p>
    <w:bookmarkEnd w:id="33"/>
    <w:bookmarkEnd w:id="34"/>
    <w:p w14:paraId="5E8D6338" w14:textId="36ECA726" w:rsidR="004E385E" w:rsidRPr="007C488A" w:rsidRDefault="00176FCF" w:rsidP="00176FCF">
      <w:pPr>
        <w:jc w:val="both"/>
      </w:pPr>
      <w:r w:rsidRPr="007C488A">
        <w:t>Further, the ADAR claimed that the naïve comparison (</w:t>
      </w:r>
      <w:r w:rsidR="007614FE" w:rsidRPr="007C488A">
        <w:fldChar w:fldCharType="begin"/>
      </w:r>
      <w:r w:rsidR="007614FE" w:rsidRPr="007C488A">
        <w:instrText xml:space="preserve"> REF _Ref155619940 \h </w:instrText>
      </w:r>
      <w:r w:rsidR="007C488A">
        <w:instrText xml:space="preserve"> \* MERGEFORMAT </w:instrText>
      </w:r>
      <w:r w:rsidR="007614FE" w:rsidRPr="007C488A">
        <w:fldChar w:fldCharType="separate"/>
      </w:r>
      <w:r w:rsidR="00406484" w:rsidRPr="007C488A">
        <w:t xml:space="preserve">Figure </w:t>
      </w:r>
      <w:r w:rsidR="00406484" w:rsidRPr="007C488A">
        <w:rPr>
          <w:noProof/>
        </w:rPr>
        <w:t>2</w:t>
      </w:r>
      <w:r w:rsidR="007614FE" w:rsidRPr="007C488A">
        <w:fldChar w:fldCharType="end"/>
      </w:r>
      <w:r w:rsidRPr="007C488A">
        <w:t xml:space="preserve">) was consistent with the results from the Bucher ITCs as patients who received HM3 had the highest OS whereas patients receiving HM2 in the MOMENTUM 3 and ROADMAP trials had similar OS. </w:t>
      </w:r>
      <w:r w:rsidR="00971E76" w:rsidRPr="007C488A">
        <w:t xml:space="preserve">The ADAR </w:t>
      </w:r>
      <w:r w:rsidR="0080354D" w:rsidRPr="007C488A">
        <w:t xml:space="preserve">also </w:t>
      </w:r>
      <w:r w:rsidR="00971E76" w:rsidRPr="007C488A">
        <w:t>claimed, d</w:t>
      </w:r>
      <w:r w:rsidR="004E385E" w:rsidRPr="007C488A">
        <w:t xml:space="preserve">ue to a sicker patient population and older device, patients in both the HM XVE (blue line) and OMM (green lines) arm had poorer survival when compared to the MOMENTUM 3 and ROADMAP trials. The KM estimates from the survival curves show that 76.7% of HM3 </w:t>
      </w:r>
      <w:r w:rsidR="009314AE" w:rsidRPr="007C488A">
        <w:t>patients eligible for LVAD as DT</w:t>
      </w:r>
      <w:r w:rsidR="009314AE" w:rsidRPr="007C488A" w:rsidDel="009314AE">
        <w:t xml:space="preserve"> </w:t>
      </w:r>
      <w:r w:rsidR="00E945ED" w:rsidRPr="007C488A">
        <w:t>were</w:t>
      </w:r>
      <w:r w:rsidR="004E385E" w:rsidRPr="007C488A">
        <w:t xml:space="preserve"> alive at 24 months compared with 8% in the OMM arm from REMATCH, reflecting a magnitude of effect of 68.7% in favour of HM3. By 25 months, almost 100% of OMM patients in REMATCH were dead. The </w:t>
      </w:r>
      <w:r w:rsidR="00D62700" w:rsidRPr="007C488A">
        <w:t xml:space="preserve">ADAR </w:t>
      </w:r>
      <w:r w:rsidR="004E385E" w:rsidRPr="007C488A">
        <w:t>claimed that the naïve comparisons</w:t>
      </w:r>
      <w:r w:rsidR="00E945ED" w:rsidRPr="007C488A">
        <w:t>,</w:t>
      </w:r>
      <w:r w:rsidR="004E385E" w:rsidRPr="007C488A">
        <w:t xml:space="preserve"> therefore</w:t>
      </w:r>
      <w:r w:rsidR="00E945ED" w:rsidRPr="007C488A">
        <w:t>,</w:t>
      </w:r>
      <w:r w:rsidR="004E385E" w:rsidRPr="007C488A">
        <w:t xml:space="preserve"> support conclusions from two-step and one-step ITCs whereby the incremental benefit in term of OS in favour of LVAD is increasing relative to OMM with newer generation devices and lower baseline INTERMACS profiles. </w:t>
      </w:r>
      <w:r w:rsidR="007B2F95" w:rsidRPr="007C488A">
        <w:t>The commentary considered that t</w:t>
      </w:r>
      <w:r w:rsidR="00E945ED" w:rsidRPr="007C488A">
        <w:t>his is reasonable to assume regarding the new LVAD generations, however, this comparison ignores the improvement in survival associated with newer agents used in OMM</w:t>
      </w:r>
      <w:r w:rsidR="00342486" w:rsidRPr="007C488A">
        <w:t xml:space="preserve"> in general</w:t>
      </w:r>
      <w:r w:rsidR="00E945ED" w:rsidRPr="007C488A">
        <w:t>.</w:t>
      </w:r>
      <w:r w:rsidR="00342486" w:rsidRPr="007C488A">
        <w:t xml:space="preserve"> The OMM management in this population is not contemporary and OS may not reflect current practice. </w:t>
      </w:r>
    </w:p>
    <w:p w14:paraId="31875147" w14:textId="2FD52377" w:rsidR="00342486" w:rsidRPr="007C488A" w:rsidRDefault="00342486" w:rsidP="00176FCF">
      <w:pPr>
        <w:jc w:val="both"/>
      </w:pPr>
      <w:r w:rsidRPr="007C488A">
        <w:t>Of note, although the ADAR present</w:t>
      </w:r>
      <w:r w:rsidR="006F0E56" w:rsidRPr="007C488A">
        <w:t>ed</w:t>
      </w:r>
      <w:r w:rsidRPr="007C488A">
        <w:t xml:space="preserve"> ITCs, the naïve comparison of Momentum 3 HM3 and Rematch OMM KM curves (</w:t>
      </w:r>
      <w:r w:rsidR="007614FE" w:rsidRPr="007C488A">
        <w:fldChar w:fldCharType="begin"/>
      </w:r>
      <w:r w:rsidR="007614FE" w:rsidRPr="007C488A">
        <w:instrText xml:space="preserve"> REF _Ref155619940 \h </w:instrText>
      </w:r>
      <w:r w:rsidR="007C488A">
        <w:instrText xml:space="preserve"> \* MERGEFORMAT </w:instrText>
      </w:r>
      <w:r w:rsidR="007614FE" w:rsidRPr="007C488A">
        <w:fldChar w:fldCharType="separate"/>
      </w:r>
      <w:r w:rsidR="00406484" w:rsidRPr="007C488A">
        <w:t xml:space="preserve">Figure </w:t>
      </w:r>
      <w:r w:rsidR="00406484" w:rsidRPr="007C488A">
        <w:rPr>
          <w:noProof/>
        </w:rPr>
        <w:t>2</w:t>
      </w:r>
      <w:r w:rsidR="007614FE" w:rsidRPr="007C488A">
        <w:fldChar w:fldCharType="end"/>
      </w:r>
      <w:r w:rsidRPr="007C488A">
        <w:t>) informed the OS between treatment and control arms in the economic model.</w:t>
      </w:r>
    </w:p>
    <w:p w14:paraId="37251874" w14:textId="700DDABC" w:rsidR="001867B8" w:rsidRPr="007C488A" w:rsidRDefault="001867B8" w:rsidP="007D1A1F">
      <w:pPr>
        <w:pStyle w:val="Heading3"/>
      </w:pPr>
      <w:r w:rsidRPr="007C488A">
        <w:lastRenderedPageBreak/>
        <w:t>Secondary effectiveness outcomes</w:t>
      </w:r>
    </w:p>
    <w:p w14:paraId="2A68FFB9" w14:textId="103E0A7D" w:rsidR="00B8115C" w:rsidRPr="007C488A" w:rsidRDefault="00B8115C" w:rsidP="007D1A1F">
      <w:pPr>
        <w:pStyle w:val="Heading3"/>
      </w:pPr>
      <w:r w:rsidRPr="007C488A">
        <w:t>Functional status</w:t>
      </w:r>
    </w:p>
    <w:p w14:paraId="4E62F6B8" w14:textId="1EBE4AB9" w:rsidR="00B8115C" w:rsidRPr="007C488A" w:rsidRDefault="00B8115C" w:rsidP="00C91CA8">
      <w:pPr>
        <w:jc w:val="both"/>
      </w:pPr>
      <w:r w:rsidRPr="007C488A">
        <w:t>Insufficient data was available to perform anchored ITCs for functional status.</w:t>
      </w:r>
      <w:r w:rsidR="00C91CA8" w:rsidRPr="007C488A">
        <w:t xml:space="preserve"> </w:t>
      </w:r>
      <w:r w:rsidR="00C91CA8" w:rsidRPr="007C488A">
        <w:fldChar w:fldCharType="begin"/>
      </w:r>
      <w:r w:rsidR="00C91CA8" w:rsidRPr="007C488A">
        <w:instrText xml:space="preserve"> REF _Ref155618414 \h </w:instrText>
      </w:r>
      <w:r w:rsidR="007C488A">
        <w:instrText xml:space="preserve"> \* MERGEFORMAT </w:instrText>
      </w:r>
      <w:r w:rsidR="00C91CA8" w:rsidRPr="007C488A">
        <w:fldChar w:fldCharType="separate"/>
      </w:r>
      <w:r w:rsidR="00406484" w:rsidRPr="007C488A">
        <w:t xml:space="preserve">Table </w:t>
      </w:r>
      <w:r w:rsidR="00406484" w:rsidRPr="007C488A">
        <w:rPr>
          <w:noProof/>
        </w:rPr>
        <w:t>6</w:t>
      </w:r>
      <w:r w:rsidR="00C91CA8" w:rsidRPr="007C488A">
        <w:fldChar w:fldCharType="end"/>
      </w:r>
      <w:r w:rsidR="00C91CA8" w:rsidRPr="007C488A">
        <w:t xml:space="preserve"> </w:t>
      </w:r>
      <w:r w:rsidR="001867B8" w:rsidRPr="007C488A">
        <w:t xml:space="preserve">provides the </w:t>
      </w:r>
      <w:r w:rsidR="006156B6" w:rsidRPr="007C488A">
        <w:t xml:space="preserve">naïve </w:t>
      </w:r>
      <w:r w:rsidRPr="007C488A">
        <w:t>indirect comparisons of functional status as assessed by NYHA classification and 6MWD</w:t>
      </w:r>
      <w:r w:rsidR="001867B8" w:rsidRPr="007C488A">
        <w:t>.</w:t>
      </w:r>
      <w:r w:rsidRPr="007C488A">
        <w:t xml:space="preserve"> </w:t>
      </w:r>
    </w:p>
    <w:p w14:paraId="276BFBDC" w14:textId="3DDEE1E6" w:rsidR="001867B8" w:rsidRPr="007C488A" w:rsidRDefault="001867B8" w:rsidP="006C4D49">
      <w:pPr>
        <w:pStyle w:val="Caption"/>
      </w:pPr>
      <w:bookmarkStart w:id="35" w:name="_Ref155618414"/>
      <w:r w:rsidRPr="007C488A">
        <w:t xml:space="preserve">Table </w:t>
      </w:r>
      <w:r w:rsidR="0063450D">
        <w:fldChar w:fldCharType="begin"/>
      </w:r>
      <w:r w:rsidR="0063450D">
        <w:instrText xml:space="preserve"> SEQ Table \* ARABIC </w:instrText>
      </w:r>
      <w:r w:rsidR="0063450D">
        <w:fldChar w:fldCharType="separate"/>
      </w:r>
      <w:r w:rsidR="00406484" w:rsidRPr="007C488A">
        <w:rPr>
          <w:noProof/>
        </w:rPr>
        <w:t>6</w:t>
      </w:r>
      <w:r w:rsidR="0063450D">
        <w:rPr>
          <w:noProof/>
        </w:rPr>
        <w:fldChar w:fldCharType="end"/>
      </w:r>
      <w:bookmarkEnd w:id="35"/>
      <w:r w:rsidRPr="007C488A">
        <w:t xml:space="preserve">: Naïve indirect comparison of functional status as assessed by NYHA classification and </w:t>
      </w:r>
      <w:proofErr w:type="gramStart"/>
      <w:r w:rsidRPr="007C488A">
        <w:t>6MWD</w:t>
      </w:r>
      <w:proofErr w:type="gramEnd"/>
    </w:p>
    <w:tbl>
      <w:tblPr>
        <w:tblStyle w:val="TableGrid"/>
        <w:tblW w:w="5000" w:type="pct"/>
        <w:tblLook w:val="04A0" w:firstRow="1" w:lastRow="0" w:firstColumn="1" w:lastColumn="0" w:noHBand="0" w:noVBand="1"/>
      </w:tblPr>
      <w:tblGrid>
        <w:gridCol w:w="2090"/>
        <w:gridCol w:w="2225"/>
        <w:gridCol w:w="2359"/>
        <w:gridCol w:w="2342"/>
      </w:tblGrid>
      <w:tr w:rsidR="00B8115C" w:rsidRPr="007C488A" w14:paraId="4BB7DF1E" w14:textId="77777777" w:rsidTr="007D1A1F">
        <w:trPr>
          <w:trHeight w:val="299"/>
          <w:tblHeader/>
        </w:trPr>
        <w:tc>
          <w:tcPr>
            <w:tcW w:w="1159" w:type="pct"/>
            <w:vMerge w:val="restart"/>
            <w:shd w:val="clear" w:color="auto" w:fill="auto"/>
          </w:tcPr>
          <w:p w14:paraId="07E0F125" w14:textId="77777777" w:rsidR="00B8115C" w:rsidRPr="007C488A" w:rsidRDefault="00B8115C" w:rsidP="00B8115C">
            <w:pPr>
              <w:keepNext/>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 xml:space="preserve">Comparison </w:t>
            </w:r>
          </w:p>
        </w:tc>
        <w:tc>
          <w:tcPr>
            <w:tcW w:w="1234" w:type="pct"/>
            <w:vMerge w:val="restart"/>
            <w:shd w:val="clear" w:color="auto" w:fill="auto"/>
          </w:tcPr>
          <w:p w14:paraId="5B8FC8F5" w14:textId="77777777" w:rsidR="00B8115C" w:rsidRPr="007C488A" w:rsidRDefault="00B8115C" w:rsidP="00B8115C">
            <w:pPr>
              <w:keepNext/>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 xml:space="preserve">Timepoint </w:t>
            </w:r>
          </w:p>
        </w:tc>
        <w:tc>
          <w:tcPr>
            <w:tcW w:w="1308" w:type="pct"/>
            <w:shd w:val="clear" w:color="auto" w:fill="auto"/>
          </w:tcPr>
          <w:p w14:paraId="361D3D27"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MOMENTUM 3</w:t>
            </w:r>
          </w:p>
        </w:tc>
        <w:tc>
          <w:tcPr>
            <w:tcW w:w="1299" w:type="pct"/>
            <w:shd w:val="clear" w:color="auto" w:fill="auto"/>
          </w:tcPr>
          <w:p w14:paraId="1ABFD0BF"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ROADMAP</w:t>
            </w:r>
          </w:p>
        </w:tc>
      </w:tr>
      <w:tr w:rsidR="00B8115C" w:rsidRPr="007C488A" w14:paraId="2C703648" w14:textId="77777777" w:rsidTr="007D1A1F">
        <w:trPr>
          <w:trHeight w:val="288"/>
          <w:tblHeader/>
        </w:trPr>
        <w:tc>
          <w:tcPr>
            <w:tcW w:w="1159" w:type="pct"/>
            <w:vMerge/>
            <w:shd w:val="clear" w:color="auto" w:fill="auto"/>
          </w:tcPr>
          <w:p w14:paraId="67F7506C" w14:textId="77777777" w:rsidR="00B8115C" w:rsidRPr="007C488A" w:rsidRDefault="00B8115C" w:rsidP="00B8115C">
            <w:pPr>
              <w:keepNext/>
              <w:spacing w:before="40" w:after="40"/>
              <w:rPr>
                <w:rFonts w:ascii="Arial Narrow" w:eastAsia="Times New Roman" w:hAnsi="Arial Narrow" w:cs="Tahoma"/>
                <w:b/>
                <w:bCs/>
                <w:sz w:val="20"/>
                <w:szCs w:val="20"/>
                <w:lang w:eastAsia="en-AU"/>
              </w:rPr>
            </w:pPr>
          </w:p>
        </w:tc>
        <w:tc>
          <w:tcPr>
            <w:tcW w:w="1234" w:type="pct"/>
            <w:vMerge/>
            <w:shd w:val="clear" w:color="auto" w:fill="auto"/>
          </w:tcPr>
          <w:p w14:paraId="15D526DD" w14:textId="77777777" w:rsidR="00B8115C" w:rsidRPr="007C488A" w:rsidRDefault="00B8115C" w:rsidP="00B8115C">
            <w:pPr>
              <w:keepNext/>
              <w:spacing w:before="40" w:after="40"/>
              <w:rPr>
                <w:rFonts w:ascii="Arial Narrow" w:eastAsia="Times New Roman" w:hAnsi="Arial Narrow" w:cs="Tahoma"/>
                <w:b/>
                <w:bCs/>
                <w:sz w:val="20"/>
                <w:szCs w:val="20"/>
                <w:lang w:eastAsia="en-AU"/>
              </w:rPr>
            </w:pPr>
          </w:p>
        </w:tc>
        <w:tc>
          <w:tcPr>
            <w:tcW w:w="1308" w:type="pct"/>
            <w:shd w:val="clear" w:color="auto" w:fill="auto"/>
          </w:tcPr>
          <w:p w14:paraId="2D40A7C8"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HM3 vs HM2</w:t>
            </w:r>
          </w:p>
        </w:tc>
        <w:tc>
          <w:tcPr>
            <w:tcW w:w="1299" w:type="pct"/>
            <w:shd w:val="clear" w:color="auto" w:fill="auto"/>
          </w:tcPr>
          <w:p w14:paraId="24715FAD"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HM2 vs OMM</w:t>
            </w:r>
          </w:p>
        </w:tc>
      </w:tr>
      <w:tr w:rsidR="00B8115C" w:rsidRPr="007C488A" w14:paraId="767BE8C7" w14:textId="77777777" w:rsidTr="007D1A1F">
        <w:trPr>
          <w:trHeight w:val="1075"/>
        </w:trPr>
        <w:tc>
          <w:tcPr>
            <w:tcW w:w="1159" w:type="pct"/>
            <w:vMerge w:val="restart"/>
          </w:tcPr>
          <w:p w14:paraId="67DF381A" w14:textId="4989A9CB" w:rsidR="00B8115C" w:rsidRPr="007C488A" w:rsidRDefault="00B8115C" w:rsidP="001867B8">
            <w:pPr>
              <w:pStyle w:val="TableText"/>
              <w:rPr>
                <w:lang w:eastAsia="en-AU"/>
              </w:rPr>
            </w:pPr>
            <w:r w:rsidRPr="007C488A">
              <w:rPr>
                <w:lang w:eastAsia="en-AU"/>
              </w:rPr>
              <w:t xml:space="preserve">NYHA </w:t>
            </w:r>
            <w:proofErr w:type="spellStart"/>
            <w:r w:rsidRPr="007C488A">
              <w:rPr>
                <w:lang w:eastAsia="en-AU"/>
              </w:rPr>
              <w:t>classification</w:t>
            </w:r>
            <w:r w:rsidR="00C00E05" w:rsidRPr="007C488A">
              <w:rPr>
                <w:vertAlign w:val="superscript"/>
                <w:lang w:eastAsia="en-AU"/>
              </w:rPr>
              <w:t>a</w:t>
            </w:r>
            <w:proofErr w:type="spellEnd"/>
            <w:r w:rsidRPr="007C488A">
              <w:rPr>
                <w:lang w:eastAsia="en-AU"/>
              </w:rPr>
              <w:t>, %</w:t>
            </w:r>
          </w:p>
        </w:tc>
        <w:tc>
          <w:tcPr>
            <w:tcW w:w="1234" w:type="pct"/>
          </w:tcPr>
          <w:p w14:paraId="79783660" w14:textId="77777777" w:rsidR="00B8115C" w:rsidRPr="007C488A" w:rsidRDefault="00B8115C" w:rsidP="001867B8">
            <w:pPr>
              <w:pStyle w:val="TableText"/>
              <w:rPr>
                <w:lang w:eastAsia="en-AU"/>
              </w:rPr>
            </w:pPr>
            <w:r w:rsidRPr="007C488A">
              <w:rPr>
                <w:lang w:eastAsia="en-AU"/>
              </w:rPr>
              <w:t>Baseline (pre-implant)</w:t>
            </w:r>
          </w:p>
        </w:tc>
        <w:tc>
          <w:tcPr>
            <w:tcW w:w="1308" w:type="pct"/>
          </w:tcPr>
          <w:p w14:paraId="13CB0786" w14:textId="77777777" w:rsidR="00B8115C" w:rsidRPr="007C488A" w:rsidRDefault="00B8115C" w:rsidP="001867B8">
            <w:pPr>
              <w:pStyle w:val="TableText"/>
              <w:rPr>
                <w:lang w:eastAsia="en-AU"/>
              </w:rPr>
            </w:pPr>
            <w:r w:rsidRPr="007C488A">
              <w:rPr>
                <w:lang w:eastAsia="en-AU"/>
              </w:rPr>
              <w:t xml:space="preserve">I: </w:t>
            </w:r>
            <w:r w:rsidRPr="007C488A">
              <w:rPr>
                <w:b/>
                <w:bCs/>
                <w:u w:val="single"/>
                <w:lang w:eastAsia="en-AU"/>
              </w:rPr>
              <w:t>0%</w:t>
            </w:r>
            <w:r w:rsidRPr="007C488A">
              <w:rPr>
                <w:lang w:eastAsia="en-AU"/>
              </w:rPr>
              <w:t xml:space="preserve"> vs 0%</w:t>
            </w:r>
          </w:p>
          <w:p w14:paraId="6EEC62E3" w14:textId="77777777" w:rsidR="00B8115C" w:rsidRPr="007C488A" w:rsidRDefault="00B8115C" w:rsidP="001867B8">
            <w:pPr>
              <w:pStyle w:val="TableText"/>
              <w:rPr>
                <w:lang w:eastAsia="en-AU"/>
              </w:rPr>
            </w:pPr>
            <w:r w:rsidRPr="007C488A">
              <w:rPr>
                <w:lang w:eastAsia="en-AU"/>
              </w:rPr>
              <w:t xml:space="preserve">II: </w:t>
            </w:r>
            <w:r w:rsidRPr="007C488A">
              <w:rPr>
                <w:b/>
                <w:bCs/>
                <w:u w:val="single"/>
                <w:lang w:eastAsia="en-AU"/>
              </w:rPr>
              <w:t>0%</w:t>
            </w:r>
            <w:r w:rsidRPr="007C488A">
              <w:rPr>
                <w:lang w:eastAsia="en-AU"/>
              </w:rPr>
              <w:t xml:space="preserve"> vs 0%</w:t>
            </w:r>
          </w:p>
          <w:p w14:paraId="7D9A9C0B" w14:textId="77777777" w:rsidR="00B8115C" w:rsidRPr="007C488A" w:rsidRDefault="00B8115C" w:rsidP="001867B8">
            <w:pPr>
              <w:pStyle w:val="TableText"/>
              <w:rPr>
                <w:lang w:eastAsia="en-AU"/>
              </w:rPr>
            </w:pPr>
            <w:r w:rsidRPr="007C488A">
              <w:rPr>
                <w:lang w:eastAsia="en-AU"/>
              </w:rPr>
              <w:t xml:space="preserve">III: </w:t>
            </w:r>
            <w:r w:rsidRPr="007C488A">
              <w:rPr>
                <w:b/>
                <w:bCs/>
                <w:u w:val="single"/>
                <w:lang w:eastAsia="en-AU"/>
              </w:rPr>
              <w:t>7%</w:t>
            </w:r>
            <w:r w:rsidRPr="007C488A">
              <w:rPr>
                <w:lang w:eastAsia="en-AU"/>
              </w:rPr>
              <w:t xml:space="preserve"> vs 4%</w:t>
            </w:r>
          </w:p>
          <w:p w14:paraId="2F613C52" w14:textId="77777777" w:rsidR="00B8115C" w:rsidRPr="007C488A" w:rsidRDefault="00B8115C" w:rsidP="001867B8">
            <w:pPr>
              <w:pStyle w:val="TableText"/>
              <w:rPr>
                <w:lang w:eastAsia="en-AU"/>
              </w:rPr>
            </w:pPr>
            <w:r w:rsidRPr="007C488A">
              <w:rPr>
                <w:lang w:eastAsia="en-AU"/>
              </w:rPr>
              <w:t xml:space="preserve">IV: </w:t>
            </w:r>
            <w:r w:rsidRPr="007C488A">
              <w:rPr>
                <w:b/>
                <w:bCs/>
                <w:u w:val="single"/>
                <w:lang w:eastAsia="en-AU"/>
              </w:rPr>
              <w:t>93%</w:t>
            </w:r>
            <w:r w:rsidRPr="007C488A">
              <w:rPr>
                <w:lang w:eastAsia="en-AU"/>
              </w:rPr>
              <w:t xml:space="preserve"> vs 96%</w:t>
            </w:r>
          </w:p>
        </w:tc>
        <w:tc>
          <w:tcPr>
            <w:tcW w:w="1299" w:type="pct"/>
          </w:tcPr>
          <w:p w14:paraId="4053E60A" w14:textId="77777777" w:rsidR="00B8115C" w:rsidRPr="007C488A" w:rsidRDefault="00B8115C" w:rsidP="001867B8">
            <w:pPr>
              <w:pStyle w:val="TableText"/>
              <w:rPr>
                <w:lang w:eastAsia="en-AU"/>
              </w:rPr>
            </w:pPr>
            <w:r w:rsidRPr="007C488A">
              <w:rPr>
                <w:lang w:eastAsia="en-AU"/>
              </w:rPr>
              <w:t xml:space="preserve">I: 0% vs </w:t>
            </w:r>
            <w:r w:rsidRPr="007C488A">
              <w:rPr>
                <w:b/>
                <w:bCs/>
                <w:u w:val="single"/>
                <w:lang w:eastAsia="en-AU"/>
              </w:rPr>
              <w:t>0%</w:t>
            </w:r>
          </w:p>
          <w:p w14:paraId="6DACD5B6" w14:textId="77777777" w:rsidR="00B8115C" w:rsidRPr="007C488A" w:rsidRDefault="00B8115C" w:rsidP="001867B8">
            <w:pPr>
              <w:pStyle w:val="TableText"/>
              <w:rPr>
                <w:lang w:eastAsia="en-AU"/>
              </w:rPr>
            </w:pPr>
            <w:r w:rsidRPr="007C488A">
              <w:rPr>
                <w:lang w:eastAsia="en-AU"/>
              </w:rPr>
              <w:t xml:space="preserve">II: 0% vs </w:t>
            </w:r>
            <w:r w:rsidRPr="007C488A">
              <w:rPr>
                <w:b/>
                <w:bCs/>
                <w:u w:val="single"/>
                <w:lang w:eastAsia="en-AU"/>
              </w:rPr>
              <w:t>0%</w:t>
            </w:r>
          </w:p>
          <w:p w14:paraId="1A8F9D48" w14:textId="77777777" w:rsidR="00B8115C" w:rsidRPr="007C488A" w:rsidRDefault="00B8115C" w:rsidP="001867B8">
            <w:pPr>
              <w:pStyle w:val="TableText"/>
              <w:rPr>
                <w:lang w:eastAsia="en-AU"/>
              </w:rPr>
            </w:pPr>
            <w:r w:rsidRPr="007C488A">
              <w:rPr>
                <w:lang w:eastAsia="en-AU"/>
              </w:rPr>
              <w:t xml:space="preserve">III: 46% vs </w:t>
            </w:r>
            <w:r w:rsidRPr="007C488A">
              <w:rPr>
                <w:b/>
                <w:bCs/>
                <w:u w:val="single"/>
                <w:lang w:eastAsia="en-AU"/>
              </w:rPr>
              <w:t>77%</w:t>
            </w:r>
          </w:p>
          <w:p w14:paraId="129197DE" w14:textId="77777777" w:rsidR="00B8115C" w:rsidRPr="007C488A" w:rsidRDefault="00B8115C" w:rsidP="001867B8">
            <w:pPr>
              <w:pStyle w:val="TableText"/>
              <w:rPr>
                <w:lang w:eastAsia="en-AU"/>
              </w:rPr>
            </w:pPr>
            <w:r w:rsidRPr="007C488A">
              <w:rPr>
                <w:lang w:eastAsia="en-AU"/>
              </w:rPr>
              <w:t xml:space="preserve">IV: 54% vs </w:t>
            </w:r>
            <w:r w:rsidRPr="007C488A">
              <w:rPr>
                <w:b/>
                <w:bCs/>
                <w:u w:val="single"/>
                <w:lang w:eastAsia="en-AU"/>
              </w:rPr>
              <w:t>22%</w:t>
            </w:r>
          </w:p>
        </w:tc>
      </w:tr>
      <w:tr w:rsidR="00B8115C" w:rsidRPr="007C488A" w14:paraId="57878C93" w14:textId="77777777" w:rsidTr="007D1A1F">
        <w:trPr>
          <w:trHeight w:val="1075"/>
        </w:trPr>
        <w:tc>
          <w:tcPr>
            <w:tcW w:w="1159" w:type="pct"/>
            <w:vMerge/>
          </w:tcPr>
          <w:p w14:paraId="0A9DFEED" w14:textId="77777777" w:rsidR="00B8115C" w:rsidRPr="007C488A" w:rsidRDefault="00B8115C" w:rsidP="001867B8">
            <w:pPr>
              <w:pStyle w:val="TableText"/>
              <w:rPr>
                <w:lang w:eastAsia="en-AU"/>
              </w:rPr>
            </w:pPr>
          </w:p>
        </w:tc>
        <w:tc>
          <w:tcPr>
            <w:tcW w:w="1234" w:type="pct"/>
          </w:tcPr>
          <w:p w14:paraId="6A497B79" w14:textId="77777777" w:rsidR="00B8115C" w:rsidRPr="007C488A" w:rsidRDefault="00B8115C" w:rsidP="001867B8">
            <w:pPr>
              <w:pStyle w:val="TableText"/>
              <w:rPr>
                <w:lang w:eastAsia="en-AU"/>
              </w:rPr>
            </w:pPr>
            <w:r w:rsidRPr="007C488A">
              <w:rPr>
                <w:lang w:eastAsia="en-AU"/>
              </w:rPr>
              <w:t>Post (12 months)</w:t>
            </w:r>
          </w:p>
        </w:tc>
        <w:tc>
          <w:tcPr>
            <w:tcW w:w="1308" w:type="pct"/>
          </w:tcPr>
          <w:p w14:paraId="2012C5B3" w14:textId="77777777" w:rsidR="00B8115C" w:rsidRPr="007C488A" w:rsidRDefault="00B8115C" w:rsidP="001867B8">
            <w:pPr>
              <w:pStyle w:val="TableText"/>
              <w:rPr>
                <w:lang w:eastAsia="en-AU"/>
              </w:rPr>
            </w:pPr>
            <w:r w:rsidRPr="007C488A">
              <w:rPr>
                <w:lang w:eastAsia="en-AU"/>
              </w:rPr>
              <w:t xml:space="preserve">I: </w:t>
            </w:r>
            <w:r w:rsidRPr="007C488A">
              <w:rPr>
                <w:b/>
                <w:bCs/>
                <w:u w:val="single"/>
                <w:lang w:eastAsia="en-AU"/>
              </w:rPr>
              <w:t>33%</w:t>
            </w:r>
            <w:r w:rsidRPr="007C488A">
              <w:rPr>
                <w:lang w:eastAsia="en-AU"/>
              </w:rPr>
              <w:t xml:space="preserve"> vs 31%</w:t>
            </w:r>
          </w:p>
          <w:p w14:paraId="0B37175B" w14:textId="77777777" w:rsidR="00B8115C" w:rsidRPr="007C488A" w:rsidRDefault="00B8115C" w:rsidP="001867B8">
            <w:pPr>
              <w:pStyle w:val="TableText"/>
              <w:rPr>
                <w:lang w:eastAsia="en-AU"/>
              </w:rPr>
            </w:pPr>
            <w:r w:rsidRPr="007C488A">
              <w:rPr>
                <w:lang w:eastAsia="en-AU"/>
              </w:rPr>
              <w:t xml:space="preserve">II: </w:t>
            </w:r>
            <w:r w:rsidRPr="007C488A">
              <w:rPr>
                <w:b/>
                <w:bCs/>
                <w:u w:val="single"/>
                <w:lang w:eastAsia="en-AU"/>
              </w:rPr>
              <w:t>48%</w:t>
            </w:r>
            <w:r w:rsidRPr="007C488A">
              <w:rPr>
                <w:lang w:eastAsia="en-AU"/>
              </w:rPr>
              <w:t xml:space="preserve"> vs 50%</w:t>
            </w:r>
          </w:p>
          <w:p w14:paraId="5B87C1CB" w14:textId="77777777" w:rsidR="00B8115C" w:rsidRPr="007C488A" w:rsidRDefault="00B8115C" w:rsidP="001867B8">
            <w:pPr>
              <w:pStyle w:val="TableText"/>
              <w:rPr>
                <w:lang w:eastAsia="en-AU"/>
              </w:rPr>
            </w:pPr>
            <w:r w:rsidRPr="007C488A">
              <w:rPr>
                <w:lang w:eastAsia="en-AU"/>
              </w:rPr>
              <w:t xml:space="preserve">III: </w:t>
            </w:r>
            <w:r w:rsidRPr="007C488A">
              <w:rPr>
                <w:b/>
                <w:bCs/>
                <w:u w:val="single"/>
                <w:lang w:eastAsia="en-AU"/>
              </w:rPr>
              <w:t>17%</w:t>
            </w:r>
            <w:r w:rsidRPr="007C488A">
              <w:rPr>
                <w:lang w:eastAsia="en-AU"/>
              </w:rPr>
              <w:t xml:space="preserve"> vs 17%</w:t>
            </w:r>
          </w:p>
          <w:p w14:paraId="02226A62" w14:textId="77777777" w:rsidR="00B8115C" w:rsidRPr="007C488A" w:rsidRDefault="00B8115C" w:rsidP="001867B8">
            <w:pPr>
              <w:pStyle w:val="TableText"/>
              <w:rPr>
                <w:lang w:eastAsia="en-AU"/>
              </w:rPr>
            </w:pPr>
            <w:r w:rsidRPr="007C488A">
              <w:rPr>
                <w:lang w:eastAsia="en-AU"/>
              </w:rPr>
              <w:t xml:space="preserve">IV: </w:t>
            </w:r>
            <w:r w:rsidRPr="007C488A">
              <w:rPr>
                <w:b/>
                <w:bCs/>
                <w:u w:val="single"/>
                <w:lang w:eastAsia="en-AU"/>
              </w:rPr>
              <w:t>2%</w:t>
            </w:r>
            <w:r w:rsidRPr="007C488A">
              <w:rPr>
                <w:lang w:eastAsia="en-AU"/>
              </w:rPr>
              <w:t xml:space="preserve"> vs 2%</w:t>
            </w:r>
          </w:p>
        </w:tc>
        <w:tc>
          <w:tcPr>
            <w:tcW w:w="1299" w:type="pct"/>
          </w:tcPr>
          <w:p w14:paraId="7D57D8B6" w14:textId="77777777" w:rsidR="00B8115C" w:rsidRPr="007C488A" w:rsidRDefault="00B8115C" w:rsidP="001867B8">
            <w:pPr>
              <w:pStyle w:val="TableText"/>
              <w:rPr>
                <w:lang w:eastAsia="en-AU"/>
              </w:rPr>
            </w:pPr>
            <w:r w:rsidRPr="007C488A">
              <w:rPr>
                <w:lang w:eastAsia="en-AU"/>
              </w:rPr>
              <w:t xml:space="preserve">I: 25% vs </w:t>
            </w:r>
            <w:r w:rsidRPr="007C488A">
              <w:rPr>
                <w:b/>
                <w:bCs/>
                <w:u w:val="single"/>
                <w:lang w:eastAsia="en-AU"/>
              </w:rPr>
              <w:t>0%</w:t>
            </w:r>
          </w:p>
          <w:p w14:paraId="2E21B748" w14:textId="77777777" w:rsidR="00B8115C" w:rsidRPr="007C488A" w:rsidRDefault="00B8115C" w:rsidP="001867B8">
            <w:pPr>
              <w:pStyle w:val="TableText"/>
              <w:rPr>
                <w:lang w:eastAsia="en-AU"/>
              </w:rPr>
            </w:pPr>
            <w:r w:rsidRPr="007C488A">
              <w:rPr>
                <w:lang w:eastAsia="en-AU"/>
              </w:rPr>
              <w:t xml:space="preserve">II: 52% vs </w:t>
            </w:r>
            <w:r w:rsidRPr="007C488A">
              <w:rPr>
                <w:b/>
                <w:bCs/>
                <w:u w:val="single"/>
                <w:lang w:eastAsia="en-AU"/>
              </w:rPr>
              <w:t>29%</w:t>
            </w:r>
          </w:p>
          <w:p w14:paraId="5E81049E" w14:textId="77777777" w:rsidR="00B8115C" w:rsidRPr="007C488A" w:rsidRDefault="00B8115C" w:rsidP="001867B8">
            <w:pPr>
              <w:pStyle w:val="TableText"/>
              <w:rPr>
                <w:lang w:eastAsia="en-AU"/>
              </w:rPr>
            </w:pPr>
            <w:r w:rsidRPr="007C488A">
              <w:rPr>
                <w:lang w:eastAsia="en-AU"/>
              </w:rPr>
              <w:t xml:space="preserve">III: 21% vs </w:t>
            </w:r>
            <w:r w:rsidRPr="007C488A">
              <w:rPr>
                <w:b/>
                <w:bCs/>
                <w:u w:val="single"/>
                <w:lang w:eastAsia="en-AU"/>
              </w:rPr>
              <w:t>60%</w:t>
            </w:r>
          </w:p>
          <w:p w14:paraId="169B1BD6" w14:textId="77777777" w:rsidR="00B8115C" w:rsidRPr="007C488A" w:rsidRDefault="00B8115C" w:rsidP="001867B8">
            <w:pPr>
              <w:pStyle w:val="TableText"/>
              <w:rPr>
                <w:lang w:eastAsia="en-AU"/>
              </w:rPr>
            </w:pPr>
            <w:r w:rsidRPr="007C488A">
              <w:rPr>
                <w:lang w:eastAsia="en-AU"/>
              </w:rPr>
              <w:t xml:space="preserve">IV: 2% vs </w:t>
            </w:r>
            <w:r w:rsidRPr="007C488A">
              <w:rPr>
                <w:b/>
                <w:bCs/>
                <w:u w:val="single"/>
                <w:lang w:eastAsia="en-AU"/>
              </w:rPr>
              <w:t>11%</w:t>
            </w:r>
          </w:p>
        </w:tc>
      </w:tr>
      <w:tr w:rsidR="00B8115C" w:rsidRPr="007C488A" w14:paraId="08225B35" w14:textId="77777777" w:rsidTr="007D1A1F">
        <w:trPr>
          <w:trHeight w:val="1075"/>
        </w:trPr>
        <w:tc>
          <w:tcPr>
            <w:tcW w:w="1159" w:type="pct"/>
            <w:vMerge/>
          </w:tcPr>
          <w:p w14:paraId="0628C736" w14:textId="77777777" w:rsidR="00B8115C" w:rsidRPr="007C488A" w:rsidRDefault="00B8115C" w:rsidP="001867B8">
            <w:pPr>
              <w:pStyle w:val="TableText"/>
              <w:rPr>
                <w:lang w:eastAsia="en-AU"/>
              </w:rPr>
            </w:pPr>
          </w:p>
        </w:tc>
        <w:tc>
          <w:tcPr>
            <w:tcW w:w="1234" w:type="pct"/>
          </w:tcPr>
          <w:p w14:paraId="656F13FE" w14:textId="77777777" w:rsidR="00B8115C" w:rsidRPr="007C488A" w:rsidRDefault="00B8115C" w:rsidP="001867B8">
            <w:pPr>
              <w:pStyle w:val="TableText"/>
              <w:rPr>
                <w:lang w:eastAsia="en-AU"/>
              </w:rPr>
            </w:pPr>
            <w:r w:rsidRPr="007C488A">
              <w:rPr>
                <w:lang w:eastAsia="en-AU"/>
              </w:rPr>
              <w:t>Post (24 months)</w:t>
            </w:r>
          </w:p>
        </w:tc>
        <w:tc>
          <w:tcPr>
            <w:tcW w:w="1308" w:type="pct"/>
          </w:tcPr>
          <w:p w14:paraId="715EEC02" w14:textId="77777777" w:rsidR="00B8115C" w:rsidRPr="007C488A" w:rsidRDefault="00B8115C" w:rsidP="001867B8">
            <w:pPr>
              <w:pStyle w:val="TableText"/>
              <w:rPr>
                <w:lang w:eastAsia="en-AU"/>
              </w:rPr>
            </w:pPr>
            <w:r w:rsidRPr="007C488A">
              <w:rPr>
                <w:lang w:eastAsia="en-AU"/>
              </w:rPr>
              <w:t xml:space="preserve">I: </w:t>
            </w:r>
            <w:r w:rsidRPr="007C488A">
              <w:rPr>
                <w:b/>
                <w:bCs/>
                <w:u w:val="single"/>
                <w:lang w:eastAsia="en-AU"/>
              </w:rPr>
              <w:t>28%</w:t>
            </w:r>
            <w:r w:rsidRPr="007C488A">
              <w:rPr>
                <w:lang w:eastAsia="en-AU"/>
              </w:rPr>
              <w:t xml:space="preserve"> vs 24%</w:t>
            </w:r>
          </w:p>
          <w:p w14:paraId="619108C7" w14:textId="77777777" w:rsidR="00B8115C" w:rsidRPr="007C488A" w:rsidRDefault="00B8115C" w:rsidP="001867B8">
            <w:pPr>
              <w:pStyle w:val="TableText"/>
              <w:rPr>
                <w:lang w:eastAsia="en-AU"/>
              </w:rPr>
            </w:pPr>
            <w:r w:rsidRPr="007C488A">
              <w:rPr>
                <w:lang w:eastAsia="en-AU"/>
              </w:rPr>
              <w:t xml:space="preserve">II: </w:t>
            </w:r>
            <w:r w:rsidRPr="007C488A">
              <w:rPr>
                <w:b/>
                <w:bCs/>
                <w:u w:val="single"/>
                <w:lang w:eastAsia="en-AU"/>
              </w:rPr>
              <w:t>51%</w:t>
            </w:r>
            <w:r w:rsidRPr="007C488A">
              <w:rPr>
                <w:lang w:eastAsia="en-AU"/>
              </w:rPr>
              <w:t xml:space="preserve"> vs 52%</w:t>
            </w:r>
          </w:p>
          <w:p w14:paraId="140AA478" w14:textId="77777777" w:rsidR="00B8115C" w:rsidRPr="007C488A" w:rsidRDefault="00B8115C" w:rsidP="001867B8">
            <w:pPr>
              <w:pStyle w:val="TableText"/>
              <w:rPr>
                <w:lang w:eastAsia="en-AU"/>
              </w:rPr>
            </w:pPr>
            <w:r w:rsidRPr="007C488A">
              <w:rPr>
                <w:lang w:eastAsia="en-AU"/>
              </w:rPr>
              <w:t xml:space="preserve">III: </w:t>
            </w:r>
            <w:r w:rsidRPr="007C488A">
              <w:rPr>
                <w:b/>
                <w:bCs/>
                <w:u w:val="single"/>
                <w:lang w:eastAsia="en-AU"/>
              </w:rPr>
              <w:t>16%</w:t>
            </w:r>
            <w:r w:rsidRPr="007C488A">
              <w:rPr>
                <w:lang w:eastAsia="en-AU"/>
              </w:rPr>
              <w:t xml:space="preserve"> vs 20%</w:t>
            </w:r>
          </w:p>
          <w:p w14:paraId="775451D4" w14:textId="77777777" w:rsidR="00B8115C" w:rsidRPr="007C488A" w:rsidRDefault="00B8115C" w:rsidP="001867B8">
            <w:pPr>
              <w:pStyle w:val="TableText"/>
              <w:rPr>
                <w:lang w:eastAsia="en-AU"/>
              </w:rPr>
            </w:pPr>
            <w:r w:rsidRPr="007C488A">
              <w:rPr>
                <w:lang w:eastAsia="en-AU"/>
              </w:rPr>
              <w:t xml:space="preserve">IV: </w:t>
            </w:r>
            <w:r w:rsidRPr="007C488A">
              <w:rPr>
                <w:b/>
                <w:bCs/>
                <w:u w:val="single"/>
                <w:lang w:eastAsia="en-AU"/>
              </w:rPr>
              <w:t>4%</w:t>
            </w:r>
            <w:r w:rsidRPr="007C488A">
              <w:rPr>
                <w:lang w:eastAsia="en-AU"/>
              </w:rPr>
              <w:t xml:space="preserve"> vs 3%</w:t>
            </w:r>
          </w:p>
        </w:tc>
        <w:tc>
          <w:tcPr>
            <w:tcW w:w="1299" w:type="pct"/>
          </w:tcPr>
          <w:p w14:paraId="78D421BB" w14:textId="77777777" w:rsidR="00B8115C" w:rsidRPr="007C488A" w:rsidRDefault="00B8115C" w:rsidP="001867B8">
            <w:pPr>
              <w:pStyle w:val="TableText"/>
              <w:rPr>
                <w:lang w:eastAsia="en-AU"/>
              </w:rPr>
            </w:pPr>
            <w:r w:rsidRPr="007C488A">
              <w:rPr>
                <w:lang w:eastAsia="en-AU"/>
              </w:rPr>
              <w:t xml:space="preserve">I: 23% vs </w:t>
            </w:r>
            <w:r w:rsidRPr="007C488A">
              <w:rPr>
                <w:b/>
                <w:bCs/>
                <w:u w:val="single"/>
                <w:lang w:eastAsia="en-AU"/>
              </w:rPr>
              <w:t>11%</w:t>
            </w:r>
          </w:p>
          <w:p w14:paraId="7D1EFC8A" w14:textId="77777777" w:rsidR="00B8115C" w:rsidRPr="007C488A" w:rsidRDefault="00B8115C" w:rsidP="001867B8">
            <w:pPr>
              <w:pStyle w:val="TableText"/>
              <w:rPr>
                <w:lang w:eastAsia="en-AU"/>
              </w:rPr>
            </w:pPr>
            <w:r w:rsidRPr="007C488A">
              <w:rPr>
                <w:lang w:eastAsia="en-AU"/>
              </w:rPr>
              <w:t xml:space="preserve">II: 46% vs </w:t>
            </w:r>
            <w:r w:rsidRPr="007C488A">
              <w:rPr>
                <w:b/>
                <w:bCs/>
                <w:u w:val="single"/>
                <w:lang w:eastAsia="en-AU"/>
              </w:rPr>
              <w:t>26%</w:t>
            </w:r>
          </w:p>
          <w:p w14:paraId="28CB32D8" w14:textId="77777777" w:rsidR="00B8115C" w:rsidRPr="007C488A" w:rsidRDefault="00B8115C" w:rsidP="001867B8">
            <w:pPr>
              <w:pStyle w:val="TableText"/>
              <w:rPr>
                <w:lang w:eastAsia="en-AU"/>
              </w:rPr>
            </w:pPr>
            <w:r w:rsidRPr="007C488A">
              <w:rPr>
                <w:lang w:eastAsia="en-AU"/>
              </w:rPr>
              <w:t xml:space="preserve">III: 29% vs </w:t>
            </w:r>
            <w:r w:rsidRPr="007C488A">
              <w:rPr>
                <w:b/>
                <w:bCs/>
                <w:u w:val="single"/>
                <w:lang w:eastAsia="en-AU"/>
              </w:rPr>
              <w:t>59%</w:t>
            </w:r>
          </w:p>
          <w:p w14:paraId="166A53ED" w14:textId="77777777" w:rsidR="00B8115C" w:rsidRPr="007C488A" w:rsidRDefault="00B8115C" w:rsidP="001867B8">
            <w:pPr>
              <w:pStyle w:val="TableText"/>
              <w:rPr>
                <w:lang w:eastAsia="en-AU"/>
              </w:rPr>
            </w:pPr>
            <w:r w:rsidRPr="007C488A">
              <w:rPr>
                <w:lang w:eastAsia="en-AU"/>
              </w:rPr>
              <w:t xml:space="preserve">IV: 2% vs </w:t>
            </w:r>
            <w:r w:rsidRPr="007C488A">
              <w:rPr>
                <w:b/>
                <w:bCs/>
                <w:u w:val="single"/>
                <w:lang w:eastAsia="en-AU"/>
              </w:rPr>
              <w:t>4%</w:t>
            </w:r>
          </w:p>
        </w:tc>
      </w:tr>
      <w:tr w:rsidR="00352A7B" w:rsidRPr="007C488A" w14:paraId="5D814D22" w14:textId="77777777" w:rsidTr="007D1A1F">
        <w:trPr>
          <w:trHeight w:val="299"/>
        </w:trPr>
        <w:tc>
          <w:tcPr>
            <w:tcW w:w="2393" w:type="pct"/>
            <w:gridSpan w:val="2"/>
          </w:tcPr>
          <w:p w14:paraId="36B36135" w14:textId="28D8EDF6" w:rsidR="00352A7B" w:rsidRPr="007C488A" w:rsidRDefault="00352A7B" w:rsidP="00352A7B">
            <w:pPr>
              <w:pStyle w:val="TableText"/>
              <w:rPr>
                <w:lang w:eastAsia="en-AU"/>
              </w:rPr>
            </w:pPr>
            <w:r w:rsidRPr="007C488A">
              <w:rPr>
                <w:lang w:eastAsia="en-AU"/>
              </w:rPr>
              <w:t>6MWD, baseline (pre-implant</w:t>
            </w:r>
            <w:r w:rsidR="00B200A3" w:rsidRPr="007C488A">
              <w:rPr>
                <w:lang w:eastAsia="en-AU"/>
              </w:rPr>
              <w:t>)</w:t>
            </w:r>
          </w:p>
        </w:tc>
        <w:tc>
          <w:tcPr>
            <w:tcW w:w="1308" w:type="pct"/>
          </w:tcPr>
          <w:p w14:paraId="1AA4FD88" w14:textId="447D0297" w:rsidR="00352A7B" w:rsidRPr="007C488A" w:rsidRDefault="00352A7B" w:rsidP="00352A7B">
            <w:pPr>
              <w:pStyle w:val="TableText"/>
              <w:rPr>
                <w:lang w:eastAsia="en-AU"/>
              </w:rPr>
            </w:pPr>
            <w:r w:rsidRPr="007C488A">
              <w:rPr>
                <w:lang w:eastAsia="en-AU"/>
              </w:rPr>
              <w:t>91 (0, 950) vs 54 (0, 847)</w:t>
            </w:r>
          </w:p>
        </w:tc>
        <w:tc>
          <w:tcPr>
            <w:tcW w:w="1299" w:type="pct"/>
          </w:tcPr>
          <w:p w14:paraId="469F04A0" w14:textId="0AD93DD7" w:rsidR="00352A7B" w:rsidRPr="007C488A" w:rsidRDefault="00352A7B" w:rsidP="00352A7B">
            <w:pPr>
              <w:pStyle w:val="TableText"/>
              <w:rPr>
                <w:lang w:eastAsia="en-AU"/>
              </w:rPr>
            </w:pPr>
            <w:r w:rsidRPr="007C488A">
              <w:rPr>
                <w:lang w:eastAsia="en-AU"/>
              </w:rPr>
              <w:t>187 (NR) vs 214 (NR)</w:t>
            </w:r>
          </w:p>
        </w:tc>
      </w:tr>
      <w:tr w:rsidR="00352A7B" w:rsidRPr="007C488A" w14:paraId="2AC2F8EE" w14:textId="77777777" w:rsidTr="007D1A1F">
        <w:trPr>
          <w:trHeight w:val="299"/>
        </w:trPr>
        <w:tc>
          <w:tcPr>
            <w:tcW w:w="1159" w:type="pct"/>
            <w:vMerge w:val="restart"/>
          </w:tcPr>
          <w:p w14:paraId="07BEEDA7" w14:textId="3A7908D2" w:rsidR="00352A7B" w:rsidRPr="007C488A" w:rsidRDefault="00D10C43" w:rsidP="00352A7B">
            <w:pPr>
              <w:pStyle w:val="TableText"/>
              <w:rPr>
                <w:lang w:eastAsia="en-AU"/>
              </w:rPr>
            </w:pPr>
            <w:r w:rsidRPr="007C488A">
              <w:rPr>
                <w:lang w:eastAsia="en-AU"/>
              </w:rPr>
              <w:t>Metres walked, median (range)</w:t>
            </w:r>
          </w:p>
        </w:tc>
        <w:tc>
          <w:tcPr>
            <w:tcW w:w="1234" w:type="pct"/>
          </w:tcPr>
          <w:p w14:paraId="42AFE6ED" w14:textId="77777777" w:rsidR="00352A7B" w:rsidRPr="007C488A" w:rsidRDefault="00352A7B" w:rsidP="00352A7B">
            <w:pPr>
              <w:pStyle w:val="TableText"/>
              <w:rPr>
                <w:lang w:eastAsia="en-AU"/>
              </w:rPr>
            </w:pPr>
            <w:r w:rsidRPr="007C488A">
              <w:rPr>
                <w:lang w:eastAsia="en-AU"/>
              </w:rPr>
              <w:t>Post (12 months)</w:t>
            </w:r>
          </w:p>
        </w:tc>
        <w:tc>
          <w:tcPr>
            <w:tcW w:w="1308" w:type="pct"/>
          </w:tcPr>
          <w:p w14:paraId="713AE1F8" w14:textId="50542EBD" w:rsidR="00352A7B" w:rsidRPr="007C488A" w:rsidRDefault="00D10C43" w:rsidP="00352A7B">
            <w:pPr>
              <w:pStyle w:val="TableText"/>
              <w:rPr>
                <w:lang w:eastAsia="en-AU"/>
              </w:rPr>
            </w:pPr>
            <w:r w:rsidRPr="007C488A">
              <w:rPr>
                <w:lang w:eastAsia="en-AU"/>
              </w:rPr>
              <w:t xml:space="preserve">335 (0, 1275) vs 353 (0, 1035) </w:t>
            </w:r>
          </w:p>
        </w:tc>
        <w:tc>
          <w:tcPr>
            <w:tcW w:w="1299" w:type="pct"/>
          </w:tcPr>
          <w:p w14:paraId="7AFBD90E" w14:textId="351F876D" w:rsidR="00352A7B" w:rsidRPr="007C488A" w:rsidRDefault="004F7CFD" w:rsidP="00352A7B">
            <w:pPr>
              <w:pStyle w:val="TableText"/>
              <w:rPr>
                <w:lang w:eastAsia="en-AU"/>
              </w:rPr>
            </w:pPr>
            <w:r w:rsidRPr="007C488A">
              <w:rPr>
                <w:lang w:eastAsia="en-AU"/>
              </w:rPr>
              <w:t>263 (</w:t>
            </w:r>
            <w:r w:rsidRPr="007C488A">
              <w:t xml:space="preserve">p &lt; 0.001) </w:t>
            </w:r>
            <w:r w:rsidRPr="007C488A">
              <w:rPr>
                <w:lang w:eastAsia="en-AU"/>
              </w:rPr>
              <w:t>vs 249 (</w:t>
            </w:r>
            <w:r w:rsidRPr="007C488A">
              <w:t>p = 0.325)</w:t>
            </w:r>
            <w:r w:rsidRPr="007C488A">
              <w:rPr>
                <w:vertAlign w:val="superscript"/>
              </w:rPr>
              <w:t>b</w:t>
            </w:r>
          </w:p>
        </w:tc>
      </w:tr>
      <w:tr w:rsidR="00352A7B" w:rsidRPr="007C488A" w14:paraId="0A76DB9A" w14:textId="77777777" w:rsidTr="007D1A1F">
        <w:trPr>
          <w:trHeight w:val="299"/>
        </w:trPr>
        <w:tc>
          <w:tcPr>
            <w:tcW w:w="1159" w:type="pct"/>
            <w:vMerge/>
          </w:tcPr>
          <w:p w14:paraId="14D48C45" w14:textId="77777777" w:rsidR="00352A7B" w:rsidRPr="007C488A" w:rsidRDefault="00352A7B" w:rsidP="00352A7B">
            <w:pPr>
              <w:pStyle w:val="TableText"/>
              <w:rPr>
                <w:lang w:eastAsia="en-AU"/>
              </w:rPr>
            </w:pPr>
          </w:p>
        </w:tc>
        <w:tc>
          <w:tcPr>
            <w:tcW w:w="1234" w:type="pct"/>
          </w:tcPr>
          <w:p w14:paraId="3915E352" w14:textId="77777777" w:rsidR="00352A7B" w:rsidRPr="007C488A" w:rsidRDefault="00352A7B" w:rsidP="00352A7B">
            <w:pPr>
              <w:pStyle w:val="TableText"/>
              <w:rPr>
                <w:lang w:eastAsia="en-AU"/>
              </w:rPr>
            </w:pPr>
            <w:r w:rsidRPr="007C488A">
              <w:rPr>
                <w:lang w:eastAsia="en-AU"/>
              </w:rPr>
              <w:t>Post (24 months)</w:t>
            </w:r>
          </w:p>
        </w:tc>
        <w:tc>
          <w:tcPr>
            <w:tcW w:w="1308" w:type="pct"/>
          </w:tcPr>
          <w:p w14:paraId="17BE99BB" w14:textId="7CBC47C6" w:rsidR="00352A7B" w:rsidRPr="007C488A" w:rsidRDefault="00D10C43" w:rsidP="00352A7B">
            <w:pPr>
              <w:pStyle w:val="TableText"/>
              <w:rPr>
                <w:lang w:eastAsia="en-AU"/>
              </w:rPr>
            </w:pPr>
            <w:r w:rsidRPr="007C488A">
              <w:rPr>
                <w:lang w:eastAsia="en-AU"/>
              </w:rPr>
              <w:t>335 (0, 1236)</w:t>
            </w:r>
            <w:r w:rsidR="00352A7B" w:rsidRPr="007C488A">
              <w:rPr>
                <w:lang w:eastAsia="en-AU"/>
              </w:rPr>
              <w:t xml:space="preserve">vs </w:t>
            </w:r>
            <w:r w:rsidRPr="007C488A">
              <w:rPr>
                <w:lang w:eastAsia="en-AU"/>
              </w:rPr>
              <w:t>350 (0, 3429)</w:t>
            </w:r>
          </w:p>
        </w:tc>
        <w:tc>
          <w:tcPr>
            <w:tcW w:w="1299" w:type="pct"/>
          </w:tcPr>
          <w:p w14:paraId="061C65B7" w14:textId="5E1A6DFD" w:rsidR="00352A7B" w:rsidRPr="007C488A" w:rsidRDefault="004F7CFD" w:rsidP="00352A7B">
            <w:pPr>
              <w:pStyle w:val="TableText"/>
              <w:rPr>
                <w:lang w:eastAsia="en-AU"/>
              </w:rPr>
            </w:pPr>
            <w:r w:rsidRPr="007C488A">
              <w:rPr>
                <w:lang w:eastAsia="en-AU"/>
              </w:rPr>
              <w:t>337 m (p &lt; 0.05) vs 249 (remain same)</w:t>
            </w:r>
            <w:r w:rsidRPr="007C488A">
              <w:rPr>
                <w:vertAlign w:val="superscript"/>
                <w:lang w:eastAsia="en-AU"/>
              </w:rPr>
              <w:t>b</w:t>
            </w:r>
          </w:p>
        </w:tc>
      </w:tr>
    </w:tbl>
    <w:p w14:paraId="7C7B1B77" w14:textId="7EB2506A" w:rsidR="001867B8" w:rsidRPr="007C488A" w:rsidRDefault="001867B8" w:rsidP="00EA4FE5">
      <w:pPr>
        <w:pStyle w:val="Tablenotes0"/>
      </w:pPr>
      <w:r w:rsidRPr="007C488A">
        <w:t xml:space="preserve">Source: </w:t>
      </w:r>
      <w:r w:rsidR="00D10C43" w:rsidRPr="007C488A">
        <w:t xml:space="preserve">Table 27, p128; </w:t>
      </w:r>
      <w:r w:rsidRPr="007C488A">
        <w:t xml:space="preserve">Table 45, </w:t>
      </w:r>
      <w:r w:rsidR="009B3E0F" w:rsidRPr="007C488A">
        <w:t xml:space="preserve">p172 </w:t>
      </w:r>
      <w:r w:rsidRPr="007C488A">
        <w:t xml:space="preserve">of </w:t>
      </w:r>
      <w:r w:rsidR="009B3E0F" w:rsidRPr="007C488A">
        <w:t>MSAC 1749 ADAR+ in-line commentary</w:t>
      </w:r>
    </w:p>
    <w:p w14:paraId="540579A8" w14:textId="7CF9C37B" w:rsidR="001867B8" w:rsidRPr="007C488A" w:rsidRDefault="001867B8" w:rsidP="00EA4FE5">
      <w:pPr>
        <w:pStyle w:val="Tablenotes0"/>
      </w:pPr>
      <w:r w:rsidRPr="007C488A">
        <w:t>Abbreviations: 6MWD</w:t>
      </w:r>
      <w:r w:rsidR="00454BB2" w:rsidRPr="007C488A">
        <w:t xml:space="preserve"> = </w:t>
      </w:r>
      <w:r w:rsidRPr="007C488A">
        <w:t>6-minute walk distance; HM2</w:t>
      </w:r>
      <w:r w:rsidR="00454BB2" w:rsidRPr="007C488A">
        <w:t xml:space="preserve"> = </w:t>
      </w:r>
      <w:r w:rsidRPr="007C488A">
        <w:t>HeartMate 2; HM3</w:t>
      </w:r>
      <w:r w:rsidR="00454BB2" w:rsidRPr="007C488A">
        <w:t xml:space="preserve"> = </w:t>
      </w:r>
      <w:r w:rsidRPr="007C488A">
        <w:t xml:space="preserve">HeartMate 3; </w:t>
      </w:r>
      <w:r w:rsidR="00481BD8" w:rsidRPr="007C488A">
        <w:t>NA = not available;</w:t>
      </w:r>
      <w:r w:rsidR="00C91CA8" w:rsidRPr="007C488A">
        <w:t xml:space="preserve"> </w:t>
      </w:r>
      <w:r w:rsidRPr="007C488A">
        <w:t>NR</w:t>
      </w:r>
      <w:r w:rsidR="00454BB2" w:rsidRPr="007C488A">
        <w:t xml:space="preserve"> = </w:t>
      </w:r>
      <w:r w:rsidRPr="007C488A">
        <w:t>not reported; NYHA</w:t>
      </w:r>
      <w:r w:rsidR="00454BB2" w:rsidRPr="007C488A">
        <w:t xml:space="preserve"> = </w:t>
      </w:r>
      <w:r w:rsidRPr="007C488A">
        <w:t>New York Heart Association; OMM</w:t>
      </w:r>
      <w:r w:rsidR="00454BB2" w:rsidRPr="007C488A">
        <w:t xml:space="preserve"> = </w:t>
      </w:r>
      <w:r w:rsidRPr="007C488A">
        <w:t>optimal medical management</w:t>
      </w:r>
    </w:p>
    <w:p w14:paraId="221BA26A" w14:textId="2513BF81" w:rsidR="00C00E05" w:rsidRPr="007C488A" w:rsidRDefault="004F7CFD" w:rsidP="00EA4FE5">
      <w:pPr>
        <w:pStyle w:val="Tablenotes0"/>
      </w:pPr>
      <w:r w:rsidRPr="007C488A">
        <w:rPr>
          <w:vertAlign w:val="superscript"/>
        </w:rPr>
        <w:t xml:space="preserve"> </w:t>
      </w:r>
      <w:r w:rsidRPr="007C488A">
        <w:t>Notes</w:t>
      </w:r>
      <w:r w:rsidRPr="007C488A">
        <w:rPr>
          <w:vertAlign w:val="superscript"/>
        </w:rPr>
        <w:t xml:space="preserve">: </w:t>
      </w:r>
      <w:proofErr w:type="spellStart"/>
      <w:r w:rsidR="00C00E05" w:rsidRPr="007C488A">
        <w:rPr>
          <w:vertAlign w:val="superscript"/>
        </w:rPr>
        <w:t>a</w:t>
      </w:r>
      <w:r w:rsidR="00C00E05" w:rsidRPr="007C488A">
        <w:t>NYHA</w:t>
      </w:r>
      <w:proofErr w:type="spellEnd"/>
      <w:r w:rsidR="00C00E05" w:rsidRPr="007C488A">
        <w:t xml:space="preserve"> classification: Class I = no limitation of physical activity; Class II = slight limitations of normal physical activity, comfortable at rest; Class III = marked limitation of physical activity, no symptoms at rest; Class IV = symptoms of heart failure at rest or on any physical activity</w:t>
      </w:r>
    </w:p>
    <w:p w14:paraId="1FDC075B" w14:textId="3E0C607B" w:rsidR="004F7CFD" w:rsidRPr="007C488A" w:rsidRDefault="004F7CFD" w:rsidP="00EA4FE5">
      <w:pPr>
        <w:pStyle w:val="Tablenotes0"/>
      </w:pPr>
      <w:r w:rsidRPr="007C488A">
        <w:rPr>
          <w:vertAlign w:val="superscript"/>
        </w:rPr>
        <w:t>b</w:t>
      </w:r>
      <w:r w:rsidRPr="007C488A">
        <w:t xml:space="preserve"> p-value was reported for the difference from the baseline</w:t>
      </w:r>
    </w:p>
    <w:p w14:paraId="001CCC42" w14:textId="02ED0ED9" w:rsidR="004E385E" w:rsidRPr="007C488A" w:rsidRDefault="004E385E" w:rsidP="004E385E">
      <w:pPr>
        <w:jc w:val="both"/>
      </w:pPr>
      <w:r w:rsidRPr="007C488A">
        <w:t>In the REMATCH trial, NYHA classification was reported as median NYHA class in each arm, and the 6MWD was not an endpoint in the trial. Therefore, no comparison can be made with respect to the REMATCH trial.</w:t>
      </w:r>
      <w:r w:rsidR="00E945ED" w:rsidRPr="007C488A">
        <w:t xml:space="preserve"> </w:t>
      </w:r>
      <w:r w:rsidRPr="007C488A">
        <w:t xml:space="preserve">Overall, there was a shift in distribution for NYHA classification. For HM3 patients (in MOMENTUM 3), </w:t>
      </w:r>
      <w:proofErr w:type="gramStart"/>
      <w:r w:rsidRPr="007C488A">
        <w:t>the majority of</w:t>
      </w:r>
      <w:proofErr w:type="gramEnd"/>
      <w:r w:rsidRPr="007C488A">
        <w:t xml:space="preserve"> patients shifted from class III/IV to class I/II at one- and two years post implant (i.e., 0% of patients had class I/II, whereas approximately 80% of patients had class I/II over two years). For OMM patients in (in ROADMAP), less patients were in class I/II (approximately 35% over two years) at </w:t>
      </w:r>
      <w:proofErr w:type="gramStart"/>
      <w:r w:rsidRPr="007C488A">
        <w:t>one and two years</w:t>
      </w:r>
      <w:proofErr w:type="gramEnd"/>
      <w:r w:rsidRPr="007C488A">
        <w:t xml:space="preserve"> </w:t>
      </w:r>
      <w:r w:rsidR="00E945ED" w:rsidRPr="007C488A">
        <w:t>follow-up</w:t>
      </w:r>
      <w:r w:rsidRPr="007C488A">
        <w:t xml:space="preserve"> when compared to patients receiving HM3.</w:t>
      </w:r>
    </w:p>
    <w:p w14:paraId="5454A63D" w14:textId="38EC3D83" w:rsidR="006B758C" w:rsidRPr="007C488A" w:rsidRDefault="004E385E">
      <w:pPr>
        <w:jc w:val="both"/>
      </w:pPr>
      <w:r w:rsidRPr="007C488A">
        <w:t>In terms of 6MWD, greater improvements were seen in patients with HM3 compared to OMM (244</w:t>
      </w:r>
      <w:r w:rsidR="00C00E05" w:rsidRPr="007C488A">
        <w:t> </w:t>
      </w:r>
      <w:r w:rsidRPr="007C488A">
        <w:t>m vs 35</w:t>
      </w:r>
      <w:r w:rsidR="00C00E05" w:rsidRPr="007C488A">
        <w:t> </w:t>
      </w:r>
      <w:r w:rsidRPr="007C488A">
        <w:t>m at one year).</w:t>
      </w:r>
      <w:r w:rsidR="004F7CFD" w:rsidRPr="007C488A">
        <w:t xml:space="preserve"> Of note, </w:t>
      </w:r>
      <w:r w:rsidR="00600E86" w:rsidRPr="007C488A">
        <w:t xml:space="preserve">the difference in the baseline of the </w:t>
      </w:r>
      <w:r w:rsidR="00A20593" w:rsidRPr="007C488A">
        <w:t>MOMENTUM</w:t>
      </w:r>
      <w:r w:rsidR="00600E86" w:rsidRPr="007C488A">
        <w:t xml:space="preserve"> 3 and REMATCH studies may be a potential reason for the lower change from baseline in OMM patients compared to the HM3</w:t>
      </w:r>
      <w:r w:rsidR="00A20593" w:rsidRPr="007C488A">
        <w:t xml:space="preserve"> e.g., the improvement was higher in HM3 group because the baseline was 91m, compared to the baseline of 214m in OMM group.</w:t>
      </w:r>
    </w:p>
    <w:p w14:paraId="723C4B61" w14:textId="77777777" w:rsidR="00B8115C" w:rsidRPr="007C488A" w:rsidRDefault="00B8115C" w:rsidP="007D2C8E">
      <w:pPr>
        <w:keepNext/>
        <w:jc w:val="both"/>
        <w:rPr>
          <w:b/>
          <w:bCs/>
        </w:rPr>
      </w:pPr>
      <w:r w:rsidRPr="007C488A">
        <w:rPr>
          <w:b/>
          <w:bCs/>
        </w:rPr>
        <w:lastRenderedPageBreak/>
        <w:t>QoL</w:t>
      </w:r>
    </w:p>
    <w:p w14:paraId="05B08C29" w14:textId="0545616B" w:rsidR="001867B8" w:rsidRPr="007C488A" w:rsidRDefault="00B8115C" w:rsidP="007D2C8E">
      <w:pPr>
        <w:keepNext/>
        <w:jc w:val="both"/>
      </w:pPr>
      <w:r w:rsidRPr="007C488A">
        <w:t>Insufficient data was available to perform anchored ITCs for functional status.</w:t>
      </w:r>
      <w:r w:rsidR="004014E9" w:rsidRPr="007C488A">
        <w:t xml:space="preserve"> </w:t>
      </w:r>
      <w:r w:rsidRPr="007C488A">
        <w:t xml:space="preserve">The only commonly assessed, comparable QoL outcome in MOMENTUM 3 and ROADMAP </w:t>
      </w:r>
      <w:r w:rsidR="00B812D2" w:rsidRPr="007C488A">
        <w:t>wa</w:t>
      </w:r>
      <w:r w:rsidRPr="007C488A">
        <w:t xml:space="preserve">s EQ-5D VAS at one- and two-year </w:t>
      </w:r>
      <w:r w:rsidR="00C00E05" w:rsidRPr="007C488A">
        <w:t>follow-up</w:t>
      </w:r>
      <w:r w:rsidRPr="007C488A">
        <w:t>. However, given differences in reporting, a Bucher ITC could not be constructed</w:t>
      </w:r>
      <w:r w:rsidR="001867B8" w:rsidRPr="007C488A">
        <w:t xml:space="preserve">. Therefore, </w:t>
      </w:r>
      <w:r w:rsidRPr="007C488A">
        <w:t xml:space="preserve">a naïve indirect comparison of QoL as assessed by EQ-5D VAS </w:t>
      </w:r>
      <w:r w:rsidR="00ED4A3C" w:rsidRPr="007C488A">
        <w:t>was</w:t>
      </w:r>
      <w:r w:rsidRPr="007C488A">
        <w:t xml:space="preserve"> presented </w:t>
      </w:r>
      <w:r w:rsidR="00ED4A3C" w:rsidRPr="007C488A">
        <w:t>(</w:t>
      </w:r>
      <w:r w:rsidR="00E17863" w:rsidRPr="007C488A">
        <w:fldChar w:fldCharType="begin"/>
      </w:r>
      <w:r w:rsidR="00E17863" w:rsidRPr="007C488A">
        <w:instrText xml:space="preserve"> REF _Ref155618892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7</w:t>
      </w:r>
      <w:r w:rsidR="00E17863" w:rsidRPr="007C488A">
        <w:fldChar w:fldCharType="end"/>
      </w:r>
      <w:r w:rsidR="00ED4A3C" w:rsidRPr="007C488A">
        <w:t>)</w:t>
      </w:r>
      <w:r w:rsidRPr="007C488A">
        <w:t xml:space="preserve">. Similar results were seen at one and two-year </w:t>
      </w:r>
      <w:r w:rsidR="00E945ED" w:rsidRPr="007C488A">
        <w:t>follow-up</w:t>
      </w:r>
      <w:r w:rsidRPr="007C488A">
        <w:t xml:space="preserve"> in patients receiving LVADs (both HM3 and HM2) in MOMENTUM 3 and ROADMAP (~</w:t>
      </w:r>
      <w:proofErr w:type="gramStart"/>
      <w:r w:rsidRPr="007C488A">
        <w:t>27 point</w:t>
      </w:r>
      <w:proofErr w:type="gramEnd"/>
      <w:r w:rsidRPr="007C488A">
        <w:t xml:space="preserve"> improvement). Patients receiving OMM had poorer improvement in EQ-5D VAS (~9 point improvement).</w:t>
      </w:r>
      <w:r w:rsidR="001867B8" w:rsidRPr="007C488A">
        <w:t xml:space="preserve"> The REMATCH trial did not report any EQ-5D VAS result; therefore, no comparison can be made with this trial.</w:t>
      </w:r>
      <w:bookmarkStart w:id="36" w:name="_Toc147323495"/>
      <w:bookmarkStart w:id="37" w:name="_Ref144814862"/>
    </w:p>
    <w:p w14:paraId="356150F8" w14:textId="583A9D64" w:rsidR="00B8115C" w:rsidRPr="007C488A" w:rsidRDefault="00B8115C" w:rsidP="006C4D49">
      <w:pPr>
        <w:pStyle w:val="Caption"/>
      </w:pPr>
      <w:bookmarkStart w:id="38" w:name="_Ref155618892"/>
      <w:r w:rsidRPr="007C488A">
        <w:t xml:space="preserve">Table </w:t>
      </w:r>
      <w:r w:rsidRPr="007C488A">
        <w:fldChar w:fldCharType="begin"/>
      </w:r>
      <w:r w:rsidRPr="007C488A">
        <w:instrText>SEQ Table \* ARABIC</w:instrText>
      </w:r>
      <w:r w:rsidRPr="007C488A">
        <w:fldChar w:fldCharType="separate"/>
      </w:r>
      <w:r w:rsidR="00406484" w:rsidRPr="007C488A">
        <w:rPr>
          <w:noProof/>
        </w:rPr>
        <w:t>7</w:t>
      </w:r>
      <w:r w:rsidRPr="007C488A">
        <w:fldChar w:fldCharType="end"/>
      </w:r>
      <w:bookmarkEnd w:id="37"/>
      <w:bookmarkEnd w:id="38"/>
      <w:r w:rsidR="00016452" w:rsidRPr="007C488A">
        <w:t xml:space="preserve">: </w:t>
      </w:r>
      <w:r w:rsidRPr="007C488A">
        <w:t xml:space="preserve">Naïve indirect comparison of QoL as assessed by EQ-5D </w:t>
      </w:r>
      <w:proofErr w:type="gramStart"/>
      <w:r w:rsidRPr="007C488A">
        <w:t>VAS</w:t>
      </w:r>
      <w:bookmarkEnd w:id="36"/>
      <w:proofErr w:type="gramEnd"/>
    </w:p>
    <w:tbl>
      <w:tblPr>
        <w:tblStyle w:val="TableGrid"/>
        <w:tblW w:w="5000" w:type="pct"/>
        <w:tblLook w:val="04A0" w:firstRow="1" w:lastRow="0" w:firstColumn="1" w:lastColumn="0" w:noHBand="0" w:noVBand="1"/>
      </w:tblPr>
      <w:tblGrid>
        <w:gridCol w:w="2090"/>
        <w:gridCol w:w="2225"/>
        <w:gridCol w:w="2359"/>
        <w:gridCol w:w="2342"/>
      </w:tblGrid>
      <w:tr w:rsidR="00B8115C" w:rsidRPr="007C488A" w14:paraId="19DD57C0" w14:textId="77777777" w:rsidTr="007D1A1F">
        <w:trPr>
          <w:trHeight w:val="299"/>
          <w:tblHeader/>
        </w:trPr>
        <w:tc>
          <w:tcPr>
            <w:tcW w:w="2393" w:type="pct"/>
            <w:gridSpan w:val="2"/>
            <w:vMerge w:val="restart"/>
            <w:shd w:val="clear" w:color="auto" w:fill="auto"/>
          </w:tcPr>
          <w:p w14:paraId="716BFC8D" w14:textId="77777777" w:rsidR="00B8115C" w:rsidRPr="007C488A" w:rsidRDefault="00B8115C" w:rsidP="00B8115C">
            <w:pPr>
              <w:keepNext/>
              <w:spacing w:before="40" w:after="40"/>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 xml:space="preserve">Comparison </w:t>
            </w:r>
          </w:p>
        </w:tc>
        <w:tc>
          <w:tcPr>
            <w:tcW w:w="1308" w:type="pct"/>
            <w:shd w:val="clear" w:color="auto" w:fill="auto"/>
          </w:tcPr>
          <w:p w14:paraId="56C4B1D8"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MOMENTUM 3</w:t>
            </w:r>
          </w:p>
        </w:tc>
        <w:tc>
          <w:tcPr>
            <w:tcW w:w="1299" w:type="pct"/>
            <w:shd w:val="clear" w:color="auto" w:fill="auto"/>
          </w:tcPr>
          <w:p w14:paraId="52E798CA"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ROADMAP</w:t>
            </w:r>
          </w:p>
        </w:tc>
      </w:tr>
      <w:tr w:rsidR="00B8115C" w:rsidRPr="007C488A" w14:paraId="562656D1" w14:textId="77777777" w:rsidTr="007D1A1F">
        <w:trPr>
          <w:trHeight w:val="288"/>
          <w:tblHeader/>
        </w:trPr>
        <w:tc>
          <w:tcPr>
            <w:tcW w:w="2393" w:type="pct"/>
            <w:gridSpan w:val="2"/>
            <w:vMerge/>
            <w:shd w:val="clear" w:color="auto" w:fill="auto"/>
          </w:tcPr>
          <w:p w14:paraId="5B7C1679" w14:textId="77777777" w:rsidR="00B8115C" w:rsidRPr="007C488A" w:rsidRDefault="00B8115C" w:rsidP="00B8115C">
            <w:pPr>
              <w:keepNext/>
              <w:spacing w:before="40" w:after="40"/>
              <w:rPr>
                <w:rFonts w:ascii="Arial Narrow" w:eastAsia="Times New Roman" w:hAnsi="Arial Narrow" w:cs="Tahoma"/>
                <w:b/>
                <w:bCs/>
                <w:sz w:val="20"/>
                <w:szCs w:val="20"/>
                <w:lang w:eastAsia="en-AU"/>
              </w:rPr>
            </w:pPr>
          </w:p>
        </w:tc>
        <w:tc>
          <w:tcPr>
            <w:tcW w:w="1308" w:type="pct"/>
            <w:shd w:val="clear" w:color="auto" w:fill="auto"/>
          </w:tcPr>
          <w:p w14:paraId="427702DD"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HM3 vs HM2</w:t>
            </w:r>
          </w:p>
        </w:tc>
        <w:tc>
          <w:tcPr>
            <w:tcW w:w="1299" w:type="pct"/>
            <w:shd w:val="clear" w:color="auto" w:fill="auto"/>
          </w:tcPr>
          <w:p w14:paraId="6AB5A921" w14:textId="77777777" w:rsidR="00B8115C" w:rsidRPr="007C488A" w:rsidRDefault="00B8115C" w:rsidP="00B8115C">
            <w:pPr>
              <w:keepNext/>
              <w:spacing w:before="40" w:after="40"/>
              <w:jc w:val="both"/>
              <w:rPr>
                <w:rFonts w:ascii="Arial Narrow" w:eastAsia="Times New Roman" w:hAnsi="Arial Narrow" w:cs="Tahoma"/>
                <w:b/>
                <w:bCs/>
                <w:sz w:val="20"/>
                <w:szCs w:val="20"/>
                <w:lang w:eastAsia="en-AU"/>
              </w:rPr>
            </w:pPr>
            <w:r w:rsidRPr="007C488A">
              <w:rPr>
                <w:rFonts w:ascii="Arial Narrow" w:eastAsia="Times New Roman" w:hAnsi="Arial Narrow" w:cs="Tahoma"/>
                <w:b/>
                <w:bCs/>
                <w:sz w:val="20"/>
                <w:szCs w:val="20"/>
                <w:lang w:eastAsia="en-AU"/>
              </w:rPr>
              <w:t>HM2 vs OMM</w:t>
            </w:r>
          </w:p>
        </w:tc>
      </w:tr>
      <w:tr w:rsidR="00B8115C" w:rsidRPr="007C488A" w14:paraId="5831FFDB" w14:textId="77777777" w:rsidTr="007D1A1F">
        <w:trPr>
          <w:trHeight w:val="56"/>
        </w:trPr>
        <w:tc>
          <w:tcPr>
            <w:tcW w:w="2393" w:type="pct"/>
            <w:gridSpan w:val="2"/>
          </w:tcPr>
          <w:p w14:paraId="17DD651F" w14:textId="77777777" w:rsidR="00B8115C" w:rsidRPr="007C488A" w:rsidRDefault="00B8115C" w:rsidP="00B8115C">
            <w:pPr>
              <w:keepNext/>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Baseline (pre-implant)</w:t>
            </w:r>
          </w:p>
        </w:tc>
        <w:tc>
          <w:tcPr>
            <w:tcW w:w="1308" w:type="pct"/>
          </w:tcPr>
          <w:p w14:paraId="237D1DE5" w14:textId="77777777" w:rsidR="00B8115C" w:rsidRPr="007C488A" w:rsidRDefault="00B8115C" w:rsidP="00B8115C">
            <w:pPr>
              <w:keepNext/>
              <w:spacing w:before="40" w:after="4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u w:val="single"/>
                <w:lang w:eastAsia="en-AU"/>
              </w:rPr>
              <w:t>50</w:t>
            </w:r>
            <w:r w:rsidRPr="007C488A">
              <w:rPr>
                <w:rFonts w:ascii="Arial Narrow" w:eastAsia="Times New Roman" w:hAnsi="Arial Narrow" w:cs="Tahoma"/>
                <w:sz w:val="20"/>
                <w:szCs w:val="20"/>
                <w:lang w:eastAsia="en-AU"/>
              </w:rPr>
              <w:t xml:space="preserve"> vs 48</w:t>
            </w:r>
          </w:p>
        </w:tc>
        <w:tc>
          <w:tcPr>
            <w:tcW w:w="1299" w:type="pct"/>
          </w:tcPr>
          <w:p w14:paraId="11F0A68C" w14:textId="77777777" w:rsidR="00B8115C" w:rsidRPr="007C488A" w:rsidRDefault="00B8115C" w:rsidP="00B8115C">
            <w:pPr>
              <w:keepNext/>
              <w:spacing w:before="40" w:after="4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NR</w:t>
            </w:r>
          </w:p>
        </w:tc>
      </w:tr>
      <w:tr w:rsidR="00B8115C" w:rsidRPr="007C488A" w14:paraId="5C2C0139" w14:textId="77777777" w:rsidTr="007D1A1F">
        <w:trPr>
          <w:trHeight w:val="133"/>
        </w:trPr>
        <w:tc>
          <w:tcPr>
            <w:tcW w:w="1159" w:type="pct"/>
            <w:vMerge w:val="restart"/>
          </w:tcPr>
          <w:p w14:paraId="11315AD7" w14:textId="77777777" w:rsidR="00B8115C" w:rsidRPr="007C488A" w:rsidRDefault="00B8115C" w:rsidP="00B8115C">
            <w:pPr>
              <w:keepNext/>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Change from baseline in EQ-5D VAS</w:t>
            </w:r>
          </w:p>
        </w:tc>
        <w:tc>
          <w:tcPr>
            <w:tcW w:w="1234" w:type="pct"/>
          </w:tcPr>
          <w:p w14:paraId="2D769B43" w14:textId="77777777" w:rsidR="00B8115C" w:rsidRPr="007C488A" w:rsidRDefault="00B8115C" w:rsidP="00B8115C">
            <w:pPr>
              <w:keepNext/>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Post (12 months)</w:t>
            </w:r>
          </w:p>
        </w:tc>
        <w:tc>
          <w:tcPr>
            <w:tcW w:w="1308" w:type="pct"/>
          </w:tcPr>
          <w:p w14:paraId="3A2F12CF" w14:textId="77777777" w:rsidR="00B8115C" w:rsidRPr="007C488A" w:rsidRDefault="00B8115C" w:rsidP="00B8115C">
            <w:pPr>
              <w:keepNext/>
              <w:spacing w:before="40" w:after="4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u w:val="single"/>
                <w:lang w:eastAsia="en-AU"/>
              </w:rPr>
              <w:t>26</w:t>
            </w:r>
            <w:r w:rsidRPr="007C488A">
              <w:rPr>
                <w:rFonts w:ascii="Arial Narrow" w:eastAsia="Times New Roman" w:hAnsi="Arial Narrow" w:cs="Tahoma"/>
                <w:sz w:val="20"/>
                <w:szCs w:val="20"/>
                <w:lang w:eastAsia="en-AU"/>
              </w:rPr>
              <w:t xml:space="preserve"> vs 26</w:t>
            </w:r>
          </w:p>
        </w:tc>
        <w:tc>
          <w:tcPr>
            <w:tcW w:w="1299" w:type="pct"/>
          </w:tcPr>
          <w:p w14:paraId="3AF17541" w14:textId="77777777" w:rsidR="00B8115C" w:rsidRPr="007C488A" w:rsidRDefault="00B8115C" w:rsidP="00B8115C">
            <w:pPr>
              <w:keepNext/>
              <w:spacing w:before="40" w:after="4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29 vs </w:t>
            </w:r>
            <w:r w:rsidRPr="007C488A">
              <w:rPr>
                <w:rFonts w:ascii="Arial Narrow" w:eastAsia="Times New Roman" w:hAnsi="Arial Narrow" w:cs="Tahoma"/>
                <w:b/>
                <w:bCs/>
                <w:sz w:val="20"/>
                <w:szCs w:val="20"/>
                <w:u w:val="single"/>
                <w:lang w:eastAsia="en-AU"/>
              </w:rPr>
              <w:t>10</w:t>
            </w:r>
          </w:p>
        </w:tc>
      </w:tr>
      <w:tr w:rsidR="00B8115C" w:rsidRPr="007C488A" w14:paraId="7B26C365" w14:textId="77777777" w:rsidTr="007D1A1F">
        <w:trPr>
          <w:trHeight w:val="223"/>
        </w:trPr>
        <w:tc>
          <w:tcPr>
            <w:tcW w:w="1159" w:type="pct"/>
            <w:vMerge/>
          </w:tcPr>
          <w:p w14:paraId="1F37D3E8" w14:textId="77777777" w:rsidR="00B8115C" w:rsidRPr="007C488A" w:rsidRDefault="00B8115C" w:rsidP="00B8115C">
            <w:pPr>
              <w:keepNext/>
              <w:spacing w:before="40" w:after="40"/>
              <w:rPr>
                <w:rFonts w:ascii="Arial Narrow" w:eastAsia="Times New Roman" w:hAnsi="Arial Narrow" w:cs="Tahoma"/>
                <w:sz w:val="20"/>
                <w:szCs w:val="20"/>
                <w:lang w:eastAsia="en-AU"/>
              </w:rPr>
            </w:pPr>
          </w:p>
        </w:tc>
        <w:tc>
          <w:tcPr>
            <w:tcW w:w="1234" w:type="pct"/>
          </w:tcPr>
          <w:p w14:paraId="3BC929D9" w14:textId="77777777" w:rsidR="00B8115C" w:rsidRPr="007C488A" w:rsidRDefault="00B8115C" w:rsidP="00B8115C">
            <w:pPr>
              <w:keepNext/>
              <w:spacing w:before="40" w:after="40"/>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Post (24 months)</w:t>
            </w:r>
          </w:p>
        </w:tc>
        <w:tc>
          <w:tcPr>
            <w:tcW w:w="1308" w:type="pct"/>
          </w:tcPr>
          <w:p w14:paraId="2F573702" w14:textId="77777777" w:rsidR="00B8115C" w:rsidRPr="007C488A" w:rsidRDefault="00B8115C" w:rsidP="00B8115C">
            <w:pPr>
              <w:keepNext/>
              <w:spacing w:before="40" w:after="40"/>
              <w:jc w:val="both"/>
              <w:rPr>
                <w:rFonts w:ascii="Arial Narrow" w:eastAsia="Times New Roman" w:hAnsi="Arial Narrow" w:cs="Tahoma"/>
                <w:sz w:val="20"/>
                <w:szCs w:val="20"/>
                <w:lang w:eastAsia="en-AU"/>
              </w:rPr>
            </w:pPr>
            <w:r w:rsidRPr="007C488A">
              <w:rPr>
                <w:rFonts w:ascii="Arial Narrow" w:eastAsia="Times New Roman" w:hAnsi="Arial Narrow" w:cs="Tahoma"/>
                <w:b/>
                <w:bCs/>
                <w:sz w:val="20"/>
                <w:szCs w:val="20"/>
                <w:u w:val="single"/>
                <w:lang w:eastAsia="en-AU"/>
              </w:rPr>
              <w:t>26</w:t>
            </w:r>
            <w:r w:rsidRPr="007C488A">
              <w:rPr>
                <w:rFonts w:ascii="Arial Narrow" w:eastAsia="Times New Roman" w:hAnsi="Arial Narrow" w:cs="Tahoma"/>
                <w:sz w:val="20"/>
                <w:szCs w:val="20"/>
                <w:lang w:eastAsia="en-AU"/>
              </w:rPr>
              <w:t xml:space="preserve"> vs 27</w:t>
            </w:r>
          </w:p>
        </w:tc>
        <w:tc>
          <w:tcPr>
            <w:tcW w:w="1299" w:type="pct"/>
          </w:tcPr>
          <w:p w14:paraId="3FE62503" w14:textId="77777777" w:rsidR="00B8115C" w:rsidRPr="007C488A" w:rsidRDefault="00B8115C" w:rsidP="00B8115C">
            <w:pPr>
              <w:keepNext/>
              <w:spacing w:before="40" w:after="40"/>
              <w:jc w:val="both"/>
              <w:rPr>
                <w:rFonts w:ascii="Arial Narrow" w:eastAsia="Times New Roman" w:hAnsi="Arial Narrow" w:cs="Tahoma"/>
                <w:sz w:val="20"/>
                <w:szCs w:val="20"/>
                <w:lang w:eastAsia="en-AU"/>
              </w:rPr>
            </w:pPr>
            <w:r w:rsidRPr="007C488A">
              <w:rPr>
                <w:rFonts w:ascii="Arial Narrow" w:eastAsia="Times New Roman" w:hAnsi="Arial Narrow" w:cs="Tahoma"/>
                <w:sz w:val="20"/>
                <w:szCs w:val="20"/>
                <w:lang w:eastAsia="en-AU"/>
              </w:rPr>
              <w:t xml:space="preserve">27 vs </w:t>
            </w:r>
            <w:r w:rsidRPr="007C488A">
              <w:rPr>
                <w:rFonts w:ascii="Arial Narrow" w:eastAsia="Times New Roman" w:hAnsi="Arial Narrow" w:cs="Tahoma"/>
                <w:b/>
                <w:bCs/>
                <w:sz w:val="20"/>
                <w:szCs w:val="20"/>
                <w:u w:val="single"/>
                <w:lang w:eastAsia="en-AU"/>
              </w:rPr>
              <w:t>8</w:t>
            </w:r>
          </w:p>
        </w:tc>
      </w:tr>
    </w:tbl>
    <w:p w14:paraId="24FA2BB5" w14:textId="024E194D" w:rsidR="001867B8" w:rsidRPr="007C488A" w:rsidRDefault="001867B8" w:rsidP="00EA4FE5">
      <w:pPr>
        <w:pStyle w:val="Tablenotes0"/>
      </w:pPr>
      <w:r w:rsidRPr="007C488A">
        <w:t xml:space="preserve">Source: Table </w:t>
      </w:r>
      <w:r w:rsidR="009B3E0F" w:rsidRPr="007C488A">
        <w:t>46</w:t>
      </w:r>
      <w:r w:rsidRPr="007C488A">
        <w:t xml:space="preserve">, </w:t>
      </w:r>
      <w:r w:rsidR="009B3E0F" w:rsidRPr="007C488A">
        <w:t>p</w:t>
      </w:r>
      <w:r w:rsidR="00A8294C" w:rsidRPr="007C488A">
        <w:t>17</w:t>
      </w:r>
      <w:r w:rsidR="009B3E0F" w:rsidRPr="007C488A">
        <w:t>3</w:t>
      </w:r>
      <w:r w:rsidR="00A8294C" w:rsidRPr="007C488A">
        <w:t xml:space="preserve"> </w:t>
      </w:r>
      <w:r w:rsidRPr="007C488A">
        <w:t xml:space="preserve">of </w:t>
      </w:r>
      <w:r w:rsidR="00A8294C" w:rsidRPr="007C488A">
        <w:t>the MSAC 1749 ADAR+</w:t>
      </w:r>
      <w:r w:rsidR="009B3E0F" w:rsidRPr="007C488A">
        <w:t xml:space="preserve"> </w:t>
      </w:r>
      <w:r w:rsidR="00A8294C" w:rsidRPr="007C488A">
        <w:t>in-line commentary</w:t>
      </w:r>
    </w:p>
    <w:p w14:paraId="5656CE0C" w14:textId="5FF9D85C" w:rsidR="00B8115C" w:rsidRPr="007C488A" w:rsidRDefault="001867B8" w:rsidP="00EA4FE5">
      <w:pPr>
        <w:pStyle w:val="Tablenotes0"/>
      </w:pPr>
      <w:r w:rsidRPr="007C488A">
        <w:t xml:space="preserve">Abbreviations: </w:t>
      </w:r>
      <w:r w:rsidR="00B8115C" w:rsidRPr="007C488A">
        <w:t>HM2</w:t>
      </w:r>
      <w:r w:rsidR="002F1D2A" w:rsidRPr="007C488A">
        <w:t xml:space="preserve"> = </w:t>
      </w:r>
      <w:r w:rsidR="00B8115C" w:rsidRPr="007C488A">
        <w:t>HeartMate 2; HM3</w:t>
      </w:r>
      <w:r w:rsidR="002F1D2A" w:rsidRPr="007C488A">
        <w:t xml:space="preserve"> = </w:t>
      </w:r>
      <w:r w:rsidR="00B8115C" w:rsidRPr="007C488A">
        <w:t xml:space="preserve">HeartMate 3; </w:t>
      </w:r>
      <w:r w:rsidR="00C00E05" w:rsidRPr="007C488A">
        <w:t xml:space="preserve">NR = not reported; </w:t>
      </w:r>
      <w:r w:rsidR="00B8115C" w:rsidRPr="007C488A">
        <w:t>OMM</w:t>
      </w:r>
      <w:r w:rsidR="002F1D2A" w:rsidRPr="007C488A">
        <w:t xml:space="preserve"> = </w:t>
      </w:r>
      <w:r w:rsidR="00B8115C" w:rsidRPr="007C488A">
        <w:t xml:space="preserve">optimal medical management; </w:t>
      </w:r>
      <w:r w:rsidR="005E59D7" w:rsidRPr="007C488A">
        <w:t xml:space="preserve">QoL = quality of life; </w:t>
      </w:r>
      <w:r w:rsidR="00B8115C" w:rsidRPr="007C488A">
        <w:t>VAS</w:t>
      </w:r>
      <w:r w:rsidR="002F1D2A" w:rsidRPr="007C488A">
        <w:t xml:space="preserve"> = </w:t>
      </w:r>
      <w:r w:rsidR="00B8115C" w:rsidRPr="007C488A">
        <w:t>visual analogue scale.</w:t>
      </w:r>
    </w:p>
    <w:p w14:paraId="16459C35" w14:textId="6BCCC270" w:rsidR="00184CB2" w:rsidRPr="007C488A" w:rsidRDefault="0011049F" w:rsidP="00415D60">
      <w:pPr>
        <w:jc w:val="both"/>
      </w:pPr>
      <w:r w:rsidRPr="007C488A">
        <w:t>Of note, EQ-5D VAS is a self-rated overall assessment of their health and provides complementary information on patients’ views about their own health. However, it is subjective (the EQ-VAS labels mean different things to different people; hence, commentary considered it may affect the comparison of scores)</w:t>
      </w:r>
      <w:r w:rsidRPr="007C488A">
        <w:rPr>
          <w:rStyle w:val="FootnoteReference"/>
        </w:rPr>
        <w:footnoteReference w:id="13"/>
      </w:r>
      <w:r w:rsidRPr="007C488A">
        <w:t>.</w:t>
      </w:r>
    </w:p>
    <w:p w14:paraId="08D92232" w14:textId="5331BD2B" w:rsidR="005D2A26" w:rsidRPr="007C488A" w:rsidRDefault="001B1C3C" w:rsidP="001B1C3C">
      <w:pPr>
        <w:jc w:val="both"/>
      </w:pPr>
      <w:r w:rsidRPr="007C488A">
        <w:t xml:space="preserve">The </w:t>
      </w:r>
      <w:r w:rsidR="00C00E05" w:rsidRPr="007C488A">
        <w:t xml:space="preserve">ADAR </w:t>
      </w:r>
      <w:r w:rsidRPr="007C488A">
        <w:t xml:space="preserve">claimed that the </w:t>
      </w:r>
      <w:r w:rsidR="0011049F" w:rsidRPr="007C488A">
        <w:t xml:space="preserve">results of the Bucher ITCs and naïve comparison supports the superior efficacy of HM3 relative to OMM in INTERMACS 1–4 patients with respect to OS. </w:t>
      </w:r>
      <w:r w:rsidR="00C00E05" w:rsidRPr="007C488A">
        <w:t>The commentary considered t</w:t>
      </w:r>
      <w:r w:rsidR="005D2A26" w:rsidRPr="007C488A">
        <w:t xml:space="preserve">his claim reasonable, however, </w:t>
      </w:r>
      <w:r w:rsidR="00D06A17" w:rsidRPr="007C488A">
        <w:t xml:space="preserve">it </w:t>
      </w:r>
      <w:r w:rsidR="00635072" w:rsidRPr="007C488A">
        <w:t xml:space="preserve">also considered </w:t>
      </w:r>
      <w:r w:rsidR="005D2A26" w:rsidRPr="007C488A">
        <w:t xml:space="preserve">the magnitude of effectiveness uncertain given the indirect nature of the comparison and transitivity issues arising from the differences in the characteristics of </w:t>
      </w:r>
      <w:r w:rsidR="00D06A17" w:rsidRPr="007C488A">
        <w:t xml:space="preserve">the </w:t>
      </w:r>
      <w:r w:rsidR="005D2A26" w:rsidRPr="007C488A">
        <w:t>studies included in the ITCs. Furthermore</w:t>
      </w:r>
      <w:r w:rsidR="00D06A17" w:rsidRPr="007C488A">
        <w:t xml:space="preserve">, </w:t>
      </w:r>
      <w:r w:rsidR="005D2A26" w:rsidRPr="007C488A">
        <w:t>OMM used in the REMATCH trial is different to the contemporary OMM recommended in current guidelines (</w:t>
      </w:r>
      <w:r w:rsidR="002D5EC6" w:rsidRPr="007C488A">
        <w:t>e.g., SGLT</w:t>
      </w:r>
      <w:r w:rsidR="00C56D09" w:rsidRPr="007C488A">
        <w:t xml:space="preserve">2i), which </w:t>
      </w:r>
      <w:r w:rsidR="002D5EC6" w:rsidRPr="007C488A">
        <w:t xml:space="preserve">has </w:t>
      </w:r>
      <w:r w:rsidR="005D2A26" w:rsidRPr="007C488A">
        <w:t xml:space="preserve">been shown to improve survival in </w:t>
      </w:r>
      <w:bookmarkStart w:id="39" w:name="_Hlk155088692"/>
      <w:r w:rsidR="00552FE2" w:rsidRPr="007C488A">
        <w:t>patients with</w:t>
      </w:r>
      <w:bookmarkEnd w:id="39"/>
      <w:r w:rsidR="00552FE2" w:rsidRPr="007C488A">
        <w:t xml:space="preserve"> </w:t>
      </w:r>
      <w:r w:rsidR="005D2A26" w:rsidRPr="007C488A">
        <w:t xml:space="preserve">advanced HF </w:t>
      </w:r>
      <w:r w:rsidR="00016B06" w:rsidRPr="007C488A">
        <w:rPr>
          <w:rStyle w:val="FootnoteReference"/>
        </w:rPr>
        <w:t>9</w:t>
      </w:r>
      <w:r w:rsidR="00016B06" w:rsidRPr="007C488A">
        <w:t>.</w:t>
      </w:r>
    </w:p>
    <w:p w14:paraId="313D0BC1" w14:textId="670D53D1" w:rsidR="00732DDE" w:rsidRPr="007C488A" w:rsidRDefault="005D2A26" w:rsidP="00732DDE">
      <w:pPr>
        <w:jc w:val="both"/>
        <w:rPr>
          <w:lang w:val="en-US" w:eastAsia="en-AU"/>
        </w:rPr>
      </w:pPr>
      <w:r w:rsidRPr="007C488A">
        <w:rPr>
          <w:lang w:val="en-US" w:eastAsia="en-AU"/>
        </w:rPr>
        <w:t xml:space="preserve">There are applicability issues between the studies included in the ITCs and the Australian population. </w:t>
      </w:r>
      <w:r w:rsidR="00F10700" w:rsidRPr="007C488A">
        <w:rPr>
          <w:lang w:val="en-US" w:eastAsia="en-AU"/>
        </w:rPr>
        <w:t xml:space="preserve">None of the included studies were conducted in the Australian setting. Study participants were predominantly male, with a mean age between 59 and 68 years for four studies included in the analysis. The prevalence of HF is estimated to be 1–2% in Australia, with a higher prevalence observed in older people and the </w:t>
      </w:r>
      <w:r w:rsidR="006B758C" w:rsidRPr="007C488A">
        <w:rPr>
          <w:lang w:val="en-US" w:eastAsia="en-AU"/>
        </w:rPr>
        <w:t>Indigenous</w:t>
      </w:r>
      <w:r w:rsidR="00F10700" w:rsidRPr="007C488A">
        <w:rPr>
          <w:lang w:val="en-US" w:eastAsia="en-AU"/>
        </w:rPr>
        <w:t xml:space="preserve"> population</w:t>
      </w:r>
      <w:r w:rsidR="00F10700" w:rsidRPr="007C488A">
        <w:rPr>
          <w:rStyle w:val="FootnoteReference"/>
          <w:lang w:val="en-US" w:eastAsia="en-AU"/>
        </w:rPr>
        <w:footnoteReference w:id="14"/>
      </w:r>
      <w:r w:rsidR="00F10700" w:rsidRPr="007C488A">
        <w:rPr>
          <w:lang w:val="en-US" w:eastAsia="en-AU"/>
        </w:rPr>
        <w:t xml:space="preserve">.The Australian HF data were mainly based on self-reported National Health Survey 2017-2018 data. Hence evidence is limited for the proportion of </w:t>
      </w:r>
      <w:r w:rsidR="00552FE2" w:rsidRPr="007C488A">
        <w:rPr>
          <w:lang w:val="en-US" w:eastAsia="en-AU"/>
        </w:rPr>
        <w:t xml:space="preserve">patients with </w:t>
      </w:r>
      <w:r w:rsidR="00F10700" w:rsidRPr="007C488A">
        <w:rPr>
          <w:lang w:val="en-US" w:eastAsia="en-AU"/>
        </w:rPr>
        <w:t>advanced HF from the overall HF population in Australia</w:t>
      </w:r>
      <w:r w:rsidR="00F10700" w:rsidRPr="007C488A">
        <w:rPr>
          <w:rStyle w:val="FootnoteReference"/>
          <w:lang w:val="en-US" w:eastAsia="en-AU"/>
        </w:rPr>
        <w:footnoteReference w:id="15"/>
      </w:r>
      <w:r w:rsidR="00F10700" w:rsidRPr="007C488A">
        <w:rPr>
          <w:lang w:val="en-US" w:eastAsia="en-AU"/>
        </w:rPr>
        <w:t xml:space="preserve">. Overall, the </w:t>
      </w:r>
      <w:proofErr w:type="spellStart"/>
      <w:r w:rsidR="00F10700" w:rsidRPr="007C488A">
        <w:rPr>
          <w:lang w:val="en-US" w:eastAsia="en-AU"/>
        </w:rPr>
        <w:t>hospitali</w:t>
      </w:r>
      <w:r w:rsidR="00E945ED" w:rsidRPr="007C488A">
        <w:rPr>
          <w:lang w:val="en-US" w:eastAsia="en-AU"/>
        </w:rPr>
        <w:t>s</w:t>
      </w:r>
      <w:r w:rsidR="00F10700" w:rsidRPr="007C488A">
        <w:rPr>
          <w:lang w:val="en-US" w:eastAsia="en-AU"/>
        </w:rPr>
        <w:t>ation</w:t>
      </w:r>
      <w:proofErr w:type="spellEnd"/>
      <w:r w:rsidR="00F10700" w:rsidRPr="007C488A">
        <w:rPr>
          <w:lang w:val="en-US" w:eastAsia="en-AU"/>
        </w:rPr>
        <w:t xml:space="preserve"> rates </w:t>
      </w:r>
      <w:r w:rsidR="00E945ED" w:rsidRPr="007C488A">
        <w:rPr>
          <w:lang w:val="en-US" w:eastAsia="en-AU"/>
        </w:rPr>
        <w:t xml:space="preserve">for </w:t>
      </w:r>
      <w:r w:rsidR="00635072" w:rsidRPr="007C488A">
        <w:rPr>
          <w:lang w:val="en-US" w:eastAsia="en-AU"/>
        </w:rPr>
        <w:t>HF</w:t>
      </w:r>
      <w:r w:rsidR="00F10700" w:rsidRPr="007C488A">
        <w:rPr>
          <w:lang w:val="en-US" w:eastAsia="en-AU"/>
        </w:rPr>
        <w:t xml:space="preserve"> or cardiomyopathy were 1.5 times higher for males compared to females in Australia after adjusting for differences in the age structure of the populations and the age-specific </w:t>
      </w:r>
      <w:proofErr w:type="spellStart"/>
      <w:r w:rsidR="00F10700" w:rsidRPr="007C488A">
        <w:rPr>
          <w:lang w:val="en-US" w:eastAsia="en-AU"/>
        </w:rPr>
        <w:t>hospitali</w:t>
      </w:r>
      <w:r w:rsidR="00635072" w:rsidRPr="007C488A">
        <w:rPr>
          <w:lang w:val="en-US" w:eastAsia="en-AU"/>
        </w:rPr>
        <w:t>s</w:t>
      </w:r>
      <w:r w:rsidR="00F10700" w:rsidRPr="007C488A">
        <w:rPr>
          <w:lang w:val="en-US" w:eastAsia="en-AU"/>
        </w:rPr>
        <w:t>ation</w:t>
      </w:r>
      <w:proofErr w:type="spellEnd"/>
      <w:r w:rsidR="00F10700" w:rsidRPr="007C488A">
        <w:rPr>
          <w:lang w:val="en-US" w:eastAsia="en-AU"/>
        </w:rPr>
        <w:t xml:space="preserve"> rates were higher among males than females in </w:t>
      </w:r>
      <w:r w:rsidR="00F10700" w:rsidRPr="007C488A">
        <w:rPr>
          <w:lang w:val="en-US" w:eastAsia="en-AU"/>
        </w:rPr>
        <w:lastRenderedPageBreak/>
        <w:t>all age groups</w:t>
      </w:r>
      <w:r w:rsidR="00F10700" w:rsidRPr="007C488A">
        <w:rPr>
          <w:rStyle w:val="FootnoteReference"/>
          <w:lang w:val="en-US" w:eastAsia="en-AU"/>
        </w:rPr>
        <w:t>7</w:t>
      </w:r>
      <w:r w:rsidR="00F10700" w:rsidRPr="007C488A">
        <w:rPr>
          <w:lang w:val="en-US" w:eastAsia="en-AU"/>
        </w:rPr>
        <w:t xml:space="preserve">. The Australian Institute of Health and Welfare (AIHW) has not reported demographic data on </w:t>
      </w:r>
      <w:r w:rsidR="00552FE2" w:rsidRPr="007C488A">
        <w:rPr>
          <w:lang w:val="en-US" w:eastAsia="en-AU"/>
        </w:rPr>
        <w:t>patients with</w:t>
      </w:r>
      <w:r w:rsidR="00552FE2" w:rsidRPr="007C488A" w:rsidDel="00635072">
        <w:rPr>
          <w:lang w:val="en-US" w:eastAsia="en-AU"/>
        </w:rPr>
        <w:t xml:space="preserve"> </w:t>
      </w:r>
      <w:r w:rsidR="00635072" w:rsidRPr="007C488A">
        <w:rPr>
          <w:lang w:val="en-US" w:eastAsia="en-AU"/>
        </w:rPr>
        <w:t>HF</w:t>
      </w:r>
      <w:r w:rsidR="00732DDE" w:rsidRPr="007C488A">
        <w:rPr>
          <w:lang w:val="en-US" w:eastAsia="en-AU"/>
        </w:rPr>
        <w:t xml:space="preserve"> </w:t>
      </w:r>
      <w:r w:rsidR="00F10700" w:rsidRPr="007C488A">
        <w:rPr>
          <w:lang w:val="en-US" w:eastAsia="en-AU"/>
        </w:rPr>
        <w:t xml:space="preserve">specifically. In patients with cardiovascular disease, it is reported that 15.7% are between the aged of 18 and 54. Further, 44% of cardiovascular disease patients in Australia are female. </w:t>
      </w:r>
      <w:r w:rsidR="00732DDE" w:rsidRPr="007C488A">
        <w:rPr>
          <w:lang w:val="en-US" w:eastAsia="en-AU"/>
        </w:rPr>
        <w:t xml:space="preserve">Therefore, demographic composition of the included studies is slightly different from the Australian setting. </w:t>
      </w:r>
    </w:p>
    <w:p w14:paraId="213924C6" w14:textId="5220344E" w:rsidR="00772829" w:rsidRPr="007C488A" w:rsidRDefault="00772829" w:rsidP="007D1A1F">
      <w:pPr>
        <w:pStyle w:val="Heading3"/>
      </w:pPr>
      <w:r w:rsidRPr="007C488A">
        <w:t>Clinical claim</w:t>
      </w:r>
    </w:p>
    <w:p w14:paraId="568D16AC" w14:textId="542CF9B6" w:rsidR="00E93D22" w:rsidRPr="007C488A" w:rsidRDefault="00E93D22" w:rsidP="00E93D22">
      <w:pPr>
        <w:spacing w:after="0" w:line="240" w:lineRule="auto"/>
        <w:jc w:val="both"/>
      </w:pPr>
      <w:r w:rsidRPr="007C488A">
        <w:t>The</w:t>
      </w:r>
      <w:r w:rsidR="00635072" w:rsidRPr="007C488A">
        <w:t xml:space="preserve"> commentary considered the</w:t>
      </w:r>
      <w:r w:rsidRPr="007C488A">
        <w:t xml:space="preserve"> </w:t>
      </w:r>
      <w:r w:rsidR="00635072" w:rsidRPr="007C488A">
        <w:t xml:space="preserve">ADAR’s </w:t>
      </w:r>
      <w:r w:rsidRPr="007C488A">
        <w:t>clinical claim of superior effectiveness and inferior safety of LVAD, HeartMate 3 (HM3) compared with OMM reasonable</w:t>
      </w:r>
      <w:r w:rsidR="00635072" w:rsidRPr="007C488A">
        <w:t>.</w:t>
      </w:r>
      <w:r w:rsidRPr="007C488A">
        <w:t xml:space="preserve"> </w:t>
      </w:r>
      <w:r w:rsidR="00635072" w:rsidRPr="007C488A">
        <w:t>H</w:t>
      </w:r>
      <w:r w:rsidRPr="007C488A">
        <w:t xml:space="preserve">owever, </w:t>
      </w:r>
      <w:r w:rsidR="00635072" w:rsidRPr="007C488A">
        <w:t xml:space="preserve">the commentary considered </w:t>
      </w:r>
      <w:r w:rsidRPr="007C488A">
        <w:t>the magnitude of clinical effectiveness uncertain due to the following reasons:</w:t>
      </w:r>
    </w:p>
    <w:p w14:paraId="5D31D818" w14:textId="4B3DC3EF" w:rsidR="005076C2" w:rsidRPr="007C488A" w:rsidRDefault="009A08B2" w:rsidP="00DC74C9">
      <w:pPr>
        <w:pStyle w:val="ListParagraph"/>
        <w:numPr>
          <w:ilvl w:val="0"/>
          <w:numId w:val="31"/>
        </w:numPr>
        <w:ind w:left="357" w:hanging="357"/>
        <w:jc w:val="both"/>
      </w:pPr>
      <w:r w:rsidRPr="007C488A">
        <w:t>The clinical claim was based on three ITC</w:t>
      </w:r>
      <w:r w:rsidR="00635072" w:rsidRPr="007C488A">
        <w:t>s</w:t>
      </w:r>
      <w:r w:rsidRPr="007C488A">
        <w:t xml:space="preserve">: 1) two-step Bucher ITC using four trials; REMATCH (HeartMate XVE (HMHXE) vs OMM), Slaughter (HeartMate2 (HM2) vs HMXVE) and MOMENTUM 3 (HM3 vs HM2), 2) one-step Bucher ITC using ROADMAP observational study (HM2 vs OMM) and MOMENTUM 3 (HM3 vs HM2), and 3) unanchored (naïve) comparison between MOMENTUM 3 trial and REMATCH trial (HM3 vs OMM). </w:t>
      </w:r>
      <w:r w:rsidR="005076C2" w:rsidRPr="007C488A">
        <w:t>Overall, the commentary noted following issues in the ITCs</w:t>
      </w:r>
      <w:r w:rsidR="0081519D" w:rsidRPr="007C488A">
        <w:t>:</w:t>
      </w:r>
    </w:p>
    <w:p w14:paraId="045AC4FD" w14:textId="779209D0" w:rsidR="00CA7520" w:rsidRPr="007C488A" w:rsidRDefault="00CA7520" w:rsidP="004D064E">
      <w:pPr>
        <w:ind w:left="357"/>
        <w:jc w:val="both"/>
        <w:rPr>
          <w:b/>
          <w:bCs/>
        </w:rPr>
      </w:pPr>
      <w:r w:rsidRPr="007C488A">
        <w:rPr>
          <w:b/>
          <w:bCs/>
        </w:rPr>
        <w:t xml:space="preserve">Two-step Bucher </w:t>
      </w:r>
    </w:p>
    <w:p w14:paraId="5126D323" w14:textId="45A9A0AD" w:rsidR="00CA7520" w:rsidRPr="007C488A" w:rsidRDefault="009A08B2" w:rsidP="00DC74C9">
      <w:pPr>
        <w:pStyle w:val="ListParagraph"/>
        <w:numPr>
          <w:ilvl w:val="1"/>
          <w:numId w:val="12"/>
        </w:numPr>
        <w:ind w:left="709"/>
        <w:jc w:val="both"/>
      </w:pPr>
      <w:r w:rsidRPr="007C488A">
        <w:t xml:space="preserve">Differences in trial characteristics affected the transitivity of the trials in the ITC. </w:t>
      </w:r>
    </w:p>
    <w:p w14:paraId="43FBB2A8" w14:textId="1D204DFB" w:rsidR="009A08B2" w:rsidRPr="007C488A" w:rsidRDefault="009A08B2" w:rsidP="00DC74C9">
      <w:pPr>
        <w:pStyle w:val="ListParagraph"/>
        <w:numPr>
          <w:ilvl w:val="2"/>
          <w:numId w:val="23"/>
        </w:numPr>
        <w:ind w:left="1134"/>
        <w:jc w:val="both"/>
      </w:pPr>
      <w:r w:rsidRPr="007C488A">
        <w:t>NYHA class- REMATCH trial included 100% NYHA class IV patients whereas &gt; 90% in MOMENTUM 3 and &gt;75% of Slaughter 2009 were NYHA class IV patients. This is bias towards the LVAD arm.</w:t>
      </w:r>
    </w:p>
    <w:p w14:paraId="2A01BEBC" w14:textId="5CBC33FE" w:rsidR="009A08B2" w:rsidRPr="007C488A" w:rsidRDefault="009A08B2" w:rsidP="00DC74C9">
      <w:pPr>
        <w:pStyle w:val="ListParagraph"/>
        <w:numPr>
          <w:ilvl w:val="2"/>
          <w:numId w:val="23"/>
        </w:numPr>
        <w:ind w:left="1134"/>
        <w:jc w:val="both"/>
      </w:pPr>
      <w:r w:rsidRPr="007C488A">
        <w:t xml:space="preserve">INTERMACS profiles- The MOMENTUM 3 trial included patients with INTERMACS profile </w:t>
      </w:r>
      <w:proofErr w:type="gramStart"/>
      <w:r w:rsidRPr="007C488A">
        <w:t>1-7</w:t>
      </w:r>
      <w:proofErr w:type="gramEnd"/>
      <w:r w:rsidRPr="007C488A">
        <w:t xml:space="preserve"> and ROADMAP study included patients with INTERMACS profile 4-7. Both Slaughter, 2009 and REMATCH trials </w:t>
      </w:r>
      <w:r w:rsidR="00635072" w:rsidRPr="007C488A">
        <w:t xml:space="preserve">were </w:t>
      </w:r>
      <w:r w:rsidRPr="007C488A">
        <w:t>not based on INTERMACS profiles, but indicative of INTERMACS profiles 1-3.</w:t>
      </w:r>
    </w:p>
    <w:p w14:paraId="1FFEF4C3" w14:textId="1E3F83FA" w:rsidR="009A08B2" w:rsidRPr="007C488A" w:rsidRDefault="00E945ED" w:rsidP="00DC74C9">
      <w:pPr>
        <w:pStyle w:val="ListParagraph"/>
        <w:numPr>
          <w:ilvl w:val="2"/>
          <w:numId w:val="23"/>
        </w:numPr>
        <w:ind w:left="1134"/>
        <w:jc w:val="both"/>
      </w:pPr>
      <w:r w:rsidRPr="007C488A">
        <w:t>Patients</w:t>
      </w:r>
      <w:r w:rsidR="009A08B2" w:rsidRPr="007C488A">
        <w:t xml:space="preserve"> in the REMATCH RCT were noticeably older with mean age of 66-year-old in HM XVE group and 68-year-old in OMM group. On the other hand, patients from MOMENTUM 3 and Slaughter (2009) were slightly younger with mean age of 59 to 62-year-old, with similar median age to ROADMAP.</w:t>
      </w:r>
      <w:r w:rsidRPr="007C488A">
        <w:t xml:space="preserve"> </w:t>
      </w:r>
    </w:p>
    <w:p w14:paraId="1E76EA8A" w14:textId="77777777" w:rsidR="00CA7520" w:rsidRPr="007C488A" w:rsidRDefault="00CA7520" w:rsidP="00DC74C9">
      <w:pPr>
        <w:pStyle w:val="ListParagraph"/>
        <w:numPr>
          <w:ilvl w:val="2"/>
          <w:numId w:val="23"/>
        </w:numPr>
        <w:spacing w:after="0" w:line="240" w:lineRule="auto"/>
        <w:ind w:left="1134"/>
        <w:jc w:val="both"/>
      </w:pPr>
      <w:r w:rsidRPr="007C488A">
        <w:t>Contemporary management of advanced HF is different to the OMM used in the REMATCH study, which was conducted before 2001. The use of REMATCH data may have underestimated OMM effectiveness.</w:t>
      </w:r>
    </w:p>
    <w:p w14:paraId="56023501" w14:textId="740A7A57" w:rsidR="00CA7520" w:rsidRPr="007C488A" w:rsidRDefault="00CA7520" w:rsidP="00DC74C9">
      <w:pPr>
        <w:pStyle w:val="ListParagraph"/>
        <w:numPr>
          <w:ilvl w:val="1"/>
          <w:numId w:val="12"/>
        </w:numPr>
        <w:spacing w:after="0" w:line="240" w:lineRule="auto"/>
        <w:ind w:left="709"/>
        <w:jc w:val="both"/>
      </w:pPr>
      <w:r w:rsidRPr="007C488A">
        <w:rPr>
          <w:lang w:val="en-US" w:eastAsia="en-AU"/>
        </w:rPr>
        <w:t>The 2 step ITC involves more indirect comparisons introducing more uncertainty</w:t>
      </w:r>
      <w:r w:rsidR="00FF6313" w:rsidRPr="007C488A">
        <w:rPr>
          <w:lang w:val="en-US" w:eastAsia="en-AU"/>
        </w:rPr>
        <w:t>.</w:t>
      </w:r>
    </w:p>
    <w:p w14:paraId="71B9A6C4" w14:textId="0F6E9A8A" w:rsidR="00CA7520" w:rsidRPr="007C488A" w:rsidRDefault="00CA7520" w:rsidP="004D064E">
      <w:pPr>
        <w:ind w:left="357"/>
        <w:jc w:val="both"/>
        <w:rPr>
          <w:b/>
          <w:bCs/>
        </w:rPr>
      </w:pPr>
      <w:r w:rsidRPr="007C488A">
        <w:rPr>
          <w:b/>
          <w:bCs/>
        </w:rPr>
        <w:t>One-step Bucher</w:t>
      </w:r>
    </w:p>
    <w:p w14:paraId="09FA067B" w14:textId="6C1C6B7C" w:rsidR="00CA7520" w:rsidRPr="007C488A" w:rsidRDefault="00CA7520" w:rsidP="00DC74C9">
      <w:pPr>
        <w:pStyle w:val="ListParagraph"/>
        <w:numPr>
          <w:ilvl w:val="1"/>
          <w:numId w:val="24"/>
        </w:numPr>
        <w:spacing w:after="0" w:line="240" w:lineRule="auto"/>
        <w:ind w:left="709"/>
        <w:jc w:val="both"/>
      </w:pPr>
      <w:r w:rsidRPr="007C488A">
        <w:t>Differences in trial characteristics affected the transitivity of the trials in the ITC.</w:t>
      </w:r>
    </w:p>
    <w:p w14:paraId="00062B3B" w14:textId="77777777" w:rsidR="00CA7520" w:rsidRPr="007C488A" w:rsidRDefault="00CA7520" w:rsidP="00DC74C9">
      <w:pPr>
        <w:pStyle w:val="ListParagraph"/>
        <w:numPr>
          <w:ilvl w:val="2"/>
          <w:numId w:val="25"/>
        </w:numPr>
        <w:ind w:left="1134"/>
        <w:jc w:val="both"/>
      </w:pPr>
      <w:r w:rsidRPr="007C488A">
        <w:t xml:space="preserve">INTERMACS profiles- The MOMENTUM 3 trial included patients with INTERMACS profile </w:t>
      </w:r>
      <w:proofErr w:type="gramStart"/>
      <w:r w:rsidRPr="007C488A">
        <w:t>1-7</w:t>
      </w:r>
      <w:proofErr w:type="gramEnd"/>
      <w:r w:rsidRPr="007C488A">
        <w:t xml:space="preserve"> and ROADMAP study included patients with INTERMACS profile 4-7 (Of note, the ADAR presented subgroup analysis of patients with INTERMACS profile 4 in ROADMAP study.</w:t>
      </w:r>
    </w:p>
    <w:p w14:paraId="4B9A06E1" w14:textId="77777777" w:rsidR="00CA7520" w:rsidRPr="007C488A" w:rsidRDefault="00CA7520" w:rsidP="00DC74C9">
      <w:pPr>
        <w:pStyle w:val="ListParagraph"/>
        <w:numPr>
          <w:ilvl w:val="2"/>
          <w:numId w:val="25"/>
        </w:numPr>
        <w:ind w:left="1134"/>
        <w:jc w:val="both"/>
      </w:pPr>
      <w:r w:rsidRPr="007C488A">
        <w:t>ROADMAP study included higher percentage of females (%) in both arms compared to other studies.</w:t>
      </w:r>
    </w:p>
    <w:p w14:paraId="6F06BE2B" w14:textId="5E9C3502" w:rsidR="00CA7520" w:rsidRPr="007C488A" w:rsidRDefault="00CA7520" w:rsidP="00DC74C9">
      <w:pPr>
        <w:pStyle w:val="ListParagraph"/>
        <w:numPr>
          <w:ilvl w:val="2"/>
          <w:numId w:val="25"/>
        </w:numPr>
        <w:ind w:left="1134"/>
        <w:jc w:val="both"/>
        <w:rPr>
          <w:lang w:val="en-US" w:eastAsia="en-AU"/>
        </w:rPr>
      </w:pPr>
      <w:r w:rsidRPr="007C488A">
        <w:rPr>
          <w:lang w:val="en-US" w:eastAsia="en-AU"/>
        </w:rPr>
        <w:t>The prescription of ACE inhibitors was more common in ROADMAP (68.0% HM2 and 76.7% OMM) but minimal in MOMENTUM 3 (23.2% HM2 and 22.9% HM3)</w:t>
      </w:r>
      <w:r w:rsidR="0081519D" w:rsidRPr="007C488A">
        <w:rPr>
          <w:lang w:val="en-US" w:eastAsia="en-AU"/>
        </w:rPr>
        <w:t>.</w:t>
      </w:r>
    </w:p>
    <w:p w14:paraId="3F2861DC" w14:textId="22D36542" w:rsidR="00750E6C" w:rsidRPr="007C488A" w:rsidRDefault="00FF6313" w:rsidP="00DC74C9">
      <w:pPr>
        <w:pStyle w:val="ListParagraph"/>
        <w:numPr>
          <w:ilvl w:val="1"/>
          <w:numId w:val="24"/>
        </w:numPr>
        <w:spacing w:after="0" w:line="240" w:lineRule="auto"/>
        <w:ind w:left="709"/>
        <w:jc w:val="both"/>
      </w:pPr>
      <w:r w:rsidRPr="007C488A">
        <w:t>ROADMAP study is an observational study, therefore associated with high risk of bias.</w:t>
      </w:r>
    </w:p>
    <w:p w14:paraId="3774C1A5" w14:textId="7ABF665B" w:rsidR="00FF6313" w:rsidRPr="007C488A" w:rsidRDefault="00FF6313" w:rsidP="004D064E">
      <w:pPr>
        <w:ind w:left="357"/>
        <w:jc w:val="both"/>
        <w:rPr>
          <w:b/>
          <w:bCs/>
          <w:lang w:val="en-US" w:eastAsia="en-AU"/>
        </w:rPr>
      </w:pPr>
      <w:r w:rsidRPr="007C488A">
        <w:rPr>
          <w:b/>
          <w:bCs/>
          <w:lang w:val="en-US" w:eastAsia="en-AU"/>
        </w:rPr>
        <w:t>Naïve comparison</w:t>
      </w:r>
    </w:p>
    <w:p w14:paraId="6DF17358" w14:textId="32579CCF" w:rsidR="00CA7520" w:rsidRPr="007C488A" w:rsidRDefault="00FF6313" w:rsidP="00DC74C9">
      <w:pPr>
        <w:pStyle w:val="ListParagraph"/>
        <w:numPr>
          <w:ilvl w:val="1"/>
          <w:numId w:val="26"/>
        </w:numPr>
        <w:spacing w:after="0" w:line="240" w:lineRule="auto"/>
        <w:ind w:left="709"/>
        <w:jc w:val="both"/>
      </w:pPr>
      <w:r w:rsidRPr="007C488A">
        <w:t>Differences in trial characteristics affected the transitivity of the trials in the ITC.</w:t>
      </w:r>
    </w:p>
    <w:p w14:paraId="52D1FB99" w14:textId="772E17E0" w:rsidR="00FF6313" w:rsidRPr="007C488A" w:rsidRDefault="00FF6313" w:rsidP="00DC74C9">
      <w:pPr>
        <w:pStyle w:val="ListParagraph"/>
        <w:numPr>
          <w:ilvl w:val="2"/>
          <w:numId w:val="27"/>
        </w:numPr>
        <w:ind w:left="1134"/>
        <w:jc w:val="both"/>
      </w:pPr>
      <w:r w:rsidRPr="007C488A">
        <w:t>NYHA class- REMATCH trial included 100% NYHA class IV patients whereas &gt; 90% in MOMENTUM 3 were NYHA class IV patients. This is bias towards the LVAD arm.</w:t>
      </w:r>
    </w:p>
    <w:p w14:paraId="5CAE064E" w14:textId="7FA25F61" w:rsidR="00FF6313" w:rsidRPr="007C488A" w:rsidRDefault="00FF6313" w:rsidP="00DC74C9">
      <w:pPr>
        <w:pStyle w:val="ListParagraph"/>
        <w:numPr>
          <w:ilvl w:val="2"/>
          <w:numId w:val="27"/>
        </w:numPr>
        <w:ind w:left="1134"/>
        <w:jc w:val="both"/>
      </w:pPr>
      <w:r w:rsidRPr="007C488A">
        <w:lastRenderedPageBreak/>
        <w:t xml:space="preserve">INTERMACS profiles- The MOMENTUM 3 trial included patients with INTERMACS profile </w:t>
      </w:r>
      <w:proofErr w:type="gramStart"/>
      <w:r w:rsidRPr="007C488A">
        <w:t>1-7</w:t>
      </w:r>
      <w:proofErr w:type="gramEnd"/>
      <w:r w:rsidRPr="007C488A">
        <w:t xml:space="preserve"> and REMATCH trials were not based on INTERMACS profiles, but indicative of INTERMACS profiles 1-3.</w:t>
      </w:r>
    </w:p>
    <w:p w14:paraId="1B34C37E" w14:textId="7CA49B96" w:rsidR="00FF6313" w:rsidRPr="007C488A" w:rsidRDefault="00FF6313" w:rsidP="00DC74C9">
      <w:pPr>
        <w:pStyle w:val="ListParagraph"/>
        <w:numPr>
          <w:ilvl w:val="2"/>
          <w:numId w:val="27"/>
        </w:numPr>
        <w:ind w:left="1134"/>
        <w:jc w:val="both"/>
      </w:pPr>
      <w:r w:rsidRPr="007C488A">
        <w:t xml:space="preserve">Patients in the REMATCH RCT were noticeably older with mean age of 66-year-old in HM XVE group and 68-year-old in OMM group. </w:t>
      </w:r>
    </w:p>
    <w:p w14:paraId="18A88083" w14:textId="6062D921" w:rsidR="00FF6313" w:rsidRPr="007C488A" w:rsidRDefault="00FF6313" w:rsidP="00DC74C9">
      <w:pPr>
        <w:pStyle w:val="ListParagraph"/>
        <w:numPr>
          <w:ilvl w:val="2"/>
          <w:numId w:val="27"/>
        </w:numPr>
        <w:spacing w:after="0" w:line="240" w:lineRule="auto"/>
        <w:ind w:left="1134"/>
        <w:jc w:val="both"/>
      </w:pPr>
      <w:r w:rsidRPr="007C488A">
        <w:t>Contemporary management of advanced HF is different to the OMM used in the REMATCH study, which was conducted before 2001. The use of REMATCH data may have underestimated OMM effectiveness.</w:t>
      </w:r>
    </w:p>
    <w:p w14:paraId="60855E9E" w14:textId="341FF8FE" w:rsidR="005076C2" w:rsidRPr="007C488A" w:rsidRDefault="00FF6313" w:rsidP="00DC74C9">
      <w:pPr>
        <w:pStyle w:val="ListParagraph"/>
        <w:numPr>
          <w:ilvl w:val="1"/>
          <w:numId w:val="26"/>
        </w:numPr>
        <w:spacing w:after="0" w:line="240" w:lineRule="auto"/>
        <w:ind w:left="709"/>
        <w:jc w:val="both"/>
      </w:pPr>
      <w:r w:rsidRPr="007C488A">
        <w:t xml:space="preserve">The naïve comparison </w:t>
      </w:r>
      <w:r w:rsidR="00B05C4A" w:rsidRPr="007C488A">
        <w:t>provide</w:t>
      </w:r>
      <w:r w:rsidR="003919F5" w:rsidRPr="007C488A">
        <w:t>d</w:t>
      </w:r>
      <w:r w:rsidR="00B05C4A" w:rsidRPr="007C488A">
        <w:t xml:space="preserve"> very </w:t>
      </w:r>
      <w:r w:rsidR="00C1478A" w:rsidRPr="007C488A">
        <w:t>low-quality</w:t>
      </w:r>
      <w:r w:rsidR="00B05C4A" w:rsidRPr="007C488A">
        <w:t xml:space="preserve"> evidence and as such </w:t>
      </w:r>
      <w:r w:rsidR="003919F5" w:rsidRPr="007C488A">
        <w:t>there is</w:t>
      </w:r>
      <w:r w:rsidR="00B05C4A" w:rsidRPr="007C488A">
        <w:t xml:space="preserve"> low certainty in </w:t>
      </w:r>
      <w:r w:rsidR="007F6A86" w:rsidRPr="007C488A">
        <w:t xml:space="preserve">the magnitude of </w:t>
      </w:r>
      <w:r w:rsidR="00B05C4A" w:rsidRPr="007C488A">
        <w:t>difference reported</w:t>
      </w:r>
      <w:r w:rsidRPr="007C488A">
        <w:t xml:space="preserve">. </w:t>
      </w:r>
    </w:p>
    <w:p w14:paraId="130094BD" w14:textId="2623C948" w:rsidR="009A08B2" w:rsidRPr="007C488A" w:rsidRDefault="0081519D" w:rsidP="00DC74C9">
      <w:pPr>
        <w:pStyle w:val="ListParagraph"/>
        <w:numPr>
          <w:ilvl w:val="0"/>
          <w:numId w:val="12"/>
        </w:numPr>
        <w:spacing w:before="240"/>
        <w:ind w:left="357" w:hanging="357"/>
        <w:contextualSpacing w:val="0"/>
        <w:jc w:val="both"/>
      </w:pPr>
      <w:r w:rsidRPr="007C488A">
        <w:t>T</w:t>
      </w:r>
      <w:r w:rsidR="009A08B2" w:rsidRPr="007C488A">
        <w:t xml:space="preserve">he comparative effectiveness evidence provided only related to OS. The other secondary effectiveness measures (e.g., functional status and </w:t>
      </w:r>
      <w:r w:rsidR="00635072" w:rsidRPr="007C488A">
        <w:t>QoL</w:t>
      </w:r>
      <w:r w:rsidR="009A08B2" w:rsidRPr="007C488A">
        <w:t xml:space="preserve">) only based on naïve comparison. </w:t>
      </w:r>
    </w:p>
    <w:p w14:paraId="1856DD78" w14:textId="203CBD1B" w:rsidR="009A08B2" w:rsidRPr="007C488A" w:rsidRDefault="0081519D" w:rsidP="00DC74C9">
      <w:pPr>
        <w:pStyle w:val="ListParagraph"/>
        <w:numPr>
          <w:ilvl w:val="0"/>
          <w:numId w:val="12"/>
        </w:numPr>
        <w:jc w:val="both"/>
      </w:pPr>
      <w:r w:rsidRPr="007C488A">
        <w:t>U</w:t>
      </w:r>
      <w:r w:rsidR="009A08B2" w:rsidRPr="007C488A">
        <w:t xml:space="preserve">nderreporting of </w:t>
      </w:r>
      <w:r w:rsidR="00635072" w:rsidRPr="007C488A">
        <w:t>AE</w:t>
      </w:r>
      <w:r w:rsidR="009A08B2" w:rsidRPr="007C488A">
        <w:t xml:space="preserve">s, particularly in REMATCH, and inconsistent reporting of outcomes across trials limits comparisons of safety outcomes across all three indirect comparisons. </w:t>
      </w:r>
    </w:p>
    <w:p w14:paraId="06997844" w14:textId="3F25747D" w:rsidR="00EB2081" w:rsidRPr="007C488A" w:rsidRDefault="00EB2081" w:rsidP="00EB2081">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sidRPr="007C488A">
        <w:rPr>
          <w:rFonts w:ascii="Franklin Gothic Medium" w:eastAsiaTheme="majorEastAsia" w:hAnsi="Franklin Gothic Medium" w:cstheme="majorBidi"/>
          <w:color w:val="000000" w:themeColor="text1"/>
          <w:sz w:val="32"/>
          <w:szCs w:val="26"/>
        </w:rPr>
        <w:t>1</w:t>
      </w:r>
      <w:r w:rsidR="00D92D23" w:rsidRPr="007C488A">
        <w:rPr>
          <w:rFonts w:ascii="Franklin Gothic Medium" w:eastAsiaTheme="majorEastAsia" w:hAnsi="Franklin Gothic Medium" w:cstheme="majorBidi"/>
          <w:color w:val="000000" w:themeColor="text1"/>
          <w:sz w:val="32"/>
          <w:szCs w:val="26"/>
        </w:rPr>
        <w:t>3</w:t>
      </w:r>
      <w:r w:rsidRPr="007C488A">
        <w:rPr>
          <w:rFonts w:ascii="Franklin Gothic Medium" w:eastAsiaTheme="majorEastAsia" w:hAnsi="Franklin Gothic Medium" w:cstheme="majorBidi"/>
          <w:color w:val="000000" w:themeColor="text1"/>
          <w:sz w:val="32"/>
          <w:szCs w:val="26"/>
        </w:rPr>
        <w:t>.</w:t>
      </w:r>
      <w:r w:rsidRPr="007C488A">
        <w:rPr>
          <w:rFonts w:ascii="Franklin Gothic Medium" w:eastAsiaTheme="majorEastAsia" w:hAnsi="Franklin Gothic Medium" w:cstheme="majorBidi"/>
          <w:color w:val="000000" w:themeColor="text1"/>
          <w:sz w:val="32"/>
          <w:szCs w:val="26"/>
        </w:rPr>
        <w:tab/>
        <w:t>Economic evaluation</w:t>
      </w:r>
    </w:p>
    <w:p w14:paraId="48A7834C" w14:textId="20286CC9" w:rsidR="00EB2081" w:rsidRPr="007C488A" w:rsidRDefault="00EB2081" w:rsidP="00EB2081">
      <w:pPr>
        <w:jc w:val="both"/>
      </w:pPr>
      <w:r w:rsidRPr="007C488A">
        <w:t>The ADAR present</w:t>
      </w:r>
      <w:r w:rsidR="00E102BC" w:rsidRPr="007C488A">
        <w:t>ed</w:t>
      </w:r>
      <w:r w:rsidRPr="007C488A">
        <w:t xml:space="preserve"> a cost-utility analysis (CUA) comparing HM3 with </w:t>
      </w:r>
      <w:r w:rsidR="00107786" w:rsidRPr="007C488A">
        <w:t xml:space="preserve">OMM </w:t>
      </w:r>
      <w:r w:rsidRPr="007C488A">
        <w:t>in patients with advanced HF with INTERMACS 1-4 classification who are ineligible for heart transplantation. The CUA was based on the clinical claim of superior effectiveness and inferior safety of HM3 LVAD + OMM compared to OMM. This is in line with the ratified PICO.</w:t>
      </w:r>
    </w:p>
    <w:p w14:paraId="5D64D618" w14:textId="77777777" w:rsidR="00EB2081" w:rsidRPr="007C488A" w:rsidRDefault="00EB2081" w:rsidP="00EB2081">
      <w:pPr>
        <w:jc w:val="both"/>
      </w:pPr>
      <w:r w:rsidRPr="007C488A">
        <w:t xml:space="preserve">The ADAR presented a trial-based analysis and a modelled CUA over a 40-year (i.e., lifetime) time horizon. </w:t>
      </w:r>
    </w:p>
    <w:p w14:paraId="00764E9C" w14:textId="77777777" w:rsidR="00EB2081" w:rsidRPr="007C488A" w:rsidRDefault="00EB2081" w:rsidP="007D1A1F">
      <w:pPr>
        <w:pStyle w:val="Heading3"/>
      </w:pPr>
      <w:bookmarkStart w:id="40" w:name="_Ref69725820"/>
      <w:r w:rsidRPr="007C488A">
        <w:t>Summary of economic evaluation</w:t>
      </w:r>
    </w:p>
    <w:p w14:paraId="55B25BC3" w14:textId="51B700EA" w:rsidR="00EB2081" w:rsidRPr="007C488A" w:rsidRDefault="00E17863" w:rsidP="00EB2081">
      <w:r w:rsidRPr="007C488A">
        <w:fldChar w:fldCharType="begin"/>
      </w:r>
      <w:r w:rsidRPr="007C488A">
        <w:instrText xml:space="preserve"> REF _Ref155619125 \h </w:instrText>
      </w:r>
      <w:r w:rsidR="007C488A">
        <w:instrText xml:space="preserve"> \* MERGEFORMAT </w:instrText>
      </w:r>
      <w:r w:rsidRPr="007C488A">
        <w:fldChar w:fldCharType="separate"/>
      </w:r>
      <w:r w:rsidR="00406484" w:rsidRPr="007C488A">
        <w:t>Table </w:t>
      </w:r>
      <w:r w:rsidR="00406484" w:rsidRPr="007C488A">
        <w:rPr>
          <w:noProof/>
        </w:rPr>
        <w:t>8</w:t>
      </w:r>
      <w:r w:rsidRPr="007C488A">
        <w:fldChar w:fldCharType="end"/>
      </w:r>
      <w:r w:rsidRPr="007C488A">
        <w:t xml:space="preserve"> </w:t>
      </w:r>
      <w:r w:rsidR="00EB2081" w:rsidRPr="007C488A">
        <w:t>provides a summary of economic evaluation presented in the ADAR.</w:t>
      </w:r>
    </w:p>
    <w:p w14:paraId="36771E4F" w14:textId="51E46680" w:rsidR="00EB2081" w:rsidRPr="007C488A" w:rsidRDefault="00EB2081" w:rsidP="006C4D49">
      <w:pPr>
        <w:pStyle w:val="Caption"/>
      </w:pPr>
      <w:bookmarkStart w:id="41" w:name="_Ref155619125"/>
      <w:r w:rsidRPr="007C488A">
        <w:t>Table </w:t>
      </w:r>
      <w:r w:rsidRPr="007C488A">
        <w:fldChar w:fldCharType="begin"/>
      </w:r>
      <w:r w:rsidRPr="007C488A">
        <w:instrText>SEQ Table \* ARABIC</w:instrText>
      </w:r>
      <w:r w:rsidRPr="007C488A">
        <w:fldChar w:fldCharType="separate"/>
      </w:r>
      <w:r w:rsidR="00406484" w:rsidRPr="007C488A">
        <w:rPr>
          <w:noProof/>
        </w:rPr>
        <w:t>8</w:t>
      </w:r>
      <w:r w:rsidRPr="007C488A">
        <w:fldChar w:fldCharType="end"/>
      </w:r>
      <w:bookmarkEnd w:id="40"/>
      <w:bookmarkEnd w:id="41"/>
      <w:r w:rsidRPr="007C488A">
        <w:t xml:space="preserve">: Summary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EB2081" w:rsidRPr="007C488A" w14:paraId="36E60425" w14:textId="77777777" w:rsidTr="007D1A1F">
        <w:trPr>
          <w:tblHeader/>
        </w:trPr>
        <w:tc>
          <w:tcPr>
            <w:tcW w:w="1285" w:type="pct"/>
            <w:shd w:val="clear" w:color="auto" w:fill="auto"/>
          </w:tcPr>
          <w:p w14:paraId="12D2932B" w14:textId="77777777" w:rsidR="00EB2081" w:rsidRPr="007C488A" w:rsidRDefault="00EB2081" w:rsidP="00EA4FE5">
            <w:pPr>
              <w:spacing w:before="40" w:after="40" w:line="240" w:lineRule="auto"/>
              <w:rPr>
                <w:rFonts w:ascii="Arial Narrow" w:hAnsi="Arial Narrow"/>
                <w:b/>
                <w:bCs/>
                <w:sz w:val="20"/>
              </w:rPr>
            </w:pPr>
            <w:bookmarkStart w:id="42" w:name="_Hlk68276459"/>
            <w:r w:rsidRPr="007C488A">
              <w:rPr>
                <w:rFonts w:ascii="Arial Narrow" w:hAnsi="Arial Narrow"/>
                <w:b/>
                <w:bCs/>
                <w:sz w:val="20"/>
              </w:rPr>
              <w:t>Component</w:t>
            </w:r>
          </w:p>
        </w:tc>
        <w:tc>
          <w:tcPr>
            <w:tcW w:w="3715" w:type="pct"/>
            <w:shd w:val="clear" w:color="auto" w:fill="auto"/>
          </w:tcPr>
          <w:p w14:paraId="3364A3A0" w14:textId="77777777" w:rsidR="00EB2081" w:rsidRPr="007C488A" w:rsidRDefault="00EB2081" w:rsidP="00EA4FE5">
            <w:pPr>
              <w:spacing w:before="40" w:after="40" w:line="240" w:lineRule="auto"/>
              <w:rPr>
                <w:rFonts w:ascii="Arial Narrow" w:hAnsi="Arial Narrow"/>
                <w:b/>
                <w:bCs/>
                <w:sz w:val="20"/>
              </w:rPr>
            </w:pPr>
            <w:r w:rsidRPr="007C488A">
              <w:rPr>
                <w:rFonts w:ascii="Arial Narrow" w:hAnsi="Arial Narrow"/>
                <w:b/>
                <w:bCs/>
                <w:sz w:val="20"/>
              </w:rPr>
              <w:t>Description</w:t>
            </w:r>
          </w:p>
        </w:tc>
      </w:tr>
      <w:tr w:rsidR="00EB2081" w:rsidRPr="007C488A" w14:paraId="12B0E7FA" w14:textId="77777777" w:rsidTr="007D1A1F">
        <w:tc>
          <w:tcPr>
            <w:tcW w:w="1285" w:type="pct"/>
          </w:tcPr>
          <w:p w14:paraId="3139E32C"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Perspective</w:t>
            </w:r>
          </w:p>
        </w:tc>
        <w:tc>
          <w:tcPr>
            <w:tcW w:w="3715" w:type="pct"/>
          </w:tcPr>
          <w:p w14:paraId="14CCDFC3"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Australian Health care system perspective</w:t>
            </w:r>
          </w:p>
        </w:tc>
      </w:tr>
      <w:tr w:rsidR="00EB2081" w:rsidRPr="007C488A" w14:paraId="37257C50" w14:textId="77777777" w:rsidTr="007D1A1F">
        <w:trPr>
          <w:tblHeader/>
        </w:trPr>
        <w:tc>
          <w:tcPr>
            <w:tcW w:w="1285" w:type="pct"/>
          </w:tcPr>
          <w:p w14:paraId="27C014C6"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Population</w:t>
            </w:r>
          </w:p>
        </w:tc>
        <w:tc>
          <w:tcPr>
            <w:tcW w:w="3715" w:type="pct"/>
          </w:tcPr>
          <w:p w14:paraId="0EE9B731" w14:textId="106156FC" w:rsidR="00EB2081" w:rsidRPr="007C488A" w:rsidRDefault="00EB2081" w:rsidP="00EA4FE5">
            <w:pPr>
              <w:spacing w:before="40" w:after="40" w:line="240" w:lineRule="auto"/>
              <w:rPr>
                <w:rFonts w:ascii="Arial Narrow" w:hAnsi="Arial Narrow"/>
                <w:color w:val="258221"/>
                <w:sz w:val="20"/>
              </w:rPr>
            </w:pPr>
            <w:r w:rsidRPr="007C488A">
              <w:rPr>
                <w:rFonts w:ascii="Arial Narrow" w:hAnsi="Arial Narrow"/>
                <w:sz w:val="20"/>
              </w:rPr>
              <w:t xml:space="preserve">Patients with advanced HF despite </w:t>
            </w:r>
            <w:r w:rsidR="00C63616" w:rsidRPr="007C488A">
              <w:rPr>
                <w:rFonts w:ascii="Arial Narrow" w:hAnsi="Arial Narrow"/>
                <w:sz w:val="20"/>
              </w:rPr>
              <w:t>OMM</w:t>
            </w:r>
            <w:r w:rsidRPr="007C488A">
              <w:rPr>
                <w:rFonts w:ascii="Arial Narrow" w:hAnsi="Arial Narrow"/>
                <w:sz w:val="20"/>
              </w:rPr>
              <w:t xml:space="preserve">, with INTERMACS profile 1–4, who are not eligible for cardiac transplantation and in whom LVAD is used as </w:t>
            </w:r>
            <w:r w:rsidR="00C63616" w:rsidRPr="007C488A">
              <w:rPr>
                <w:rFonts w:ascii="Arial Narrow" w:hAnsi="Arial Narrow"/>
                <w:sz w:val="20"/>
              </w:rPr>
              <w:t>DT</w:t>
            </w:r>
            <w:r w:rsidRPr="007C488A">
              <w:rPr>
                <w:rFonts w:ascii="Arial Narrow" w:hAnsi="Arial Narrow"/>
                <w:sz w:val="20"/>
              </w:rPr>
              <w:t xml:space="preserve"> (i.e., final therapy)</w:t>
            </w:r>
          </w:p>
        </w:tc>
      </w:tr>
      <w:tr w:rsidR="00EB2081" w:rsidRPr="007C488A" w14:paraId="04AFA806" w14:textId="77777777" w:rsidTr="007D1A1F">
        <w:tc>
          <w:tcPr>
            <w:tcW w:w="1285" w:type="pct"/>
          </w:tcPr>
          <w:p w14:paraId="341ED4AB"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Comparator</w:t>
            </w:r>
          </w:p>
        </w:tc>
        <w:tc>
          <w:tcPr>
            <w:tcW w:w="3715" w:type="pct"/>
          </w:tcPr>
          <w:p w14:paraId="1DD1622A" w14:textId="15A31804" w:rsidR="00EB2081" w:rsidRPr="007C488A" w:rsidRDefault="000254CA" w:rsidP="00EA4FE5">
            <w:pPr>
              <w:spacing w:before="40" w:after="40" w:line="240" w:lineRule="auto"/>
              <w:rPr>
                <w:rFonts w:ascii="Arial Narrow" w:hAnsi="Arial Narrow"/>
                <w:sz w:val="20"/>
              </w:rPr>
            </w:pPr>
            <w:r w:rsidRPr="007C488A">
              <w:rPr>
                <w:rFonts w:ascii="Arial Narrow" w:hAnsi="Arial Narrow"/>
                <w:sz w:val="20"/>
              </w:rPr>
              <w:t xml:space="preserve">OMM </w:t>
            </w:r>
            <w:r w:rsidR="00C63616" w:rsidRPr="007C488A">
              <w:rPr>
                <w:rFonts w:ascii="Arial Narrow" w:hAnsi="Arial Narrow"/>
                <w:sz w:val="20"/>
              </w:rPr>
              <w:t>–</w:t>
            </w:r>
            <w:r w:rsidR="00EB2081" w:rsidRPr="007C488A">
              <w:rPr>
                <w:rFonts w:ascii="Arial Narrow" w:hAnsi="Arial Narrow"/>
                <w:sz w:val="20"/>
              </w:rPr>
              <w:t xml:space="preserve"> also referred to as </w:t>
            </w:r>
            <w:r w:rsidRPr="007C488A">
              <w:rPr>
                <w:rFonts w:ascii="Arial Narrow" w:hAnsi="Arial Narrow"/>
                <w:sz w:val="20"/>
              </w:rPr>
              <w:t xml:space="preserve">GDMT </w:t>
            </w:r>
            <w:r w:rsidR="00EB2081" w:rsidRPr="007C488A">
              <w:rPr>
                <w:rFonts w:ascii="Arial Narrow" w:hAnsi="Arial Narrow"/>
                <w:sz w:val="20"/>
              </w:rPr>
              <w:t xml:space="preserve">or </w:t>
            </w:r>
            <w:r w:rsidR="00C63616" w:rsidRPr="007C488A">
              <w:rPr>
                <w:rFonts w:ascii="Arial Narrow" w:hAnsi="Arial Narrow"/>
                <w:sz w:val="20"/>
              </w:rPr>
              <w:t>OMT</w:t>
            </w:r>
          </w:p>
        </w:tc>
      </w:tr>
      <w:tr w:rsidR="00EB2081" w:rsidRPr="007C488A" w14:paraId="70B200A2" w14:textId="77777777" w:rsidTr="007D1A1F">
        <w:tc>
          <w:tcPr>
            <w:tcW w:w="1285" w:type="pct"/>
          </w:tcPr>
          <w:p w14:paraId="61CD9B96"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Type(s) of analysis</w:t>
            </w:r>
          </w:p>
        </w:tc>
        <w:tc>
          <w:tcPr>
            <w:tcW w:w="3715" w:type="pct"/>
          </w:tcPr>
          <w:p w14:paraId="27D6A62E"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Cost-utility analysis</w:t>
            </w:r>
          </w:p>
        </w:tc>
      </w:tr>
      <w:tr w:rsidR="00EB2081" w:rsidRPr="007C488A" w14:paraId="424E4B82" w14:textId="77777777" w:rsidTr="007D1A1F">
        <w:tc>
          <w:tcPr>
            <w:tcW w:w="1285" w:type="pct"/>
          </w:tcPr>
          <w:p w14:paraId="77CF4374"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Outcomes</w:t>
            </w:r>
          </w:p>
        </w:tc>
        <w:tc>
          <w:tcPr>
            <w:tcW w:w="3715" w:type="pct"/>
          </w:tcPr>
          <w:p w14:paraId="655BBC0A"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Life years</w:t>
            </w:r>
          </w:p>
          <w:p w14:paraId="0B49B210" w14:textId="79C3B98F" w:rsidR="00EB2081" w:rsidRPr="007C488A" w:rsidRDefault="00C63616" w:rsidP="00EA4FE5">
            <w:pPr>
              <w:spacing w:before="40" w:after="40" w:line="240" w:lineRule="auto"/>
              <w:rPr>
                <w:rFonts w:ascii="Arial Narrow" w:hAnsi="Arial Narrow"/>
                <w:sz w:val="20"/>
              </w:rPr>
            </w:pPr>
            <w:r w:rsidRPr="007C488A">
              <w:rPr>
                <w:rFonts w:ascii="Arial Narrow" w:hAnsi="Arial Narrow"/>
                <w:sz w:val="20"/>
              </w:rPr>
              <w:t>QALYs</w:t>
            </w:r>
          </w:p>
          <w:p w14:paraId="2540CEE7"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Healthcare resource costs</w:t>
            </w:r>
          </w:p>
        </w:tc>
      </w:tr>
      <w:tr w:rsidR="00EB2081" w:rsidRPr="007C488A" w14:paraId="1A68EA4F" w14:textId="77777777" w:rsidTr="007D1A1F">
        <w:tc>
          <w:tcPr>
            <w:tcW w:w="1285" w:type="pct"/>
          </w:tcPr>
          <w:p w14:paraId="50B3A107"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Time horizon</w:t>
            </w:r>
          </w:p>
        </w:tc>
        <w:tc>
          <w:tcPr>
            <w:tcW w:w="3715" w:type="pct"/>
          </w:tcPr>
          <w:p w14:paraId="16356B7A"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Lifetime horizon (baseline age is 65) vs. Trial reporting 5-year outcomes (MOMENTUM 3).</w:t>
            </w:r>
          </w:p>
        </w:tc>
      </w:tr>
      <w:tr w:rsidR="00EB2081" w:rsidRPr="007C488A" w14:paraId="5601BB8E" w14:textId="77777777" w:rsidTr="007D1A1F">
        <w:tc>
          <w:tcPr>
            <w:tcW w:w="1285" w:type="pct"/>
          </w:tcPr>
          <w:p w14:paraId="45F19B03"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Computational method</w:t>
            </w:r>
          </w:p>
        </w:tc>
        <w:tc>
          <w:tcPr>
            <w:tcW w:w="3715" w:type="pct"/>
          </w:tcPr>
          <w:p w14:paraId="60D49269"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Partitioned survival analysis</w:t>
            </w:r>
          </w:p>
        </w:tc>
      </w:tr>
      <w:tr w:rsidR="00EB2081" w:rsidRPr="007C488A" w14:paraId="3FB8A0B2" w14:textId="77777777" w:rsidTr="007D1A1F">
        <w:tc>
          <w:tcPr>
            <w:tcW w:w="1285" w:type="pct"/>
          </w:tcPr>
          <w:p w14:paraId="1B8528A1"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Generation of the base case</w:t>
            </w:r>
          </w:p>
        </w:tc>
        <w:tc>
          <w:tcPr>
            <w:tcW w:w="3715" w:type="pct"/>
          </w:tcPr>
          <w:p w14:paraId="5E746D7F"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Modelled EE:</w:t>
            </w:r>
          </w:p>
          <w:p w14:paraId="33998624" w14:textId="5C78C2E1" w:rsidR="00EB2081" w:rsidRPr="007C488A" w:rsidRDefault="00EB2081" w:rsidP="007D1A1F">
            <w:pPr>
              <w:spacing w:before="40" w:after="40" w:line="240" w:lineRule="auto"/>
              <w:jc w:val="both"/>
              <w:rPr>
                <w:rFonts w:ascii="Arial Narrow" w:hAnsi="Arial Narrow"/>
                <w:sz w:val="20"/>
              </w:rPr>
            </w:pPr>
            <w:r w:rsidRPr="007C488A">
              <w:rPr>
                <w:rFonts w:ascii="Arial Narrow" w:hAnsi="Arial Narrow"/>
                <w:sz w:val="20"/>
              </w:rPr>
              <w:t xml:space="preserve">Trial based effectiveness outcomes </w:t>
            </w:r>
            <w:r w:rsidR="000C4475" w:rsidRPr="007C488A">
              <w:rPr>
                <w:rFonts w:ascii="Arial Narrow" w:hAnsi="Arial Narrow"/>
                <w:sz w:val="20"/>
              </w:rPr>
              <w:t xml:space="preserve">based on naïve comparison </w:t>
            </w:r>
            <w:r w:rsidRPr="007C488A">
              <w:rPr>
                <w:rFonts w:ascii="Arial Narrow" w:hAnsi="Arial Narrow"/>
                <w:sz w:val="20"/>
              </w:rPr>
              <w:t xml:space="preserve">are derived from subgroup analyses of MOMENTUM 3 </w:t>
            </w:r>
            <w:r w:rsidR="00A8294C" w:rsidRPr="007C488A">
              <w:rPr>
                <w:rFonts w:ascii="Arial Narrow" w:hAnsi="Arial Narrow"/>
                <w:sz w:val="20"/>
              </w:rPr>
              <w:t>(5-year OS data from the MOMENTUM 3 study for a DT subgroup</w:t>
            </w:r>
            <w:r w:rsidR="00665ACD" w:rsidRPr="007C488A">
              <w:t xml:space="preserve"> </w:t>
            </w:r>
            <w:r w:rsidR="00665ACD" w:rsidRPr="007C488A">
              <w:rPr>
                <w:rFonts w:ascii="Arial Narrow" w:hAnsi="Arial Narrow"/>
                <w:sz w:val="20"/>
              </w:rPr>
              <w:t>excluding patients receiving heart transplant</w:t>
            </w:r>
            <w:r w:rsidR="00A8294C" w:rsidRPr="007C488A">
              <w:rPr>
                <w:rFonts w:ascii="Arial Narrow" w:hAnsi="Arial Narrow"/>
                <w:sz w:val="20"/>
              </w:rPr>
              <w:t xml:space="preserve"> for the LVAD arm; INTERMACS 1-7)</w:t>
            </w:r>
            <w:r w:rsidR="00665ACD" w:rsidRPr="007C488A">
              <w:rPr>
                <w:rFonts w:ascii="Arial Narrow" w:hAnsi="Arial Narrow"/>
                <w:sz w:val="20"/>
                <w:vertAlign w:val="superscript"/>
              </w:rPr>
              <w:t>a</w:t>
            </w:r>
            <w:r w:rsidR="00A8294C" w:rsidRPr="007C488A">
              <w:rPr>
                <w:rFonts w:ascii="Arial Narrow" w:hAnsi="Arial Narrow"/>
                <w:sz w:val="20"/>
              </w:rPr>
              <w:t xml:space="preserve"> </w:t>
            </w:r>
            <w:r w:rsidRPr="007C488A">
              <w:rPr>
                <w:rFonts w:ascii="Arial Narrow" w:hAnsi="Arial Narrow"/>
                <w:sz w:val="20"/>
              </w:rPr>
              <w:t xml:space="preserve">and REMATCH </w:t>
            </w:r>
            <w:r w:rsidR="00A8294C" w:rsidRPr="007C488A">
              <w:rPr>
                <w:rFonts w:ascii="Arial Narrow" w:hAnsi="Arial Narrow"/>
                <w:sz w:val="20"/>
              </w:rPr>
              <w:t xml:space="preserve">(patients receiving LVAD as DT; INTERMACS suggestive of 1-3 for the OMM arm) </w:t>
            </w:r>
            <w:r w:rsidRPr="007C488A">
              <w:rPr>
                <w:rFonts w:ascii="Arial Narrow" w:hAnsi="Arial Narrow"/>
                <w:sz w:val="20"/>
              </w:rPr>
              <w:t xml:space="preserve">in accordance with the target MBS population </w:t>
            </w:r>
            <w:r w:rsidR="00665ACD" w:rsidRPr="007C488A">
              <w:rPr>
                <w:rFonts w:ascii="Arial Narrow" w:hAnsi="Arial Narrow"/>
                <w:sz w:val="20"/>
              </w:rPr>
              <w:t xml:space="preserve">(in relation to the patients receiving LVAD as DT) </w:t>
            </w:r>
            <w:r w:rsidRPr="007C488A">
              <w:rPr>
                <w:rFonts w:ascii="Arial Narrow" w:hAnsi="Arial Narrow"/>
                <w:sz w:val="20"/>
              </w:rPr>
              <w:t>in the submission</w:t>
            </w:r>
          </w:p>
          <w:p w14:paraId="23BBE73A"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lastRenderedPageBreak/>
              <w:t>Trial based OS curves are extrapolated over a lifetime horizon.</w:t>
            </w:r>
          </w:p>
          <w:p w14:paraId="7AA24EDE"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Healthcare resource use and utility weights derived from the literature are applied to generate total costs and QALYs in each treatment arm.</w:t>
            </w:r>
          </w:p>
        </w:tc>
      </w:tr>
      <w:tr w:rsidR="00EB2081" w:rsidRPr="007C488A" w14:paraId="16F76B91" w14:textId="77777777" w:rsidTr="007D1A1F">
        <w:tc>
          <w:tcPr>
            <w:tcW w:w="1285" w:type="pct"/>
          </w:tcPr>
          <w:p w14:paraId="28F9A4DB"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lastRenderedPageBreak/>
              <w:t>Health states</w:t>
            </w:r>
          </w:p>
        </w:tc>
        <w:tc>
          <w:tcPr>
            <w:tcW w:w="3715" w:type="pct"/>
          </w:tcPr>
          <w:p w14:paraId="0C363762"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Alive and Dead</w:t>
            </w:r>
          </w:p>
        </w:tc>
      </w:tr>
      <w:tr w:rsidR="00EB2081" w:rsidRPr="007C488A" w14:paraId="56A6167D" w14:textId="77777777" w:rsidTr="007D1A1F">
        <w:tc>
          <w:tcPr>
            <w:tcW w:w="1285" w:type="pct"/>
          </w:tcPr>
          <w:p w14:paraId="2CE65FA9"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Cycle length</w:t>
            </w:r>
          </w:p>
        </w:tc>
        <w:tc>
          <w:tcPr>
            <w:tcW w:w="3715" w:type="pct"/>
          </w:tcPr>
          <w:p w14:paraId="1CF0A2E6"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 xml:space="preserve">1 month </w:t>
            </w:r>
          </w:p>
        </w:tc>
      </w:tr>
      <w:tr w:rsidR="00EB2081" w:rsidRPr="007C488A" w14:paraId="1748A735" w14:textId="77777777" w:rsidTr="007D1A1F">
        <w:tc>
          <w:tcPr>
            <w:tcW w:w="1285" w:type="pct"/>
          </w:tcPr>
          <w:p w14:paraId="3CB99772"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Transition probabilities</w:t>
            </w:r>
          </w:p>
        </w:tc>
        <w:tc>
          <w:tcPr>
            <w:tcW w:w="3715" w:type="pct"/>
          </w:tcPr>
          <w:p w14:paraId="36F3C8AE"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No specific transition probabilities are modelled.</w:t>
            </w:r>
          </w:p>
          <w:p w14:paraId="41669400"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Health state allocation over time determined by OS curves from MOMENTUM 3 (LVAD arm) and REMATCH (OMM arm)</w:t>
            </w:r>
          </w:p>
        </w:tc>
      </w:tr>
      <w:tr w:rsidR="00EB2081" w:rsidRPr="007C488A" w14:paraId="4E607225" w14:textId="77777777" w:rsidTr="007D1A1F">
        <w:tc>
          <w:tcPr>
            <w:tcW w:w="1285" w:type="pct"/>
          </w:tcPr>
          <w:p w14:paraId="5943629C"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Discount rate</w:t>
            </w:r>
          </w:p>
        </w:tc>
        <w:tc>
          <w:tcPr>
            <w:tcW w:w="3715" w:type="pct"/>
          </w:tcPr>
          <w:p w14:paraId="092AEA05"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5% for both costs and outcomes</w:t>
            </w:r>
          </w:p>
        </w:tc>
      </w:tr>
      <w:tr w:rsidR="00EB2081" w:rsidRPr="007C488A" w14:paraId="5FFDF58C" w14:textId="77777777" w:rsidTr="007D1A1F">
        <w:tc>
          <w:tcPr>
            <w:tcW w:w="1285" w:type="pct"/>
          </w:tcPr>
          <w:p w14:paraId="6507D559"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Software</w:t>
            </w:r>
          </w:p>
        </w:tc>
        <w:tc>
          <w:tcPr>
            <w:tcW w:w="3715" w:type="pct"/>
          </w:tcPr>
          <w:p w14:paraId="7890A459" w14:textId="77777777" w:rsidR="00EB2081" w:rsidRPr="007C488A" w:rsidRDefault="00EB2081" w:rsidP="00EA4FE5">
            <w:pPr>
              <w:spacing w:before="40" w:after="40" w:line="240" w:lineRule="auto"/>
              <w:rPr>
                <w:rFonts w:ascii="Arial Narrow" w:hAnsi="Arial Narrow"/>
                <w:sz w:val="20"/>
              </w:rPr>
            </w:pPr>
            <w:r w:rsidRPr="007C488A">
              <w:rPr>
                <w:rFonts w:ascii="Arial Narrow" w:hAnsi="Arial Narrow"/>
                <w:sz w:val="20"/>
              </w:rPr>
              <w:t>Excel</w:t>
            </w:r>
          </w:p>
        </w:tc>
      </w:tr>
    </w:tbl>
    <w:p w14:paraId="2CC1E895" w14:textId="64B29630" w:rsidR="00EB2081" w:rsidRPr="007C488A" w:rsidRDefault="00EB2081" w:rsidP="00EA4FE5">
      <w:pPr>
        <w:pStyle w:val="Tablenotes0"/>
        <w:rPr>
          <w:snapToGrid w:val="0"/>
        </w:rPr>
      </w:pPr>
      <w:r w:rsidRPr="007C488A">
        <w:rPr>
          <w:snapToGrid w:val="0"/>
        </w:rPr>
        <w:t xml:space="preserve">Source: Table 49, </w:t>
      </w:r>
      <w:r w:rsidR="00016452" w:rsidRPr="007C488A">
        <w:rPr>
          <w:snapToGrid w:val="0"/>
        </w:rPr>
        <w:t>p</w:t>
      </w:r>
      <w:r w:rsidRPr="007C488A">
        <w:rPr>
          <w:snapToGrid w:val="0"/>
        </w:rPr>
        <w:t>18</w:t>
      </w:r>
      <w:r w:rsidR="00016452" w:rsidRPr="007C488A">
        <w:rPr>
          <w:snapToGrid w:val="0"/>
        </w:rPr>
        <w:t>5</w:t>
      </w:r>
      <w:r w:rsidRPr="007C488A">
        <w:rPr>
          <w:snapToGrid w:val="0"/>
        </w:rPr>
        <w:t xml:space="preserve"> of the </w:t>
      </w:r>
      <w:r w:rsidR="00A907AF" w:rsidRPr="007C488A">
        <w:rPr>
          <w:snapToGrid w:val="0"/>
        </w:rPr>
        <w:t>of the MSAC 1749 ADAR+</w:t>
      </w:r>
      <w:r w:rsidR="00016452" w:rsidRPr="007C488A">
        <w:rPr>
          <w:snapToGrid w:val="0"/>
        </w:rPr>
        <w:t xml:space="preserve"> </w:t>
      </w:r>
      <w:r w:rsidR="00A907AF" w:rsidRPr="007C488A">
        <w:rPr>
          <w:snapToGrid w:val="0"/>
        </w:rPr>
        <w:t>in-line commentary</w:t>
      </w:r>
    </w:p>
    <w:p w14:paraId="2604651C" w14:textId="4013A227" w:rsidR="00EB2081" w:rsidRPr="007C488A" w:rsidRDefault="00EB2081" w:rsidP="00EA4FE5">
      <w:pPr>
        <w:pStyle w:val="Tablenotes0"/>
        <w:rPr>
          <w:snapToGrid w:val="0"/>
        </w:rPr>
      </w:pPr>
      <w:r w:rsidRPr="007C488A">
        <w:rPr>
          <w:snapToGrid w:val="0"/>
        </w:rPr>
        <w:t xml:space="preserve">Abbreviations: </w:t>
      </w:r>
      <w:r w:rsidR="00C63616" w:rsidRPr="007C488A">
        <w:rPr>
          <w:snapToGrid w:val="0"/>
        </w:rPr>
        <w:t xml:space="preserve">DT = destination therapy; </w:t>
      </w:r>
      <w:r w:rsidRPr="007C488A">
        <w:rPr>
          <w:snapToGrid w:val="0"/>
        </w:rPr>
        <w:t>EE</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Economic evaluation; GDMT</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Guideline directed medical therapy; HF</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 xml:space="preserve">heart failure; </w:t>
      </w:r>
      <w:r w:rsidR="00665ACD" w:rsidRPr="007C488A">
        <w:rPr>
          <w:snapToGrid w:val="0"/>
        </w:rPr>
        <w:t xml:space="preserve">INTERMACS = Interagency Registry for Mechanically Assisted Circulatory Support; </w:t>
      </w:r>
      <w:r w:rsidRPr="007C488A">
        <w:rPr>
          <w:snapToGrid w:val="0"/>
        </w:rPr>
        <w:t>LVAD</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left ventricular assist device; MBS</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Medicare benefit schedule; OMM</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 xml:space="preserve">Optimum medical </w:t>
      </w:r>
      <w:r w:rsidR="00C63616" w:rsidRPr="007C488A">
        <w:rPr>
          <w:snapToGrid w:val="0"/>
        </w:rPr>
        <w:t>management</w:t>
      </w:r>
      <w:r w:rsidRPr="007C488A">
        <w:rPr>
          <w:snapToGrid w:val="0"/>
        </w:rPr>
        <w:t xml:space="preserve">; </w:t>
      </w:r>
      <w:r w:rsidR="00C63616" w:rsidRPr="007C488A">
        <w:rPr>
          <w:snapToGrid w:val="0"/>
        </w:rPr>
        <w:t>OMT =</w:t>
      </w:r>
      <w:r w:rsidR="00C63616" w:rsidRPr="007C488A">
        <w:t xml:space="preserve"> </w:t>
      </w:r>
      <w:r w:rsidR="00C63616" w:rsidRPr="007C488A">
        <w:rPr>
          <w:snapToGrid w:val="0"/>
        </w:rPr>
        <w:t xml:space="preserve">optimal medical therapy; </w:t>
      </w:r>
      <w:r w:rsidRPr="007C488A">
        <w:rPr>
          <w:snapToGrid w:val="0"/>
        </w:rPr>
        <w:t>OS</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overall survival; QALY</w:t>
      </w:r>
      <w:r w:rsidR="00C63616" w:rsidRPr="007C488A">
        <w:rPr>
          <w:snapToGrid w:val="0"/>
        </w:rPr>
        <w:t xml:space="preserve"> </w:t>
      </w:r>
      <w:r w:rsidRPr="007C488A">
        <w:rPr>
          <w:snapToGrid w:val="0"/>
        </w:rPr>
        <w:t>=</w:t>
      </w:r>
      <w:r w:rsidR="00C63616" w:rsidRPr="007C488A">
        <w:rPr>
          <w:snapToGrid w:val="0"/>
        </w:rPr>
        <w:t xml:space="preserve"> </w:t>
      </w:r>
      <w:r w:rsidRPr="007C488A">
        <w:rPr>
          <w:snapToGrid w:val="0"/>
        </w:rPr>
        <w:t>quality adjusted life year</w:t>
      </w:r>
    </w:p>
    <w:p w14:paraId="25EC28A6" w14:textId="4C408410" w:rsidR="00927D73" w:rsidRPr="007C488A" w:rsidRDefault="00665ACD" w:rsidP="007D1A1F">
      <w:pPr>
        <w:pStyle w:val="Tablenotes0"/>
        <w:rPr>
          <w:snapToGrid w:val="0"/>
        </w:rPr>
      </w:pPr>
      <w:r w:rsidRPr="007C488A">
        <w:rPr>
          <w:snapToGrid w:val="0"/>
        </w:rPr>
        <w:t xml:space="preserve">Notes: </w:t>
      </w:r>
      <w:proofErr w:type="spellStart"/>
      <w:r w:rsidRPr="007C488A">
        <w:rPr>
          <w:snapToGrid w:val="0"/>
          <w:vertAlign w:val="superscript"/>
        </w:rPr>
        <w:t>a</w:t>
      </w:r>
      <w:r w:rsidRPr="007C488A">
        <w:rPr>
          <w:snapToGrid w:val="0"/>
        </w:rPr>
        <w:t>DT</w:t>
      </w:r>
      <w:proofErr w:type="spellEnd"/>
      <w:r w:rsidRPr="007C488A">
        <w:rPr>
          <w:snapToGrid w:val="0"/>
        </w:rPr>
        <w:t xml:space="preserve"> subgroup </w:t>
      </w:r>
      <w:r w:rsidR="008850A1" w:rsidRPr="007C488A">
        <w:rPr>
          <w:snapToGrid w:val="0"/>
        </w:rPr>
        <w:t>of MOMENTUM 3</w:t>
      </w:r>
      <w:r w:rsidRPr="007C488A">
        <w:rPr>
          <w:snapToGrid w:val="0"/>
        </w:rPr>
        <w:t xml:space="preserve"> included </w:t>
      </w:r>
      <w:bookmarkStart w:id="43" w:name="_Hlk153958731"/>
      <w:r w:rsidRPr="007C488A">
        <w:rPr>
          <w:snapToGrid w:val="0"/>
        </w:rPr>
        <w:t>INTERMACS 1-3 83.8% and INTERNMACS 4-7 16.1% in HM3 arm</w:t>
      </w:r>
      <w:bookmarkEnd w:id="43"/>
      <w:r w:rsidRPr="007C488A">
        <w:rPr>
          <w:snapToGrid w:val="0"/>
        </w:rPr>
        <w:t xml:space="preserve"> and INTERMACS 1-3 85.2% and INTERNMACS 4-7 14.8% in HM2 arm. No separate data available for the INTERMACS 1-4, the target population in this application.</w:t>
      </w:r>
    </w:p>
    <w:p w14:paraId="79342ED9" w14:textId="4A9FC449" w:rsidR="009E37D6" w:rsidRPr="007C488A" w:rsidRDefault="00EB2081" w:rsidP="007D1A1F">
      <w:pPr>
        <w:jc w:val="both"/>
      </w:pPr>
      <w:r w:rsidRPr="007C488A">
        <w:t xml:space="preserve">The </w:t>
      </w:r>
      <w:r w:rsidR="00C63616" w:rsidRPr="007C488A">
        <w:t xml:space="preserve">commentary considered the </w:t>
      </w:r>
      <w:r w:rsidRPr="007C488A">
        <w:t xml:space="preserve">population, comparator, </w:t>
      </w:r>
      <w:proofErr w:type="gramStart"/>
      <w:r w:rsidRPr="007C488A">
        <w:t>outcomes</w:t>
      </w:r>
      <w:proofErr w:type="gramEnd"/>
      <w:r w:rsidRPr="007C488A">
        <w:t xml:space="preserve"> and the type of economic analysis</w:t>
      </w:r>
      <w:r w:rsidR="00770363" w:rsidRPr="007C488A">
        <w:t xml:space="preserve"> </w:t>
      </w:r>
      <w:r w:rsidRPr="007C488A">
        <w:t xml:space="preserve">appropriate and in line with </w:t>
      </w:r>
      <w:r w:rsidR="00770363" w:rsidRPr="007C488A">
        <w:t xml:space="preserve">MSAC 1749 </w:t>
      </w:r>
      <w:r w:rsidRPr="007C488A">
        <w:t>Ratified PICO</w:t>
      </w:r>
      <w:r w:rsidR="00770363" w:rsidRPr="007C488A">
        <w:t xml:space="preserve"> Confirmation</w:t>
      </w:r>
      <w:r w:rsidRPr="007C488A">
        <w:t>. The</w:t>
      </w:r>
      <w:r w:rsidR="00C63616" w:rsidRPr="007C488A">
        <w:t xml:space="preserve"> commentary also considered the</w:t>
      </w:r>
      <w:r w:rsidRPr="007C488A">
        <w:t xml:space="preserve"> perspective and discount rate appropriate. The </w:t>
      </w:r>
      <w:r w:rsidR="00C63616" w:rsidRPr="007C488A">
        <w:t xml:space="preserve">commentary </w:t>
      </w:r>
      <w:r w:rsidRPr="007C488A">
        <w:t>identified</w:t>
      </w:r>
      <w:r w:rsidR="00C63616" w:rsidRPr="007C488A">
        <w:t xml:space="preserve"> issues</w:t>
      </w:r>
      <w:r w:rsidRPr="007C488A">
        <w:t xml:space="preserve"> in the model and the model input parameters</w:t>
      </w:r>
      <w:r w:rsidR="00516AA5" w:rsidRPr="007C488A">
        <w:t>,</w:t>
      </w:r>
      <w:r w:rsidR="007D1A1F" w:rsidRPr="007C488A">
        <w:t xml:space="preserve"> </w:t>
      </w:r>
      <w:r w:rsidR="00516AA5" w:rsidRPr="007C488A">
        <w:t xml:space="preserve">which </w:t>
      </w:r>
      <w:r w:rsidR="00C63616" w:rsidRPr="007C488A">
        <w:t>are</w:t>
      </w:r>
      <w:r w:rsidRPr="007C488A">
        <w:t xml:space="preserve"> discussed in detail in relevant sections below.</w:t>
      </w:r>
    </w:p>
    <w:p w14:paraId="6A923331" w14:textId="3C6B3DF2" w:rsidR="00EB2081" w:rsidRPr="007C488A" w:rsidRDefault="00EB2081" w:rsidP="007D1A1F">
      <w:pPr>
        <w:pStyle w:val="Heading3"/>
      </w:pPr>
      <w:r w:rsidRPr="007C488A">
        <w:t>Model structure</w:t>
      </w:r>
    </w:p>
    <w:p w14:paraId="05C2CBD3" w14:textId="6D0564C6" w:rsidR="00EB2081" w:rsidRPr="007C488A" w:rsidRDefault="00EB2081" w:rsidP="00EB2081">
      <w:pPr>
        <w:jc w:val="both"/>
      </w:pPr>
      <w:r w:rsidRPr="007C488A">
        <w:t xml:space="preserve">The ADAR presented an economic evaluation using a partitioned survival model with two health states: alive and dead, to </w:t>
      </w:r>
      <w:r w:rsidR="001E716A" w:rsidRPr="007C488A">
        <w:t xml:space="preserve">estimate </w:t>
      </w:r>
      <w:r w:rsidRPr="007C488A">
        <w:t xml:space="preserve">the incremental QALYs and health costs of LVAD compared to OMM. Distribution of the modelled cohort between health states </w:t>
      </w:r>
      <w:r w:rsidR="001E716A" w:rsidRPr="007C488A">
        <w:t>was</w:t>
      </w:r>
      <w:r w:rsidRPr="007C488A">
        <w:t xml:space="preserve"> based on extrapolation of OS curves. Patients in the alive health state are at risk of disease and device related events specific to the clinical context of </w:t>
      </w:r>
      <w:r w:rsidR="009314AE" w:rsidRPr="007C488A">
        <w:t>patients eligible for LVAD as DT</w:t>
      </w:r>
      <w:r w:rsidR="009314AE" w:rsidRPr="007C488A" w:rsidDel="009314AE">
        <w:t xml:space="preserve"> </w:t>
      </w:r>
      <w:r w:rsidRPr="007C488A">
        <w:t>or OMM across the entire lifespan, including:</w:t>
      </w:r>
    </w:p>
    <w:p w14:paraId="1D121C25" w14:textId="7E3F7D5E" w:rsidR="00EB2081" w:rsidRPr="007C488A" w:rsidRDefault="00EB2081" w:rsidP="00DC74C9">
      <w:pPr>
        <w:numPr>
          <w:ilvl w:val="0"/>
          <w:numId w:val="11"/>
        </w:numPr>
        <w:contextualSpacing/>
        <w:jc w:val="both"/>
      </w:pPr>
      <w:r w:rsidRPr="007C488A">
        <w:t>Pre-implant stage</w:t>
      </w:r>
      <w:r w:rsidR="0085286D" w:rsidRPr="007C488A">
        <w:t>,</w:t>
      </w:r>
    </w:p>
    <w:p w14:paraId="5ACE7DA6" w14:textId="425492DF" w:rsidR="00EB2081" w:rsidRPr="007C488A" w:rsidRDefault="00EB2081" w:rsidP="00DC74C9">
      <w:pPr>
        <w:numPr>
          <w:ilvl w:val="0"/>
          <w:numId w:val="11"/>
        </w:numPr>
        <w:contextualSpacing/>
        <w:jc w:val="both"/>
      </w:pPr>
      <w:r w:rsidRPr="007C488A">
        <w:t>The period following implant in LVAD patients and continued attempts to stabilise OMM patients, and finally</w:t>
      </w:r>
    </w:p>
    <w:p w14:paraId="3EB72AB6" w14:textId="4EA3BD8D" w:rsidR="00EB2081" w:rsidRPr="007C488A" w:rsidRDefault="00EB2081" w:rsidP="00D92D23">
      <w:pPr>
        <w:numPr>
          <w:ilvl w:val="0"/>
          <w:numId w:val="11"/>
        </w:numPr>
        <w:spacing w:after="240"/>
        <w:ind w:left="714" w:hanging="357"/>
        <w:jc w:val="both"/>
      </w:pPr>
      <w:r w:rsidRPr="007C488A">
        <w:t>The long-term disease trajectories for OMM and LVAD patients which survive including the circumstances of death</w:t>
      </w:r>
      <w:r w:rsidR="0085286D" w:rsidRPr="007C488A">
        <w:t>.</w:t>
      </w:r>
    </w:p>
    <w:p w14:paraId="3BF43CE2" w14:textId="74AAEFF0" w:rsidR="00EB2081" w:rsidRPr="007C488A" w:rsidRDefault="007614FE" w:rsidP="00D92D23">
      <w:pPr>
        <w:spacing w:before="240"/>
      </w:pPr>
      <w:r w:rsidRPr="007C488A">
        <w:fldChar w:fldCharType="begin"/>
      </w:r>
      <w:r w:rsidRPr="007C488A">
        <w:instrText xml:space="preserve"> REF _Ref155620000 \h </w:instrText>
      </w:r>
      <w:r w:rsidR="007C488A">
        <w:instrText xml:space="preserve"> \* MERGEFORMAT </w:instrText>
      </w:r>
      <w:r w:rsidRPr="007C488A">
        <w:fldChar w:fldCharType="separate"/>
      </w:r>
      <w:r w:rsidR="00406484" w:rsidRPr="007C488A">
        <w:t xml:space="preserve">Figure </w:t>
      </w:r>
      <w:r w:rsidR="00406484" w:rsidRPr="007C488A">
        <w:rPr>
          <w:noProof/>
        </w:rPr>
        <w:t>3</w:t>
      </w:r>
      <w:r w:rsidRPr="007C488A">
        <w:fldChar w:fldCharType="end"/>
      </w:r>
      <w:r w:rsidR="00EB2081" w:rsidRPr="007C488A">
        <w:t xml:space="preserve"> provides a conceptual schematic of the </w:t>
      </w:r>
      <w:r w:rsidR="008F368A" w:rsidRPr="007C488A">
        <w:t xml:space="preserve">ADAR’s </w:t>
      </w:r>
      <w:r w:rsidR="00EB2081" w:rsidRPr="007C488A">
        <w:t>economic evaluation.</w:t>
      </w:r>
    </w:p>
    <w:p w14:paraId="23D077CE" w14:textId="77777777" w:rsidR="00EB2081" w:rsidRPr="007C488A" w:rsidRDefault="00EB2081" w:rsidP="00EB2081">
      <w:pPr>
        <w:rPr>
          <w:color w:val="258221"/>
        </w:rPr>
      </w:pPr>
      <w:r w:rsidRPr="007C488A">
        <w:rPr>
          <w:noProof/>
          <w:color w:val="258221"/>
        </w:rPr>
        <w:lastRenderedPageBreak/>
        <w:drawing>
          <wp:inline distT="0" distB="0" distL="0" distR="0" wp14:anchorId="6A501898" wp14:editId="750E9D21">
            <wp:extent cx="4743450" cy="3009265"/>
            <wp:effectExtent l="0" t="0" r="0" b="635"/>
            <wp:docPr id="927197758" name="Picture 927197758" descr="Conceptual schematic of the ADAR’s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97758" name="Picture 927197758" descr="Conceptual schematic of the ADAR’s economic evaluation"/>
                    <pic:cNvPicPr/>
                  </pic:nvPicPr>
                  <pic:blipFill>
                    <a:blip r:embed="rId18"/>
                    <a:stretch>
                      <a:fillRect/>
                    </a:stretch>
                  </pic:blipFill>
                  <pic:spPr>
                    <a:xfrm>
                      <a:off x="0" y="0"/>
                      <a:ext cx="4748333" cy="3012363"/>
                    </a:xfrm>
                    <a:prstGeom prst="rect">
                      <a:avLst/>
                    </a:prstGeom>
                  </pic:spPr>
                </pic:pic>
              </a:graphicData>
            </a:graphic>
          </wp:inline>
        </w:drawing>
      </w:r>
    </w:p>
    <w:p w14:paraId="0F90DB2D" w14:textId="29F7B99D" w:rsidR="00EB2081" w:rsidRPr="007C488A" w:rsidRDefault="00EB2081" w:rsidP="006C4D49">
      <w:pPr>
        <w:pStyle w:val="Caption"/>
      </w:pPr>
      <w:bookmarkStart w:id="44" w:name="_Ref155620000"/>
      <w:r w:rsidRPr="007C488A">
        <w:t xml:space="preserve">Figure </w:t>
      </w:r>
      <w:r w:rsidRPr="007C488A">
        <w:fldChar w:fldCharType="begin"/>
      </w:r>
      <w:r w:rsidRPr="007C488A">
        <w:instrText>SEQ Figure \* ARABIC</w:instrText>
      </w:r>
      <w:r w:rsidRPr="007C488A">
        <w:fldChar w:fldCharType="separate"/>
      </w:r>
      <w:r w:rsidR="00406484" w:rsidRPr="007C488A">
        <w:rPr>
          <w:noProof/>
        </w:rPr>
        <w:t>3</w:t>
      </w:r>
      <w:r w:rsidRPr="007C488A">
        <w:fldChar w:fldCharType="end"/>
      </w:r>
      <w:bookmarkEnd w:id="44"/>
      <w:r w:rsidRPr="007C488A">
        <w:t xml:space="preserve">: Conceptual schematic of the </w:t>
      </w:r>
      <w:r w:rsidR="008F368A" w:rsidRPr="007C488A">
        <w:t>ADAR’s</w:t>
      </w:r>
      <w:r w:rsidR="0029013D" w:rsidRPr="007C488A">
        <w:t xml:space="preserve"> economic </w:t>
      </w:r>
      <w:r w:rsidR="005D6147" w:rsidRPr="007C488A">
        <w:t>evaluation</w:t>
      </w:r>
    </w:p>
    <w:p w14:paraId="43350FCF" w14:textId="0FCDB961" w:rsidR="00EB2081" w:rsidRPr="007C488A" w:rsidRDefault="00EB2081" w:rsidP="00EA4FE5">
      <w:pPr>
        <w:pStyle w:val="Tablenotes0"/>
        <w:rPr>
          <w:snapToGrid w:val="0"/>
        </w:rPr>
      </w:pPr>
      <w:r w:rsidRPr="007C488A">
        <w:rPr>
          <w:snapToGrid w:val="0"/>
        </w:rPr>
        <w:t xml:space="preserve">Source: Figure 50, </w:t>
      </w:r>
      <w:r w:rsidR="00016452" w:rsidRPr="007C488A">
        <w:rPr>
          <w:snapToGrid w:val="0"/>
        </w:rPr>
        <w:t xml:space="preserve">p184 </w:t>
      </w:r>
      <w:r w:rsidRPr="007C488A">
        <w:rPr>
          <w:snapToGrid w:val="0"/>
        </w:rPr>
        <w:t xml:space="preserve">of the </w:t>
      </w:r>
      <w:bookmarkStart w:id="45" w:name="_Hlk153895386"/>
      <w:r w:rsidR="00A907AF" w:rsidRPr="007C488A">
        <w:rPr>
          <w:snapToGrid w:val="0"/>
        </w:rPr>
        <w:t>MSAC 1749 ADAR+</w:t>
      </w:r>
      <w:r w:rsidR="00016452" w:rsidRPr="007C488A">
        <w:rPr>
          <w:snapToGrid w:val="0"/>
        </w:rPr>
        <w:t xml:space="preserve"> </w:t>
      </w:r>
      <w:r w:rsidR="00A907AF" w:rsidRPr="007C488A">
        <w:rPr>
          <w:snapToGrid w:val="0"/>
        </w:rPr>
        <w:t>in-line commentary</w:t>
      </w:r>
      <w:bookmarkEnd w:id="45"/>
    </w:p>
    <w:p w14:paraId="099A38D5" w14:textId="022F38AA" w:rsidR="0085286D" w:rsidRPr="007C488A" w:rsidRDefault="00EB2081" w:rsidP="00EA4FE5">
      <w:pPr>
        <w:pStyle w:val="Tablenotes0"/>
        <w:rPr>
          <w:snapToGrid w:val="0"/>
        </w:rPr>
      </w:pPr>
      <w:r w:rsidRPr="007C488A">
        <w:rPr>
          <w:snapToGrid w:val="0"/>
        </w:rPr>
        <w:t>Abbreviations:</w:t>
      </w:r>
      <w:r w:rsidR="008F368A" w:rsidRPr="007C488A">
        <w:rPr>
          <w:snapToGrid w:val="0"/>
        </w:rPr>
        <w:t xml:space="preserve"> </w:t>
      </w:r>
      <w:r w:rsidRPr="007C488A">
        <w:rPr>
          <w:snapToGrid w:val="0"/>
        </w:rPr>
        <w:t>LVAD</w:t>
      </w:r>
      <w:r w:rsidR="008F368A" w:rsidRPr="007C488A">
        <w:rPr>
          <w:snapToGrid w:val="0"/>
        </w:rPr>
        <w:t xml:space="preserve"> </w:t>
      </w:r>
      <w:r w:rsidRPr="007C488A">
        <w:rPr>
          <w:snapToGrid w:val="0"/>
        </w:rPr>
        <w:t>=</w:t>
      </w:r>
      <w:r w:rsidR="008F368A" w:rsidRPr="007C488A">
        <w:rPr>
          <w:snapToGrid w:val="0"/>
        </w:rPr>
        <w:t xml:space="preserve"> </w:t>
      </w:r>
      <w:r w:rsidRPr="007C488A">
        <w:rPr>
          <w:snapToGrid w:val="0"/>
        </w:rPr>
        <w:t>left ventricular assist device; QoL</w:t>
      </w:r>
      <w:r w:rsidR="008F368A" w:rsidRPr="007C488A">
        <w:rPr>
          <w:snapToGrid w:val="0"/>
        </w:rPr>
        <w:t xml:space="preserve"> </w:t>
      </w:r>
      <w:r w:rsidRPr="007C488A">
        <w:rPr>
          <w:snapToGrid w:val="0"/>
        </w:rPr>
        <w:t>=</w:t>
      </w:r>
      <w:r w:rsidR="008F368A" w:rsidRPr="007C488A">
        <w:rPr>
          <w:snapToGrid w:val="0"/>
        </w:rPr>
        <w:t xml:space="preserve"> </w:t>
      </w:r>
      <w:r w:rsidRPr="007C488A">
        <w:rPr>
          <w:snapToGrid w:val="0"/>
        </w:rPr>
        <w:t>quality of life</w:t>
      </w:r>
      <w:r w:rsidR="0085286D" w:rsidRPr="007C488A">
        <w:rPr>
          <w:snapToGrid w:val="0"/>
        </w:rPr>
        <w:t>.</w:t>
      </w:r>
    </w:p>
    <w:p w14:paraId="1F7DB3AD" w14:textId="689D7113" w:rsidR="00EB2081" w:rsidRPr="007C488A" w:rsidRDefault="00EB2081" w:rsidP="00EB2081">
      <w:pPr>
        <w:jc w:val="both"/>
      </w:pPr>
      <w:r w:rsidRPr="007C488A">
        <w:t xml:space="preserve">The </w:t>
      </w:r>
      <w:r w:rsidR="008F368A" w:rsidRPr="007C488A">
        <w:t xml:space="preserve">ADAR </w:t>
      </w:r>
      <w:r w:rsidRPr="007C488A">
        <w:t xml:space="preserve">proposed model structure is different from the typical partitioned models as it did not include, for example, an event free survival health state. It is also different from previously published models (e.g., </w:t>
      </w:r>
      <w:proofErr w:type="spellStart"/>
      <w:r w:rsidRPr="007C488A">
        <w:t>Schueler</w:t>
      </w:r>
      <w:proofErr w:type="spellEnd"/>
      <w:r w:rsidRPr="007C488A">
        <w:t>, 2021</w:t>
      </w:r>
      <w:r w:rsidRPr="007C488A">
        <w:rPr>
          <w:vertAlign w:val="superscript"/>
        </w:rPr>
        <w:footnoteReference w:id="16"/>
      </w:r>
      <w:r w:rsidRPr="007C488A">
        <w:t xml:space="preserve">) which used a Markov model to capture various health states associated with the management of </w:t>
      </w:r>
      <w:r w:rsidR="00552FE2" w:rsidRPr="007C488A">
        <w:t xml:space="preserve">patients with </w:t>
      </w:r>
      <w:r w:rsidRPr="007C488A">
        <w:t>advanced HF and management complications (</w:t>
      </w:r>
      <w:r w:rsidR="00E102BC" w:rsidRPr="007C488A">
        <w:t>e.g.,</w:t>
      </w:r>
      <w:r w:rsidRPr="007C488A">
        <w:t xml:space="preserve"> stroke and hospitalisation).</w:t>
      </w:r>
    </w:p>
    <w:p w14:paraId="3462C047" w14:textId="5E962A39" w:rsidR="00EB2081" w:rsidRPr="007C488A" w:rsidRDefault="00EB2081" w:rsidP="00EB2081">
      <w:pPr>
        <w:jc w:val="both"/>
      </w:pPr>
      <w:r w:rsidRPr="007C488A">
        <w:t xml:space="preserve">The ADAR used trial-based OS curves to determine the proportion of patients in </w:t>
      </w:r>
      <w:r w:rsidR="00EB1F35" w:rsidRPr="007C488A">
        <w:t xml:space="preserve">the </w:t>
      </w:r>
      <w:r w:rsidRPr="007C488A">
        <w:t>alive and dea</w:t>
      </w:r>
      <w:r w:rsidR="00EB1F35" w:rsidRPr="007C488A">
        <w:t>d</w:t>
      </w:r>
      <w:r w:rsidRPr="007C488A">
        <w:t xml:space="preserve"> health states over the modelled time horizon. As there were no head-to-head trials of HM3 versus OMM available, the OS curves in the model are informed by separate studies. The model used the OS curves from MOMENTUM 3 trial for HM3 for the intervention arm and the OMM from REMATCH for the comparator arm. This naïve comparison ignored the ITC conducted </w:t>
      </w:r>
      <w:r w:rsidR="008F368A" w:rsidRPr="007C488A">
        <w:t xml:space="preserve">in </w:t>
      </w:r>
      <w:r w:rsidR="00E102BC" w:rsidRPr="007C488A">
        <w:t xml:space="preserve">the </w:t>
      </w:r>
      <w:r w:rsidR="008F368A" w:rsidRPr="007C488A">
        <w:t>ADAR</w:t>
      </w:r>
      <w:r w:rsidR="00E102BC" w:rsidRPr="007C488A">
        <w:t>.</w:t>
      </w:r>
    </w:p>
    <w:p w14:paraId="4B7721C2" w14:textId="42104EF0" w:rsidR="00EB2081" w:rsidRPr="007C488A" w:rsidRDefault="00EB2081" w:rsidP="00EB2081">
      <w:pPr>
        <w:jc w:val="both"/>
      </w:pPr>
      <w:r w:rsidRPr="007C488A">
        <w:t xml:space="preserve">The OS curves applied in the LVAD arm derived from the MOMENTUM 3 trial extrapolated beyond the trial period (5-year follow-up) via fitting of parametric models to KM data. However, as 100% of the cohort of the REMATCH trial died by approximately 25 months, the ADAR did not extrapolate the comparator arm beyond 2 years. This may bias the results against OMM given that medicines used in the REMATCH trial are not contemporary and therefore the OS curves used </w:t>
      </w:r>
      <w:r w:rsidR="006300D8" w:rsidRPr="007C488A">
        <w:t xml:space="preserve">likely </w:t>
      </w:r>
      <w:r w:rsidRPr="007C488A">
        <w:t xml:space="preserve">underestimate the </w:t>
      </w:r>
      <w:r w:rsidR="006300D8" w:rsidRPr="007C488A">
        <w:t>OS in the</w:t>
      </w:r>
      <w:r w:rsidRPr="007C488A">
        <w:t xml:space="preserve"> OMM</w:t>
      </w:r>
      <w:r w:rsidR="006300D8" w:rsidRPr="007C488A">
        <w:t xml:space="preserve"> arm of the model</w:t>
      </w:r>
      <w:r w:rsidRPr="007C488A">
        <w:t xml:space="preserve">. </w:t>
      </w:r>
    </w:p>
    <w:p w14:paraId="3456F1A2" w14:textId="77777777" w:rsidR="00EB2081" w:rsidRPr="007C488A" w:rsidRDefault="00EB2081" w:rsidP="007D1A1F">
      <w:pPr>
        <w:pStyle w:val="Heading3"/>
      </w:pPr>
      <w:r w:rsidRPr="007C488A">
        <w:t>Model input parameters</w:t>
      </w:r>
    </w:p>
    <w:p w14:paraId="0680ABBF" w14:textId="77777777" w:rsidR="00EB2081" w:rsidRPr="007C488A" w:rsidRDefault="00EB2081" w:rsidP="00357BE6">
      <w:pPr>
        <w:rPr>
          <w:rFonts w:asciiTheme="majorHAnsi" w:hAnsiTheme="majorHAnsi"/>
          <w:b/>
          <w:bCs/>
        </w:rPr>
      </w:pPr>
      <w:r w:rsidRPr="007C488A">
        <w:rPr>
          <w:b/>
          <w:bCs/>
        </w:rPr>
        <w:t>Time Horizon</w:t>
      </w:r>
    </w:p>
    <w:p w14:paraId="11497457" w14:textId="5BA506EB" w:rsidR="00EB2081" w:rsidRPr="007C488A" w:rsidRDefault="00EB2081" w:rsidP="00EB2081">
      <w:pPr>
        <w:jc w:val="both"/>
      </w:pPr>
      <w:r w:rsidRPr="007C488A">
        <w:t xml:space="preserve">The </w:t>
      </w:r>
      <w:bookmarkStart w:id="46" w:name="_Hlk151630159"/>
      <w:r w:rsidRPr="007C488A">
        <w:t xml:space="preserve">ADAR justified the use of lifetime horizon </w:t>
      </w:r>
      <w:bookmarkEnd w:id="46"/>
      <w:r w:rsidRPr="007C488A">
        <w:t xml:space="preserve">in its base case analysis given the evidence that LVAD significantly improves life expectancy and ongoing QoL in </w:t>
      </w:r>
      <w:r w:rsidR="00552FE2" w:rsidRPr="007C488A">
        <w:t xml:space="preserve">patients with </w:t>
      </w:r>
      <w:r w:rsidRPr="007C488A">
        <w:t xml:space="preserve">advanced HF indicated for LVAD as DT. The baseline age is 65 and the ADAR applies a lifetime horizon and extrapolated the OS curve from the MOMENTUM 3 over 40 years. However, </w:t>
      </w:r>
      <w:r w:rsidR="008F368A" w:rsidRPr="007C488A">
        <w:t xml:space="preserve">the commentary considered </w:t>
      </w:r>
      <w:r w:rsidRPr="007C488A">
        <w:t xml:space="preserve">a 10-year time horizon may be more appropriate given that the starting age of the </w:t>
      </w:r>
      <w:r w:rsidRPr="007C488A">
        <w:lastRenderedPageBreak/>
        <w:t xml:space="preserve">model was 65 years. Although the other economic evaluations of LVAD have used lifetime horizon, those studies used shorter time horizon as lifetime e.g., Lim, 2022 had used 5 years and </w:t>
      </w:r>
      <w:proofErr w:type="spellStart"/>
      <w:r w:rsidRPr="007C488A">
        <w:t>Scheuler</w:t>
      </w:r>
      <w:proofErr w:type="spellEnd"/>
      <w:r w:rsidRPr="007C488A">
        <w:t xml:space="preserve"> 2021 had used 10 years as time horizon. Based on the recent INTERMACS registry data, median survival with LVAD DT is 5 years</w:t>
      </w:r>
      <w:r w:rsidRPr="007C488A">
        <w:rPr>
          <w:vertAlign w:val="superscript"/>
        </w:rPr>
        <w:footnoteReference w:id="17"/>
      </w:r>
      <w:r w:rsidRPr="007C488A">
        <w:t>.  Considering model start age is 65 years</w:t>
      </w:r>
      <w:r w:rsidR="00017522" w:rsidRPr="007C488A">
        <w:t>,</w:t>
      </w:r>
      <w:r w:rsidRPr="007C488A">
        <w:t xml:space="preserve"> as well as the average life expectancy at birth (81.2 years for males and 85.3 years for females in 2018-20) in Australia, </w:t>
      </w:r>
      <w:r w:rsidR="00017522" w:rsidRPr="007C488A">
        <w:t xml:space="preserve">the commentary did not consider </w:t>
      </w:r>
      <w:r w:rsidRPr="007C488A">
        <w:t xml:space="preserve">extrapolation over 40 years </w:t>
      </w:r>
      <w:r w:rsidR="00017522" w:rsidRPr="007C488A">
        <w:t xml:space="preserve">to be </w:t>
      </w:r>
      <w:r w:rsidRPr="007C488A">
        <w:t xml:space="preserve">appropriate. </w:t>
      </w:r>
    </w:p>
    <w:p w14:paraId="2F8E739C" w14:textId="77777777" w:rsidR="00EB2081" w:rsidRPr="007C488A" w:rsidRDefault="00EB2081" w:rsidP="007D1A1F">
      <w:pPr>
        <w:rPr>
          <w:b/>
          <w:bCs/>
        </w:rPr>
      </w:pPr>
      <w:r w:rsidRPr="007C488A">
        <w:rPr>
          <w:b/>
          <w:bCs/>
        </w:rPr>
        <w:t xml:space="preserve">Model transition probabilities, </w:t>
      </w:r>
      <w:proofErr w:type="gramStart"/>
      <w:r w:rsidRPr="007C488A">
        <w:rPr>
          <w:b/>
          <w:bCs/>
        </w:rPr>
        <w:t>variables</w:t>
      </w:r>
      <w:proofErr w:type="gramEnd"/>
      <w:r w:rsidRPr="007C488A">
        <w:rPr>
          <w:b/>
          <w:bCs/>
        </w:rPr>
        <w:t xml:space="preserve"> and extrapolation</w:t>
      </w:r>
    </w:p>
    <w:p w14:paraId="06F5F24E" w14:textId="5CC3CFB5" w:rsidR="00EB2081" w:rsidRPr="007C488A" w:rsidRDefault="00EB2081" w:rsidP="00EB2081">
      <w:pPr>
        <w:jc w:val="both"/>
      </w:pPr>
      <w:r w:rsidRPr="007C488A">
        <w:t>Transition probabilities are not explicitly modelled but are implicit in OS curves that make up the model structure. OS curves applied in the OMM arm are derived from REMATCH trial up to two years as 100% of the cohort are dead by approximately 25 months</w:t>
      </w:r>
      <w:r w:rsidR="00E102BC" w:rsidRPr="007C488A">
        <w:t>.</w:t>
      </w:r>
      <w:r w:rsidRPr="007C488A">
        <w:t xml:space="preserve"> OS curve applied in the LVAD </w:t>
      </w:r>
      <w:r w:rsidR="00E102BC" w:rsidRPr="007C488A">
        <w:t xml:space="preserve">and </w:t>
      </w:r>
      <w:r w:rsidRPr="007C488A">
        <w:t xml:space="preserve">derived from the MOMENTUM 3 trial </w:t>
      </w:r>
      <w:r w:rsidR="00E102BC" w:rsidRPr="007C488A">
        <w:t xml:space="preserve">was </w:t>
      </w:r>
      <w:r w:rsidRPr="007C488A">
        <w:t xml:space="preserve">extrapolated beyond the trial period (5-year follow-up) via fitting of parametric models to KM data. Per cycle death rates in each model arm are based on competing risk between </w:t>
      </w:r>
      <w:proofErr w:type="gramStart"/>
      <w:r w:rsidRPr="007C488A">
        <w:t>trial based</w:t>
      </w:r>
      <w:proofErr w:type="gramEnd"/>
      <w:r w:rsidRPr="007C488A">
        <w:t xml:space="preserve"> OS KM curves, parametrically extrapolated over a lifetime horizon, and age-related population death rates (Australian lifetables). The ADAR estimated survival models for the several distributions including</w:t>
      </w:r>
      <w:r w:rsidRPr="007C488A" w:rsidDel="00B04527">
        <w:t xml:space="preserve"> </w:t>
      </w:r>
      <w:r w:rsidRPr="007C488A">
        <w:t xml:space="preserve">exponential, Weibull, Log-normal and Generalised gamma. </w:t>
      </w:r>
      <w:r w:rsidR="007614FE" w:rsidRPr="007C488A">
        <w:fldChar w:fldCharType="begin"/>
      </w:r>
      <w:r w:rsidR="007614FE" w:rsidRPr="007C488A">
        <w:instrText xml:space="preserve"> REF _Ref155620029 \h </w:instrText>
      </w:r>
      <w:r w:rsidR="007C488A">
        <w:instrText xml:space="preserve"> \* MERGEFORMAT </w:instrText>
      </w:r>
      <w:r w:rsidR="007614FE" w:rsidRPr="007C488A">
        <w:fldChar w:fldCharType="separate"/>
      </w:r>
      <w:r w:rsidR="00406484" w:rsidRPr="007C488A">
        <w:rPr>
          <w:snapToGrid w:val="0"/>
        </w:rPr>
        <w:t xml:space="preserve">Figure </w:t>
      </w:r>
      <w:r w:rsidR="00406484" w:rsidRPr="007C488A">
        <w:rPr>
          <w:noProof/>
          <w:snapToGrid w:val="0"/>
        </w:rPr>
        <w:t>4</w:t>
      </w:r>
      <w:r w:rsidR="007614FE" w:rsidRPr="007C488A">
        <w:fldChar w:fldCharType="end"/>
      </w:r>
      <w:r w:rsidR="007614FE" w:rsidRPr="007C488A">
        <w:t xml:space="preserve"> </w:t>
      </w:r>
      <w:r w:rsidRPr="007C488A">
        <w:t>provides the parametric OS models for the LVAD arm.</w:t>
      </w:r>
      <w:r w:rsidR="00E102BC" w:rsidRPr="007C488A">
        <w:t xml:space="preserve"> </w:t>
      </w:r>
    </w:p>
    <w:p w14:paraId="2A007BED" w14:textId="77777777" w:rsidR="00EB2081" w:rsidRPr="007C488A" w:rsidRDefault="00EB2081" w:rsidP="00EB2081">
      <w:pPr>
        <w:keepNext/>
        <w:jc w:val="both"/>
      </w:pPr>
      <w:r w:rsidRPr="007C488A">
        <w:rPr>
          <w:noProof/>
        </w:rPr>
        <w:drawing>
          <wp:inline distT="0" distB="0" distL="0" distR="0" wp14:anchorId="491EA575" wp14:editId="4AA95990">
            <wp:extent cx="5310505" cy="2917926"/>
            <wp:effectExtent l="0" t="0" r="4445" b="15875"/>
            <wp:docPr id="2081923808" name="Chart 1" descr="Graph of Parametric OS models for the LVAD arm">
              <a:extLst xmlns:a="http://schemas.openxmlformats.org/drawingml/2006/main">
                <a:ext uri="{FF2B5EF4-FFF2-40B4-BE49-F238E27FC236}">
                  <a16:creationId xmlns:a16="http://schemas.microsoft.com/office/drawing/2014/main" id="{00000000-0008-0000-0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F01FF" w14:textId="1AEC5225" w:rsidR="00EB2081" w:rsidRPr="007C488A" w:rsidRDefault="00EB2081" w:rsidP="006C4D49">
      <w:pPr>
        <w:pStyle w:val="Caption"/>
        <w:rPr>
          <w:snapToGrid w:val="0"/>
        </w:rPr>
      </w:pPr>
      <w:bookmarkStart w:id="47" w:name="_Ref155620029"/>
      <w:r w:rsidRPr="007C488A">
        <w:rPr>
          <w:snapToGrid w:val="0"/>
        </w:rPr>
        <w:t xml:space="preserve">Figure </w:t>
      </w:r>
      <w:r w:rsidRPr="007C488A">
        <w:rPr>
          <w:snapToGrid w:val="0"/>
        </w:rPr>
        <w:fldChar w:fldCharType="begin"/>
      </w:r>
      <w:r w:rsidRPr="007C488A">
        <w:rPr>
          <w:snapToGrid w:val="0"/>
        </w:rPr>
        <w:instrText xml:space="preserve"> SEQ Figure \* ARABIC </w:instrText>
      </w:r>
      <w:r w:rsidRPr="007C488A">
        <w:rPr>
          <w:snapToGrid w:val="0"/>
        </w:rPr>
        <w:fldChar w:fldCharType="separate"/>
      </w:r>
      <w:r w:rsidR="00406484" w:rsidRPr="007C488A">
        <w:rPr>
          <w:noProof/>
          <w:snapToGrid w:val="0"/>
        </w:rPr>
        <w:t>4</w:t>
      </w:r>
      <w:r w:rsidRPr="007C488A">
        <w:rPr>
          <w:snapToGrid w:val="0"/>
        </w:rPr>
        <w:fldChar w:fldCharType="end"/>
      </w:r>
      <w:bookmarkEnd w:id="47"/>
      <w:r w:rsidR="00016452" w:rsidRPr="007C488A">
        <w:rPr>
          <w:snapToGrid w:val="0"/>
        </w:rPr>
        <w:t xml:space="preserve">: </w:t>
      </w:r>
      <w:r w:rsidRPr="007C488A">
        <w:rPr>
          <w:snapToGrid w:val="0"/>
        </w:rPr>
        <w:t>Parametric OS models for the LVAD arm</w:t>
      </w:r>
    </w:p>
    <w:p w14:paraId="4C94ACC6" w14:textId="56003379" w:rsidR="00016452" w:rsidRPr="007C488A" w:rsidRDefault="00EB2081" w:rsidP="00EA4FE5">
      <w:pPr>
        <w:pStyle w:val="Tablenotes0"/>
        <w:rPr>
          <w:snapToGrid w:val="0"/>
        </w:rPr>
      </w:pPr>
      <w:r w:rsidRPr="007C488A">
        <w:rPr>
          <w:snapToGrid w:val="0"/>
        </w:rPr>
        <w:t xml:space="preserve">Source: Figure 57, </w:t>
      </w:r>
      <w:r w:rsidR="00016452" w:rsidRPr="007C488A">
        <w:rPr>
          <w:snapToGrid w:val="0"/>
        </w:rPr>
        <w:t xml:space="preserve">p199 </w:t>
      </w:r>
      <w:r w:rsidRPr="007C488A">
        <w:rPr>
          <w:snapToGrid w:val="0"/>
        </w:rPr>
        <w:t xml:space="preserve">of the </w:t>
      </w:r>
      <w:r w:rsidR="00A907AF" w:rsidRPr="007C488A">
        <w:rPr>
          <w:snapToGrid w:val="0"/>
        </w:rPr>
        <w:t>MSAC 1749 ADAR+</w:t>
      </w:r>
      <w:r w:rsidR="00016452" w:rsidRPr="007C488A">
        <w:rPr>
          <w:snapToGrid w:val="0"/>
        </w:rPr>
        <w:t xml:space="preserve"> </w:t>
      </w:r>
      <w:r w:rsidR="00A907AF" w:rsidRPr="007C488A">
        <w:rPr>
          <w:snapToGrid w:val="0"/>
        </w:rPr>
        <w:t>in-line commentary</w:t>
      </w:r>
      <w:r w:rsidR="00016452" w:rsidRPr="007C488A">
        <w:rPr>
          <w:snapToGrid w:val="0"/>
        </w:rPr>
        <w:t xml:space="preserve"> </w:t>
      </w:r>
    </w:p>
    <w:p w14:paraId="743025C0" w14:textId="5712E35D" w:rsidR="0085286D" w:rsidRPr="007C488A" w:rsidRDefault="00EB2081" w:rsidP="00EA4FE5">
      <w:pPr>
        <w:pStyle w:val="Tablenotes0"/>
        <w:rPr>
          <w:snapToGrid w:val="0"/>
        </w:rPr>
      </w:pPr>
      <w:r w:rsidRPr="007C488A">
        <w:rPr>
          <w:snapToGrid w:val="0"/>
        </w:rPr>
        <w:t>Abbreviations: KM, Kaplan-Meier; OS, overall survival</w:t>
      </w:r>
      <w:r w:rsidR="005E59D7" w:rsidRPr="007C488A">
        <w:rPr>
          <w:rFonts w:eastAsia="Times New Roman"/>
          <w:snapToGrid w:val="0"/>
          <w:szCs w:val="20"/>
        </w:rPr>
        <w:t>; LVAD = left ventricular assist device</w:t>
      </w:r>
    </w:p>
    <w:p w14:paraId="08CFC6A7" w14:textId="5F0446F7" w:rsidR="00E102BC" w:rsidRPr="007C488A" w:rsidRDefault="00E102BC" w:rsidP="00757664">
      <w:pPr>
        <w:jc w:val="both"/>
      </w:pPr>
      <w:r w:rsidRPr="007C488A">
        <w:t xml:space="preserve">The </w:t>
      </w:r>
      <w:r w:rsidR="00F044F0" w:rsidRPr="007C488A">
        <w:t>generalised gamma</w:t>
      </w:r>
      <w:r w:rsidRPr="007C488A">
        <w:t xml:space="preserve"> distribution was used in the </w:t>
      </w:r>
      <w:r w:rsidR="00614642" w:rsidRPr="007C488A">
        <w:t xml:space="preserve">ADAR’s </w:t>
      </w:r>
      <w:r w:rsidRPr="007C488A">
        <w:t xml:space="preserve">base-case analysis as it has the lowest </w:t>
      </w:r>
      <w:r w:rsidR="00614642" w:rsidRPr="007C488A">
        <w:t xml:space="preserve">Akaike information criteria/ Bayesian information criteria </w:t>
      </w:r>
      <w:r w:rsidRPr="007C488A">
        <w:t>statistics</w:t>
      </w:r>
      <w:r w:rsidR="00614642" w:rsidRPr="007C488A">
        <w:t xml:space="preserve">, and therefore was </w:t>
      </w:r>
      <w:r w:rsidR="005263CF" w:rsidRPr="007C488A">
        <w:t xml:space="preserve">statistically </w:t>
      </w:r>
      <w:r w:rsidR="00614642" w:rsidRPr="007C488A">
        <w:t>the best fitting model.</w:t>
      </w:r>
      <w:r w:rsidRPr="007C488A">
        <w:t xml:space="preserve"> </w:t>
      </w:r>
      <w:r w:rsidR="00614642" w:rsidRPr="007C488A">
        <w:t>The commentary</w:t>
      </w:r>
      <w:r w:rsidR="002D5EC6" w:rsidRPr="007C488A">
        <w:t xml:space="preserve"> considered; however, that this distribution, </w:t>
      </w:r>
      <w:r w:rsidR="00896355" w:rsidRPr="007C488A">
        <w:t xml:space="preserve">as shown in </w:t>
      </w:r>
      <w:r w:rsidR="007614FE" w:rsidRPr="007C488A">
        <w:fldChar w:fldCharType="begin"/>
      </w:r>
      <w:r w:rsidR="007614FE" w:rsidRPr="007C488A">
        <w:instrText xml:space="preserve"> REF _Ref155620029 \h </w:instrText>
      </w:r>
      <w:r w:rsidR="007C488A">
        <w:instrText xml:space="preserve"> \* MERGEFORMAT </w:instrText>
      </w:r>
      <w:r w:rsidR="007614FE" w:rsidRPr="007C488A">
        <w:fldChar w:fldCharType="separate"/>
      </w:r>
      <w:r w:rsidR="00406484" w:rsidRPr="007C488A">
        <w:rPr>
          <w:snapToGrid w:val="0"/>
        </w:rPr>
        <w:t xml:space="preserve">Figure </w:t>
      </w:r>
      <w:r w:rsidR="00406484" w:rsidRPr="007C488A">
        <w:rPr>
          <w:noProof/>
          <w:snapToGrid w:val="0"/>
        </w:rPr>
        <w:t>4</w:t>
      </w:r>
      <w:r w:rsidR="007614FE" w:rsidRPr="007C488A">
        <w:fldChar w:fldCharType="end"/>
      </w:r>
      <w:r w:rsidR="00896355" w:rsidRPr="007C488A">
        <w:t xml:space="preserve">, resulted in the unrealistic survival probability of </w:t>
      </w:r>
      <w:r w:rsidR="00CA3019" w:rsidRPr="007C488A">
        <w:t xml:space="preserve">10% at the age of 105 (40 years after the baseline age of 65). </w:t>
      </w:r>
      <w:r w:rsidR="006E57A9" w:rsidRPr="007C488A">
        <w:t>Visually, t</w:t>
      </w:r>
      <w:r w:rsidR="00CA3019" w:rsidRPr="007C488A">
        <w:t xml:space="preserve">he exponential distribution appears to model survival more realistically and converges with the OMM curve. </w:t>
      </w:r>
    </w:p>
    <w:p w14:paraId="4EAE3EAF" w14:textId="13AB64AB" w:rsidR="00EB2081" w:rsidRPr="007C488A" w:rsidRDefault="00EB2081" w:rsidP="00757664">
      <w:pPr>
        <w:jc w:val="both"/>
        <w:rPr>
          <w:i/>
          <w:iCs/>
          <w:color w:val="0070C0"/>
        </w:rPr>
      </w:pPr>
      <w:r w:rsidRPr="007C488A">
        <w:lastRenderedPageBreak/>
        <w:t xml:space="preserve">The ADAR used separate parametric extrapolation in the control arm and treatment arm rather than </w:t>
      </w:r>
      <w:r w:rsidR="002F66BF" w:rsidRPr="007C488A">
        <w:t>applying the</w:t>
      </w:r>
      <w:r w:rsidRPr="007C488A">
        <w:t xml:space="preserve"> hazard ratio for the </w:t>
      </w:r>
      <w:r w:rsidR="00CA3019" w:rsidRPr="007C488A">
        <w:t>OS</w:t>
      </w:r>
      <w:r w:rsidRPr="007C488A">
        <w:t xml:space="preserve"> </w:t>
      </w:r>
      <w:r w:rsidR="002F66BF" w:rsidRPr="007C488A">
        <w:t xml:space="preserve">estimated in the ITC </w:t>
      </w:r>
      <w:r w:rsidRPr="007C488A">
        <w:t xml:space="preserve">to the parametrically extrapolated arm in </w:t>
      </w:r>
      <w:r w:rsidR="00CA3019" w:rsidRPr="007C488A">
        <w:t xml:space="preserve">the </w:t>
      </w:r>
      <w:r w:rsidRPr="007C488A">
        <w:t>base case analysis. The extrapolation of OS data only for the LVAD arm over a long</w:t>
      </w:r>
      <w:r w:rsidR="00455D1C" w:rsidRPr="007C488A">
        <w:t>-</w:t>
      </w:r>
      <w:r w:rsidRPr="007C488A">
        <w:t>time horizon overestimate the survival benefit associated LVAD arm.</w:t>
      </w:r>
      <w:r w:rsidRPr="007C488A">
        <w:rPr>
          <w:i/>
          <w:iCs/>
          <w:color w:val="0070C0"/>
        </w:rPr>
        <w:t xml:space="preserve"> </w:t>
      </w:r>
    </w:p>
    <w:p w14:paraId="0DA79AC4" w14:textId="4223675E" w:rsidR="00EB2081" w:rsidRPr="007C488A" w:rsidRDefault="000C516E" w:rsidP="00EB2081">
      <w:pPr>
        <w:jc w:val="both"/>
      </w:pPr>
      <w:r w:rsidRPr="007C488A">
        <w:t xml:space="preserve">The </w:t>
      </w:r>
      <w:r w:rsidR="00810B37" w:rsidRPr="007C488A">
        <w:t xml:space="preserve">OS </w:t>
      </w:r>
      <w:r w:rsidR="00EB2081" w:rsidRPr="007C488A">
        <w:t xml:space="preserve">curve used </w:t>
      </w:r>
      <w:r w:rsidR="00810B37" w:rsidRPr="007C488A">
        <w:t xml:space="preserve">for OMM </w:t>
      </w:r>
      <w:r w:rsidR="00EB2081" w:rsidRPr="007C488A">
        <w:t>from the REMATCH could underestimate OS of the comparator given that the REMATCH is an old study and that contemporary treatment options could provide longer OS. Of note, there are recent modifications to the drug types included in the OMM as well. Based on the recent 2022 AHA/ACC/HFSA Guideline for the management of HF, OMM for HF with reduced ejection fraction (</w:t>
      </w:r>
      <w:proofErr w:type="spellStart"/>
      <w:r w:rsidR="00EB2081" w:rsidRPr="007C488A">
        <w:t>HFrEF</w:t>
      </w:r>
      <w:proofErr w:type="spellEnd"/>
      <w:r w:rsidR="00EB2081" w:rsidRPr="007C488A">
        <w:t xml:space="preserve">) now includes </w:t>
      </w:r>
      <w:r w:rsidR="00CA3019" w:rsidRPr="007C488A">
        <w:t>new</w:t>
      </w:r>
      <w:r w:rsidR="00EB2081" w:rsidRPr="007C488A">
        <w:t xml:space="preserve"> medication classes </w:t>
      </w:r>
      <w:r w:rsidR="00CA3019" w:rsidRPr="007C488A">
        <w:t>such as</w:t>
      </w:r>
      <w:r w:rsidR="00EB2081" w:rsidRPr="007C488A">
        <w:t xml:space="preserve"> SGLT2i, which </w:t>
      </w:r>
      <w:r w:rsidR="00CA3019" w:rsidRPr="007C488A">
        <w:t>may provide</w:t>
      </w:r>
      <w:r w:rsidR="00EB2081" w:rsidRPr="007C488A">
        <w:t xml:space="preserve"> additional survival benefits. </w:t>
      </w:r>
      <w:r w:rsidR="00CA3019" w:rsidRPr="007C488A">
        <w:t>More r</w:t>
      </w:r>
      <w:r w:rsidR="00EB2081" w:rsidRPr="007C488A">
        <w:t xml:space="preserve">ecent </w:t>
      </w:r>
      <w:r w:rsidR="00CA3019" w:rsidRPr="007C488A">
        <w:t xml:space="preserve">OMM </w:t>
      </w:r>
      <w:r w:rsidR="00EB2081" w:rsidRPr="007C488A">
        <w:t>studies showed more survival benefit than the OS reported in REMATCH study. For example, Hashim, 2015</w:t>
      </w:r>
      <w:r w:rsidR="00EB2081" w:rsidRPr="007C488A">
        <w:rPr>
          <w:vertAlign w:val="superscript"/>
        </w:rPr>
        <w:footnoteReference w:id="18"/>
      </w:r>
      <w:r w:rsidR="00EB2081" w:rsidRPr="007C488A">
        <w:t xml:space="preserve"> study reported median survival of 9.0 months (interquartile range, 3.1–37.1 months), actuarial 1-year survival of 47.6%, and 2-year survival of 38.4%. </w:t>
      </w:r>
      <w:r w:rsidR="007614FE" w:rsidRPr="007C488A">
        <w:fldChar w:fldCharType="begin"/>
      </w:r>
      <w:r w:rsidR="007614FE" w:rsidRPr="007C488A">
        <w:instrText xml:space="preserve"> REF _Ref155620074 \h </w:instrText>
      </w:r>
      <w:r w:rsidR="007C488A">
        <w:instrText xml:space="preserve"> \* MERGEFORMAT </w:instrText>
      </w:r>
      <w:r w:rsidR="007614FE" w:rsidRPr="007C488A">
        <w:fldChar w:fldCharType="separate"/>
      </w:r>
      <w:r w:rsidR="00406484" w:rsidRPr="007C488A">
        <w:t xml:space="preserve">Figure </w:t>
      </w:r>
      <w:r w:rsidR="00406484" w:rsidRPr="007C488A">
        <w:rPr>
          <w:noProof/>
        </w:rPr>
        <w:t>5</w:t>
      </w:r>
      <w:r w:rsidR="007614FE" w:rsidRPr="007C488A">
        <w:fldChar w:fldCharType="end"/>
      </w:r>
      <w:r w:rsidR="007614FE" w:rsidRPr="007C488A">
        <w:t xml:space="preserve"> </w:t>
      </w:r>
      <w:r w:rsidR="00EB2081" w:rsidRPr="007C488A">
        <w:t xml:space="preserve">provides the OS curves for OMM treated patients from REMATCH, INTERMACS 4 subgroup of ROADMAP and Hashim 2015. </w:t>
      </w:r>
    </w:p>
    <w:p w14:paraId="71E906D9" w14:textId="77777777" w:rsidR="00EB2081" w:rsidRPr="007C488A" w:rsidRDefault="00EB2081" w:rsidP="00EB2081">
      <w:pPr>
        <w:keepNext/>
        <w:jc w:val="both"/>
      </w:pPr>
      <w:r w:rsidRPr="007C488A">
        <w:rPr>
          <w:noProof/>
        </w:rPr>
        <w:drawing>
          <wp:inline distT="0" distB="0" distL="0" distR="0" wp14:anchorId="1D285647" wp14:editId="2367E68E">
            <wp:extent cx="5389245" cy="2597150"/>
            <wp:effectExtent l="0" t="0" r="1905" b="0"/>
            <wp:docPr id="2119062186" name="Picture 2119062186" descr="A graph of the OS curves for OMM treated patients from REMATCH, INTERMACS 4 subgroup of ROADMAP and Hashi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62186" name="Picture 2119062186" descr="A graph of the OS curves for OMM treated patients from REMATCH, INTERMACS 4 subgroup of ROADMAP and Hashim 20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9245" cy="2597150"/>
                    </a:xfrm>
                    <a:prstGeom prst="rect">
                      <a:avLst/>
                    </a:prstGeom>
                    <a:noFill/>
                  </pic:spPr>
                </pic:pic>
              </a:graphicData>
            </a:graphic>
          </wp:inline>
        </w:drawing>
      </w:r>
    </w:p>
    <w:p w14:paraId="3009AE65" w14:textId="415698DB" w:rsidR="00EB2081" w:rsidRPr="007C488A" w:rsidRDefault="00EB2081" w:rsidP="006C4D49">
      <w:pPr>
        <w:pStyle w:val="Caption"/>
        <w:rPr>
          <w:snapToGrid w:val="0"/>
        </w:rPr>
      </w:pPr>
      <w:bookmarkStart w:id="48" w:name="_Ref155620074"/>
      <w:r w:rsidRPr="007C488A">
        <w:t xml:space="preserve">Figure </w:t>
      </w:r>
      <w:r w:rsidRPr="007C488A">
        <w:fldChar w:fldCharType="begin"/>
      </w:r>
      <w:r w:rsidRPr="007C488A">
        <w:instrText>SEQ Figure \* ARABIC</w:instrText>
      </w:r>
      <w:r w:rsidRPr="007C488A">
        <w:fldChar w:fldCharType="separate"/>
      </w:r>
      <w:r w:rsidR="00406484" w:rsidRPr="007C488A">
        <w:rPr>
          <w:noProof/>
        </w:rPr>
        <w:t>5</w:t>
      </w:r>
      <w:r w:rsidRPr="007C488A">
        <w:fldChar w:fldCharType="end"/>
      </w:r>
      <w:bookmarkEnd w:id="48"/>
      <w:r w:rsidR="00016452" w:rsidRPr="007C488A">
        <w:rPr>
          <w:noProof/>
        </w:rPr>
        <w:t>:</w:t>
      </w:r>
      <w:r w:rsidRPr="007C488A">
        <w:t xml:space="preserve"> OS curves for OMM treated patients from REMATCH, INTERMACS 4 subgroup of ROADMAP and Hashim 2015</w:t>
      </w:r>
    </w:p>
    <w:p w14:paraId="7E7438BF" w14:textId="78414D27" w:rsidR="00EB2081" w:rsidRPr="007C488A" w:rsidRDefault="00EB2081" w:rsidP="00EA4FE5">
      <w:pPr>
        <w:pStyle w:val="Tablenotes0"/>
        <w:rPr>
          <w:snapToGrid w:val="0"/>
        </w:rPr>
      </w:pPr>
      <w:r w:rsidRPr="007C488A">
        <w:rPr>
          <w:snapToGrid w:val="0"/>
        </w:rPr>
        <w:t xml:space="preserve">Source: Figure 55, </w:t>
      </w:r>
      <w:r w:rsidR="00016452" w:rsidRPr="007C488A">
        <w:rPr>
          <w:snapToGrid w:val="0"/>
        </w:rPr>
        <w:t xml:space="preserve">p195 </w:t>
      </w:r>
      <w:r w:rsidRPr="007C488A">
        <w:rPr>
          <w:snapToGrid w:val="0"/>
        </w:rPr>
        <w:t xml:space="preserve">of the </w:t>
      </w:r>
      <w:bookmarkStart w:id="49" w:name="_Hlk153895474"/>
      <w:r w:rsidR="00A907AF" w:rsidRPr="007C488A">
        <w:rPr>
          <w:snapToGrid w:val="0"/>
        </w:rPr>
        <w:t>MSAC 1749 ADAR+ in-line commentary</w:t>
      </w:r>
      <w:bookmarkEnd w:id="49"/>
    </w:p>
    <w:p w14:paraId="4BB1F258" w14:textId="1836AB88" w:rsidR="00EB2081" w:rsidRPr="007C488A" w:rsidRDefault="00EB2081" w:rsidP="00EA4FE5">
      <w:pPr>
        <w:pStyle w:val="Tablenotes0"/>
        <w:rPr>
          <w:snapToGrid w:val="0"/>
        </w:rPr>
      </w:pPr>
      <w:r w:rsidRPr="007C488A">
        <w:rPr>
          <w:snapToGrid w:val="0"/>
        </w:rPr>
        <w:t>Abbreviations:</w:t>
      </w:r>
      <w:r w:rsidR="005E59D7" w:rsidRPr="007C488A">
        <w:t xml:space="preserve"> </w:t>
      </w:r>
      <w:r w:rsidR="005E59D7" w:rsidRPr="007C488A">
        <w:rPr>
          <w:snapToGrid w:val="0"/>
        </w:rPr>
        <w:t>IM4 = INTERMACS 4;</w:t>
      </w:r>
      <w:r w:rsidRPr="007C488A">
        <w:rPr>
          <w:snapToGrid w:val="0"/>
        </w:rPr>
        <w:t xml:space="preserve"> OMM: optimum medical management</w:t>
      </w:r>
      <w:r w:rsidR="00614642" w:rsidRPr="007C488A">
        <w:rPr>
          <w:snapToGrid w:val="0"/>
        </w:rPr>
        <w:t>; OS = overall survival</w:t>
      </w:r>
      <w:r w:rsidRPr="007C488A">
        <w:rPr>
          <w:snapToGrid w:val="0"/>
        </w:rPr>
        <w:t xml:space="preserve"> </w:t>
      </w:r>
    </w:p>
    <w:p w14:paraId="44931E11" w14:textId="2FC4A1A5" w:rsidR="006E2D94" w:rsidRPr="007C488A" w:rsidRDefault="00EB2081" w:rsidP="00EA4FE5">
      <w:pPr>
        <w:pStyle w:val="Tablenotes0"/>
        <w:rPr>
          <w:snapToGrid w:val="0"/>
        </w:rPr>
      </w:pPr>
      <w:r w:rsidRPr="007C488A">
        <w:rPr>
          <w:snapToGrid w:val="0"/>
        </w:rPr>
        <w:t>Note: Kaplan-Meier curve fitting was applied to assess long-term survival of OMM patients beyond the follow up period reported in studies</w:t>
      </w:r>
    </w:p>
    <w:p w14:paraId="2DC558F5" w14:textId="006AB48A" w:rsidR="00EB2081" w:rsidRPr="007C488A" w:rsidRDefault="00EB2081" w:rsidP="00EB2081">
      <w:pPr>
        <w:jc w:val="both"/>
      </w:pPr>
      <w:r w:rsidRPr="007C488A">
        <w:t xml:space="preserve">The </w:t>
      </w:r>
      <w:r w:rsidR="00BA181C" w:rsidRPr="007C488A">
        <w:t xml:space="preserve">ADAR </w:t>
      </w:r>
      <w:r w:rsidRPr="007C488A">
        <w:t xml:space="preserve">argued that the increase </w:t>
      </w:r>
      <w:r w:rsidR="00CA3019" w:rsidRPr="007C488A">
        <w:t xml:space="preserve">in </w:t>
      </w:r>
      <w:r w:rsidRPr="007C488A">
        <w:t xml:space="preserve">OS reported in the Hashim study could be </w:t>
      </w:r>
      <w:proofErr w:type="gramStart"/>
      <w:r w:rsidRPr="007C488A">
        <w:t>due to the fact that</w:t>
      </w:r>
      <w:proofErr w:type="gramEnd"/>
      <w:r w:rsidRPr="007C488A">
        <w:t xml:space="preserve"> the patient population (</w:t>
      </w:r>
      <w:r w:rsidR="000B36CB" w:rsidRPr="007C488A">
        <w:t>p</w:t>
      </w:r>
      <w:r w:rsidRPr="007C488A">
        <w:t xml:space="preserve">atients receiving inotropes at home setting) in Hashim </w:t>
      </w:r>
      <w:r w:rsidR="00CA3019" w:rsidRPr="007C488A">
        <w:t xml:space="preserve">2015 </w:t>
      </w:r>
      <w:r w:rsidRPr="007C488A">
        <w:t xml:space="preserve">study would be more comparable with INTERMACS profile 4 and therefore, less sick than the </w:t>
      </w:r>
      <w:r w:rsidR="00CA3019" w:rsidRPr="007C488A">
        <w:t>REMATCH population</w:t>
      </w:r>
      <w:r w:rsidRPr="007C488A">
        <w:t xml:space="preserve">. </w:t>
      </w:r>
      <w:r w:rsidR="00CA3019" w:rsidRPr="007C488A">
        <w:t>However,</w:t>
      </w:r>
      <w:r w:rsidRPr="007C488A">
        <w:t xml:space="preserve"> </w:t>
      </w:r>
      <w:r w:rsidR="00417D5F" w:rsidRPr="007C488A">
        <w:t xml:space="preserve">the </w:t>
      </w:r>
      <w:r w:rsidR="002D6169" w:rsidRPr="007C488A">
        <w:t xml:space="preserve">commentary noted the population in </w:t>
      </w:r>
      <w:r w:rsidRPr="007C488A">
        <w:t xml:space="preserve">Hashim </w:t>
      </w:r>
      <w:r w:rsidR="00CA3019" w:rsidRPr="007C488A">
        <w:t xml:space="preserve">2015 </w:t>
      </w:r>
      <w:r w:rsidRPr="007C488A">
        <w:t xml:space="preserve">study </w:t>
      </w:r>
      <w:r w:rsidR="002D6169" w:rsidRPr="007C488A">
        <w:t>were more likely to be categorised as</w:t>
      </w:r>
      <w:r w:rsidRPr="007C488A">
        <w:t xml:space="preserve"> INTERMACS 1-3</w:t>
      </w:r>
      <w:r w:rsidR="00CA3019" w:rsidRPr="007C488A">
        <w:t xml:space="preserve"> since the r</w:t>
      </w:r>
      <w:r w:rsidRPr="007C488A">
        <w:t xml:space="preserve">evised INTERMACS 3 </w:t>
      </w:r>
      <w:r w:rsidR="00CA3019" w:rsidRPr="007C488A">
        <w:t>profile</w:t>
      </w:r>
      <w:r w:rsidRPr="007C488A">
        <w:t xml:space="preserve"> include patients with inotropic infusions at home (Frequent Flyer Modifier “FF”)</w:t>
      </w:r>
      <w:r w:rsidRPr="007C488A">
        <w:rPr>
          <w:vertAlign w:val="superscript"/>
        </w:rPr>
        <w:footnoteReference w:id="19"/>
      </w:r>
      <w:r w:rsidRPr="007C488A">
        <w:t>.</w:t>
      </w:r>
    </w:p>
    <w:p w14:paraId="06F28540" w14:textId="05140551" w:rsidR="00EB2081" w:rsidRPr="007C488A" w:rsidRDefault="00EB2081" w:rsidP="007D2C8E">
      <w:pPr>
        <w:keepNext/>
        <w:rPr>
          <w:b/>
          <w:bCs/>
          <w:i/>
          <w:iCs/>
          <w:color w:val="0070C0"/>
        </w:rPr>
      </w:pPr>
      <w:r w:rsidRPr="007C488A">
        <w:rPr>
          <w:b/>
          <w:bCs/>
        </w:rPr>
        <w:lastRenderedPageBreak/>
        <w:t>Health outcomes</w:t>
      </w:r>
    </w:p>
    <w:p w14:paraId="20EE9E5A" w14:textId="77777777" w:rsidR="00EB2081" w:rsidRPr="007C488A" w:rsidRDefault="00EB2081" w:rsidP="007D2C8E">
      <w:pPr>
        <w:keepNext/>
        <w:rPr>
          <w:b/>
          <w:bCs/>
        </w:rPr>
      </w:pPr>
      <w:r w:rsidRPr="007C488A">
        <w:rPr>
          <w:b/>
          <w:bCs/>
        </w:rPr>
        <w:t>Health state utilities</w:t>
      </w:r>
    </w:p>
    <w:p w14:paraId="7D3D9BB6" w14:textId="7AFA3B48" w:rsidR="00EB2081" w:rsidRPr="007C488A" w:rsidRDefault="00EB2081" w:rsidP="007D2C8E">
      <w:pPr>
        <w:keepNext/>
        <w:jc w:val="both"/>
        <w:rPr>
          <w:rFonts w:eastAsiaTheme="majorEastAsia" w:cstheme="majorBidi"/>
        </w:rPr>
      </w:pPr>
      <w:r w:rsidRPr="007C488A">
        <w:t xml:space="preserve">The ADAR sourced health state utility </w:t>
      </w:r>
      <w:r w:rsidR="00EB1F35" w:rsidRPr="007C488A">
        <w:t xml:space="preserve">values </w:t>
      </w:r>
      <w:r w:rsidRPr="007C488A">
        <w:t xml:space="preserve">for </w:t>
      </w:r>
      <w:r w:rsidR="00EB1F35" w:rsidRPr="007C488A">
        <w:t xml:space="preserve">the </w:t>
      </w:r>
      <w:r w:rsidRPr="007C488A">
        <w:t xml:space="preserve">first cycle </w:t>
      </w:r>
      <w:r w:rsidR="00EB1F35" w:rsidRPr="007C488A">
        <w:t xml:space="preserve">in </w:t>
      </w:r>
      <w:r w:rsidRPr="007C488A">
        <w:t xml:space="preserve">both </w:t>
      </w:r>
      <w:r w:rsidR="00EB1F35" w:rsidRPr="007C488A">
        <w:t xml:space="preserve">the </w:t>
      </w:r>
      <w:r w:rsidRPr="007C488A">
        <w:t xml:space="preserve">LVAD and OMM arms based on </w:t>
      </w:r>
      <w:r w:rsidR="00EB1F35" w:rsidRPr="007C488A">
        <w:t xml:space="preserve">the </w:t>
      </w:r>
      <w:r w:rsidRPr="007C488A">
        <w:t xml:space="preserve">Prichard study. MOMENTUM 3 RCT included patients with </w:t>
      </w:r>
      <w:r w:rsidRPr="007C488A">
        <w:rPr>
          <w:rFonts w:cs="TimesNewRomanPSMT"/>
        </w:rPr>
        <w:t>NYHA Class III with dyspnoea upon mild physical activity or NYHA Class IV.</w:t>
      </w:r>
      <w:r w:rsidRPr="007C488A">
        <w:rPr>
          <w:rFonts w:eastAsiaTheme="majorEastAsia" w:cstheme="majorBidi"/>
        </w:rPr>
        <w:t xml:space="preserve"> </w:t>
      </w:r>
      <w:r w:rsidR="00B4173F" w:rsidRPr="007C488A">
        <w:rPr>
          <w:rFonts w:eastAsiaTheme="majorEastAsia" w:cstheme="majorBidi"/>
        </w:rPr>
        <w:t>H</w:t>
      </w:r>
      <w:r w:rsidR="00CF26D0" w:rsidRPr="007C488A">
        <w:rPr>
          <w:rFonts w:eastAsiaTheme="majorEastAsia" w:cstheme="majorBidi"/>
        </w:rPr>
        <w:t>ence, it was argued that it is</w:t>
      </w:r>
      <w:r w:rsidRPr="007C488A">
        <w:rPr>
          <w:rFonts w:eastAsiaTheme="majorEastAsia" w:cstheme="majorBidi"/>
        </w:rPr>
        <w:t xml:space="preserve"> </w:t>
      </w:r>
      <w:r w:rsidR="00CF26D0" w:rsidRPr="007C488A">
        <w:rPr>
          <w:rFonts w:eastAsiaTheme="majorEastAsia" w:cstheme="majorBidi"/>
        </w:rPr>
        <w:t xml:space="preserve">more </w:t>
      </w:r>
      <w:r w:rsidRPr="007C488A">
        <w:rPr>
          <w:rFonts w:eastAsiaTheme="majorEastAsia" w:cstheme="majorBidi"/>
        </w:rPr>
        <w:t>appropriate to use mean EQ-5D index scores among patient with NYHA class III or IV for LVAD and OMM arm from the Prichard, 2021</w:t>
      </w:r>
      <w:r w:rsidRPr="007C488A">
        <w:rPr>
          <w:rFonts w:eastAsiaTheme="majorEastAsia" w:cstheme="majorBidi"/>
          <w:vertAlign w:val="superscript"/>
        </w:rPr>
        <w:footnoteReference w:id="20"/>
      </w:r>
      <w:r w:rsidRPr="007C488A">
        <w:rPr>
          <w:rFonts w:eastAsiaTheme="majorEastAsia" w:cstheme="majorBidi"/>
        </w:rPr>
        <w:t xml:space="preserve">  study, a health utility study among </w:t>
      </w:r>
      <w:r w:rsidR="00552FE2" w:rsidRPr="007C488A">
        <w:rPr>
          <w:rFonts w:eastAsiaTheme="majorEastAsia" w:cstheme="majorBidi"/>
        </w:rPr>
        <w:t xml:space="preserve">patients with </w:t>
      </w:r>
      <w:r w:rsidRPr="007C488A">
        <w:rPr>
          <w:rFonts w:eastAsiaTheme="majorEastAsia" w:cstheme="majorBidi"/>
        </w:rPr>
        <w:t>advanced HF at Australi</w:t>
      </w:r>
      <w:r w:rsidR="008A760C" w:rsidRPr="007C488A">
        <w:rPr>
          <w:rFonts w:eastAsiaTheme="majorEastAsia" w:cstheme="majorBidi"/>
        </w:rPr>
        <w:t>a</w:t>
      </w:r>
      <w:r w:rsidRPr="007C488A">
        <w:rPr>
          <w:rFonts w:eastAsiaTheme="majorEastAsia" w:cstheme="majorBidi"/>
        </w:rPr>
        <w:t>n setting.</w:t>
      </w:r>
    </w:p>
    <w:p w14:paraId="3F8B9E16" w14:textId="5D84AF08" w:rsidR="00EB2081" w:rsidRPr="007C488A" w:rsidRDefault="00EB2081" w:rsidP="00EB2081">
      <w:pPr>
        <w:jc w:val="both"/>
      </w:pPr>
      <w:r w:rsidRPr="007C488A">
        <w:t>For the subsequent cycles, the ADAR assumed a constant health state utility for OMM patients of 0.4</w:t>
      </w:r>
      <w:r w:rsidR="004A6579" w:rsidRPr="007C488A">
        <w:t>4</w:t>
      </w:r>
      <w:r w:rsidRPr="007C488A">
        <w:t xml:space="preserve">. However, the health state utility for the subsequent cycles for </w:t>
      </w:r>
      <w:r w:rsidR="00CA3019" w:rsidRPr="007C488A">
        <w:t xml:space="preserve">the </w:t>
      </w:r>
      <w:r w:rsidRPr="007C488A">
        <w:t>LVAD arm was based on Sato, 2022 study</w:t>
      </w:r>
      <w:r w:rsidRPr="007C488A">
        <w:rPr>
          <w:vertAlign w:val="superscript"/>
        </w:rPr>
        <w:footnoteReference w:id="21"/>
      </w:r>
      <w:r w:rsidRPr="007C488A">
        <w:t>, a Japanese study that used Japanese population norms for calculation of utility values among BTT patients. In Sato et al</w:t>
      </w:r>
      <w:r w:rsidR="00EA4FE5" w:rsidRPr="007C488A">
        <w:t>.</w:t>
      </w:r>
      <w:r w:rsidRPr="007C488A">
        <w:t xml:space="preserve">, </w:t>
      </w:r>
      <w:r w:rsidR="00CF26D0" w:rsidRPr="007C488A">
        <w:t xml:space="preserve">the </w:t>
      </w:r>
      <w:r w:rsidRPr="007C488A">
        <w:t>EQ-5D index score was 0.64 (IQR 0.47–0.79) at baseline, which significantly improved to 0.79 (IQR</w:t>
      </w:r>
      <w:r w:rsidR="00927D73" w:rsidRPr="007C488A">
        <w:t>:</w:t>
      </w:r>
      <w:r w:rsidRPr="007C488A">
        <w:t xml:space="preserve"> 0.69–1.00) at 3 months. </w:t>
      </w:r>
      <w:r w:rsidR="006374D6" w:rsidRPr="007C488A">
        <w:t>The difference between the EQ-5D index score at first cycle and subsequent cycles from second month (0.3</w:t>
      </w:r>
      <w:r w:rsidR="00C526BB" w:rsidRPr="007C488A">
        <w:t>5</w:t>
      </w:r>
      <w:r w:rsidR="006374D6" w:rsidRPr="007C488A">
        <w:t>) used in the ADAR was higher than t</w:t>
      </w:r>
      <w:r w:rsidRPr="007C488A">
        <w:t xml:space="preserve">he difference between the EQ-5D index score at baseline and </w:t>
      </w:r>
      <w:r w:rsidR="000B36CB" w:rsidRPr="007C488A">
        <w:t xml:space="preserve">3 </w:t>
      </w:r>
      <w:r w:rsidRPr="007C488A">
        <w:t xml:space="preserve">months </w:t>
      </w:r>
      <w:r w:rsidR="00060AA6" w:rsidRPr="007C488A">
        <w:t xml:space="preserve">(0.15) </w:t>
      </w:r>
      <w:r w:rsidR="006374D6" w:rsidRPr="007C488A">
        <w:t xml:space="preserve">in Sato, 2022 study as well in the </w:t>
      </w:r>
      <w:r w:rsidR="004A6579" w:rsidRPr="007C488A">
        <w:t>other studies in literature (e.g., Suzuki et al, 2022</w:t>
      </w:r>
      <w:r w:rsidR="004A6579" w:rsidRPr="007C488A">
        <w:rPr>
          <w:rStyle w:val="FootnoteReference"/>
        </w:rPr>
        <w:footnoteReference w:id="22"/>
      </w:r>
      <w:r w:rsidR="004A6579" w:rsidRPr="007C488A">
        <w:t xml:space="preserve"> reported </w:t>
      </w:r>
      <w:r w:rsidR="00D545A2" w:rsidRPr="007C488A">
        <w:t xml:space="preserve">0.18 improvement of </w:t>
      </w:r>
      <w:r w:rsidR="004A6579" w:rsidRPr="007C488A">
        <w:t xml:space="preserve">EQ-5D index values </w:t>
      </w:r>
      <w:r w:rsidR="00D545A2" w:rsidRPr="007C488A">
        <w:t>(</w:t>
      </w:r>
      <w:r w:rsidR="004A6579" w:rsidRPr="007C488A">
        <w:t>0.59 before LVAD to 0.77 after LVAD</w:t>
      </w:r>
      <w:r w:rsidR="00D545A2" w:rsidRPr="007C488A">
        <w:t>)</w:t>
      </w:r>
      <w:r w:rsidR="004A6579" w:rsidRPr="007C488A">
        <w:t xml:space="preserve"> among LVAD patients. </w:t>
      </w:r>
      <w:r w:rsidR="00C526BB" w:rsidRPr="007C488A">
        <w:t xml:space="preserve">Hence, the </w:t>
      </w:r>
      <w:r w:rsidRPr="007C488A">
        <w:t xml:space="preserve">use of Prichard study baseline utility </w:t>
      </w:r>
      <w:r w:rsidR="00CF26D0" w:rsidRPr="007C488A">
        <w:t>in the first</w:t>
      </w:r>
      <w:r w:rsidR="00683CBD" w:rsidRPr="007C488A">
        <w:t xml:space="preserve"> cycle</w:t>
      </w:r>
      <w:r w:rsidRPr="007C488A">
        <w:t xml:space="preserve"> and</w:t>
      </w:r>
      <w:r w:rsidR="00683CBD" w:rsidRPr="007C488A">
        <w:t xml:space="preserve"> the</w:t>
      </w:r>
      <w:r w:rsidRPr="007C488A">
        <w:t xml:space="preserve"> Sato study </w:t>
      </w:r>
      <w:r w:rsidR="00683CBD" w:rsidRPr="007C488A">
        <w:t xml:space="preserve">utility value </w:t>
      </w:r>
      <w:r w:rsidRPr="007C488A">
        <w:t>for subsequent cycle</w:t>
      </w:r>
      <w:r w:rsidR="00683CBD" w:rsidRPr="007C488A">
        <w:t>s, together with</w:t>
      </w:r>
      <w:r w:rsidR="002D6D9A" w:rsidRPr="007C488A">
        <w:t xml:space="preserve"> </w:t>
      </w:r>
      <w:r w:rsidR="00683CBD" w:rsidRPr="007C488A">
        <w:t>a</w:t>
      </w:r>
      <w:r w:rsidRPr="007C488A">
        <w:t xml:space="preserve"> constant over extrapolated time (no QALY gain for OMM arm for subsequent cycle or extrapolated time) overestimates QALY</w:t>
      </w:r>
      <w:r w:rsidR="00FF3706" w:rsidRPr="007C488A">
        <w:t>s</w:t>
      </w:r>
      <w:r w:rsidRPr="007C488A">
        <w:t xml:space="preserve"> gain</w:t>
      </w:r>
      <w:r w:rsidR="00FF3706" w:rsidRPr="007C488A">
        <w:t>ed</w:t>
      </w:r>
      <w:r w:rsidRPr="007C488A">
        <w:t xml:space="preserve"> for </w:t>
      </w:r>
      <w:r w:rsidR="00FF3706" w:rsidRPr="007C488A">
        <w:t xml:space="preserve">the </w:t>
      </w:r>
      <w:r w:rsidRPr="007C488A">
        <w:t>LVAD arm.</w:t>
      </w:r>
      <w:bookmarkStart w:id="50" w:name="_Hlk151994882"/>
      <w:r w:rsidR="00D545A2" w:rsidRPr="007C488A">
        <w:t xml:space="preserve"> </w:t>
      </w:r>
      <w:r w:rsidRPr="007C488A">
        <w:t xml:space="preserve">Furthermore, the ADAR did not include disease or device related disutility for </w:t>
      </w:r>
      <w:r w:rsidR="002D6D9A" w:rsidRPr="007C488A">
        <w:t xml:space="preserve">either </w:t>
      </w:r>
      <w:r w:rsidRPr="007C488A">
        <w:t xml:space="preserve">arm, which is not appropriate. </w:t>
      </w:r>
    </w:p>
    <w:bookmarkEnd w:id="50"/>
    <w:p w14:paraId="6A3C8D54" w14:textId="77777777" w:rsidR="00EB2081" w:rsidRPr="007C488A" w:rsidRDefault="00EB2081" w:rsidP="00357BE6">
      <w:pPr>
        <w:rPr>
          <w:b/>
          <w:bCs/>
          <w:i/>
          <w:iCs/>
          <w:color w:val="0070C0"/>
        </w:rPr>
      </w:pPr>
      <w:r w:rsidRPr="007C488A">
        <w:rPr>
          <w:b/>
          <w:bCs/>
        </w:rPr>
        <w:t>Health care resource use and costs</w:t>
      </w:r>
    </w:p>
    <w:p w14:paraId="54B5BAAA" w14:textId="46DFB818" w:rsidR="005B1551" w:rsidRPr="007C488A" w:rsidRDefault="00EB2081" w:rsidP="00EB2081">
      <w:pPr>
        <w:jc w:val="both"/>
        <w:rPr>
          <w:b/>
          <w:bCs/>
          <w:i/>
          <w:iCs/>
          <w:color w:val="0070C0"/>
        </w:rPr>
      </w:pPr>
      <w:r w:rsidRPr="007C488A">
        <w:t>The ADAR account</w:t>
      </w:r>
      <w:r w:rsidR="009C21E0" w:rsidRPr="007C488A">
        <w:t>ed</w:t>
      </w:r>
      <w:r w:rsidRPr="007C488A">
        <w:t xml:space="preserve"> for the clinical context of </w:t>
      </w:r>
      <w:r w:rsidR="009314AE" w:rsidRPr="007C488A">
        <w:t>patients eligible for LVAD as DT</w:t>
      </w:r>
      <w:r w:rsidR="009314AE" w:rsidRPr="007C488A" w:rsidDel="009314AE">
        <w:t xml:space="preserve"> </w:t>
      </w:r>
      <w:r w:rsidRPr="007C488A">
        <w:t>treated with LVAD or OMM across the entire disease course including</w:t>
      </w:r>
      <w:r w:rsidR="005B1551" w:rsidRPr="007C488A">
        <w:t xml:space="preserve"> pre-implant stage, period following implant in LVAD patients and continued attempts to stabilise OMM patients and long-term disease trajectories. These stages of disease and treatment are captured predominately in the costing in the economic evaluation.</w:t>
      </w:r>
    </w:p>
    <w:p w14:paraId="3CA1C323" w14:textId="7AA4C4CB" w:rsidR="00EB2081" w:rsidRPr="007C488A" w:rsidRDefault="00EB2081" w:rsidP="00EB2081">
      <w:pPr>
        <w:jc w:val="both"/>
      </w:pPr>
      <w:r w:rsidRPr="007C488A">
        <w:t>The ADAR included cost data from the Prichard, 2020 study,</w:t>
      </w:r>
      <w:r w:rsidRPr="007C488A">
        <w:rPr>
          <w:vertAlign w:val="superscript"/>
        </w:rPr>
        <w:footnoteReference w:id="23"/>
      </w:r>
      <w:r w:rsidRPr="007C488A">
        <w:t xml:space="preserve"> a micro costing study of before and after LVAD implant among Australi</w:t>
      </w:r>
      <w:r w:rsidR="008A760C" w:rsidRPr="007C488A">
        <w:t>a</w:t>
      </w:r>
      <w:r w:rsidRPr="007C488A">
        <w:t xml:space="preserve">n patients. This study was based on 2014 prices; hence these costs </w:t>
      </w:r>
      <w:r w:rsidR="00E75A5C" w:rsidRPr="007C488A">
        <w:t xml:space="preserve">were </w:t>
      </w:r>
      <w:r w:rsidRPr="007C488A">
        <w:t xml:space="preserve">inflated to 2023 values using AIHW values before application in the economic model. Of note, Prichard study was based on BTT patients rather than the </w:t>
      </w:r>
      <w:r w:rsidR="009314AE" w:rsidRPr="007C488A">
        <w:t>patients eligible for LVAD as DT</w:t>
      </w:r>
      <w:r w:rsidR="002324CE" w:rsidRPr="007C488A">
        <w:t>.</w:t>
      </w:r>
      <w:r w:rsidRPr="007C488A">
        <w:t xml:space="preserve"> However, Prichard 2020 is the only available study from the Australian setting. </w:t>
      </w:r>
    </w:p>
    <w:p w14:paraId="56A9C3D9" w14:textId="63CB0D69" w:rsidR="009826A3" w:rsidRPr="007C488A" w:rsidRDefault="008A027A" w:rsidP="00EB2081">
      <w:pPr>
        <w:jc w:val="both"/>
      </w:pPr>
      <w:r w:rsidRPr="007C488A">
        <w:t>The</w:t>
      </w:r>
      <w:r w:rsidR="002E6603" w:rsidRPr="007C488A">
        <w:t xml:space="preserve"> </w:t>
      </w:r>
      <w:r w:rsidRPr="007C488A">
        <w:t>commen</w:t>
      </w:r>
      <w:r w:rsidR="004664AF" w:rsidRPr="007C488A">
        <w:t xml:space="preserve">tary noted that while the economic model </w:t>
      </w:r>
      <w:r w:rsidR="00F53E35" w:rsidRPr="007C488A">
        <w:t xml:space="preserve">accounted for </w:t>
      </w:r>
      <w:r w:rsidR="00036984" w:rsidRPr="007C488A">
        <w:t>the cost of replacing the device battery every 3 years</w:t>
      </w:r>
      <w:r w:rsidR="00B12D46" w:rsidRPr="007C488A">
        <w:t xml:space="preserve"> and </w:t>
      </w:r>
      <w:r w:rsidR="00D73BA6" w:rsidRPr="007C488A">
        <w:t>captured</w:t>
      </w:r>
      <w:r w:rsidR="00B12D46" w:rsidRPr="007C488A">
        <w:t xml:space="preserve"> device replacement costs due to </w:t>
      </w:r>
      <w:r w:rsidR="009364B3" w:rsidRPr="007C488A">
        <w:t xml:space="preserve">‘Pump thrombosis resulting in </w:t>
      </w:r>
      <w:r w:rsidR="009826A3" w:rsidRPr="007C488A">
        <w:t>reoperation’</w:t>
      </w:r>
      <w:r w:rsidR="00D339E4" w:rsidRPr="007C488A">
        <w:t>, the ADAR d</w:t>
      </w:r>
      <w:r w:rsidR="001767B8" w:rsidRPr="007C488A">
        <w:t>i</w:t>
      </w:r>
      <w:r w:rsidR="0067291A" w:rsidRPr="007C488A">
        <w:t>d</w:t>
      </w:r>
      <w:r w:rsidR="00D339E4" w:rsidRPr="007C488A">
        <w:t xml:space="preserve"> not account for device replacement costs</w:t>
      </w:r>
      <w:r w:rsidR="00556B35" w:rsidRPr="007C488A">
        <w:t xml:space="preserve"> due to device </w:t>
      </w:r>
      <w:r w:rsidR="00556B35" w:rsidRPr="007C488A">
        <w:lastRenderedPageBreak/>
        <w:t>malfunction</w:t>
      </w:r>
      <w:r w:rsidR="009826A3" w:rsidRPr="007C488A">
        <w:t xml:space="preserve"> over</w:t>
      </w:r>
      <w:r w:rsidR="00556B35" w:rsidRPr="007C488A">
        <w:t xml:space="preserve"> the </w:t>
      </w:r>
      <w:r w:rsidR="009826A3" w:rsidRPr="007C488A">
        <w:t>40-year</w:t>
      </w:r>
      <w:r w:rsidR="00556B35" w:rsidRPr="007C488A">
        <w:t xml:space="preserve"> modelled time horizon</w:t>
      </w:r>
      <w:r w:rsidR="009826A3" w:rsidRPr="007C488A">
        <w:t xml:space="preserve">. </w:t>
      </w:r>
      <w:r w:rsidR="00D560E1" w:rsidRPr="007C488A">
        <w:t xml:space="preserve">It is unclear if this is appropriate given </w:t>
      </w:r>
      <w:r w:rsidR="00E75A5C" w:rsidRPr="007C488A">
        <w:t xml:space="preserve">that </w:t>
      </w:r>
      <w:r w:rsidR="00D560E1" w:rsidRPr="007C488A">
        <w:t>i</w:t>
      </w:r>
      <w:r w:rsidR="004A6394" w:rsidRPr="007C488A">
        <w:t>n the MOMENTUM</w:t>
      </w:r>
      <w:r w:rsidR="00DF0E8E" w:rsidRPr="007C488A">
        <w:t xml:space="preserve"> 3</w:t>
      </w:r>
      <w:r w:rsidR="004A6394" w:rsidRPr="007C488A">
        <w:t xml:space="preserve"> study, 12</w:t>
      </w:r>
      <w:r w:rsidR="00E0490B" w:rsidRPr="007C488A">
        <w:t xml:space="preserve"> </w:t>
      </w:r>
      <w:r w:rsidR="0076069D" w:rsidRPr="007C488A">
        <w:t>(</w:t>
      </w:r>
      <w:r w:rsidR="00682AA1" w:rsidRPr="007C488A">
        <w:t xml:space="preserve">2.3%) </w:t>
      </w:r>
      <w:r w:rsidR="00E0490B" w:rsidRPr="007C488A">
        <w:t>HM3 devices were replaced</w:t>
      </w:r>
      <w:r w:rsidR="00EA020C" w:rsidRPr="007C488A">
        <w:t xml:space="preserve"> within 2 years </w:t>
      </w:r>
      <w:r w:rsidR="00236CC6" w:rsidRPr="007C488A">
        <w:t>post-</w:t>
      </w:r>
      <w:r w:rsidR="000E5806" w:rsidRPr="007C488A">
        <w:t>implant</w:t>
      </w:r>
      <w:r w:rsidR="00BE5708" w:rsidRPr="007C488A">
        <w:t>,</w:t>
      </w:r>
      <w:r w:rsidR="00E0490B" w:rsidRPr="007C488A">
        <w:t xml:space="preserve"> </w:t>
      </w:r>
      <w:r w:rsidR="00605100" w:rsidRPr="007C488A">
        <w:t xml:space="preserve">6 due to driveline damage and other LVAD issues, </w:t>
      </w:r>
      <w:r w:rsidR="00E0490B" w:rsidRPr="007C488A">
        <w:t xml:space="preserve">3 </w:t>
      </w:r>
      <w:r w:rsidR="00EA020C" w:rsidRPr="007C488A">
        <w:t xml:space="preserve">due to suspected </w:t>
      </w:r>
      <w:r w:rsidR="00605100" w:rsidRPr="007C488A">
        <w:t xml:space="preserve">device thrombosis or elevated </w:t>
      </w:r>
      <w:r w:rsidR="001A3D01" w:rsidRPr="007C488A">
        <w:t>lactate dehydrogenase</w:t>
      </w:r>
      <w:r w:rsidR="00605100" w:rsidRPr="007C488A">
        <w:t xml:space="preserve">, 1 due to infection, 1 due to right heart failure and 1 due to mitral valve </w:t>
      </w:r>
      <w:proofErr w:type="spellStart"/>
      <w:r w:rsidR="00605100" w:rsidRPr="007C488A">
        <w:t>bioprosthesis</w:t>
      </w:r>
      <w:proofErr w:type="spellEnd"/>
      <w:r w:rsidR="00605100" w:rsidRPr="007C488A">
        <w:t xml:space="preserve"> malfunction.</w:t>
      </w:r>
    </w:p>
    <w:p w14:paraId="24C7E36B" w14:textId="47EC7DFA" w:rsidR="00EB2081" w:rsidRPr="007C488A" w:rsidRDefault="00EB2081" w:rsidP="00EB2081">
      <w:pPr>
        <w:jc w:val="both"/>
      </w:pPr>
      <w:r w:rsidRPr="007C488A">
        <w:t>The</w:t>
      </w:r>
      <w:r w:rsidR="006107A7" w:rsidRPr="007C488A">
        <w:t xml:space="preserve"> commentary considered the</w:t>
      </w:r>
      <w:r w:rsidRPr="007C488A">
        <w:t xml:space="preserve"> approach followed by the ADAR overestimates the cost associated with the OMM arm for the following reasons:</w:t>
      </w:r>
    </w:p>
    <w:p w14:paraId="1DF2D25F" w14:textId="0327E2CD" w:rsidR="00732DDE" w:rsidRPr="007C488A" w:rsidRDefault="00732DDE" w:rsidP="00DC74C9">
      <w:pPr>
        <w:pStyle w:val="ListParagraph"/>
        <w:numPr>
          <w:ilvl w:val="0"/>
          <w:numId w:val="28"/>
        </w:numPr>
        <w:jc w:val="both"/>
      </w:pPr>
      <w:r w:rsidRPr="007C488A">
        <w:t>The cost for the pre-implant stage is applied to both arms of the model. This is not appropriate as patients in the LVAD arm may require more preparation for LVAD and consume more health</w:t>
      </w:r>
    </w:p>
    <w:p w14:paraId="236C4136" w14:textId="0DB2B6CF" w:rsidR="00EB2081" w:rsidRPr="007C488A" w:rsidRDefault="00EB2081" w:rsidP="007D1A1F">
      <w:pPr>
        <w:pStyle w:val="ListParagraph"/>
        <w:jc w:val="both"/>
      </w:pPr>
      <w:r w:rsidRPr="007C488A">
        <w:t xml:space="preserve">care resources compared to the OMM patients. </w:t>
      </w:r>
      <w:bookmarkStart w:id="51" w:name="_Hlk152002832"/>
    </w:p>
    <w:p w14:paraId="0B0E7715" w14:textId="1C1BEC55" w:rsidR="00EB2081" w:rsidRPr="007C488A" w:rsidRDefault="00EB2081" w:rsidP="00DC74C9">
      <w:pPr>
        <w:pStyle w:val="ListParagraph"/>
        <w:numPr>
          <w:ilvl w:val="0"/>
          <w:numId w:val="29"/>
        </w:numPr>
        <w:jc w:val="both"/>
      </w:pPr>
      <w:r w:rsidRPr="007C488A">
        <w:t xml:space="preserve">The ADAR applied </w:t>
      </w:r>
      <w:r w:rsidR="00FF3706" w:rsidRPr="007C488A">
        <w:t>an</w:t>
      </w:r>
      <w:r w:rsidRPr="007C488A">
        <w:t xml:space="preserve"> upfront critical care cost to the OMM arm only. This cost should be applied equally to both arms</w:t>
      </w:r>
      <w:r w:rsidR="00FF3706" w:rsidRPr="007C488A">
        <w:t xml:space="preserve"> since all patients need to be stabilised before subsequent management</w:t>
      </w:r>
      <w:r w:rsidRPr="007C488A">
        <w:t>.</w:t>
      </w:r>
    </w:p>
    <w:p w14:paraId="31D7DB44" w14:textId="57AAF481" w:rsidR="0085286D" w:rsidRPr="007C488A" w:rsidRDefault="00EB2081" w:rsidP="00DC74C9">
      <w:pPr>
        <w:pStyle w:val="ListParagraph"/>
        <w:numPr>
          <w:ilvl w:val="0"/>
          <w:numId w:val="29"/>
        </w:numPr>
        <w:jc w:val="both"/>
        <w:rPr>
          <w:b/>
          <w:bCs/>
        </w:rPr>
      </w:pPr>
      <w:bookmarkStart w:id="52" w:name="_Hlk151990060"/>
      <w:bookmarkEnd w:id="51"/>
      <w:r w:rsidRPr="007C488A">
        <w:t xml:space="preserve">The ADAR included one-off cost applied when a patient transitions to death to account for additional costs of patient deterioration before death in </w:t>
      </w:r>
      <w:r w:rsidR="006107A7" w:rsidRPr="007C488A">
        <w:t xml:space="preserve">the </w:t>
      </w:r>
      <w:r w:rsidRPr="007C488A">
        <w:t xml:space="preserve">OMM arm only. However, patients in the LVAD arm also should include additional costs of patient deterioration before death as they also require additional management when </w:t>
      </w:r>
      <w:r w:rsidR="006107A7" w:rsidRPr="007C488A">
        <w:t xml:space="preserve">they </w:t>
      </w:r>
      <w:r w:rsidRPr="007C488A">
        <w:t xml:space="preserve">deteriorate before death. </w:t>
      </w:r>
      <w:bookmarkEnd w:id="52"/>
    </w:p>
    <w:p w14:paraId="6FE8B9D9" w14:textId="76463724" w:rsidR="00EB2081" w:rsidRPr="007C488A" w:rsidRDefault="00EB2081" w:rsidP="007D1A1F">
      <w:pPr>
        <w:pStyle w:val="Heading3"/>
      </w:pPr>
      <w:r w:rsidRPr="007C488A">
        <w:t xml:space="preserve">Results of the </w:t>
      </w:r>
      <w:r w:rsidR="00274AF5" w:rsidRPr="007C488A">
        <w:t>economic evaluation</w:t>
      </w:r>
    </w:p>
    <w:p w14:paraId="4E2EAC9F" w14:textId="77777777" w:rsidR="00EB2081" w:rsidRPr="007C488A" w:rsidRDefault="00EB2081" w:rsidP="007D1A1F">
      <w:pPr>
        <w:rPr>
          <w:b/>
          <w:bCs/>
        </w:rPr>
      </w:pPr>
      <w:bookmarkStart w:id="53" w:name="_Toc54940853"/>
      <w:bookmarkStart w:id="54" w:name="_Toc54940852"/>
      <w:r w:rsidRPr="007C488A">
        <w:rPr>
          <w:b/>
          <w:bCs/>
        </w:rPr>
        <w:t>Stepped presentation of results</w:t>
      </w:r>
      <w:bookmarkEnd w:id="53"/>
    </w:p>
    <w:p w14:paraId="6FA13417" w14:textId="634161BB" w:rsidR="00EB2081" w:rsidRPr="007C488A" w:rsidRDefault="00EB2081" w:rsidP="00EB2081">
      <w:pPr>
        <w:jc w:val="both"/>
      </w:pPr>
      <w:r w:rsidRPr="007C488A">
        <w:t xml:space="preserve">The ADAR presented </w:t>
      </w:r>
      <w:r w:rsidR="00FF3706" w:rsidRPr="007C488A">
        <w:t xml:space="preserve">a </w:t>
      </w:r>
      <w:r w:rsidRPr="007C488A">
        <w:t>trial</w:t>
      </w:r>
      <w:r w:rsidR="00FF3706" w:rsidRPr="007C488A">
        <w:t>-</w:t>
      </w:r>
      <w:r w:rsidRPr="007C488A">
        <w:t xml:space="preserve">based analysis for five years and then extrapolated to </w:t>
      </w:r>
      <w:r w:rsidR="00FF3706" w:rsidRPr="007C488A">
        <w:t>40-year</w:t>
      </w:r>
      <w:r w:rsidRPr="007C488A">
        <w:t xml:space="preserve"> time horizon to obtain the base case results. At 5</w:t>
      </w:r>
      <w:r w:rsidR="00FF3706" w:rsidRPr="007C488A">
        <w:t>-</w:t>
      </w:r>
      <w:r w:rsidRPr="007C488A">
        <w:t>year follow-up, based on the MOMENTUM 3 trial, the incremental cost per additional life year is $</w:t>
      </w:r>
      <w:r w:rsidR="00AB4627" w:rsidRPr="007C488A">
        <w:rPr>
          <w:b/>
          <w:bCs/>
        </w:rPr>
        <w:t>redacted</w:t>
      </w:r>
      <w:r w:rsidRPr="007C488A">
        <w:t xml:space="preserve"> (Step 1), and the incremental cost per </w:t>
      </w:r>
      <w:r w:rsidR="006F7B02" w:rsidRPr="007C488A">
        <w:t>life</w:t>
      </w:r>
      <w:r w:rsidRPr="007C488A">
        <w:t xml:space="preserve"> gained </w:t>
      </w:r>
      <w:r w:rsidR="00F044F0" w:rsidRPr="007C488A">
        <w:t xml:space="preserve">after extrapolation </w:t>
      </w:r>
      <w:r w:rsidRPr="007C488A">
        <w:t>is $</w:t>
      </w:r>
      <w:r w:rsidR="00AB4627" w:rsidRPr="007C488A">
        <w:rPr>
          <w:b/>
          <w:bCs/>
        </w:rPr>
        <w:t>redacted</w:t>
      </w:r>
      <w:r w:rsidRPr="007C488A">
        <w:t xml:space="preserve"> (Step 2). The incremental cost per QALY gained reduced to $</w:t>
      </w:r>
      <w:r w:rsidR="00AB4627" w:rsidRPr="007C488A">
        <w:rPr>
          <w:b/>
          <w:bCs/>
        </w:rPr>
        <w:t>redacted</w:t>
      </w:r>
      <w:r w:rsidRPr="007C488A">
        <w:t xml:space="preserve"> at 40 years (Step 3)</w:t>
      </w:r>
      <w:r w:rsidR="00F044F0" w:rsidRPr="007C488A">
        <w:t xml:space="preserve">. </w:t>
      </w:r>
      <w:r w:rsidR="00E426C3" w:rsidRPr="007C488A">
        <w:t>Therefore, the base case incremental cost per QALY of LVAD v</w:t>
      </w:r>
      <w:r w:rsidR="00E40BB5" w:rsidRPr="007C488A">
        <w:t>ersus</w:t>
      </w:r>
      <w:r w:rsidR="00E426C3" w:rsidRPr="007C488A">
        <w:t xml:space="preserve"> OMM </w:t>
      </w:r>
      <w:r w:rsidR="00E40BB5" w:rsidRPr="007C488A">
        <w:t xml:space="preserve">was </w:t>
      </w:r>
      <w:r w:rsidR="00E426C3" w:rsidRPr="007C488A">
        <w:t>$</w:t>
      </w:r>
      <w:r w:rsidR="00AB4627" w:rsidRPr="007C488A">
        <w:rPr>
          <w:b/>
          <w:bCs/>
        </w:rPr>
        <w:t>redacted</w:t>
      </w:r>
      <w:r w:rsidR="00E426C3" w:rsidRPr="007C488A">
        <w:t xml:space="preserve">. </w:t>
      </w:r>
      <w:r w:rsidRPr="007C488A">
        <w:t xml:space="preserve">The results of the stepped </w:t>
      </w:r>
      <w:r w:rsidR="00F044F0" w:rsidRPr="007C488A">
        <w:t>trial-based</w:t>
      </w:r>
      <w:r w:rsidRPr="007C488A">
        <w:t xml:space="preserve"> analysis for the LVAD v</w:t>
      </w:r>
      <w:r w:rsidR="00995EB7" w:rsidRPr="007C488A">
        <w:t>ersus</w:t>
      </w:r>
      <w:r w:rsidRPr="007C488A">
        <w:t xml:space="preserve"> OMM comparison is presented in </w:t>
      </w:r>
      <w:r w:rsidR="00E17863" w:rsidRPr="007C488A">
        <w:fldChar w:fldCharType="begin"/>
      </w:r>
      <w:r w:rsidR="00E17863" w:rsidRPr="007C488A">
        <w:instrText xml:space="preserve"> REF _Ref155619172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9</w:t>
      </w:r>
      <w:r w:rsidR="00E17863" w:rsidRPr="007C488A">
        <w:fldChar w:fldCharType="end"/>
      </w:r>
      <w:r w:rsidRPr="007C488A">
        <w:t xml:space="preserve">. </w:t>
      </w:r>
    </w:p>
    <w:p w14:paraId="517CD1A1" w14:textId="4E0C8FEF" w:rsidR="00EB2081" w:rsidRPr="007C488A" w:rsidRDefault="00EB2081" w:rsidP="006C4D49">
      <w:pPr>
        <w:pStyle w:val="Caption"/>
        <w:rPr>
          <w:rStyle w:val="TableFigureHeadingChar"/>
          <w:b/>
        </w:rPr>
      </w:pPr>
      <w:bookmarkStart w:id="55" w:name="_Ref155619172"/>
      <w:r w:rsidRPr="007C488A">
        <w:t xml:space="preserve">Table </w:t>
      </w:r>
      <w:r w:rsidRPr="007C488A">
        <w:fldChar w:fldCharType="begin"/>
      </w:r>
      <w:r w:rsidRPr="007C488A">
        <w:instrText>SEQ Table \* ARABIC</w:instrText>
      </w:r>
      <w:r w:rsidRPr="007C488A">
        <w:fldChar w:fldCharType="separate"/>
      </w:r>
      <w:r w:rsidR="00406484" w:rsidRPr="007C488A">
        <w:rPr>
          <w:noProof/>
        </w:rPr>
        <w:t>9</w:t>
      </w:r>
      <w:r w:rsidRPr="007C488A">
        <w:fldChar w:fldCharType="end"/>
      </w:r>
      <w:bookmarkEnd w:id="55"/>
      <w:r w:rsidR="00886AD7" w:rsidRPr="007C488A">
        <w:rPr>
          <w:noProof/>
        </w:rPr>
        <w:t>:</w:t>
      </w:r>
      <w:r w:rsidRPr="007C488A">
        <w:t xml:space="preserve"> Results of the stepped economic analysis</w:t>
      </w:r>
    </w:p>
    <w:tbl>
      <w:tblPr>
        <w:tblStyle w:val="TableGrid1"/>
        <w:tblW w:w="5000" w:type="pct"/>
        <w:tblLook w:val="04A0" w:firstRow="1" w:lastRow="0" w:firstColumn="1" w:lastColumn="0" w:noHBand="0" w:noVBand="1"/>
        <w:tblCaption w:val="Results of the stepped economic analyses"/>
      </w:tblPr>
      <w:tblGrid>
        <w:gridCol w:w="3369"/>
        <w:gridCol w:w="1253"/>
        <w:gridCol w:w="1711"/>
        <w:gridCol w:w="1253"/>
        <w:gridCol w:w="1430"/>
      </w:tblGrid>
      <w:tr w:rsidR="00EB2081" w:rsidRPr="007C488A" w14:paraId="03010A49" w14:textId="77777777" w:rsidTr="007D1A1F">
        <w:trPr>
          <w:cnfStyle w:val="100000000000" w:firstRow="1" w:lastRow="0" w:firstColumn="0" w:lastColumn="0" w:oddVBand="0" w:evenVBand="0" w:oddHBand="0" w:evenHBand="0" w:firstRowFirstColumn="0" w:firstRowLastColumn="0" w:lastRowFirstColumn="0" w:lastRowLastColumn="0"/>
          <w:cantSplit/>
          <w:trHeight w:val="300"/>
          <w:tblHeader/>
        </w:trPr>
        <w:tc>
          <w:tcPr>
            <w:tcW w:w="1868" w:type="pct"/>
            <w:tcBorders>
              <w:top w:val="single" w:sz="4" w:space="0" w:color="auto"/>
              <w:left w:val="single" w:sz="4" w:space="0" w:color="auto"/>
              <w:bottom w:val="single" w:sz="4" w:space="0" w:color="auto"/>
              <w:right w:val="single" w:sz="4" w:space="0" w:color="auto"/>
            </w:tcBorders>
            <w:noWrap/>
            <w:hideMark/>
          </w:tcPr>
          <w:p w14:paraId="3C82F7BD" w14:textId="77777777" w:rsidR="00EB2081" w:rsidRPr="007C488A" w:rsidRDefault="00EB2081" w:rsidP="00EB2081">
            <w:pPr>
              <w:keepNext/>
              <w:spacing w:after="60"/>
              <w:rPr>
                <w:rFonts w:ascii="Arial Narrow" w:hAnsi="Arial Narrow"/>
                <w:b/>
              </w:rPr>
            </w:pPr>
            <w:r w:rsidRPr="007C488A">
              <w:rPr>
                <w:rFonts w:ascii="Arial Narrow" w:hAnsi="Arial Narrow"/>
                <w:b/>
              </w:rPr>
              <w:t>Step</w:t>
            </w:r>
          </w:p>
        </w:tc>
        <w:tc>
          <w:tcPr>
            <w:tcW w:w="695" w:type="pct"/>
            <w:tcBorders>
              <w:top w:val="single" w:sz="4" w:space="0" w:color="auto"/>
              <w:left w:val="single" w:sz="4" w:space="0" w:color="auto"/>
              <w:bottom w:val="single" w:sz="4" w:space="0" w:color="auto"/>
              <w:right w:val="single" w:sz="4" w:space="0" w:color="auto"/>
            </w:tcBorders>
            <w:noWrap/>
            <w:hideMark/>
          </w:tcPr>
          <w:p w14:paraId="0766D6DE" w14:textId="1381A314" w:rsidR="00EB2081" w:rsidRPr="007C488A" w:rsidRDefault="00EB2081" w:rsidP="00EB2081">
            <w:pPr>
              <w:keepNext/>
              <w:spacing w:after="60"/>
              <w:jc w:val="center"/>
              <w:rPr>
                <w:rFonts w:ascii="Arial Narrow" w:hAnsi="Arial Narrow"/>
                <w:b/>
              </w:rPr>
            </w:pPr>
            <w:r w:rsidRPr="007C488A">
              <w:rPr>
                <w:rFonts w:ascii="Arial Narrow" w:hAnsi="Arial Narrow"/>
                <w:b/>
              </w:rPr>
              <w:t>LVAD</w:t>
            </w:r>
          </w:p>
        </w:tc>
        <w:tc>
          <w:tcPr>
            <w:tcW w:w="949" w:type="pct"/>
            <w:tcBorders>
              <w:top w:val="single" w:sz="4" w:space="0" w:color="auto"/>
              <w:left w:val="single" w:sz="4" w:space="0" w:color="auto"/>
              <w:bottom w:val="single" w:sz="4" w:space="0" w:color="auto"/>
              <w:right w:val="single" w:sz="4" w:space="0" w:color="auto"/>
            </w:tcBorders>
            <w:noWrap/>
            <w:hideMark/>
          </w:tcPr>
          <w:p w14:paraId="0F4DC7E3" w14:textId="77777777" w:rsidR="00EB2081" w:rsidRPr="007C488A" w:rsidRDefault="00EB2081" w:rsidP="00EB2081">
            <w:pPr>
              <w:keepNext/>
              <w:spacing w:after="60"/>
              <w:jc w:val="center"/>
              <w:rPr>
                <w:rFonts w:ascii="Arial Narrow" w:hAnsi="Arial Narrow"/>
                <w:b/>
              </w:rPr>
            </w:pPr>
            <w:r w:rsidRPr="007C488A">
              <w:rPr>
                <w:rFonts w:ascii="Arial Narrow" w:hAnsi="Arial Narrow"/>
                <w:b/>
              </w:rPr>
              <w:t>OMM</w:t>
            </w:r>
          </w:p>
        </w:tc>
        <w:tc>
          <w:tcPr>
            <w:tcW w:w="695" w:type="pct"/>
            <w:tcBorders>
              <w:top w:val="single" w:sz="4" w:space="0" w:color="auto"/>
              <w:left w:val="single" w:sz="4" w:space="0" w:color="auto"/>
              <w:bottom w:val="single" w:sz="4" w:space="0" w:color="auto"/>
              <w:right w:val="single" w:sz="4" w:space="0" w:color="auto"/>
            </w:tcBorders>
            <w:noWrap/>
            <w:hideMark/>
          </w:tcPr>
          <w:p w14:paraId="35F9FCA6" w14:textId="77777777" w:rsidR="00EB2081" w:rsidRPr="007C488A" w:rsidRDefault="00EB2081" w:rsidP="00EB2081">
            <w:pPr>
              <w:keepNext/>
              <w:spacing w:after="60"/>
              <w:jc w:val="center"/>
              <w:rPr>
                <w:rFonts w:ascii="Arial Narrow" w:hAnsi="Arial Narrow"/>
                <w:b/>
              </w:rPr>
            </w:pPr>
            <w:r w:rsidRPr="007C488A">
              <w:rPr>
                <w:rFonts w:ascii="Arial Narrow" w:hAnsi="Arial Narrow"/>
                <w:b/>
              </w:rPr>
              <w:t>Increment</w:t>
            </w:r>
          </w:p>
        </w:tc>
        <w:tc>
          <w:tcPr>
            <w:tcW w:w="793" w:type="pct"/>
            <w:tcBorders>
              <w:top w:val="single" w:sz="4" w:space="0" w:color="auto"/>
              <w:left w:val="single" w:sz="4" w:space="0" w:color="auto"/>
              <w:bottom w:val="single" w:sz="4" w:space="0" w:color="auto"/>
              <w:right w:val="single" w:sz="4" w:space="0" w:color="auto"/>
            </w:tcBorders>
            <w:hideMark/>
          </w:tcPr>
          <w:p w14:paraId="525E3416" w14:textId="77777777" w:rsidR="00EB2081" w:rsidRPr="007C488A" w:rsidRDefault="00EB2081" w:rsidP="00EB2081">
            <w:pPr>
              <w:keepNext/>
              <w:spacing w:after="60"/>
              <w:jc w:val="center"/>
              <w:rPr>
                <w:rFonts w:ascii="Arial Narrow" w:hAnsi="Arial Narrow"/>
                <w:b/>
              </w:rPr>
            </w:pPr>
            <w:r w:rsidRPr="007C488A">
              <w:rPr>
                <w:rFonts w:ascii="Arial Narrow" w:hAnsi="Arial Narrow"/>
                <w:b/>
              </w:rPr>
              <w:t>ICER</w:t>
            </w:r>
          </w:p>
        </w:tc>
      </w:tr>
      <w:tr w:rsidR="00EB2081" w:rsidRPr="007C488A" w14:paraId="0A790176" w14:textId="77777777" w:rsidTr="007D1A1F">
        <w:trPr>
          <w:cantSplit/>
          <w:trHeight w:val="300"/>
        </w:trPr>
        <w:tc>
          <w:tcPr>
            <w:tcW w:w="5000" w:type="pct"/>
            <w:gridSpan w:val="5"/>
            <w:tcBorders>
              <w:top w:val="single" w:sz="4" w:space="0" w:color="auto"/>
              <w:left w:val="single" w:sz="4" w:space="0" w:color="auto"/>
              <w:bottom w:val="single" w:sz="4" w:space="0" w:color="auto"/>
              <w:right w:val="single" w:sz="4" w:space="0" w:color="auto"/>
            </w:tcBorders>
            <w:noWrap/>
            <w:hideMark/>
          </w:tcPr>
          <w:p w14:paraId="59F44146" w14:textId="77777777" w:rsidR="00EB2081" w:rsidRPr="007C488A" w:rsidRDefault="00EB2081" w:rsidP="00EB2081">
            <w:pPr>
              <w:spacing w:before="40"/>
              <w:rPr>
                <w:rFonts w:ascii="Arial Narrow" w:hAnsi="Arial Narrow" w:cs="Tahoma"/>
              </w:rPr>
            </w:pPr>
            <w:r w:rsidRPr="007C488A">
              <w:rPr>
                <w:rFonts w:ascii="Arial Narrow" w:hAnsi="Arial Narrow" w:cs="Tahoma"/>
              </w:rPr>
              <w:t>Step 1 –Trial-based costs and outcomes (Time horizon: 5 years)</w:t>
            </w:r>
          </w:p>
        </w:tc>
      </w:tr>
      <w:tr w:rsidR="00EB2081" w:rsidRPr="007C488A" w14:paraId="4CDA4A85" w14:textId="77777777" w:rsidTr="007D1A1F">
        <w:trPr>
          <w:cantSplit/>
          <w:trHeight w:val="300"/>
        </w:trPr>
        <w:tc>
          <w:tcPr>
            <w:tcW w:w="1868" w:type="pct"/>
            <w:tcBorders>
              <w:top w:val="single" w:sz="4" w:space="0" w:color="auto"/>
              <w:left w:val="single" w:sz="4" w:space="0" w:color="auto"/>
              <w:bottom w:val="nil"/>
              <w:right w:val="single" w:sz="4" w:space="0" w:color="auto"/>
            </w:tcBorders>
            <w:noWrap/>
            <w:hideMark/>
          </w:tcPr>
          <w:p w14:paraId="5F39CCFA" w14:textId="77777777" w:rsidR="00EB2081" w:rsidRPr="007C488A" w:rsidRDefault="00EB2081" w:rsidP="00EB2081">
            <w:pPr>
              <w:spacing w:before="40"/>
              <w:jc w:val="both"/>
              <w:rPr>
                <w:rFonts w:ascii="Arial Narrow" w:hAnsi="Arial Narrow" w:cs="Tahoma"/>
              </w:rPr>
            </w:pPr>
            <w:r w:rsidRPr="007C488A">
              <w:rPr>
                <w:rFonts w:ascii="Arial Narrow" w:hAnsi="Arial Narrow" w:cs="Tahoma"/>
              </w:rPr>
              <w:t>Costs</w:t>
            </w:r>
          </w:p>
        </w:tc>
        <w:tc>
          <w:tcPr>
            <w:tcW w:w="695" w:type="pct"/>
            <w:tcBorders>
              <w:top w:val="single" w:sz="4" w:space="0" w:color="auto"/>
              <w:left w:val="single" w:sz="4" w:space="0" w:color="auto"/>
              <w:bottom w:val="nil"/>
              <w:right w:val="single" w:sz="4" w:space="0" w:color="auto"/>
            </w:tcBorders>
            <w:noWrap/>
            <w:hideMark/>
          </w:tcPr>
          <w:p w14:paraId="47798D1A" w14:textId="08F50D39"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c>
          <w:tcPr>
            <w:tcW w:w="949" w:type="pct"/>
            <w:tcBorders>
              <w:top w:val="single" w:sz="4" w:space="0" w:color="auto"/>
              <w:left w:val="single" w:sz="4" w:space="0" w:color="auto"/>
              <w:bottom w:val="nil"/>
              <w:right w:val="single" w:sz="4" w:space="0" w:color="auto"/>
            </w:tcBorders>
            <w:noWrap/>
            <w:hideMark/>
          </w:tcPr>
          <w:p w14:paraId="1D270912"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$85,833</w:t>
            </w:r>
          </w:p>
        </w:tc>
        <w:tc>
          <w:tcPr>
            <w:tcW w:w="695" w:type="pct"/>
            <w:tcBorders>
              <w:top w:val="single" w:sz="4" w:space="0" w:color="auto"/>
              <w:left w:val="single" w:sz="4" w:space="0" w:color="auto"/>
              <w:bottom w:val="nil"/>
              <w:right w:val="single" w:sz="4" w:space="0" w:color="auto"/>
            </w:tcBorders>
            <w:noWrap/>
            <w:hideMark/>
          </w:tcPr>
          <w:p w14:paraId="7D93BD38" w14:textId="28186029"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c>
          <w:tcPr>
            <w:tcW w:w="793" w:type="pct"/>
            <w:tcBorders>
              <w:top w:val="single" w:sz="4" w:space="0" w:color="auto"/>
              <w:left w:val="single" w:sz="4" w:space="0" w:color="auto"/>
              <w:bottom w:val="nil"/>
              <w:right w:val="single" w:sz="4" w:space="0" w:color="auto"/>
            </w:tcBorders>
          </w:tcPr>
          <w:p w14:paraId="27CF0AB3" w14:textId="77777777" w:rsidR="00EB2081" w:rsidRPr="007C488A" w:rsidRDefault="00EB2081" w:rsidP="00EB2081">
            <w:pPr>
              <w:spacing w:before="40"/>
              <w:jc w:val="right"/>
              <w:rPr>
                <w:rFonts w:ascii="Arial Narrow" w:hAnsi="Arial Narrow" w:cs="Tahoma"/>
              </w:rPr>
            </w:pPr>
          </w:p>
        </w:tc>
      </w:tr>
      <w:tr w:rsidR="00EB2081" w:rsidRPr="007C488A" w14:paraId="0F27E32C" w14:textId="77777777" w:rsidTr="007D1A1F">
        <w:trPr>
          <w:cantSplit/>
          <w:trHeight w:val="300"/>
        </w:trPr>
        <w:tc>
          <w:tcPr>
            <w:tcW w:w="1868" w:type="pct"/>
            <w:tcBorders>
              <w:top w:val="nil"/>
              <w:left w:val="single" w:sz="4" w:space="0" w:color="auto"/>
              <w:bottom w:val="single" w:sz="4" w:space="0" w:color="auto"/>
              <w:right w:val="single" w:sz="4" w:space="0" w:color="auto"/>
            </w:tcBorders>
            <w:noWrap/>
            <w:hideMark/>
          </w:tcPr>
          <w:p w14:paraId="6D69B3D2" w14:textId="77777777" w:rsidR="00EB2081" w:rsidRPr="007C488A" w:rsidRDefault="00EB2081" w:rsidP="00EB2081">
            <w:pPr>
              <w:spacing w:before="40"/>
              <w:jc w:val="both"/>
              <w:rPr>
                <w:rFonts w:ascii="Arial Narrow" w:hAnsi="Arial Narrow" w:cs="Tahoma"/>
              </w:rPr>
            </w:pPr>
            <w:r w:rsidRPr="007C488A">
              <w:rPr>
                <w:rFonts w:ascii="Arial Narrow" w:hAnsi="Arial Narrow" w:cs="Tahoma"/>
              </w:rPr>
              <w:t xml:space="preserve">Life years </w:t>
            </w:r>
          </w:p>
        </w:tc>
        <w:tc>
          <w:tcPr>
            <w:tcW w:w="695" w:type="pct"/>
            <w:tcBorders>
              <w:top w:val="nil"/>
              <w:left w:val="single" w:sz="4" w:space="0" w:color="auto"/>
              <w:bottom w:val="single" w:sz="4" w:space="0" w:color="auto"/>
              <w:right w:val="single" w:sz="4" w:space="0" w:color="auto"/>
            </w:tcBorders>
            <w:noWrap/>
            <w:hideMark/>
          </w:tcPr>
          <w:p w14:paraId="0B246186"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3.127</w:t>
            </w:r>
          </w:p>
        </w:tc>
        <w:tc>
          <w:tcPr>
            <w:tcW w:w="949" w:type="pct"/>
            <w:tcBorders>
              <w:top w:val="nil"/>
              <w:left w:val="single" w:sz="4" w:space="0" w:color="auto"/>
              <w:bottom w:val="single" w:sz="4" w:space="0" w:color="auto"/>
              <w:right w:val="single" w:sz="4" w:space="0" w:color="auto"/>
            </w:tcBorders>
            <w:noWrap/>
            <w:hideMark/>
          </w:tcPr>
          <w:p w14:paraId="0DBE0A41"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0.586</w:t>
            </w:r>
          </w:p>
        </w:tc>
        <w:tc>
          <w:tcPr>
            <w:tcW w:w="695" w:type="pct"/>
            <w:tcBorders>
              <w:top w:val="nil"/>
              <w:left w:val="single" w:sz="4" w:space="0" w:color="auto"/>
              <w:bottom w:val="single" w:sz="4" w:space="0" w:color="auto"/>
              <w:right w:val="single" w:sz="4" w:space="0" w:color="auto"/>
            </w:tcBorders>
            <w:noWrap/>
            <w:hideMark/>
          </w:tcPr>
          <w:p w14:paraId="4E9C1869"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2.542</w:t>
            </w:r>
          </w:p>
        </w:tc>
        <w:tc>
          <w:tcPr>
            <w:tcW w:w="793" w:type="pct"/>
            <w:tcBorders>
              <w:top w:val="nil"/>
              <w:left w:val="single" w:sz="4" w:space="0" w:color="auto"/>
              <w:bottom w:val="single" w:sz="4" w:space="0" w:color="auto"/>
              <w:right w:val="single" w:sz="4" w:space="0" w:color="auto"/>
            </w:tcBorders>
            <w:hideMark/>
          </w:tcPr>
          <w:p w14:paraId="556141D8" w14:textId="4970DBD0"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r>
      <w:tr w:rsidR="00EB2081" w:rsidRPr="007C488A" w14:paraId="0669E0AD" w14:textId="77777777" w:rsidTr="007D1A1F">
        <w:trPr>
          <w:cantSplit/>
          <w:trHeight w:val="300"/>
        </w:trPr>
        <w:tc>
          <w:tcPr>
            <w:tcW w:w="5000" w:type="pct"/>
            <w:gridSpan w:val="5"/>
            <w:tcBorders>
              <w:top w:val="single" w:sz="4" w:space="0" w:color="auto"/>
              <w:left w:val="single" w:sz="4" w:space="0" w:color="auto"/>
              <w:bottom w:val="single" w:sz="4" w:space="0" w:color="auto"/>
              <w:right w:val="single" w:sz="4" w:space="0" w:color="auto"/>
            </w:tcBorders>
            <w:noWrap/>
            <w:hideMark/>
          </w:tcPr>
          <w:p w14:paraId="0842D173" w14:textId="77777777" w:rsidR="00EB2081" w:rsidRPr="007C488A" w:rsidRDefault="00EB2081" w:rsidP="00EB2081">
            <w:pPr>
              <w:spacing w:before="40"/>
              <w:rPr>
                <w:rFonts w:ascii="Arial Narrow" w:hAnsi="Arial Narrow" w:cs="Tahoma"/>
              </w:rPr>
            </w:pPr>
            <w:r w:rsidRPr="007C488A">
              <w:rPr>
                <w:rFonts w:ascii="Arial Narrow" w:hAnsi="Arial Narrow" w:cs="Tahoma"/>
              </w:rPr>
              <w:t>Step 2 – Time horizon extrapolated to 40 years</w:t>
            </w:r>
          </w:p>
        </w:tc>
      </w:tr>
      <w:tr w:rsidR="00EB2081" w:rsidRPr="007C488A" w14:paraId="66ABBAB5" w14:textId="77777777" w:rsidTr="007D1A1F">
        <w:trPr>
          <w:cantSplit/>
          <w:trHeight w:val="300"/>
        </w:trPr>
        <w:tc>
          <w:tcPr>
            <w:tcW w:w="1868" w:type="pct"/>
            <w:tcBorders>
              <w:top w:val="single" w:sz="4" w:space="0" w:color="auto"/>
              <w:left w:val="single" w:sz="4" w:space="0" w:color="auto"/>
              <w:bottom w:val="nil"/>
              <w:right w:val="single" w:sz="4" w:space="0" w:color="auto"/>
            </w:tcBorders>
            <w:noWrap/>
            <w:hideMark/>
          </w:tcPr>
          <w:p w14:paraId="26DD13A8" w14:textId="77777777" w:rsidR="00EB2081" w:rsidRPr="007C488A" w:rsidRDefault="00EB2081" w:rsidP="00EB2081">
            <w:pPr>
              <w:spacing w:before="40"/>
              <w:jc w:val="both"/>
              <w:rPr>
                <w:rFonts w:ascii="Arial Narrow" w:hAnsi="Arial Narrow" w:cs="Tahoma"/>
              </w:rPr>
            </w:pPr>
            <w:r w:rsidRPr="007C488A">
              <w:rPr>
                <w:rFonts w:ascii="Arial Narrow" w:hAnsi="Arial Narrow" w:cs="Tahoma"/>
              </w:rPr>
              <w:t>Costs</w:t>
            </w:r>
          </w:p>
        </w:tc>
        <w:tc>
          <w:tcPr>
            <w:tcW w:w="695" w:type="pct"/>
            <w:tcBorders>
              <w:top w:val="single" w:sz="4" w:space="0" w:color="auto"/>
              <w:left w:val="single" w:sz="4" w:space="0" w:color="auto"/>
              <w:bottom w:val="nil"/>
              <w:right w:val="single" w:sz="4" w:space="0" w:color="auto"/>
            </w:tcBorders>
            <w:noWrap/>
            <w:hideMark/>
          </w:tcPr>
          <w:p w14:paraId="0A47E076" w14:textId="15C2DD92"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c>
          <w:tcPr>
            <w:tcW w:w="949" w:type="pct"/>
            <w:tcBorders>
              <w:top w:val="single" w:sz="4" w:space="0" w:color="auto"/>
              <w:left w:val="single" w:sz="4" w:space="0" w:color="auto"/>
              <w:bottom w:val="nil"/>
              <w:right w:val="single" w:sz="4" w:space="0" w:color="auto"/>
            </w:tcBorders>
            <w:noWrap/>
            <w:hideMark/>
          </w:tcPr>
          <w:p w14:paraId="027ACCD6"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$85,833</w:t>
            </w:r>
          </w:p>
        </w:tc>
        <w:tc>
          <w:tcPr>
            <w:tcW w:w="695" w:type="pct"/>
            <w:tcBorders>
              <w:top w:val="single" w:sz="4" w:space="0" w:color="auto"/>
              <w:left w:val="single" w:sz="4" w:space="0" w:color="auto"/>
              <w:bottom w:val="nil"/>
              <w:right w:val="single" w:sz="4" w:space="0" w:color="auto"/>
            </w:tcBorders>
            <w:noWrap/>
            <w:hideMark/>
          </w:tcPr>
          <w:p w14:paraId="3C10E989" w14:textId="5F126467"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c>
          <w:tcPr>
            <w:tcW w:w="793" w:type="pct"/>
            <w:tcBorders>
              <w:top w:val="single" w:sz="4" w:space="0" w:color="auto"/>
              <w:left w:val="single" w:sz="4" w:space="0" w:color="auto"/>
              <w:bottom w:val="nil"/>
              <w:right w:val="single" w:sz="4" w:space="0" w:color="auto"/>
            </w:tcBorders>
          </w:tcPr>
          <w:p w14:paraId="6FDC04A9" w14:textId="77777777" w:rsidR="00EB2081" w:rsidRPr="007C488A" w:rsidRDefault="00EB2081" w:rsidP="00EB2081">
            <w:pPr>
              <w:spacing w:before="40"/>
              <w:jc w:val="right"/>
              <w:rPr>
                <w:rFonts w:ascii="Arial Narrow" w:hAnsi="Arial Narrow" w:cs="Tahoma"/>
              </w:rPr>
            </w:pPr>
          </w:p>
        </w:tc>
      </w:tr>
      <w:tr w:rsidR="00EB2081" w:rsidRPr="007C488A" w14:paraId="79B7FE86" w14:textId="77777777" w:rsidTr="007D1A1F">
        <w:trPr>
          <w:cantSplit/>
          <w:trHeight w:val="300"/>
        </w:trPr>
        <w:tc>
          <w:tcPr>
            <w:tcW w:w="1868" w:type="pct"/>
            <w:tcBorders>
              <w:top w:val="nil"/>
              <w:left w:val="single" w:sz="4" w:space="0" w:color="auto"/>
              <w:bottom w:val="single" w:sz="4" w:space="0" w:color="auto"/>
              <w:right w:val="single" w:sz="4" w:space="0" w:color="auto"/>
            </w:tcBorders>
            <w:noWrap/>
            <w:hideMark/>
          </w:tcPr>
          <w:p w14:paraId="6526A092" w14:textId="77777777" w:rsidR="00EB2081" w:rsidRPr="007C488A" w:rsidRDefault="00EB2081" w:rsidP="00EB2081">
            <w:pPr>
              <w:spacing w:before="40"/>
              <w:jc w:val="both"/>
              <w:rPr>
                <w:rFonts w:ascii="Arial Narrow" w:hAnsi="Arial Narrow" w:cs="Tahoma"/>
              </w:rPr>
            </w:pPr>
            <w:r w:rsidRPr="007C488A">
              <w:rPr>
                <w:rFonts w:ascii="Arial Narrow" w:hAnsi="Arial Narrow" w:cs="Tahoma"/>
              </w:rPr>
              <w:t xml:space="preserve">Life years </w:t>
            </w:r>
          </w:p>
        </w:tc>
        <w:tc>
          <w:tcPr>
            <w:tcW w:w="695" w:type="pct"/>
            <w:tcBorders>
              <w:top w:val="nil"/>
              <w:left w:val="single" w:sz="4" w:space="0" w:color="auto"/>
              <w:bottom w:val="single" w:sz="4" w:space="0" w:color="auto"/>
              <w:right w:val="single" w:sz="4" w:space="0" w:color="auto"/>
            </w:tcBorders>
            <w:noWrap/>
            <w:hideMark/>
          </w:tcPr>
          <w:p w14:paraId="15EAF3AF"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6.258</w:t>
            </w:r>
          </w:p>
        </w:tc>
        <w:tc>
          <w:tcPr>
            <w:tcW w:w="949" w:type="pct"/>
            <w:tcBorders>
              <w:top w:val="nil"/>
              <w:left w:val="single" w:sz="4" w:space="0" w:color="auto"/>
              <w:bottom w:val="single" w:sz="4" w:space="0" w:color="auto"/>
              <w:right w:val="single" w:sz="4" w:space="0" w:color="auto"/>
            </w:tcBorders>
            <w:noWrap/>
            <w:hideMark/>
          </w:tcPr>
          <w:p w14:paraId="7193309A"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0.586</w:t>
            </w:r>
          </w:p>
        </w:tc>
        <w:tc>
          <w:tcPr>
            <w:tcW w:w="695" w:type="pct"/>
            <w:tcBorders>
              <w:top w:val="nil"/>
              <w:left w:val="single" w:sz="4" w:space="0" w:color="auto"/>
              <w:bottom w:val="single" w:sz="4" w:space="0" w:color="auto"/>
              <w:right w:val="single" w:sz="4" w:space="0" w:color="auto"/>
            </w:tcBorders>
            <w:noWrap/>
            <w:hideMark/>
          </w:tcPr>
          <w:p w14:paraId="36BC6E58"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5.672</w:t>
            </w:r>
          </w:p>
        </w:tc>
        <w:tc>
          <w:tcPr>
            <w:tcW w:w="793" w:type="pct"/>
            <w:tcBorders>
              <w:top w:val="nil"/>
              <w:left w:val="single" w:sz="4" w:space="0" w:color="auto"/>
              <w:bottom w:val="single" w:sz="4" w:space="0" w:color="auto"/>
              <w:right w:val="single" w:sz="4" w:space="0" w:color="auto"/>
            </w:tcBorders>
            <w:hideMark/>
          </w:tcPr>
          <w:p w14:paraId="75E1FD1B" w14:textId="18F3E6BD"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r>
      <w:tr w:rsidR="00EB2081" w:rsidRPr="007C488A" w14:paraId="48586B29" w14:textId="77777777" w:rsidTr="007D1A1F">
        <w:trPr>
          <w:cantSplit/>
          <w:trHeight w:val="300"/>
        </w:trPr>
        <w:tc>
          <w:tcPr>
            <w:tcW w:w="5000" w:type="pct"/>
            <w:gridSpan w:val="5"/>
            <w:tcBorders>
              <w:top w:val="single" w:sz="4" w:space="0" w:color="auto"/>
              <w:left w:val="single" w:sz="4" w:space="0" w:color="auto"/>
              <w:bottom w:val="single" w:sz="4" w:space="0" w:color="auto"/>
              <w:right w:val="single" w:sz="4" w:space="0" w:color="auto"/>
            </w:tcBorders>
            <w:noWrap/>
            <w:hideMark/>
          </w:tcPr>
          <w:p w14:paraId="22AC557D" w14:textId="77777777" w:rsidR="00EB2081" w:rsidRPr="007C488A" w:rsidRDefault="00EB2081" w:rsidP="00EB2081">
            <w:pPr>
              <w:spacing w:before="40"/>
              <w:rPr>
                <w:rFonts w:ascii="Arial Narrow" w:hAnsi="Arial Narrow" w:cs="Tahoma"/>
              </w:rPr>
            </w:pPr>
            <w:r w:rsidRPr="007C488A">
              <w:rPr>
                <w:rFonts w:ascii="Arial Narrow" w:hAnsi="Arial Narrow" w:cs="Tahoma"/>
              </w:rPr>
              <w:t>Step 3 – Outcomes transformed into QALYs</w:t>
            </w:r>
          </w:p>
        </w:tc>
      </w:tr>
      <w:tr w:rsidR="00EB2081" w:rsidRPr="007C488A" w14:paraId="224239D0" w14:textId="77777777" w:rsidTr="007D1A1F">
        <w:trPr>
          <w:cantSplit/>
          <w:trHeight w:val="300"/>
        </w:trPr>
        <w:tc>
          <w:tcPr>
            <w:tcW w:w="1868" w:type="pct"/>
            <w:tcBorders>
              <w:top w:val="single" w:sz="4" w:space="0" w:color="auto"/>
              <w:left w:val="single" w:sz="4" w:space="0" w:color="auto"/>
              <w:bottom w:val="nil"/>
              <w:right w:val="single" w:sz="4" w:space="0" w:color="auto"/>
            </w:tcBorders>
            <w:noWrap/>
            <w:hideMark/>
          </w:tcPr>
          <w:p w14:paraId="0313DA11" w14:textId="77777777" w:rsidR="00EB2081" w:rsidRPr="007C488A" w:rsidRDefault="00EB2081" w:rsidP="00EB2081">
            <w:pPr>
              <w:spacing w:before="40"/>
              <w:jc w:val="both"/>
              <w:rPr>
                <w:rFonts w:ascii="Arial Narrow" w:hAnsi="Arial Narrow" w:cs="Tahoma"/>
              </w:rPr>
            </w:pPr>
            <w:r w:rsidRPr="007C488A">
              <w:rPr>
                <w:rFonts w:ascii="Arial Narrow" w:hAnsi="Arial Narrow" w:cs="Tahoma"/>
              </w:rPr>
              <w:t>Costs</w:t>
            </w:r>
          </w:p>
        </w:tc>
        <w:tc>
          <w:tcPr>
            <w:tcW w:w="695" w:type="pct"/>
            <w:tcBorders>
              <w:top w:val="single" w:sz="4" w:space="0" w:color="auto"/>
              <w:left w:val="single" w:sz="4" w:space="0" w:color="auto"/>
              <w:bottom w:val="nil"/>
              <w:right w:val="single" w:sz="4" w:space="0" w:color="auto"/>
            </w:tcBorders>
            <w:noWrap/>
            <w:hideMark/>
          </w:tcPr>
          <w:p w14:paraId="2BA16D4F" w14:textId="70180CB2"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c>
          <w:tcPr>
            <w:tcW w:w="949" w:type="pct"/>
            <w:tcBorders>
              <w:top w:val="single" w:sz="4" w:space="0" w:color="auto"/>
              <w:left w:val="single" w:sz="4" w:space="0" w:color="auto"/>
              <w:bottom w:val="nil"/>
              <w:right w:val="single" w:sz="4" w:space="0" w:color="auto"/>
            </w:tcBorders>
            <w:noWrap/>
            <w:hideMark/>
          </w:tcPr>
          <w:p w14:paraId="6AEB2CD7"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$85,833</w:t>
            </w:r>
          </w:p>
        </w:tc>
        <w:tc>
          <w:tcPr>
            <w:tcW w:w="695" w:type="pct"/>
            <w:tcBorders>
              <w:top w:val="single" w:sz="4" w:space="0" w:color="auto"/>
              <w:left w:val="single" w:sz="4" w:space="0" w:color="auto"/>
              <w:bottom w:val="nil"/>
              <w:right w:val="single" w:sz="4" w:space="0" w:color="auto"/>
            </w:tcBorders>
            <w:noWrap/>
            <w:hideMark/>
          </w:tcPr>
          <w:p w14:paraId="5B242D57" w14:textId="183B895F"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c>
          <w:tcPr>
            <w:tcW w:w="793" w:type="pct"/>
            <w:tcBorders>
              <w:top w:val="single" w:sz="4" w:space="0" w:color="auto"/>
              <w:left w:val="single" w:sz="4" w:space="0" w:color="auto"/>
              <w:bottom w:val="nil"/>
              <w:right w:val="single" w:sz="4" w:space="0" w:color="auto"/>
            </w:tcBorders>
          </w:tcPr>
          <w:p w14:paraId="15EC388D" w14:textId="77777777" w:rsidR="00EB2081" w:rsidRPr="007C488A" w:rsidRDefault="00EB2081" w:rsidP="00EB2081">
            <w:pPr>
              <w:spacing w:before="40"/>
              <w:jc w:val="right"/>
              <w:rPr>
                <w:rFonts w:ascii="Arial Narrow" w:hAnsi="Arial Narrow" w:cs="Tahoma"/>
              </w:rPr>
            </w:pPr>
          </w:p>
        </w:tc>
      </w:tr>
      <w:tr w:rsidR="00EB2081" w:rsidRPr="007C488A" w14:paraId="48C930D5" w14:textId="77777777" w:rsidTr="007D1A1F">
        <w:trPr>
          <w:cantSplit/>
          <w:trHeight w:val="300"/>
        </w:trPr>
        <w:tc>
          <w:tcPr>
            <w:tcW w:w="1868" w:type="pct"/>
            <w:tcBorders>
              <w:top w:val="nil"/>
              <w:left w:val="single" w:sz="4" w:space="0" w:color="auto"/>
              <w:bottom w:val="single" w:sz="4" w:space="0" w:color="auto"/>
              <w:right w:val="single" w:sz="4" w:space="0" w:color="auto"/>
            </w:tcBorders>
            <w:noWrap/>
            <w:hideMark/>
          </w:tcPr>
          <w:p w14:paraId="61B0AA11" w14:textId="77777777" w:rsidR="00EB2081" w:rsidRPr="007C488A" w:rsidRDefault="00EB2081" w:rsidP="00EB2081">
            <w:pPr>
              <w:spacing w:before="40"/>
              <w:jc w:val="both"/>
              <w:rPr>
                <w:rFonts w:ascii="Arial Narrow" w:hAnsi="Arial Narrow" w:cs="Tahoma"/>
              </w:rPr>
            </w:pPr>
            <w:r w:rsidRPr="007C488A">
              <w:rPr>
                <w:rFonts w:ascii="Arial Narrow" w:hAnsi="Arial Narrow" w:cs="Tahoma"/>
              </w:rPr>
              <w:t>QALY</w:t>
            </w:r>
          </w:p>
        </w:tc>
        <w:tc>
          <w:tcPr>
            <w:tcW w:w="695" w:type="pct"/>
            <w:tcBorders>
              <w:top w:val="nil"/>
              <w:left w:val="single" w:sz="4" w:space="0" w:color="auto"/>
              <w:bottom w:val="single" w:sz="4" w:space="0" w:color="auto"/>
              <w:right w:val="single" w:sz="4" w:space="0" w:color="auto"/>
            </w:tcBorders>
            <w:noWrap/>
            <w:hideMark/>
          </w:tcPr>
          <w:p w14:paraId="51792F48"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4.929</w:t>
            </w:r>
          </w:p>
        </w:tc>
        <w:tc>
          <w:tcPr>
            <w:tcW w:w="949" w:type="pct"/>
            <w:tcBorders>
              <w:top w:val="nil"/>
              <w:left w:val="single" w:sz="4" w:space="0" w:color="auto"/>
              <w:bottom w:val="single" w:sz="4" w:space="0" w:color="auto"/>
              <w:right w:val="single" w:sz="4" w:space="0" w:color="auto"/>
            </w:tcBorders>
            <w:noWrap/>
            <w:hideMark/>
          </w:tcPr>
          <w:p w14:paraId="3117C695"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0.258</w:t>
            </w:r>
          </w:p>
        </w:tc>
        <w:tc>
          <w:tcPr>
            <w:tcW w:w="695" w:type="pct"/>
            <w:tcBorders>
              <w:top w:val="nil"/>
              <w:left w:val="single" w:sz="4" w:space="0" w:color="auto"/>
              <w:bottom w:val="single" w:sz="4" w:space="0" w:color="auto"/>
              <w:right w:val="single" w:sz="4" w:space="0" w:color="auto"/>
            </w:tcBorders>
            <w:noWrap/>
            <w:hideMark/>
          </w:tcPr>
          <w:p w14:paraId="782A0B68" w14:textId="77777777" w:rsidR="00EB2081" w:rsidRPr="007C488A" w:rsidRDefault="00EB2081" w:rsidP="00EB2081">
            <w:pPr>
              <w:spacing w:before="40"/>
              <w:jc w:val="right"/>
              <w:rPr>
                <w:rFonts w:ascii="Arial Narrow" w:hAnsi="Arial Narrow" w:cs="Tahoma"/>
              </w:rPr>
            </w:pPr>
            <w:r w:rsidRPr="007C488A">
              <w:rPr>
                <w:rFonts w:ascii="Arial Narrow" w:hAnsi="Arial Narrow" w:cs="Tahoma"/>
              </w:rPr>
              <w:t>4.671</w:t>
            </w:r>
          </w:p>
        </w:tc>
        <w:tc>
          <w:tcPr>
            <w:tcW w:w="793" w:type="pct"/>
            <w:tcBorders>
              <w:top w:val="nil"/>
              <w:left w:val="single" w:sz="4" w:space="0" w:color="auto"/>
              <w:bottom w:val="single" w:sz="4" w:space="0" w:color="auto"/>
              <w:right w:val="single" w:sz="4" w:space="0" w:color="auto"/>
            </w:tcBorders>
            <w:hideMark/>
          </w:tcPr>
          <w:p w14:paraId="0004875A" w14:textId="19DDCDB8" w:rsidR="00EB2081" w:rsidRPr="007C488A" w:rsidRDefault="00EB2081" w:rsidP="00EB2081">
            <w:pPr>
              <w:spacing w:before="40"/>
              <w:jc w:val="right"/>
              <w:rPr>
                <w:rFonts w:ascii="Arial Narrow" w:hAnsi="Arial Narrow" w:cs="Tahoma"/>
              </w:rPr>
            </w:pPr>
            <w:r w:rsidRPr="007C488A">
              <w:rPr>
                <w:rFonts w:ascii="Arial Narrow" w:hAnsi="Arial Narrow" w:cs="Tahoma"/>
              </w:rPr>
              <w:t>$</w:t>
            </w:r>
            <w:r w:rsidR="00AB4627" w:rsidRPr="007C488A">
              <w:rPr>
                <w:rFonts w:ascii="Arial Narrow" w:hAnsi="Arial Narrow"/>
                <w:b/>
                <w:bCs/>
              </w:rPr>
              <w:t>redacted</w:t>
            </w:r>
          </w:p>
        </w:tc>
      </w:tr>
    </w:tbl>
    <w:p w14:paraId="69632A81" w14:textId="54248613" w:rsidR="00EB2081" w:rsidRPr="007C488A" w:rsidRDefault="00EB2081" w:rsidP="00EA4FE5">
      <w:pPr>
        <w:pStyle w:val="Tablenotes0"/>
        <w:rPr>
          <w:snapToGrid w:val="0"/>
          <w:lang w:eastAsia="en-AU"/>
        </w:rPr>
      </w:pPr>
      <w:r w:rsidRPr="007C488A">
        <w:rPr>
          <w:snapToGrid w:val="0"/>
          <w:lang w:eastAsia="en-AU"/>
        </w:rPr>
        <w:t>Source: Section 3.xlsx Workbook of the MSAC 1749 ADAR</w:t>
      </w:r>
    </w:p>
    <w:p w14:paraId="1C627760" w14:textId="18386251" w:rsidR="00EB2081" w:rsidRPr="007C488A" w:rsidRDefault="00EB2081" w:rsidP="00EA4FE5">
      <w:pPr>
        <w:pStyle w:val="Tablenotes0"/>
        <w:rPr>
          <w:snapToGrid w:val="0"/>
          <w:color w:val="258221"/>
          <w:lang w:eastAsia="en-AU"/>
        </w:rPr>
      </w:pPr>
      <w:r w:rsidRPr="007C488A">
        <w:rPr>
          <w:snapToGrid w:val="0"/>
          <w:lang w:eastAsia="en-AU"/>
        </w:rPr>
        <w:t xml:space="preserve">Abbreviations: ICER = incremental cost-effectiveness ratio; </w:t>
      </w:r>
      <w:r w:rsidR="005E59D7" w:rsidRPr="007C488A">
        <w:rPr>
          <w:snapToGrid w:val="0"/>
          <w:lang w:eastAsia="en-AU"/>
        </w:rPr>
        <w:t xml:space="preserve">LVAD = left ventricular assist device; OMM = optimal medical management.; </w:t>
      </w:r>
      <w:r w:rsidRPr="007C488A">
        <w:rPr>
          <w:snapToGrid w:val="0"/>
          <w:lang w:eastAsia="en-AU"/>
        </w:rPr>
        <w:t>QALY = quality-adjusted life year.</w:t>
      </w:r>
    </w:p>
    <w:p w14:paraId="088A4F8E" w14:textId="77777777" w:rsidR="00EB2081" w:rsidRPr="007C488A" w:rsidRDefault="00EB2081" w:rsidP="00EA4FE5">
      <w:pPr>
        <w:pStyle w:val="Tablenotes0"/>
        <w:rPr>
          <w:snapToGrid w:val="0"/>
          <w:lang w:eastAsia="en-AU"/>
        </w:rPr>
      </w:pPr>
      <w:r w:rsidRPr="007C488A">
        <w:rPr>
          <w:snapToGrid w:val="0"/>
          <w:lang w:eastAsia="en-AU"/>
        </w:rPr>
        <w:t>Note: Multiple outcomes may be informative for MSAC decision making-within each step.</w:t>
      </w:r>
    </w:p>
    <w:bookmarkEnd w:id="42"/>
    <w:bookmarkEnd w:id="54"/>
    <w:p w14:paraId="4E816A79" w14:textId="4014055B" w:rsidR="00EB2081" w:rsidRPr="007C488A" w:rsidRDefault="00EB2081" w:rsidP="00275263">
      <w:pPr>
        <w:keepNext/>
        <w:keepLines/>
        <w:spacing w:before="0" w:line="256" w:lineRule="auto"/>
        <w:jc w:val="both"/>
        <w:rPr>
          <w:rFonts w:eastAsia="Calibri" w:cs="Times New Roman"/>
          <w:color w:val="258221"/>
        </w:rPr>
      </w:pPr>
      <w:r w:rsidRPr="007C488A">
        <w:lastRenderedPageBreak/>
        <w:t xml:space="preserve">The </w:t>
      </w:r>
      <w:r w:rsidR="006107A7" w:rsidRPr="007C488A">
        <w:t xml:space="preserve">commentary considered the </w:t>
      </w:r>
      <w:r w:rsidRPr="007C488A">
        <w:t xml:space="preserve">results of the economic evaluation uncertain </w:t>
      </w:r>
      <w:r w:rsidR="00F03944" w:rsidRPr="007C488A">
        <w:t>for</w:t>
      </w:r>
      <w:r w:rsidRPr="007C488A">
        <w:t xml:space="preserve"> </w:t>
      </w:r>
      <w:r w:rsidR="00F044F0" w:rsidRPr="007C488A">
        <w:t xml:space="preserve">the </w:t>
      </w:r>
      <w:r w:rsidRPr="007C488A">
        <w:t>following reasons:</w:t>
      </w:r>
    </w:p>
    <w:p w14:paraId="55DE8344" w14:textId="7C634746" w:rsidR="00EB2081" w:rsidRPr="007C488A" w:rsidRDefault="00EB2081" w:rsidP="00275263">
      <w:pPr>
        <w:pStyle w:val="ListParagraph"/>
        <w:keepNext/>
        <w:keepLines/>
        <w:numPr>
          <w:ilvl w:val="0"/>
          <w:numId w:val="20"/>
        </w:numPr>
        <w:spacing w:before="0" w:after="0"/>
        <w:jc w:val="both"/>
      </w:pPr>
      <w:r w:rsidRPr="007C488A">
        <w:t xml:space="preserve">The simple model structure was based on the difference between OS curves </w:t>
      </w:r>
      <w:r w:rsidR="009D1BB0" w:rsidRPr="007C488A">
        <w:t xml:space="preserve">for </w:t>
      </w:r>
      <w:r w:rsidRPr="007C488A">
        <w:t xml:space="preserve">HM3 from the MOMENTUM 3 trial and </w:t>
      </w:r>
      <w:r w:rsidR="00F03944" w:rsidRPr="007C488A">
        <w:t xml:space="preserve">for </w:t>
      </w:r>
      <w:r w:rsidRPr="007C488A">
        <w:t>OMM from the REMATCH trial</w:t>
      </w:r>
      <w:r w:rsidR="00467A37" w:rsidRPr="007C488A">
        <w:t xml:space="preserve">, </w:t>
      </w:r>
      <w:r w:rsidR="009D1BB0" w:rsidRPr="007C488A">
        <w:t xml:space="preserve">which </w:t>
      </w:r>
      <w:r w:rsidRPr="007C488A">
        <w:t>may not capture other health outcomes (e.g., event free survival, functional status)</w:t>
      </w:r>
    </w:p>
    <w:p w14:paraId="545EA357" w14:textId="77777777" w:rsidR="00EB2081" w:rsidRPr="007C488A" w:rsidRDefault="00EB2081" w:rsidP="00DC74C9">
      <w:pPr>
        <w:pStyle w:val="ListParagraph"/>
        <w:numPr>
          <w:ilvl w:val="0"/>
          <w:numId w:val="20"/>
        </w:numPr>
        <w:spacing w:before="0" w:after="0"/>
        <w:jc w:val="both"/>
      </w:pPr>
      <w:r w:rsidRPr="007C488A">
        <w:t xml:space="preserve">The comparison of the two OS curves was naive and did not utilise the relative effectiveness measure (e.g., Hazard ratio) estimated from the ITC. </w:t>
      </w:r>
    </w:p>
    <w:p w14:paraId="4DAD2010" w14:textId="32CC322E" w:rsidR="00EB2081" w:rsidRPr="007C488A" w:rsidRDefault="00EB2081" w:rsidP="00DC74C9">
      <w:pPr>
        <w:pStyle w:val="ListParagraph"/>
        <w:numPr>
          <w:ilvl w:val="0"/>
          <w:numId w:val="20"/>
        </w:numPr>
        <w:spacing w:before="0" w:after="0"/>
        <w:jc w:val="both"/>
      </w:pPr>
      <w:r w:rsidRPr="007C488A">
        <w:t xml:space="preserve">The time horizon of 40 years for this population of patients with advanced </w:t>
      </w:r>
      <w:r w:rsidR="006107A7" w:rsidRPr="007C488A">
        <w:t>HF</w:t>
      </w:r>
      <w:r w:rsidRPr="007C488A">
        <w:t xml:space="preserve"> (mean age 65) is too long and favours LVAD. </w:t>
      </w:r>
    </w:p>
    <w:p w14:paraId="05B3EF64" w14:textId="431947D9" w:rsidR="00EB2081" w:rsidRPr="007C488A" w:rsidRDefault="00EB2081" w:rsidP="00DC74C9">
      <w:pPr>
        <w:pStyle w:val="ListParagraph"/>
        <w:numPr>
          <w:ilvl w:val="0"/>
          <w:numId w:val="20"/>
        </w:numPr>
        <w:spacing w:before="0" w:after="0"/>
        <w:jc w:val="both"/>
      </w:pPr>
      <w:r w:rsidRPr="007C488A">
        <w:t>The model applied the same utility score (0.</w:t>
      </w:r>
      <w:r w:rsidR="00E476C1" w:rsidRPr="007C488A">
        <w:t>44</w:t>
      </w:r>
      <w:r w:rsidRPr="007C488A">
        <w:t xml:space="preserve">) across LVAD and OMM in the first cycle, however, that score was maintained in the subsequent cycles in the OMM arm whereas a higher </w:t>
      </w:r>
      <w:r w:rsidR="006107A7" w:rsidRPr="007C488A">
        <w:t>s</w:t>
      </w:r>
      <w:r w:rsidRPr="007C488A">
        <w:t>core of 0.79 was assumed for LVAD in the subsequent cycles that was maintained through the extrapolated period of 40 years.</w:t>
      </w:r>
    </w:p>
    <w:p w14:paraId="62F3802E" w14:textId="65B88B23" w:rsidR="00EB2081" w:rsidRPr="007C488A" w:rsidRDefault="00EB2081" w:rsidP="00DC74C9">
      <w:pPr>
        <w:pStyle w:val="ListParagraph"/>
        <w:numPr>
          <w:ilvl w:val="0"/>
          <w:numId w:val="20"/>
        </w:numPr>
        <w:spacing w:before="0"/>
        <w:jc w:val="both"/>
      </w:pPr>
      <w:r w:rsidRPr="007C488A">
        <w:t xml:space="preserve">The model overestimated the cost of the comparator by applying only to the OMM </w:t>
      </w:r>
      <w:r w:rsidR="001812AF" w:rsidRPr="007C488A">
        <w:t xml:space="preserve">arm </w:t>
      </w:r>
      <w:r w:rsidRPr="007C488A">
        <w:t xml:space="preserve">an upfront critical care cost of $34,218 (i.e., </w:t>
      </w:r>
      <w:r w:rsidR="001812AF" w:rsidRPr="007C488A">
        <w:t xml:space="preserve">in the </w:t>
      </w:r>
      <w:r w:rsidRPr="007C488A">
        <w:t xml:space="preserve">first </w:t>
      </w:r>
      <w:r w:rsidR="001812AF" w:rsidRPr="007C488A">
        <w:t xml:space="preserve">model </w:t>
      </w:r>
      <w:r w:rsidRPr="007C488A">
        <w:t xml:space="preserve">cycle) and an additional one-off cost when a patient transitions to death. </w:t>
      </w:r>
    </w:p>
    <w:p w14:paraId="32894F09" w14:textId="77777777" w:rsidR="00EB2081" w:rsidRPr="007C488A" w:rsidRDefault="00EB2081" w:rsidP="00EB2081">
      <w:pPr>
        <w:rPr>
          <w:b/>
          <w:bCs/>
        </w:rPr>
      </w:pPr>
      <w:r w:rsidRPr="007C488A">
        <w:rPr>
          <w:b/>
          <w:bCs/>
        </w:rPr>
        <w:t>Uncertainty analysis: Model inputs and assumptions</w:t>
      </w:r>
    </w:p>
    <w:p w14:paraId="58A9DC71" w14:textId="5E4F21F1" w:rsidR="00EB2081" w:rsidRPr="007C488A" w:rsidRDefault="00EB2081" w:rsidP="00EB2081">
      <w:pPr>
        <w:jc w:val="both"/>
      </w:pPr>
      <w:r w:rsidRPr="007C488A">
        <w:t>The ADAR performed sensitivity analys</w:t>
      </w:r>
      <w:r w:rsidR="00BB39B1" w:rsidRPr="007C488A">
        <w:t>e</w:t>
      </w:r>
      <w:r w:rsidRPr="007C488A">
        <w:t xml:space="preserve">s </w:t>
      </w:r>
      <w:r w:rsidR="007B0E93" w:rsidRPr="007C488A">
        <w:t>exploring the impact of</w:t>
      </w:r>
      <w:r w:rsidRPr="007C488A">
        <w:t xml:space="preserve"> all model inputs. The sensitivity</w:t>
      </w:r>
      <w:r w:rsidR="00CE4480" w:rsidRPr="007C488A">
        <w:t xml:space="preserve"> analysis</w:t>
      </w:r>
      <w:r w:rsidRPr="007C488A">
        <w:t xml:space="preserve"> with the largest impact on </w:t>
      </w:r>
      <w:r w:rsidR="005E59D7" w:rsidRPr="007C488A">
        <w:t>cost-effectiveness (</w:t>
      </w:r>
      <w:r w:rsidRPr="007C488A">
        <w:t>CE</w:t>
      </w:r>
      <w:r w:rsidR="005E59D7" w:rsidRPr="007C488A">
        <w:t>)</w:t>
      </w:r>
      <w:r w:rsidRPr="007C488A">
        <w:t xml:space="preserve"> was reducing the time horizon to 5 years (</w:t>
      </w:r>
      <w:r w:rsidR="00F044F0" w:rsidRPr="007C488A">
        <w:t>trial-based</w:t>
      </w:r>
      <w:r w:rsidRPr="007C488A">
        <w:t xml:space="preserve"> period)</w:t>
      </w:r>
      <w:r w:rsidR="00BB39B1" w:rsidRPr="007C488A">
        <w:t>,</w:t>
      </w:r>
      <w:r w:rsidRPr="007C488A">
        <w:t xml:space="preserve"> which resulted in an ICER of $</w:t>
      </w:r>
      <w:r w:rsidR="00AB4627" w:rsidRPr="007C488A">
        <w:rPr>
          <w:b/>
          <w:bCs/>
        </w:rPr>
        <w:t>redacted</w:t>
      </w:r>
      <w:r w:rsidR="00AB4627" w:rsidRPr="007C488A" w:rsidDel="00AB4627">
        <w:t xml:space="preserve"> </w:t>
      </w:r>
      <w:r w:rsidR="00F044F0" w:rsidRPr="007C488A">
        <w:t>per QALY</w:t>
      </w:r>
      <w:r w:rsidRPr="007C488A">
        <w:t xml:space="preserve">. The LVAD device cost and the subsequent health state utility values for the LVAD arm are the other key drivers of </w:t>
      </w:r>
      <w:r w:rsidR="006107A7" w:rsidRPr="007C488A">
        <w:t xml:space="preserve">the </w:t>
      </w:r>
      <w:r w:rsidRPr="007C488A">
        <w:t xml:space="preserve">economic model. </w:t>
      </w:r>
      <w:r w:rsidR="00C526BB" w:rsidRPr="007C488A">
        <w:t xml:space="preserve">Using the 0.59 utility value for the subsequent cycle in the LVAD arm (to be in line with the 0.15 improvement from the baseline 0.44 as in </w:t>
      </w:r>
      <w:r w:rsidR="001812AF" w:rsidRPr="007C488A">
        <w:t xml:space="preserve">the </w:t>
      </w:r>
      <w:r w:rsidR="00C526BB" w:rsidRPr="007C488A">
        <w:t>literature) increased the ICER to $</w:t>
      </w:r>
      <w:r w:rsidR="00AB4627" w:rsidRPr="007C488A">
        <w:rPr>
          <w:b/>
          <w:bCs/>
        </w:rPr>
        <w:t>redacted</w:t>
      </w:r>
      <w:r w:rsidR="00C526BB" w:rsidRPr="007C488A">
        <w:t xml:space="preserve">/QALY. </w:t>
      </w:r>
      <w:r w:rsidR="00E17863" w:rsidRPr="007C488A">
        <w:fldChar w:fldCharType="begin"/>
      </w:r>
      <w:r w:rsidR="00E17863" w:rsidRPr="007C488A">
        <w:instrText xml:space="preserve"> REF _Ref69726321 \h </w:instrText>
      </w:r>
      <w:r w:rsidR="007C488A">
        <w:instrText xml:space="preserve"> \* MERGEFORMAT </w:instrText>
      </w:r>
      <w:r w:rsidR="00E17863" w:rsidRPr="007C488A">
        <w:fldChar w:fldCharType="separate"/>
      </w:r>
      <w:r w:rsidR="00406484" w:rsidRPr="007C488A">
        <w:t>Table </w:t>
      </w:r>
      <w:r w:rsidR="00406484" w:rsidRPr="007C488A">
        <w:rPr>
          <w:noProof/>
        </w:rPr>
        <w:t>10</w:t>
      </w:r>
      <w:r w:rsidR="00E17863" w:rsidRPr="007C488A">
        <w:fldChar w:fldCharType="end"/>
      </w:r>
      <w:r w:rsidRPr="007C488A">
        <w:t xml:space="preserve"> summarises the key drivers of the model.</w:t>
      </w:r>
    </w:p>
    <w:p w14:paraId="077AC288" w14:textId="05575F86" w:rsidR="00EB2081" w:rsidRPr="007C488A" w:rsidRDefault="00EB2081" w:rsidP="006C4D49">
      <w:pPr>
        <w:pStyle w:val="Caption"/>
      </w:pPr>
      <w:bookmarkStart w:id="56" w:name="_Ref69726321"/>
      <w:r w:rsidRPr="007C488A">
        <w:t>Table </w:t>
      </w:r>
      <w:r w:rsidR="0063450D">
        <w:fldChar w:fldCharType="begin"/>
      </w:r>
      <w:r w:rsidR="0063450D">
        <w:instrText xml:space="preserve"> SEQ Table \* ARABIC </w:instrText>
      </w:r>
      <w:r w:rsidR="0063450D">
        <w:fldChar w:fldCharType="separate"/>
      </w:r>
      <w:r w:rsidR="00406484" w:rsidRPr="007C488A">
        <w:rPr>
          <w:noProof/>
        </w:rPr>
        <w:t>10</w:t>
      </w:r>
      <w:r w:rsidR="0063450D">
        <w:rPr>
          <w:noProof/>
        </w:rPr>
        <w:fldChar w:fldCharType="end"/>
      </w:r>
      <w:bookmarkEnd w:id="56"/>
      <w:r w:rsidR="00886AD7" w:rsidRPr="007C488A">
        <w:t xml:space="preserve">: </w:t>
      </w:r>
      <w:r w:rsidRPr="007C488A">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3543"/>
        <w:gridCol w:w="3918"/>
      </w:tblGrid>
      <w:tr w:rsidR="00EB2081" w:rsidRPr="007C488A" w14:paraId="36786D21" w14:textId="77777777" w:rsidTr="007D1A1F">
        <w:trPr>
          <w:tblHeader/>
        </w:trPr>
        <w:tc>
          <w:tcPr>
            <w:tcW w:w="862" w:type="pct"/>
            <w:shd w:val="clear" w:color="auto" w:fill="auto"/>
            <w:vAlign w:val="center"/>
          </w:tcPr>
          <w:p w14:paraId="0B8588F7" w14:textId="77777777" w:rsidR="00EB2081" w:rsidRPr="007C488A" w:rsidRDefault="00EB2081" w:rsidP="00EB2081">
            <w:pPr>
              <w:keepNext/>
              <w:spacing w:before="0" w:after="0" w:line="240" w:lineRule="auto"/>
              <w:jc w:val="center"/>
              <w:rPr>
                <w:rFonts w:ascii="Arial Narrow" w:eastAsiaTheme="majorEastAsia" w:hAnsi="Arial Narrow" w:cs="Times New Roman"/>
                <w:b/>
                <w:sz w:val="20"/>
                <w:szCs w:val="24"/>
                <w:lang w:val="en-US" w:eastAsia="en-AU"/>
              </w:rPr>
            </w:pPr>
            <w:bookmarkStart w:id="57" w:name="_Hlk68276626"/>
            <w:r w:rsidRPr="007C488A">
              <w:rPr>
                <w:rFonts w:ascii="Arial Narrow" w:eastAsiaTheme="majorEastAsia" w:hAnsi="Arial Narrow" w:cs="Times New Roman"/>
                <w:b/>
                <w:sz w:val="20"/>
                <w:szCs w:val="24"/>
                <w:lang w:val="en-US" w:eastAsia="en-AU"/>
              </w:rPr>
              <w:t>Description</w:t>
            </w:r>
          </w:p>
        </w:tc>
        <w:tc>
          <w:tcPr>
            <w:tcW w:w="1965" w:type="pct"/>
            <w:shd w:val="clear" w:color="auto" w:fill="auto"/>
            <w:vAlign w:val="center"/>
          </w:tcPr>
          <w:p w14:paraId="1CE42FFE" w14:textId="77777777" w:rsidR="00EB2081" w:rsidRPr="007C488A" w:rsidRDefault="00EB2081" w:rsidP="00EB2081">
            <w:pPr>
              <w:keepNext/>
              <w:spacing w:before="0" w:after="0" w:line="240" w:lineRule="auto"/>
              <w:jc w:val="center"/>
              <w:rPr>
                <w:rFonts w:ascii="Arial Narrow" w:eastAsiaTheme="majorEastAsia" w:hAnsi="Arial Narrow" w:cs="Times New Roman"/>
                <w:b/>
                <w:sz w:val="20"/>
                <w:szCs w:val="24"/>
                <w:lang w:val="en-US" w:eastAsia="en-AU"/>
              </w:rPr>
            </w:pPr>
            <w:r w:rsidRPr="007C488A">
              <w:rPr>
                <w:rFonts w:ascii="Arial Narrow" w:eastAsiaTheme="majorEastAsia" w:hAnsi="Arial Narrow" w:cs="Times New Roman"/>
                <w:b/>
                <w:sz w:val="20"/>
                <w:szCs w:val="24"/>
                <w:lang w:val="en-US" w:eastAsia="en-AU"/>
              </w:rPr>
              <w:t>Method/Value</w:t>
            </w:r>
          </w:p>
        </w:tc>
        <w:tc>
          <w:tcPr>
            <w:tcW w:w="2173" w:type="pct"/>
            <w:shd w:val="clear" w:color="auto" w:fill="auto"/>
            <w:vAlign w:val="center"/>
          </w:tcPr>
          <w:p w14:paraId="7911E8F4" w14:textId="6F59F816" w:rsidR="00EB2081" w:rsidRPr="007C488A" w:rsidRDefault="00EB2081" w:rsidP="00EB2081">
            <w:pPr>
              <w:keepNext/>
              <w:spacing w:before="0" w:after="0" w:line="240" w:lineRule="auto"/>
              <w:jc w:val="center"/>
              <w:rPr>
                <w:rFonts w:ascii="Arial Narrow" w:eastAsiaTheme="majorEastAsia" w:hAnsi="Arial Narrow" w:cs="Times New Roman"/>
                <w:b/>
                <w:sz w:val="20"/>
                <w:szCs w:val="24"/>
                <w:lang w:val="en-US" w:eastAsia="en-AU"/>
              </w:rPr>
            </w:pPr>
            <w:r w:rsidRPr="007C488A">
              <w:rPr>
                <w:rFonts w:ascii="Arial Narrow" w:eastAsiaTheme="majorEastAsia" w:hAnsi="Arial Narrow" w:cs="Times New Roman"/>
                <w:b/>
                <w:sz w:val="20"/>
                <w:szCs w:val="24"/>
                <w:lang w:val="en-US" w:eastAsia="en-AU"/>
              </w:rPr>
              <w:t>Impact</w:t>
            </w:r>
          </w:p>
          <w:p w14:paraId="3F22D5FF" w14:textId="09A368B1" w:rsidR="00EB2081" w:rsidRPr="007C488A" w:rsidRDefault="00EB2081" w:rsidP="00EB2081">
            <w:pPr>
              <w:keepNext/>
              <w:spacing w:before="0" w:line="240" w:lineRule="auto"/>
              <w:jc w:val="center"/>
              <w:rPr>
                <w:rFonts w:ascii="Arial Narrow" w:eastAsiaTheme="majorEastAsia" w:hAnsi="Arial Narrow" w:cs="Times New Roman"/>
                <w:b/>
                <w:sz w:val="20"/>
                <w:szCs w:val="24"/>
                <w:lang w:val="en-US" w:eastAsia="en-AU"/>
              </w:rPr>
            </w:pPr>
            <w:r w:rsidRPr="007C488A">
              <w:rPr>
                <w:rFonts w:ascii="Arial Narrow" w:eastAsiaTheme="majorEastAsia" w:hAnsi="Arial Narrow" w:cs="Arial"/>
                <w:b/>
                <w:sz w:val="20"/>
                <w:szCs w:val="20"/>
                <w:lang w:val="en-US" w:eastAsia="en-AU"/>
              </w:rPr>
              <w:t xml:space="preserve">Base case: </w:t>
            </w:r>
            <w:r w:rsidRPr="007C488A">
              <w:rPr>
                <w:rFonts w:ascii="Arial Narrow" w:eastAsiaTheme="majorEastAsia" w:hAnsi="Arial Narrow" w:cs="Times New Roman"/>
                <w:b/>
                <w:sz w:val="20"/>
                <w:szCs w:val="24"/>
                <w:lang w:val="en-US" w:eastAsia="en-AU"/>
              </w:rPr>
              <w:t>$</w:t>
            </w:r>
            <w:r w:rsidR="00AB4627" w:rsidRPr="007C488A">
              <w:rPr>
                <w:rFonts w:ascii="Arial Narrow" w:eastAsiaTheme="majorEastAsia" w:hAnsi="Arial Narrow" w:cs="Times New Roman"/>
                <w:b/>
                <w:sz w:val="20"/>
                <w:szCs w:val="24"/>
                <w:lang w:val="en-US" w:eastAsia="en-AU"/>
              </w:rPr>
              <w:t>redacted</w:t>
            </w:r>
            <w:r w:rsidRPr="007C488A">
              <w:rPr>
                <w:rFonts w:ascii="Arial Narrow" w:eastAsiaTheme="majorEastAsia" w:hAnsi="Arial Narrow" w:cs="Arial"/>
                <w:b/>
                <w:sz w:val="20"/>
                <w:szCs w:val="20"/>
                <w:lang w:val="en-US" w:eastAsia="en-AU"/>
              </w:rPr>
              <w:t>/QALY gained</w:t>
            </w:r>
          </w:p>
        </w:tc>
      </w:tr>
      <w:tr w:rsidR="00EB2081" w:rsidRPr="007C488A" w14:paraId="71F37273" w14:textId="77777777" w:rsidTr="007D1A1F">
        <w:tc>
          <w:tcPr>
            <w:tcW w:w="862" w:type="pct"/>
            <w:shd w:val="clear" w:color="auto" w:fill="auto"/>
            <w:vAlign w:val="center"/>
          </w:tcPr>
          <w:p w14:paraId="44FF6E7E" w14:textId="77777777" w:rsidR="00EB2081" w:rsidRPr="007C488A" w:rsidRDefault="00EB2081" w:rsidP="00504075">
            <w:pPr>
              <w:spacing w:before="40" w:after="40" w:line="240" w:lineRule="auto"/>
              <w:rPr>
                <w:rFonts w:ascii="Arial Narrow" w:hAnsi="Arial Narrow"/>
                <w:sz w:val="20"/>
                <w:lang w:val="en-US"/>
              </w:rPr>
            </w:pPr>
            <w:r w:rsidRPr="007C488A">
              <w:rPr>
                <w:rFonts w:ascii="Arial Narrow" w:hAnsi="Arial Narrow"/>
                <w:sz w:val="20"/>
                <w:lang w:val="en-US"/>
              </w:rPr>
              <w:t>Time horizon</w:t>
            </w:r>
          </w:p>
        </w:tc>
        <w:tc>
          <w:tcPr>
            <w:tcW w:w="1965" w:type="pct"/>
            <w:shd w:val="clear" w:color="auto" w:fill="auto"/>
            <w:vAlign w:val="center"/>
          </w:tcPr>
          <w:p w14:paraId="163EBA02" w14:textId="77777777" w:rsidR="00EB2081" w:rsidRPr="007C488A" w:rsidRDefault="00EB2081" w:rsidP="00EB2081">
            <w:pPr>
              <w:spacing w:before="40" w:after="40" w:line="240" w:lineRule="auto"/>
              <w:rPr>
                <w:rFonts w:ascii="Arial Narrow" w:hAnsi="Arial Narrow"/>
                <w:sz w:val="20"/>
                <w:lang w:val="en-US"/>
              </w:rPr>
            </w:pPr>
            <w:r w:rsidRPr="007C488A">
              <w:rPr>
                <w:rFonts w:ascii="Arial Narrow" w:hAnsi="Arial Narrow"/>
                <w:sz w:val="20"/>
                <w:lang w:val="en-US"/>
              </w:rPr>
              <w:t>Treatment effect continued beyond the 5-year trial period for up to 40 years</w:t>
            </w:r>
          </w:p>
        </w:tc>
        <w:tc>
          <w:tcPr>
            <w:tcW w:w="2173" w:type="pct"/>
            <w:shd w:val="clear" w:color="auto" w:fill="auto"/>
            <w:vAlign w:val="center"/>
          </w:tcPr>
          <w:p w14:paraId="24D1AEEA" w14:textId="77777777" w:rsidR="00F044F0" w:rsidRPr="007C488A" w:rsidRDefault="00EB2081" w:rsidP="00F044F0">
            <w:pPr>
              <w:spacing w:before="40" w:after="40" w:line="240" w:lineRule="auto"/>
              <w:jc w:val="both"/>
              <w:rPr>
                <w:rFonts w:ascii="Arial Narrow" w:hAnsi="Arial Narrow"/>
                <w:iCs/>
                <w:sz w:val="20"/>
                <w:lang w:val="en-US"/>
              </w:rPr>
            </w:pPr>
            <w:r w:rsidRPr="007C488A">
              <w:rPr>
                <w:rFonts w:ascii="Arial Narrow" w:hAnsi="Arial Narrow"/>
                <w:iCs/>
                <w:sz w:val="20"/>
                <w:lang w:val="en-US"/>
              </w:rPr>
              <w:t xml:space="preserve">High, </w:t>
            </w:r>
            <w:proofErr w:type="spellStart"/>
            <w:r w:rsidRPr="007C488A">
              <w:rPr>
                <w:rFonts w:ascii="Arial Narrow" w:hAnsi="Arial Narrow"/>
                <w:iCs/>
                <w:sz w:val="20"/>
                <w:lang w:val="en-US"/>
              </w:rPr>
              <w:t>favours</w:t>
            </w:r>
            <w:proofErr w:type="spellEnd"/>
            <w:r w:rsidRPr="007C488A">
              <w:rPr>
                <w:rFonts w:ascii="Arial Narrow" w:hAnsi="Arial Narrow"/>
                <w:iCs/>
                <w:sz w:val="20"/>
                <w:lang w:val="en-US"/>
              </w:rPr>
              <w:t xml:space="preserve"> LVAD</w:t>
            </w:r>
          </w:p>
          <w:p w14:paraId="6A203DE5" w14:textId="63534D82" w:rsidR="00EB2081" w:rsidRPr="007C488A" w:rsidRDefault="00EB2081" w:rsidP="00F044F0">
            <w:pPr>
              <w:spacing w:before="40" w:after="40" w:line="240" w:lineRule="auto"/>
              <w:jc w:val="both"/>
              <w:rPr>
                <w:rFonts w:ascii="Arial Narrow" w:hAnsi="Arial Narrow"/>
                <w:iCs/>
                <w:sz w:val="20"/>
                <w:lang w:val="en-US"/>
              </w:rPr>
            </w:pPr>
            <w:r w:rsidRPr="007C488A">
              <w:rPr>
                <w:rFonts w:ascii="Arial Narrow" w:hAnsi="Arial Narrow"/>
                <w:iCs/>
                <w:sz w:val="20"/>
                <w:lang w:val="en-US"/>
              </w:rPr>
              <w:t>Using a time horizon of 5 years increased the ICER to $</w:t>
            </w:r>
            <w:r w:rsidR="00AB4627" w:rsidRPr="007C488A">
              <w:rPr>
                <w:rFonts w:ascii="Arial Narrow" w:eastAsiaTheme="majorEastAsia" w:hAnsi="Arial Narrow" w:cs="Times New Roman"/>
                <w:b/>
                <w:sz w:val="20"/>
                <w:szCs w:val="24"/>
                <w:lang w:val="en-US" w:eastAsia="en-AU"/>
              </w:rPr>
              <w:t>redacted</w:t>
            </w:r>
            <w:r w:rsidRPr="007C488A">
              <w:rPr>
                <w:rFonts w:ascii="Arial Narrow" w:hAnsi="Arial Narrow"/>
                <w:iCs/>
                <w:sz w:val="20"/>
                <w:lang w:val="en-US"/>
              </w:rPr>
              <w:t>/QALY gained.</w:t>
            </w:r>
          </w:p>
        </w:tc>
      </w:tr>
      <w:tr w:rsidR="00EB2081" w:rsidRPr="007C488A" w14:paraId="04F4BC6E" w14:textId="77777777" w:rsidTr="007D1A1F">
        <w:tc>
          <w:tcPr>
            <w:tcW w:w="862" w:type="pct"/>
            <w:shd w:val="clear" w:color="auto" w:fill="auto"/>
            <w:vAlign w:val="center"/>
          </w:tcPr>
          <w:p w14:paraId="237A9413" w14:textId="77777777" w:rsidR="00EB2081" w:rsidRPr="007C488A" w:rsidRDefault="00EB2081" w:rsidP="00504075">
            <w:pPr>
              <w:spacing w:before="40" w:after="40" w:line="240" w:lineRule="auto"/>
              <w:rPr>
                <w:rFonts w:ascii="Arial Narrow" w:hAnsi="Arial Narrow"/>
                <w:sz w:val="20"/>
                <w:lang w:val="en-US"/>
              </w:rPr>
            </w:pPr>
            <w:r w:rsidRPr="007C488A">
              <w:rPr>
                <w:rFonts w:ascii="Arial Narrow" w:hAnsi="Arial Narrow"/>
                <w:sz w:val="20"/>
                <w:lang w:val="en-US"/>
              </w:rPr>
              <w:t>Comparative effectiveness</w:t>
            </w:r>
          </w:p>
        </w:tc>
        <w:tc>
          <w:tcPr>
            <w:tcW w:w="1965" w:type="pct"/>
            <w:shd w:val="clear" w:color="auto" w:fill="auto"/>
            <w:vAlign w:val="center"/>
          </w:tcPr>
          <w:p w14:paraId="308F5EC4" w14:textId="5960799B" w:rsidR="00EB2081" w:rsidRPr="007C488A" w:rsidRDefault="00EB2081" w:rsidP="00EB2081">
            <w:pPr>
              <w:spacing w:before="40" w:after="40" w:line="240" w:lineRule="auto"/>
              <w:rPr>
                <w:rFonts w:ascii="Arial Narrow" w:hAnsi="Arial Narrow"/>
                <w:sz w:val="20"/>
                <w:lang w:val="en-US"/>
              </w:rPr>
            </w:pPr>
            <w:r w:rsidRPr="007C488A">
              <w:rPr>
                <w:rFonts w:ascii="Arial Narrow" w:hAnsi="Arial Narrow"/>
                <w:sz w:val="20"/>
                <w:lang w:val="en-US"/>
              </w:rPr>
              <w:t>Naively comparing survival curves of LV</w:t>
            </w:r>
            <w:r w:rsidR="00F044F0" w:rsidRPr="007C488A">
              <w:rPr>
                <w:rFonts w:ascii="Arial Narrow" w:hAnsi="Arial Narrow"/>
                <w:sz w:val="20"/>
                <w:lang w:val="en-US"/>
              </w:rPr>
              <w:t>A</w:t>
            </w:r>
            <w:r w:rsidRPr="007C488A">
              <w:rPr>
                <w:rFonts w:ascii="Arial Narrow" w:hAnsi="Arial Narrow"/>
                <w:sz w:val="20"/>
                <w:lang w:val="en-US"/>
              </w:rPr>
              <w:t xml:space="preserve">D from MOMENTUM 3 and OMM from REMATCH instead of using the hazard ratio </w:t>
            </w:r>
            <w:r w:rsidR="00F044F0" w:rsidRPr="007C488A">
              <w:rPr>
                <w:rFonts w:ascii="Arial Narrow" w:hAnsi="Arial Narrow"/>
                <w:sz w:val="20"/>
                <w:lang w:val="en-US"/>
              </w:rPr>
              <w:t xml:space="preserve">for OS </w:t>
            </w:r>
            <w:r w:rsidRPr="007C488A">
              <w:rPr>
                <w:rFonts w:ascii="Arial Narrow" w:hAnsi="Arial Narrow"/>
                <w:sz w:val="20"/>
                <w:lang w:val="en-US"/>
              </w:rPr>
              <w:t>estimated in the ITC</w:t>
            </w:r>
          </w:p>
        </w:tc>
        <w:tc>
          <w:tcPr>
            <w:tcW w:w="2173" w:type="pct"/>
            <w:shd w:val="clear" w:color="auto" w:fill="auto"/>
            <w:vAlign w:val="center"/>
          </w:tcPr>
          <w:p w14:paraId="07335215" w14:textId="46CCFC6A" w:rsidR="00EB2081" w:rsidRPr="007C488A" w:rsidRDefault="00EB2081" w:rsidP="00EB2081">
            <w:pPr>
              <w:spacing w:before="40" w:after="40" w:line="240" w:lineRule="auto"/>
              <w:jc w:val="both"/>
              <w:rPr>
                <w:rFonts w:ascii="Arial Narrow" w:hAnsi="Arial Narrow"/>
                <w:iCs/>
                <w:sz w:val="20"/>
                <w:lang w:val="en-US"/>
              </w:rPr>
            </w:pPr>
            <w:r w:rsidRPr="007C488A">
              <w:rPr>
                <w:rFonts w:ascii="Arial Narrow" w:hAnsi="Arial Narrow"/>
                <w:iCs/>
                <w:sz w:val="20"/>
                <w:lang w:val="en-US"/>
              </w:rPr>
              <w:t xml:space="preserve">High, </w:t>
            </w:r>
            <w:proofErr w:type="spellStart"/>
            <w:r w:rsidRPr="007C488A">
              <w:rPr>
                <w:rFonts w:ascii="Arial Narrow" w:hAnsi="Arial Narrow"/>
                <w:iCs/>
                <w:sz w:val="20"/>
                <w:lang w:val="en-US"/>
              </w:rPr>
              <w:t>favours</w:t>
            </w:r>
            <w:proofErr w:type="spellEnd"/>
            <w:r w:rsidRPr="007C488A">
              <w:rPr>
                <w:rFonts w:ascii="Arial Narrow" w:hAnsi="Arial Narrow"/>
                <w:iCs/>
                <w:sz w:val="20"/>
                <w:lang w:val="en-US"/>
              </w:rPr>
              <w:t xml:space="preserve"> LVAD</w:t>
            </w:r>
          </w:p>
          <w:p w14:paraId="56E0B10A" w14:textId="310A9013" w:rsidR="00EB2081" w:rsidRPr="007C488A" w:rsidRDefault="00EB2081" w:rsidP="00EB2081">
            <w:pPr>
              <w:spacing w:before="40" w:after="40" w:line="240" w:lineRule="auto"/>
              <w:jc w:val="both"/>
              <w:rPr>
                <w:rFonts w:ascii="Arial Narrow" w:hAnsi="Arial Narrow"/>
                <w:iCs/>
                <w:sz w:val="20"/>
                <w:lang w:val="en-US"/>
              </w:rPr>
            </w:pPr>
            <w:r w:rsidRPr="007C488A">
              <w:rPr>
                <w:rFonts w:ascii="Arial Narrow" w:hAnsi="Arial Narrow"/>
                <w:iCs/>
                <w:sz w:val="20"/>
                <w:lang w:val="en-US"/>
              </w:rPr>
              <w:t xml:space="preserve">Application of </w:t>
            </w:r>
            <w:r w:rsidR="002F66BF" w:rsidRPr="007C488A">
              <w:rPr>
                <w:rFonts w:ascii="Arial Narrow" w:hAnsi="Arial Narrow"/>
                <w:iCs/>
                <w:sz w:val="20"/>
                <w:lang w:val="en-US"/>
              </w:rPr>
              <w:t>the</w:t>
            </w:r>
            <w:r w:rsidRPr="007C488A">
              <w:rPr>
                <w:rFonts w:ascii="Arial Narrow" w:hAnsi="Arial Narrow"/>
                <w:iCs/>
                <w:sz w:val="20"/>
                <w:lang w:val="en-US"/>
              </w:rPr>
              <w:t xml:space="preserve"> hazard ratio increased the ICER to $</w:t>
            </w:r>
            <w:r w:rsidR="00AB4627" w:rsidRPr="007C488A">
              <w:rPr>
                <w:rFonts w:ascii="Arial Narrow" w:eastAsiaTheme="majorEastAsia" w:hAnsi="Arial Narrow" w:cs="Times New Roman"/>
                <w:b/>
                <w:sz w:val="20"/>
                <w:szCs w:val="24"/>
                <w:lang w:val="en-US" w:eastAsia="en-AU"/>
              </w:rPr>
              <w:t>redacted</w:t>
            </w:r>
            <w:r w:rsidRPr="007C488A">
              <w:rPr>
                <w:rFonts w:ascii="Arial Narrow" w:hAnsi="Arial Narrow"/>
                <w:iCs/>
                <w:sz w:val="20"/>
                <w:lang w:val="en-US"/>
              </w:rPr>
              <w:t>/QALY gained.</w:t>
            </w:r>
          </w:p>
        </w:tc>
      </w:tr>
      <w:tr w:rsidR="00EB2081" w:rsidRPr="007C488A" w14:paraId="5A63829C" w14:textId="77777777" w:rsidTr="007D1A1F">
        <w:tc>
          <w:tcPr>
            <w:tcW w:w="862" w:type="pct"/>
            <w:shd w:val="clear" w:color="auto" w:fill="auto"/>
            <w:vAlign w:val="center"/>
          </w:tcPr>
          <w:p w14:paraId="3BED7BBD" w14:textId="77777777" w:rsidR="00EB2081" w:rsidRPr="007C488A" w:rsidRDefault="00EB2081" w:rsidP="00504075">
            <w:pPr>
              <w:spacing w:before="40" w:after="40" w:line="240" w:lineRule="auto"/>
              <w:rPr>
                <w:rFonts w:ascii="Arial Narrow" w:hAnsi="Arial Narrow"/>
                <w:sz w:val="20"/>
                <w:lang w:val="en-US"/>
              </w:rPr>
            </w:pPr>
            <w:r w:rsidRPr="007C488A">
              <w:rPr>
                <w:rFonts w:ascii="Arial Narrow" w:hAnsi="Arial Narrow"/>
                <w:sz w:val="20"/>
                <w:lang w:val="en-US"/>
              </w:rPr>
              <w:t>Utilities</w:t>
            </w:r>
          </w:p>
        </w:tc>
        <w:tc>
          <w:tcPr>
            <w:tcW w:w="1965" w:type="pct"/>
            <w:shd w:val="clear" w:color="auto" w:fill="auto"/>
            <w:vAlign w:val="center"/>
          </w:tcPr>
          <w:p w14:paraId="20B0C8D8" w14:textId="5DB8466D" w:rsidR="00EB2081" w:rsidRPr="007C488A" w:rsidRDefault="00EB2081" w:rsidP="00EB2081">
            <w:pPr>
              <w:spacing w:before="40" w:after="40" w:line="240" w:lineRule="auto"/>
              <w:rPr>
                <w:rFonts w:ascii="Arial Narrow" w:hAnsi="Arial Narrow"/>
                <w:sz w:val="20"/>
                <w:lang w:val="en-US"/>
              </w:rPr>
            </w:pPr>
            <w:r w:rsidRPr="007C488A">
              <w:rPr>
                <w:rFonts w:ascii="Arial Narrow" w:hAnsi="Arial Narrow"/>
                <w:sz w:val="20"/>
                <w:lang w:val="en-US"/>
              </w:rPr>
              <w:t xml:space="preserve">High values for model health states compared to the baseline taken for LVAD arm from literature and no disutility for </w:t>
            </w:r>
            <w:r w:rsidR="006107A7" w:rsidRPr="007C488A">
              <w:rPr>
                <w:rFonts w:ascii="Arial Narrow" w:hAnsi="Arial Narrow"/>
                <w:sz w:val="20"/>
                <w:lang w:val="en-US"/>
              </w:rPr>
              <w:t>AE</w:t>
            </w:r>
            <w:r w:rsidRPr="007C488A">
              <w:rPr>
                <w:rFonts w:ascii="Arial Narrow" w:hAnsi="Arial Narrow"/>
                <w:sz w:val="20"/>
                <w:lang w:val="en-US"/>
              </w:rPr>
              <w:t>s</w:t>
            </w:r>
          </w:p>
        </w:tc>
        <w:tc>
          <w:tcPr>
            <w:tcW w:w="2173" w:type="pct"/>
            <w:shd w:val="clear" w:color="auto" w:fill="auto"/>
            <w:vAlign w:val="center"/>
          </w:tcPr>
          <w:p w14:paraId="4321176F" w14:textId="49256418" w:rsidR="0085286D" w:rsidRPr="007C488A" w:rsidRDefault="00EB2081" w:rsidP="0085286D">
            <w:pPr>
              <w:spacing w:before="40" w:after="40" w:line="240" w:lineRule="auto"/>
              <w:jc w:val="both"/>
              <w:rPr>
                <w:rFonts w:ascii="Arial Narrow" w:hAnsi="Arial Narrow"/>
                <w:iCs/>
                <w:sz w:val="20"/>
                <w:lang w:val="en-US"/>
              </w:rPr>
            </w:pPr>
            <w:r w:rsidRPr="007C488A">
              <w:rPr>
                <w:rFonts w:ascii="Arial Narrow" w:hAnsi="Arial Narrow"/>
                <w:iCs/>
                <w:sz w:val="20"/>
                <w:lang w:val="en-US"/>
              </w:rPr>
              <w:t xml:space="preserve">High, </w:t>
            </w:r>
            <w:proofErr w:type="spellStart"/>
            <w:r w:rsidRPr="007C488A">
              <w:rPr>
                <w:rFonts w:ascii="Arial Narrow" w:hAnsi="Arial Narrow"/>
                <w:iCs/>
                <w:sz w:val="20"/>
                <w:lang w:val="en-US"/>
              </w:rPr>
              <w:t>favours</w:t>
            </w:r>
            <w:proofErr w:type="spellEnd"/>
            <w:r w:rsidRPr="007C488A">
              <w:rPr>
                <w:rFonts w:ascii="Arial Narrow" w:hAnsi="Arial Narrow"/>
                <w:iCs/>
                <w:sz w:val="20"/>
                <w:lang w:val="en-US"/>
              </w:rPr>
              <w:t xml:space="preserve"> LVAD</w:t>
            </w:r>
            <w:r w:rsidR="006107A7" w:rsidRPr="007C488A">
              <w:rPr>
                <w:rFonts w:ascii="Arial Narrow" w:hAnsi="Arial Narrow"/>
                <w:iCs/>
                <w:sz w:val="20"/>
                <w:lang w:val="en-US"/>
              </w:rPr>
              <w:t xml:space="preserve"> </w:t>
            </w:r>
            <w:r w:rsidRPr="007C488A">
              <w:rPr>
                <w:rFonts w:ascii="Arial Narrow" w:hAnsi="Arial Narrow"/>
                <w:iCs/>
                <w:sz w:val="20"/>
                <w:lang w:val="en-US"/>
              </w:rPr>
              <w:t>+</w:t>
            </w:r>
            <w:r w:rsidR="006107A7" w:rsidRPr="007C488A">
              <w:rPr>
                <w:rFonts w:ascii="Arial Narrow" w:hAnsi="Arial Narrow"/>
                <w:iCs/>
                <w:sz w:val="20"/>
                <w:lang w:val="en-US"/>
              </w:rPr>
              <w:t xml:space="preserve"> </w:t>
            </w:r>
            <w:r w:rsidRPr="007C488A">
              <w:rPr>
                <w:rFonts w:ascii="Arial Narrow" w:hAnsi="Arial Narrow"/>
                <w:iCs/>
                <w:sz w:val="20"/>
                <w:lang w:val="en-US"/>
              </w:rPr>
              <w:t>OMM</w:t>
            </w:r>
          </w:p>
          <w:p w14:paraId="14C1659A" w14:textId="1F9C557B" w:rsidR="00EB2081" w:rsidRPr="007C488A" w:rsidRDefault="00EB2081" w:rsidP="00EA4FE5">
            <w:pPr>
              <w:spacing w:before="40" w:after="40" w:line="240" w:lineRule="auto"/>
              <w:jc w:val="both"/>
              <w:rPr>
                <w:rFonts w:ascii="Arial Narrow" w:hAnsi="Arial Narrow"/>
                <w:iCs/>
                <w:sz w:val="20"/>
                <w:lang w:val="en-US"/>
              </w:rPr>
            </w:pPr>
            <w:r w:rsidRPr="007C488A">
              <w:rPr>
                <w:rFonts w:ascii="Arial Narrow" w:hAnsi="Arial Narrow"/>
                <w:iCs/>
                <w:sz w:val="20"/>
                <w:lang w:val="en-US"/>
              </w:rPr>
              <w:t>Use of health state utility 0.59 for LVAD subsequent cycles increased the ICER to $</w:t>
            </w:r>
            <w:r w:rsidR="00AB4627" w:rsidRPr="007C488A">
              <w:rPr>
                <w:rFonts w:ascii="Arial Narrow" w:eastAsiaTheme="majorEastAsia" w:hAnsi="Arial Narrow" w:cs="Times New Roman"/>
                <w:b/>
                <w:sz w:val="20"/>
                <w:szCs w:val="24"/>
                <w:lang w:val="en-US" w:eastAsia="en-AU"/>
              </w:rPr>
              <w:t>redacted</w:t>
            </w:r>
            <w:r w:rsidRPr="007C488A">
              <w:rPr>
                <w:rFonts w:ascii="Arial Narrow" w:hAnsi="Arial Narrow"/>
                <w:iCs/>
                <w:sz w:val="20"/>
                <w:lang w:val="en-US"/>
              </w:rPr>
              <w:t>/QALY gained.</w:t>
            </w:r>
            <w:r w:rsidRPr="007C488A">
              <w:rPr>
                <w:rFonts w:ascii="Arial Narrow" w:hAnsi="Arial Narrow" w:cs="Arial"/>
                <w:iCs/>
                <w:color w:val="538135" w:themeColor="accent6" w:themeShade="BF"/>
                <w:sz w:val="20"/>
                <w:szCs w:val="20"/>
              </w:rPr>
              <w:t xml:space="preserve"> </w:t>
            </w:r>
          </w:p>
        </w:tc>
      </w:tr>
      <w:tr w:rsidR="00EB2081" w:rsidRPr="007C488A" w14:paraId="539D4C44" w14:textId="77777777" w:rsidTr="007D1A1F">
        <w:tc>
          <w:tcPr>
            <w:tcW w:w="862" w:type="pct"/>
            <w:shd w:val="clear" w:color="auto" w:fill="auto"/>
            <w:vAlign w:val="center"/>
          </w:tcPr>
          <w:p w14:paraId="36968752" w14:textId="77777777" w:rsidR="00EB2081" w:rsidRPr="007C488A" w:rsidRDefault="00EB2081" w:rsidP="00504075">
            <w:pPr>
              <w:spacing w:before="40" w:after="40" w:line="240" w:lineRule="auto"/>
              <w:rPr>
                <w:rFonts w:ascii="Arial Narrow" w:hAnsi="Arial Narrow"/>
                <w:sz w:val="20"/>
                <w:lang w:val="en-US"/>
              </w:rPr>
            </w:pPr>
            <w:r w:rsidRPr="007C488A">
              <w:rPr>
                <w:rFonts w:ascii="Arial Narrow" w:hAnsi="Arial Narrow"/>
                <w:sz w:val="20"/>
                <w:lang w:val="en-US"/>
              </w:rPr>
              <w:t>LVAD device cost</w:t>
            </w:r>
          </w:p>
        </w:tc>
        <w:tc>
          <w:tcPr>
            <w:tcW w:w="1965" w:type="pct"/>
            <w:shd w:val="clear" w:color="auto" w:fill="auto"/>
            <w:vAlign w:val="center"/>
          </w:tcPr>
          <w:p w14:paraId="47D216CD" w14:textId="77777777" w:rsidR="00EB2081" w:rsidRPr="007C488A" w:rsidRDefault="00EB2081" w:rsidP="00EB2081">
            <w:pPr>
              <w:spacing w:before="40" w:after="40" w:line="240" w:lineRule="auto"/>
              <w:rPr>
                <w:rFonts w:ascii="Arial Narrow" w:hAnsi="Arial Narrow"/>
                <w:sz w:val="20"/>
                <w:lang w:val="en-US"/>
              </w:rPr>
            </w:pPr>
            <w:r w:rsidRPr="007C488A">
              <w:rPr>
                <w:rFonts w:ascii="Arial Narrow" w:hAnsi="Arial Narrow"/>
                <w:sz w:val="20"/>
                <w:lang w:val="en-US"/>
              </w:rPr>
              <w:t>High device cost was included in the model as the device is highly expensive.</w:t>
            </w:r>
          </w:p>
        </w:tc>
        <w:tc>
          <w:tcPr>
            <w:tcW w:w="2173" w:type="pct"/>
            <w:shd w:val="clear" w:color="auto" w:fill="auto"/>
            <w:vAlign w:val="center"/>
          </w:tcPr>
          <w:p w14:paraId="61C19149" w14:textId="77777777" w:rsidR="00EB2081" w:rsidRPr="007C488A" w:rsidRDefault="00EB2081" w:rsidP="00EB2081">
            <w:pPr>
              <w:spacing w:before="40" w:after="40" w:line="240" w:lineRule="auto"/>
              <w:jc w:val="both"/>
              <w:rPr>
                <w:rFonts w:ascii="Arial Narrow" w:hAnsi="Arial Narrow"/>
                <w:iCs/>
                <w:sz w:val="20"/>
                <w:lang w:val="en-US"/>
              </w:rPr>
            </w:pPr>
            <w:r w:rsidRPr="007C488A">
              <w:rPr>
                <w:rFonts w:ascii="Arial Narrow" w:hAnsi="Arial Narrow"/>
                <w:iCs/>
                <w:sz w:val="20"/>
                <w:lang w:val="en-US"/>
              </w:rPr>
              <w:t xml:space="preserve">High, </w:t>
            </w:r>
            <w:proofErr w:type="spellStart"/>
            <w:r w:rsidRPr="007C488A">
              <w:rPr>
                <w:rFonts w:ascii="Arial Narrow" w:hAnsi="Arial Narrow"/>
                <w:iCs/>
                <w:sz w:val="20"/>
                <w:lang w:val="en-US"/>
              </w:rPr>
              <w:t>favours</w:t>
            </w:r>
            <w:proofErr w:type="spellEnd"/>
            <w:r w:rsidRPr="007C488A">
              <w:rPr>
                <w:rFonts w:ascii="Arial Narrow" w:hAnsi="Arial Narrow"/>
                <w:iCs/>
                <w:sz w:val="20"/>
                <w:lang w:val="en-US"/>
              </w:rPr>
              <w:t xml:space="preserve"> OMM</w:t>
            </w:r>
          </w:p>
          <w:p w14:paraId="59EF7D0D" w14:textId="123A3DB6" w:rsidR="00EB2081" w:rsidRPr="007C488A" w:rsidRDefault="00EB2081" w:rsidP="00EB2081">
            <w:pPr>
              <w:spacing w:before="40" w:after="40" w:line="240" w:lineRule="auto"/>
              <w:jc w:val="both"/>
              <w:rPr>
                <w:rFonts w:ascii="Arial Narrow" w:hAnsi="Arial Narrow"/>
                <w:iCs/>
                <w:sz w:val="20"/>
                <w:lang w:val="en-US"/>
              </w:rPr>
            </w:pPr>
            <w:r w:rsidRPr="007C488A">
              <w:rPr>
                <w:rFonts w:ascii="Arial Narrow" w:hAnsi="Arial Narrow"/>
                <w:iCs/>
                <w:sz w:val="20"/>
                <w:lang w:val="en-US"/>
              </w:rPr>
              <w:t>Using a device cost of $58,460.00 decreased the ICER to $</w:t>
            </w:r>
            <w:r w:rsidR="00AB4627" w:rsidRPr="007C488A">
              <w:rPr>
                <w:rFonts w:ascii="Arial Narrow" w:eastAsiaTheme="majorEastAsia" w:hAnsi="Arial Narrow" w:cs="Times New Roman"/>
                <w:b/>
                <w:sz w:val="20"/>
                <w:szCs w:val="24"/>
                <w:lang w:val="en-US" w:eastAsia="en-AU"/>
              </w:rPr>
              <w:t>redacted</w:t>
            </w:r>
            <w:r w:rsidRPr="007C488A">
              <w:rPr>
                <w:rFonts w:ascii="Arial Narrow" w:hAnsi="Arial Narrow"/>
                <w:iCs/>
                <w:sz w:val="20"/>
                <w:lang w:val="en-US"/>
              </w:rPr>
              <w:t>/QALY gained.</w:t>
            </w:r>
          </w:p>
        </w:tc>
      </w:tr>
      <w:tr w:rsidR="00EB2081" w:rsidRPr="007C488A" w14:paraId="68ED8DCA" w14:textId="77777777" w:rsidTr="007D1A1F">
        <w:tc>
          <w:tcPr>
            <w:tcW w:w="862" w:type="pct"/>
          </w:tcPr>
          <w:p w14:paraId="54839FCC" w14:textId="77777777" w:rsidR="00EB2081" w:rsidRPr="007C488A" w:rsidRDefault="00EB2081" w:rsidP="00504075">
            <w:pPr>
              <w:spacing w:before="40" w:after="40" w:line="240" w:lineRule="auto"/>
              <w:rPr>
                <w:rFonts w:ascii="Arial Narrow" w:hAnsi="Arial Narrow"/>
                <w:sz w:val="20"/>
                <w:lang w:val="en-US"/>
              </w:rPr>
            </w:pPr>
            <w:r w:rsidRPr="007C488A">
              <w:rPr>
                <w:rFonts w:ascii="Arial Narrow" w:hAnsi="Arial Narrow"/>
                <w:sz w:val="20"/>
              </w:rPr>
              <w:t>KM curve fitting - LVAD arm, parametric model</w:t>
            </w:r>
          </w:p>
        </w:tc>
        <w:tc>
          <w:tcPr>
            <w:tcW w:w="1965" w:type="pct"/>
          </w:tcPr>
          <w:p w14:paraId="58963FCE" w14:textId="77777777" w:rsidR="00EB2081" w:rsidRPr="007C488A" w:rsidRDefault="00EB2081" w:rsidP="00EB2081">
            <w:pPr>
              <w:spacing w:before="40" w:after="40" w:line="240" w:lineRule="auto"/>
              <w:rPr>
                <w:rFonts w:ascii="Arial Narrow" w:hAnsi="Arial Narrow"/>
                <w:sz w:val="20"/>
                <w:lang w:val="en-US"/>
              </w:rPr>
            </w:pPr>
            <w:r w:rsidRPr="007C488A">
              <w:rPr>
                <w:rFonts w:ascii="Arial Narrow" w:hAnsi="Arial Narrow"/>
                <w:sz w:val="20"/>
              </w:rPr>
              <w:t>Generalised Gamma in base case</w:t>
            </w:r>
          </w:p>
        </w:tc>
        <w:tc>
          <w:tcPr>
            <w:tcW w:w="2173" w:type="pct"/>
          </w:tcPr>
          <w:p w14:paraId="171AB4DB" w14:textId="4D6DB1EF" w:rsidR="00EB2081" w:rsidRPr="007C488A" w:rsidRDefault="0085286D" w:rsidP="00EB2081">
            <w:pPr>
              <w:spacing w:before="40" w:after="40" w:line="240" w:lineRule="auto"/>
              <w:jc w:val="both"/>
              <w:rPr>
                <w:rFonts w:ascii="Arial Narrow" w:hAnsi="Arial Narrow"/>
                <w:iCs/>
                <w:sz w:val="20"/>
              </w:rPr>
            </w:pPr>
            <w:r w:rsidRPr="007C488A">
              <w:rPr>
                <w:rFonts w:ascii="Arial Narrow" w:hAnsi="Arial Narrow"/>
                <w:iCs/>
                <w:sz w:val="20"/>
              </w:rPr>
              <w:t xml:space="preserve">Moderate, </w:t>
            </w:r>
            <w:r w:rsidR="00EB2081" w:rsidRPr="007C488A">
              <w:rPr>
                <w:rFonts w:ascii="Arial Narrow" w:hAnsi="Arial Narrow"/>
                <w:iCs/>
                <w:sz w:val="20"/>
              </w:rPr>
              <w:t>favours LVAD</w:t>
            </w:r>
            <w:r w:rsidR="006107A7" w:rsidRPr="007C488A">
              <w:rPr>
                <w:rFonts w:ascii="Arial Narrow" w:hAnsi="Arial Narrow"/>
                <w:iCs/>
                <w:sz w:val="20"/>
              </w:rPr>
              <w:t xml:space="preserve"> </w:t>
            </w:r>
            <w:r w:rsidR="00EB2081" w:rsidRPr="007C488A">
              <w:rPr>
                <w:rFonts w:ascii="Arial Narrow" w:hAnsi="Arial Narrow"/>
                <w:iCs/>
                <w:sz w:val="20"/>
              </w:rPr>
              <w:t>+</w:t>
            </w:r>
            <w:r w:rsidR="006107A7" w:rsidRPr="007C488A">
              <w:rPr>
                <w:rFonts w:ascii="Arial Narrow" w:hAnsi="Arial Narrow"/>
                <w:iCs/>
                <w:sz w:val="20"/>
              </w:rPr>
              <w:t xml:space="preserve"> </w:t>
            </w:r>
            <w:r w:rsidR="00EB2081" w:rsidRPr="007C488A">
              <w:rPr>
                <w:rFonts w:ascii="Arial Narrow" w:hAnsi="Arial Narrow"/>
                <w:iCs/>
                <w:sz w:val="20"/>
              </w:rPr>
              <w:t xml:space="preserve">OMM </w:t>
            </w:r>
          </w:p>
          <w:p w14:paraId="62257BF8" w14:textId="1117E918" w:rsidR="00EB2081" w:rsidRPr="007C488A" w:rsidRDefault="00EB2081" w:rsidP="00EB2081">
            <w:pPr>
              <w:spacing w:before="40" w:after="40" w:line="240" w:lineRule="auto"/>
              <w:jc w:val="both"/>
              <w:rPr>
                <w:rFonts w:ascii="Arial Narrow" w:hAnsi="Arial Narrow"/>
                <w:iCs/>
                <w:sz w:val="20"/>
              </w:rPr>
            </w:pPr>
            <w:r w:rsidRPr="007C488A">
              <w:rPr>
                <w:rFonts w:ascii="Arial Narrow" w:hAnsi="Arial Narrow"/>
                <w:iCs/>
                <w:sz w:val="20"/>
              </w:rPr>
              <w:t>Using exponential distribution</w:t>
            </w:r>
            <w:r w:rsidR="0085286D" w:rsidRPr="007C488A">
              <w:rPr>
                <w:rFonts w:ascii="Arial Narrow" w:hAnsi="Arial Narrow"/>
                <w:iCs/>
                <w:sz w:val="20"/>
              </w:rPr>
              <w:t xml:space="preserve"> </w:t>
            </w:r>
            <w:r w:rsidRPr="007C488A">
              <w:rPr>
                <w:rFonts w:ascii="Arial Narrow" w:hAnsi="Arial Narrow"/>
                <w:iCs/>
                <w:sz w:val="20"/>
              </w:rPr>
              <w:t>increased the ICER to $</w:t>
            </w:r>
            <w:r w:rsidR="00AB4627" w:rsidRPr="007C488A">
              <w:rPr>
                <w:rFonts w:ascii="Arial Narrow" w:eastAsiaTheme="majorEastAsia" w:hAnsi="Arial Narrow" w:cs="Times New Roman"/>
                <w:b/>
                <w:sz w:val="20"/>
                <w:szCs w:val="24"/>
                <w:lang w:val="en-US" w:eastAsia="en-AU"/>
              </w:rPr>
              <w:t>redacted</w:t>
            </w:r>
            <w:r w:rsidRPr="007C488A">
              <w:rPr>
                <w:rFonts w:ascii="Arial Narrow" w:hAnsi="Arial Narrow"/>
                <w:iCs/>
                <w:sz w:val="20"/>
              </w:rPr>
              <w:t>/QALY gained.</w:t>
            </w:r>
          </w:p>
          <w:p w14:paraId="5311B22F" w14:textId="77777777" w:rsidR="00EB2081" w:rsidRPr="007C488A" w:rsidRDefault="00EB2081" w:rsidP="00EB2081">
            <w:pPr>
              <w:spacing w:before="40" w:after="40" w:line="240" w:lineRule="auto"/>
              <w:jc w:val="both"/>
              <w:rPr>
                <w:rFonts w:ascii="Arial Narrow" w:hAnsi="Arial Narrow"/>
                <w:iCs/>
                <w:sz w:val="20"/>
                <w:lang w:val="en-US"/>
              </w:rPr>
            </w:pPr>
          </w:p>
        </w:tc>
      </w:tr>
    </w:tbl>
    <w:p w14:paraId="7C655A9E" w14:textId="35892E91" w:rsidR="00EB2081" w:rsidRPr="007C488A" w:rsidRDefault="00EB2081" w:rsidP="00EA4FE5">
      <w:pPr>
        <w:pStyle w:val="Tablenotes0"/>
        <w:rPr>
          <w:snapToGrid w:val="0"/>
          <w:lang w:eastAsia="en-AU"/>
        </w:rPr>
      </w:pPr>
      <w:bookmarkStart w:id="58" w:name="_Hlk68276635"/>
      <w:bookmarkEnd w:id="57"/>
      <w:r w:rsidRPr="007C488A">
        <w:rPr>
          <w:snapToGrid w:val="0"/>
          <w:lang w:eastAsia="en-AU"/>
        </w:rPr>
        <w:t xml:space="preserve">Abbreviations: </w:t>
      </w:r>
      <w:r w:rsidR="006107A7" w:rsidRPr="007C488A">
        <w:rPr>
          <w:snapToGrid w:val="0"/>
          <w:lang w:eastAsia="en-AU"/>
        </w:rPr>
        <w:t xml:space="preserve">AE = adverse event; </w:t>
      </w:r>
      <w:r w:rsidRPr="007C488A">
        <w:rPr>
          <w:snapToGrid w:val="0"/>
          <w:lang w:eastAsia="en-AU"/>
        </w:rPr>
        <w:t>OMM = Optimum medical management;</w:t>
      </w:r>
      <w:r w:rsidR="005F7DDD" w:rsidRPr="007C488A">
        <w:rPr>
          <w:snapToGrid w:val="0"/>
          <w:lang w:eastAsia="en-AU"/>
        </w:rPr>
        <w:t xml:space="preserve"> OS = overall </w:t>
      </w:r>
      <w:r w:rsidR="006B758C" w:rsidRPr="007C488A">
        <w:rPr>
          <w:snapToGrid w:val="0"/>
          <w:lang w:eastAsia="en-AU"/>
        </w:rPr>
        <w:t>survival; ICER</w:t>
      </w:r>
      <w:r w:rsidRPr="007C488A">
        <w:rPr>
          <w:snapToGrid w:val="0"/>
          <w:lang w:eastAsia="en-AU"/>
        </w:rPr>
        <w:t xml:space="preserve"> = incremental cost-effectiveness ratio;</w:t>
      </w:r>
      <w:r w:rsidR="005E59D7" w:rsidRPr="007C488A">
        <w:rPr>
          <w:snapToGrid w:val="0"/>
          <w:lang w:eastAsia="en-AU"/>
        </w:rPr>
        <w:t xml:space="preserve"> ITC = indirect treatment comparison; </w:t>
      </w:r>
      <w:r w:rsidRPr="007C488A">
        <w:rPr>
          <w:snapToGrid w:val="0"/>
          <w:lang w:eastAsia="en-AU"/>
        </w:rPr>
        <w:t xml:space="preserve">LVAD = left ventricular assist device, </w:t>
      </w:r>
      <w:r w:rsidR="005E59D7" w:rsidRPr="007C488A">
        <w:rPr>
          <w:snapToGrid w:val="0"/>
          <w:lang w:eastAsia="en-AU"/>
        </w:rPr>
        <w:t xml:space="preserve">KM = Kaplan Meier; </w:t>
      </w:r>
      <w:r w:rsidRPr="007C488A">
        <w:rPr>
          <w:snapToGrid w:val="0"/>
          <w:lang w:eastAsia="en-AU"/>
        </w:rPr>
        <w:t xml:space="preserve">QALY = quality-adjusted life year. </w:t>
      </w:r>
    </w:p>
    <w:bookmarkEnd w:id="58"/>
    <w:p w14:paraId="5752503D" w14:textId="1CD600AE" w:rsidR="00EB2081" w:rsidRPr="007C488A" w:rsidRDefault="00EB2081" w:rsidP="00EB2081">
      <w:pPr>
        <w:jc w:val="both"/>
      </w:pPr>
      <w:r w:rsidRPr="007C488A">
        <w:lastRenderedPageBreak/>
        <w:t>The results of key univariate sensitivity analyses provided in the ADAR</w:t>
      </w:r>
      <w:r w:rsidR="006433AC" w:rsidRPr="007C488A">
        <w:t xml:space="preserve"> and conducted b</w:t>
      </w:r>
      <w:r w:rsidR="004F3C90" w:rsidRPr="007C488A">
        <w:t>y commentary</w:t>
      </w:r>
      <w:r w:rsidRPr="007C488A">
        <w:t xml:space="preserve"> are summarised in </w:t>
      </w:r>
      <w:r w:rsidR="00E17863" w:rsidRPr="007C488A">
        <w:fldChar w:fldCharType="begin"/>
      </w:r>
      <w:r w:rsidR="00E17863" w:rsidRPr="007C488A">
        <w:instrText xml:space="preserve"> REF _Ref69726347 \h </w:instrText>
      </w:r>
      <w:r w:rsidR="007C488A">
        <w:instrText xml:space="preserve"> \* MERGEFORMAT </w:instrText>
      </w:r>
      <w:r w:rsidR="00E17863" w:rsidRPr="007C488A">
        <w:fldChar w:fldCharType="separate"/>
      </w:r>
      <w:r w:rsidR="00406484" w:rsidRPr="007C488A">
        <w:t>Table </w:t>
      </w:r>
      <w:r w:rsidR="00406484" w:rsidRPr="007C488A">
        <w:rPr>
          <w:noProof/>
        </w:rPr>
        <w:t>11</w:t>
      </w:r>
      <w:r w:rsidR="00E17863" w:rsidRPr="007C488A">
        <w:fldChar w:fldCharType="end"/>
      </w:r>
      <w:r w:rsidRPr="007C488A">
        <w:t>.</w:t>
      </w:r>
    </w:p>
    <w:p w14:paraId="40202F2A" w14:textId="67CE8FC8" w:rsidR="0007432A" w:rsidRPr="007C488A" w:rsidRDefault="0007432A" w:rsidP="00EB2081">
      <w:pPr>
        <w:jc w:val="both"/>
      </w:pPr>
      <w:r w:rsidRPr="007C488A">
        <w:t>The multivariate sensitivity analysis performed by the commentary showed that assuming a time horizon of 10-year, health state utility - LVAD subsequent cycles 0.59, applying the “HR” method of extrapolati</w:t>
      </w:r>
      <w:r w:rsidR="002214CE" w:rsidRPr="007C488A">
        <w:t>on (as provided</w:t>
      </w:r>
      <w:r w:rsidRPr="007C488A">
        <w:t xml:space="preserve"> in the economic model</w:t>
      </w:r>
      <w:r w:rsidR="002214CE" w:rsidRPr="007C488A">
        <w:t>)</w:t>
      </w:r>
      <w:r w:rsidRPr="007C488A">
        <w:t xml:space="preserve"> and OMM disease related costs </w:t>
      </w:r>
      <w:r w:rsidR="002214CE" w:rsidRPr="007C488A">
        <w:t xml:space="preserve">in the </w:t>
      </w:r>
      <w:r w:rsidRPr="007C488A">
        <w:t>1st cycle</w:t>
      </w:r>
      <w:r w:rsidR="002214CE" w:rsidRPr="007C488A">
        <w:t xml:space="preserve"> of</w:t>
      </w:r>
      <w:r w:rsidRPr="007C488A">
        <w:t xml:space="preserve"> $0</w:t>
      </w:r>
      <w:r w:rsidR="002214CE" w:rsidRPr="007C488A">
        <w:t>,</w:t>
      </w:r>
      <w:r w:rsidRPr="007C488A">
        <w:t xml:space="preserve"> would increase the ICER from $</w:t>
      </w:r>
      <w:r w:rsidR="00C60AE9" w:rsidRPr="007C488A">
        <w:rPr>
          <w:b/>
          <w:bCs/>
        </w:rPr>
        <w:t>redacted</w:t>
      </w:r>
      <w:r w:rsidRPr="007C488A">
        <w:t>/QALY (base case) to $</w:t>
      </w:r>
      <w:r w:rsidR="00C60AE9" w:rsidRPr="007C488A">
        <w:rPr>
          <w:b/>
          <w:bCs/>
        </w:rPr>
        <w:t>redacted</w:t>
      </w:r>
      <w:r w:rsidRPr="007C488A">
        <w:t xml:space="preserve">/QALY. </w:t>
      </w:r>
    </w:p>
    <w:p w14:paraId="0BDD2348" w14:textId="3B700125" w:rsidR="00EB2081" w:rsidRPr="007C488A" w:rsidRDefault="00EB2081" w:rsidP="00275263">
      <w:pPr>
        <w:pStyle w:val="Caption"/>
        <w:spacing w:before="0" w:after="0"/>
      </w:pPr>
      <w:bookmarkStart w:id="59" w:name="_Ref69726347"/>
      <w:r w:rsidRPr="007C488A">
        <w:t>Table </w:t>
      </w:r>
      <w:r w:rsidRPr="007C488A">
        <w:fldChar w:fldCharType="begin"/>
      </w:r>
      <w:r w:rsidRPr="007C488A">
        <w:instrText>SEQ Table \* ARABIC</w:instrText>
      </w:r>
      <w:r w:rsidRPr="007C488A">
        <w:fldChar w:fldCharType="separate"/>
      </w:r>
      <w:r w:rsidR="00406484" w:rsidRPr="007C488A">
        <w:rPr>
          <w:noProof/>
        </w:rPr>
        <w:t>11</w:t>
      </w:r>
      <w:r w:rsidRPr="007C488A">
        <w:fldChar w:fldCharType="end"/>
      </w:r>
      <w:bookmarkEnd w:id="59"/>
      <w:r w:rsidR="00886AD7" w:rsidRPr="007C488A">
        <w:rPr>
          <w:noProof/>
        </w:rPr>
        <w:t xml:space="preserve">: </w:t>
      </w:r>
      <w:r w:rsidRPr="007C488A">
        <w:t>Sensitivity analyses</w:t>
      </w:r>
      <w:bookmarkStart w:id="60" w:name="_Hlk68276759"/>
    </w:p>
    <w:tbl>
      <w:tblPr>
        <w:tblStyle w:val="TableGrid"/>
        <w:tblW w:w="0" w:type="auto"/>
        <w:tblLook w:val="04A0" w:firstRow="1" w:lastRow="0" w:firstColumn="1" w:lastColumn="0" w:noHBand="0" w:noVBand="1"/>
      </w:tblPr>
      <w:tblGrid>
        <w:gridCol w:w="2186"/>
        <w:gridCol w:w="1260"/>
        <w:gridCol w:w="1129"/>
        <w:gridCol w:w="1175"/>
        <w:gridCol w:w="1137"/>
        <w:gridCol w:w="1046"/>
        <w:gridCol w:w="1083"/>
      </w:tblGrid>
      <w:tr w:rsidR="00EB2081" w:rsidRPr="007C488A" w14:paraId="503BD136" w14:textId="77777777" w:rsidTr="00D545A2">
        <w:trPr>
          <w:trHeight w:val="288"/>
          <w:tblHeader/>
        </w:trPr>
        <w:tc>
          <w:tcPr>
            <w:tcW w:w="2186" w:type="dxa"/>
            <w:shd w:val="clear" w:color="auto" w:fill="auto"/>
          </w:tcPr>
          <w:p w14:paraId="3D9F42F2" w14:textId="77777777" w:rsidR="00EB2081" w:rsidRPr="007C488A" w:rsidRDefault="00EB2081" w:rsidP="00275263">
            <w:pPr>
              <w:spacing w:before="0"/>
              <w:rPr>
                <w:rFonts w:ascii="Arial Narrow" w:hAnsi="Arial Narrow"/>
                <w:b/>
                <w:bCs/>
                <w:sz w:val="20"/>
              </w:rPr>
            </w:pPr>
            <w:r w:rsidRPr="007C488A">
              <w:rPr>
                <w:rFonts w:ascii="Arial Narrow" w:hAnsi="Arial Narrow"/>
                <w:b/>
                <w:bCs/>
                <w:sz w:val="20"/>
              </w:rPr>
              <w:t>Parameter</w:t>
            </w:r>
          </w:p>
        </w:tc>
        <w:tc>
          <w:tcPr>
            <w:tcW w:w="1260" w:type="dxa"/>
            <w:shd w:val="clear" w:color="auto" w:fill="auto"/>
          </w:tcPr>
          <w:p w14:paraId="21D803D3" w14:textId="77777777" w:rsidR="00EB2081" w:rsidRPr="007C488A" w:rsidRDefault="00EB2081" w:rsidP="00275263">
            <w:pPr>
              <w:spacing w:before="0"/>
              <w:rPr>
                <w:rFonts w:ascii="Arial Narrow" w:hAnsi="Arial Narrow"/>
                <w:b/>
                <w:bCs/>
                <w:sz w:val="20"/>
              </w:rPr>
            </w:pPr>
            <w:r w:rsidRPr="007C488A">
              <w:rPr>
                <w:rFonts w:ascii="Arial Narrow" w:hAnsi="Arial Narrow"/>
                <w:b/>
                <w:bCs/>
                <w:sz w:val="20"/>
              </w:rPr>
              <w:t>Base Case</w:t>
            </w:r>
          </w:p>
        </w:tc>
        <w:tc>
          <w:tcPr>
            <w:tcW w:w="1129" w:type="dxa"/>
            <w:shd w:val="clear" w:color="auto" w:fill="auto"/>
          </w:tcPr>
          <w:p w14:paraId="77177B2F" w14:textId="77777777" w:rsidR="00EB2081" w:rsidRPr="007C488A" w:rsidRDefault="00EB2081" w:rsidP="00275263">
            <w:pPr>
              <w:spacing w:before="0"/>
              <w:rPr>
                <w:rFonts w:ascii="Arial Narrow" w:hAnsi="Arial Narrow"/>
                <w:b/>
                <w:bCs/>
                <w:sz w:val="20"/>
              </w:rPr>
            </w:pPr>
            <w:r w:rsidRPr="007C488A">
              <w:rPr>
                <w:rFonts w:ascii="Arial Narrow" w:hAnsi="Arial Narrow"/>
                <w:b/>
                <w:bCs/>
                <w:sz w:val="20"/>
              </w:rPr>
              <w:t>Sensitivity</w:t>
            </w:r>
          </w:p>
        </w:tc>
        <w:tc>
          <w:tcPr>
            <w:tcW w:w="1175" w:type="dxa"/>
            <w:shd w:val="clear" w:color="auto" w:fill="auto"/>
            <w:noWrap/>
          </w:tcPr>
          <w:p w14:paraId="5ADDA97E" w14:textId="698F66ED" w:rsidR="00EB2081" w:rsidRPr="007C488A" w:rsidRDefault="00EB2081" w:rsidP="00275263">
            <w:pPr>
              <w:spacing w:before="0"/>
              <w:rPr>
                <w:rFonts w:ascii="Arial Narrow" w:hAnsi="Arial Narrow"/>
                <w:b/>
                <w:bCs/>
                <w:sz w:val="20"/>
              </w:rPr>
            </w:pPr>
            <w:r w:rsidRPr="007C488A">
              <w:rPr>
                <w:rFonts w:ascii="Arial Narrow" w:hAnsi="Arial Narrow"/>
                <w:b/>
                <w:bCs/>
                <w:sz w:val="20"/>
              </w:rPr>
              <w:t>Incremental Cost</w:t>
            </w:r>
          </w:p>
        </w:tc>
        <w:tc>
          <w:tcPr>
            <w:tcW w:w="1137" w:type="dxa"/>
            <w:shd w:val="clear" w:color="auto" w:fill="auto"/>
            <w:noWrap/>
          </w:tcPr>
          <w:p w14:paraId="04BC2483" w14:textId="77777777" w:rsidR="00EB2081" w:rsidRPr="007C488A" w:rsidRDefault="00EB2081" w:rsidP="00275263">
            <w:pPr>
              <w:spacing w:before="0"/>
              <w:rPr>
                <w:rFonts w:ascii="Arial Narrow" w:hAnsi="Arial Narrow"/>
                <w:b/>
                <w:bCs/>
                <w:sz w:val="20"/>
              </w:rPr>
            </w:pPr>
            <w:r w:rsidRPr="007C488A">
              <w:rPr>
                <w:rFonts w:ascii="Arial Narrow" w:hAnsi="Arial Narrow"/>
                <w:b/>
                <w:bCs/>
                <w:sz w:val="20"/>
              </w:rPr>
              <w:t>Incremental QALY</w:t>
            </w:r>
          </w:p>
        </w:tc>
        <w:tc>
          <w:tcPr>
            <w:tcW w:w="1046" w:type="dxa"/>
            <w:shd w:val="clear" w:color="auto" w:fill="auto"/>
            <w:noWrap/>
          </w:tcPr>
          <w:p w14:paraId="40D171FB" w14:textId="3D6C8F27" w:rsidR="00EB2081" w:rsidRPr="007C488A" w:rsidRDefault="00EB2081" w:rsidP="00275263">
            <w:pPr>
              <w:spacing w:before="0"/>
              <w:rPr>
                <w:rFonts w:ascii="Arial Narrow" w:hAnsi="Arial Narrow"/>
                <w:b/>
                <w:bCs/>
                <w:sz w:val="20"/>
              </w:rPr>
            </w:pPr>
            <w:r w:rsidRPr="007C488A">
              <w:rPr>
                <w:rFonts w:ascii="Arial Narrow" w:hAnsi="Arial Narrow"/>
                <w:b/>
                <w:bCs/>
                <w:sz w:val="20"/>
              </w:rPr>
              <w:t>ICER</w:t>
            </w:r>
          </w:p>
        </w:tc>
        <w:tc>
          <w:tcPr>
            <w:tcW w:w="1083" w:type="dxa"/>
            <w:shd w:val="clear" w:color="auto" w:fill="auto"/>
            <w:noWrap/>
          </w:tcPr>
          <w:p w14:paraId="3E0E9375" w14:textId="77777777" w:rsidR="00EB2081" w:rsidRPr="007C488A" w:rsidRDefault="00EB2081" w:rsidP="00275263">
            <w:pPr>
              <w:spacing w:before="0"/>
              <w:rPr>
                <w:rFonts w:ascii="Arial Narrow" w:hAnsi="Arial Narrow"/>
                <w:b/>
                <w:bCs/>
                <w:sz w:val="20"/>
              </w:rPr>
            </w:pPr>
            <w:r w:rsidRPr="007C488A">
              <w:rPr>
                <w:rFonts w:ascii="Arial Narrow" w:hAnsi="Arial Narrow"/>
                <w:b/>
                <w:bCs/>
                <w:sz w:val="20"/>
              </w:rPr>
              <w:t>% change from base case ICER</w:t>
            </w:r>
          </w:p>
        </w:tc>
      </w:tr>
      <w:tr w:rsidR="00EB2081" w:rsidRPr="007C488A" w14:paraId="69822F4D" w14:textId="77777777" w:rsidTr="00D545A2">
        <w:trPr>
          <w:trHeight w:val="288"/>
        </w:trPr>
        <w:tc>
          <w:tcPr>
            <w:tcW w:w="2186" w:type="dxa"/>
          </w:tcPr>
          <w:p w14:paraId="21D5D910" w14:textId="77777777" w:rsidR="00EB2081" w:rsidRPr="007C488A" w:rsidRDefault="00EB2081" w:rsidP="00275263">
            <w:pPr>
              <w:spacing w:before="0"/>
              <w:rPr>
                <w:rFonts w:ascii="Arial Narrow" w:hAnsi="Arial Narrow"/>
                <w:b/>
                <w:bCs/>
                <w:sz w:val="20"/>
              </w:rPr>
            </w:pPr>
            <w:r w:rsidRPr="007C488A">
              <w:rPr>
                <w:rFonts w:ascii="Arial Narrow" w:hAnsi="Arial Narrow"/>
                <w:b/>
                <w:bCs/>
                <w:sz w:val="20"/>
              </w:rPr>
              <w:t>Base Case</w:t>
            </w:r>
          </w:p>
        </w:tc>
        <w:tc>
          <w:tcPr>
            <w:tcW w:w="1260" w:type="dxa"/>
          </w:tcPr>
          <w:p w14:paraId="23F5097D" w14:textId="77777777" w:rsidR="00EB2081" w:rsidRPr="007C488A" w:rsidRDefault="00EB2081" w:rsidP="00275263">
            <w:pPr>
              <w:spacing w:before="0"/>
              <w:rPr>
                <w:rFonts w:ascii="Arial Narrow" w:hAnsi="Arial Narrow"/>
                <w:b/>
                <w:bCs/>
                <w:sz w:val="20"/>
              </w:rPr>
            </w:pPr>
          </w:p>
        </w:tc>
        <w:tc>
          <w:tcPr>
            <w:tcW w:w="1129" w:type="dxa"/>
          </w:tcPr>
          <w:p w14:paraId="0A79CF9D" w14:textId="77777777" w:rsidR="00EB2081" w:rsidRPr="007C488A" w:rsidRDefault="00EB2081" w:rsidP="00275263">
            <w:pPr>
              <w:spacing w:before="0"/>
              <w:rPr>
                <w:rFonts w:ascii="Arial Narrow" w:hAnsi="Arial Narrow"/>
                <w:b/>
                <w:bCs/>
                <w:sz w:val="20"/>
              </w:rPr>
            </w:pPr>
          </w:p>
        </w:tc>
        <w:tc>
          <w:tcPr>
            <w:tcW w:w="1175" w:type="dxa"/>
            <w:noWrap/>
          </w:tcPr>
          <w:p w14:paraId="7E1E6D48" w14:textId="7E345082" w:rsidR="00EB2081" w:rsidRPr="007C488A" w:rsidRDefault="00EB2081" w:rsidP="00275263">
            <w:pPr>
              <w:spacing w:before="0"/>
              <w:jc w:val="center"/>
              <w:rPr>
                <w:rFonts w:ascii="Arial Narrow" w:hAnsi="Arial Narrow"/>
                <w:b/>
                <w:bCs/>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70536CA6" w14:textId="77777777" w:rsidR="00EB2081" w:rsidRPr="007C488A" w:rsidRDefault="00EB2081" w:rsidP="00275263">
            <w:pPr>
              <w:spacing w:before="0"/>
              <w:jc w:val="center"/>
              <w:rPr>
                <w:rFonts w:ascii="Arial Narrow" w:hAnsi="Arial Narrow"/>
                <w:b/>
                <w:bCs/>
                <w:sz w:val="20"/>
              </w:rPr>
            </w:pPr>
            <w:r w:rsidRPr="007C488A">
              <w:rPr>
                <w:rFonts w:ascii="Arial Narrow" w:hAnsi="Arial Narrow"/>
                <w:sz w:val="20"/>
              </w:rPr>
              <w:t>4.671</w:t>
            </w:r>
          </w:p>
        </w:tc>
        <w:tc>
          <w:tcPr>
            <w:tcW w:w="1046" w:type="dxa"/>
            <w:noWrap/>
          </w:tcPr>
          <w:p w14:paraId="4B7C0222" w14:textId="6C6BE4FA" w:rsidR="00EB2081" w:rsidRPr="007C488A" w:rsidRDefault="00EB2081" w:rsidP="00275263">
            <w:pPr>
              <w:spacing w:before="0"/>
              <w:jc w:val="center"/>
              <w:rPr>
                <w:rFonts w:ascii="Arial Narrow" w:hAnsi="Arial Narrow"/>
                <w:b/>
                <w:bCs/>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tcPr>
          <w:p w14:paraId="6F6AA67E" w14:textId="77777777" w:rsidR="00EB2081" w:rsidRPr="007C488A" w:rsidRDefault="00EB2081" w:rsidP="00275263">
            <w:pPr>
              <w:spacing w:before="0"/>
              <w:jc w:val="center"/>
              <w:rPr>
                <w:rFonts w:ascii="Arial Narrow" w:hAnsi="Arial Narrow"/>
                <w:b/>
                <w:bCs/>
                <w:sz w:val="20"/>
              </w:rPr>
            </w:pPr>
            <w:r w:rsidRPr="007C488A">
              <w:rPr>
                <w:rFonts w:ascii="Arial Narrow" w:hAnsi="Arial Narrow"/>
                <w:sz w:val="20"/>
              </w:rPr>
              <w:t>0%</w:t>
            </w:r>
          </w:p>
        </w:tc>
      </w:tr>
      <w:tr w:rsidR="00EA4FE5" w:rsidRPr="007C488A" w14:paraId="502B2651" w14:textId="77777777" w:rsidTr="00D545A2">
        <w:trPr>
          <w:trHeight w:val="288"/>
        </w:trPr>
        <w:tc>
          <w:tcPr>
            <w:tcW w:w="2186" w:type="dxa"/>
            <w:vMerge w:val="restart"/>
            <w:hideMark/>
          </w:tcPr>
          <w:p w14:paraId="425D7CCE" w14:textId="77777777" w:rsidR="00EA4FE5" w:rsidRPr="007C488A" w:rsidRDefault="00EA4FE5" w:rsidP="00275263">
            <w:pPr>
              <w:spacing w:before="0"/>
              <w:rPr>
                <w:rFonts w:ascii="Arial Narrow" w:hAnsi="Arial Narrow"/>
                <w:sz w:val="20"/>
              </w:rPr>
            </w:pPr>
            <w:r w:rsidRPr="007C488A">
              <w:rPr>
                <w:rFonts w:ascii="Arial Narrow" w:hAnsi="Arial Narrow"/>
                <w:sz w:val="20"/>
              </w:rPr>
              <w:t>Discount rate</w:t>
            </w:r>
          </w:p>
        </w:tc>
        <w:tc>
          <w:tcPr>
            <w:tcW w:w="1260" w:type="dxa"/>
            <w:hideMark/>
          </w:tcPr>
          <w:p w14:paraId="1789D0E4" w14:textId="77777777" w:rsidR="00EA4FE5" w:rsidRPr="007C488A" w:rsidRDefault="00EA4FE5" w:rsidP="00275263">
            <w:pPr>
              <w:spacing w:before="0"/>
              <w:rPr>
                <w:rFonts w:ascii="Arial Narrow" w:hAnsi="Arial Narrow"/>
                <w:sz w:val="20"/>
              </w:rPr>
            </w:pPr>
            <w:r w:rsidRPr="007C488A">
              <w:rPr>
                <w:rFonts w:ascii="Arial Narrow" w:hAnsi="Arial Narrow"/>
                <w:sz w:val="20"/>
              </w:rPr>
              <w:t>5%</w:t>
            </w:r>
          </w:p>
        </w:tc>
        <w:tc>
          <w:tcPr>
            <w:tcW w:w="1129" w:type="dxa"/>
            <w:hideMark/>
          </w:tcPr>
          <w:p w14:paraId="1D1F7D71" w14:textId="77777777" w:rsidR="00EA4FE5" w:rsidRPr="007C488A" w:rsidRDefault="00EA4FE5" w:rsidP="00275263">
            <w:pPr>
              <w:spacing w:before="0"/>
              <w:rPr>
                <w:rFonts w:ascii="Arial Narrow" w:hAnsi="Arial Narrow"/>
                <w:sz w:val="20"/>
              </w:rPr>
            </w:pPr>
            <w:r w:rsidRPr="007C488A">
              <w:rPr>
                <w:rFonts w:ascii="Arial Narrow" w:hAnsi="Arial Narrow"/>
                <w:sz w:val="20"/>
              </w:rPr>
              <w:t>0.0%</w:t>
            </w:r>
          </w:p>
        </w:tc>
        <w:tc>
          <w:tcPr>
            <w:tcW w:w="1175" w:type="dxa"/>
            <w:noWrap/>
            <w:hideMark/>
          </w:tcPr>
          <w:p w14:paraId="5C1C1DE2" w14:textId="4A32E956"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3DB34C08"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7.100</w:t>
            </w:r>
          </w:p>
        </w:tc>
        <w:tc>
          <w:tcPr>
            <w:tcW w:w="1046" w:type="dxa"/>
            <w:noWrap/>
            <w:hideMark/>
          </w:tcPr>
          <w:p w14:paraId="22789C16" w14:textId="522B9959"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0808AEEB"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-26%</w:t>
            </w:r>
          </w:p>
        </w:tc>
      </w:tr>
      <w:tr w:rsidR="00EA4FE5" w:rsidRPr="007C488A" w14:paraId="61D00C23" w14:textId="77777777" w:rsidTr="00D545A2">
        <w:trPr>
          <w:trHeight w:val="288"/>
        </w:trPr>
        <w:tc>
          <w:tcPr>
            <w:tcW w:w="2186" w:type="dxa"/>
            <w:vMerge/>
            <w:hideMark/>
          </w:tcPr>
          <w:p w14:paraId="2269CD11" w14:textId="77777777" w:rsidR="00EA4FE5" w:rsidRPr="007C488A" w:rsidRDefault="00EA4FE5" w:rsidP="00275263">
            <w:pPr>
              <w:spacing w:before="0"/>
              <w:rPr>
                <w:rFonts w:ascii="Arial Narrow" w:hAnsi="Arial Narrow"/>
                <w:sz w:val="20"/>
              </w:rPr>
            </w:pPr>
          </w:p>
        </w:tc>
        <w:tc>
          <w:tcPr>
            <w:tcW w:w="1260" w:type="dxa"/>
            <w:hideMark/>
          </w:tcPr>
          <w:p w14:paraId="4FECBE45" w14:textId="77777777" w:rsidR="00EA4FE5" w:rsidRPr="007C488A" w:rsidRDefault="00EA4FE5" w:rsidP="00275263">
            <w:pPr>
              <w:spacing w:before="0"/>
              <w:rPr>
                <w:rFonts w:ascii="Arial Narrow" w:hAnsi="Arial Narrow"/>
                <w:sz w:val="20"/>
              </w:rPr>
            </w:pPr>
          </w:p>
        </w:tc>
        <w:tc>
          <w:tcPr>
            <w:tcW w:w="1129" w:type="dxa"/>
            <w:hideMark/>
          </w:tcPr>
          <w:p w14:paraId="484C46A4" w14:textId="77777777" w:rsidR="00EA4FE5" w:rsidRPr="007C488A" w:rsidRDefault="00EA4FE5" w:rsidP="00275263">
            <w:pPr>
              <w:spacing w:before="0"/>
              <w:rPr>
                <w:rFonts w:ascii="Arial Narrow" w:hAnsi="Arial Narrow"/>
                <w:sz w:val="20"/>
              </w:rPr>
            </w:pPr>
            <w:r w:rsidRPr="007C488A">
              <w:rPr>
                <w:rFonts w:ascii="Arial Narrow" w:hAnsi="Arial Narrow"/>
                <w:sz w:val="20"/>
              </w:rPr>
              <w:t>3.5%</w:t>
            </w:r>
          </w:p>
        </w:tc>
        <w:tc>
          <w:tcPr>
            <w:tcW w:w="1175" w:type="dxa"/>
            <w:noWrap/>
            <w:hideMark/>
          </w:tcPr>
          <w:p w14:paraId="313ED8CC" w14:textId="163D105C"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530FCE12"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5.221</w:t>
            </w:r>
          </w:p>
        </w:tc>
        <w:tc>
          <w:tcPr>
            <w:tcW w:w="1046" w:type="dxa"/>
            <w:noWrap/>
            <w:hideMark/>
          </w:tcPr>
          <w:p w14:paraId="206158B7" w14:textId="6BAFF14D"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51952598"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-8%</w:t>
            </w:r>
          </w:p>
        </w:tc>
      </w:tr>
      <w:tr w:rsidR="00EA4FE5" w:rsidRPr="007C488A" w14:paraId="1B529512" w14:textId="77777777" w:rsidTr="00D545A2">
        <w:trPr>
          <w:trHeight w:val="288"/>
        </w:trPr>
        <w:tc>
          <w:tcPr>
            <w:tcW w:w="2186" w:type="dxa"/>
            <w:vMerge w:val="restart"/>
            <w:hideMark/>
          </w:tcPr>
          <w:p w14:paraId="056E8557" w14:textId="77777777" w:rsidR="00EA4FE5" w:rsidRPr="007C488A" w:rsidRDefault="00EA4FE5" w:rsidP="00275263">
            <w:pPr>
              <w:spacing w:before="0"/>
              <w:rPr>
                <w:rFonts w:ascii="Arial Narrow" w:hAnsi="Arial Narrow"/>
                <w:sz w:val="20"/>
              </w:rPr>
            </w:pPr>
            <w:r w:rsidRPr="007C488A">
              <w:rPr>
                <w:rFonts w:ascii="Arial Narrow" w:hAnsi="Arial Narrow"/>
                <w:sz w:val="20"/>
              </w:rPr>
              <w:t>Time horizon</w:t>
            </w:r>
          </w:p>
        </w:tc>
        <w:tc>
          <w:tcPr>
            <w:tcW w:w="1260" w:type="dxa"/>
            <w:hideMark/>
          </w:tcPr>
          <w:p w14:paraId="7BFE2049" w14:textId="77777777" w:rsidR="00EA4FE5" w:rsidRPr="007C488A" w:rsidRDefault="00EA4FE5" w:rsidP="00275263">
            <w:pPr>
              <w:spacing w:before="0"/>
              <w:rPr>
                <w:rFonts w:ascii="Arial Narrow" w:hAnsi="Arial Narrow"/>
                <w:sz w:val="20"/>
              </w:rPr>
            </w:pPr>
            <w:r w:rsidRPr="007C488A">
              <w:rPr>
                <w:rFonts w:ascii="Arial Narrow" w:hAnsi="Arial Narrow"/>
                <w:sz w:val="20"/>
              </w:rPr>
              <w:t>Lifetime</w:t>
            </w:r>
          </w:p>
        </w:tc>
        <w:tc>
          <w:tcPr>
            <w:tcW w:w="1129" w:type="dxa"/>
            <w:hideMark/>
          </w:tcPr>
          <w:p w14:paraId="5F298DDF" w14:textId="77777777" w:rsidR="00EA4FE5" w:rsidRPr="007C488A" w:rsidRDefault="00EA4FE5" w:rsidP="00275263">
            <w:pPr>
              <w:spacing w:before="0"/>
              <w:rPr>
                <w:rFonts w:ascii="Arial Narrow" w:hAnsi="Arial Narrow"/>
                <w:sz w:val="20"/>
              </w:rPr>
            </w:pPr>
            <w:r w:rsidRPr="007C488A">
              <w:rPr>
                <w:rFonts w:ascii="Arial Narrow" w:hAnsi="Arial Narrow"/>
                <w:sz w:val="20"/>
              </w:rPr>
              <w:t>5</w:t>
            </w:r>
          </w:p>
        </w:tc>
        <w:tc>
          <w:tcPr>
            <w:tcW w:w="1175" w:type="dxa"/>
            <w:noWrap/>
            <w:hideMark/>
          </w:tcPr>
          <w:p w14:paraId="58349FDE" w14:textId="01271911"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75E5EB26"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2.198</w:t>
            </w:r>
          </w:p>
        </w:tc>
        <w:tc>
          <w:tcPr>
            <w:tcW w:w="1046" w:type="dxa"/>
            <w:noWrap/>
            <w:hideMark/>
          </w:tcPr>
          <w:p w14:paraId="107B1967" w14:textId="41DFD595"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5D8A3CFD"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86%</w:t>
            </w:r>
          </w:p>
        </w:tc>
      </w:tr>
      <w:tr w:rsidR="00EA4FE5" w:rsidRPr="007C488A" w14:paraId="41C4E7D2" w14:textId="77777777" w:rsidTr="00D545A2">
        <w:trPr>
          <w:trHeight w:val="288"/>
        </w:trPr>
        <w:tc>
          <w:tcPr>
            <w:tcW w:w="2186" w:type="dxa"/>
            <w:vMerge/>
            <w:hideMark/>
          </w:tcPr>
          <w:p w14:paraId="4A2DA13D" w14:textId="77777777" w:rsidR="00EA4FE5" w:rsidRPr="007C488A" w:rsidRDefault="00EA4FE5" w:rsidP="00275263">
            <w:pPr>
              <w:spacing w:before="0"/>
              <w:rPr>
                <w:rFonts w:ascii="Arial Narrow" w:hAnsi="Arial Narrow"/>
                <w:sz w:val="20"/>
              </w:rPr>
            </w:pPr>
          </w:p>
        </w:tc>
        <w:tc>
          <w:tcPr>
            <w:tcW w:w="1260" w:type="dxa"/>
            <w:hideMark/>
          </w:tcPr>
          <w:p w14:paraId="538F88DC" w14:textId="77777777" w:rsidR="00EA4FE5" w:rsidRPr="007C488A" w:rsidRDefault="00EA4FE5" w:rsidP="00275263">
            <w:pPr>
              <w:spacing w:before="0"/>
              <w:rPr>
                <w:rFonts w:ascii="Arial Narrow" w:hAnsi="Arial Narrow"/>
                <w:sz w:val="20"/>
              </w:rPr>
            </w:pPr>
          </w:p>
        </w:tc>
        <w:tc>
          <w:tcPr>
            <w:tcW w:w="1129" w:type="dxa"/>
            <w:hideMark/>
          </w:tcPr>
          <w:p w14:paraId="448248BF" w14:textId="77777777" w:rsidR="00EA4FE5" w:rsidRPr="007C488A" w:rsidRDefault="00EA4FE5" w:rsidP="00275263">
            <w:pPr>
              <w:spacing w:before="0"/>
              <w:rPr>
                <w:rFonts w:ascii="Arial Narrow" w:hAnsi="Arial Narrow"/>
                <w:sz w:val="20"/>
              </w:rPr>
            </w:pPr>
            <w:r w:rsidRPr="007C488A">
              <w:rPr>
                <w:rFonts w:ascii="Arial Narrow" w:hAnsi="Arial Narrow"/>
                <w:sz w:val="20"/>
              </w:rPr>
              <w:t>10</w:t>
            </w:r>
          </w:p>
        </w:tc>
        <w:tc>
          <w:tcPr>
            <w:tcW w:w="1175" w:type="dxa"/>
            <w:noWrap/>
            <w:hideMark/>
          </w:tcPr>
          <w:p w14:paraId="552DA5A5" w14:textId="5ED75DA7"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5338981C"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3.391</w:t>
            </w:r>
          </w:p>
        </w:tc>
        <w:tc>
          <w:tcPr>
            <w:tcW w:w="1046" w:type="dxa"/>
            <w:noWrap/>
            <w:hideMark/>
          </w:tcPr>
          <w:p w14:paraId="3D305CF6" w14:textId="1F9F1DEF"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036B2DB3"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29%</w:t>
            </w:r>
          </w:p>
        </w:tc>
      </w:tr>
      <w:tr w:rsidR="00EA4FE5" w:rsidRPr="007C488A" w14:paraId="4A90D01D" w14:textId="77777777" w:rsidTr="00D545A2">
        <w:trPr>
          <w:trHeight w:val="288"/>
        </w:trPr>
        <w:tc>
          <w:tcPr>
            <w:tcW w:w="2186" w:type="dxa"/>
            <w:vMerge/>
            <w:hideMark/>
          </w:tcPr>
          <w:p w14:paraId="39FE3B2E" w14:textId="77777777" w:rsidR="00EA4FE5" w:rsidRPr="007C488A" w:rsidRDefault="00EA4FE5" w:rsidP="00275263">
            <w:pPr>
              <w:spacing w:before="0"/>
              <w:rPr>
                <w:rFonts w:ascii="Arial Narrow" w:hAnsi="Arial Narrow"/>
                <w:sz w:val="20"/>
              </w:rPr>
            </w:pPr>
          </w:p>
        </w:tc>
        <w:tc>
          <w:tcPr>
            <w:tcW w:w="1260" w:type="dxa"/>
            <w:hideMark/>
          </w:tcPr>
          <w:p w14:paraId="69313005" w14:textId="77777777" w:rsidR="00EA4FE5" w:rsidRPr="007C488A" w:rsidRDefault="00EA4FE5" w:rsidP="00275263">
            <w:pPr>
              <w:spacing w:before="0"/>
              <w:rPr>
                <w:rFonts w:ascii="Arial Narrow" w:hAnsi="Arial Narrow"/>
                <w:sz w:val="20"/>
              </w:rPr>
            </w:pPr>
          </w:p>
        </w:tc>
        <w:tc>
          <w:tcPr>
            <w:tcW w:w="1129" w:type="dxa"/>
            <w:hideMark/>
          </w:tcPr>
          <w:p w14:paraId="1F0C27A1" w14:textId="77777777" w:rsidR="00EA4FE5" w:rsidRPr="007C488A" w:rsidRDefault="00EA4FE5" w:rsidP="00275263">
            <w:pPr>
              <w:spacing w:before="0"/>
              <w:rPr>
                <w:rFonts w:ascii="Arial Narrow" w:hAnsi="Arial Narrow"/>
                <w:sz w:val="20"/>
              </w:rPr>
            </w:pPr>
            <w:r w:rsidRPr="007C488A">
              <w:rPr>
                <w:rFonts w:ascii="Arial Narrow" w:hAnsi="Arial Narrow"/>
                <w:sz w:val="20"/>
              </w:rPr>
              <w:t>20</w:t>
            </w:r>
          </w:p>
        </w:tc>
        <w:tc>
          <w:tcPr>
            <w:tcW w:w="1175" w:type="dxa"/>
            <w:noWrap/>
            <w:hideMark/>
          </w:tcPr>
          <w:p w14:paraId="30590FF9" w14:textId="30A3CB6F"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63C69E0B"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4.390</w:t>
            </w:r>
          </w:p>
        </w:tc>
        <w:tc>
          <w:tcPr>
            <w:tcW w:w="1046" w:type="dxa"/>
            <w:noWrap/>
            <w:hideMark/>
          </w:tcPr>
          <w:p w14:paraId="55A9FCFD" w14:textId="212B4C71"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755B4C73"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5%</w:t>
            </w:r>
          </w:p>
        </w:tc>
      </w:tr>
      <w:tr w:rsidR="00EA4FE5" w:rsidRPr="007C488A" w14:paraId="1CA67A6E" w14:textId="77777777" w:rsidTr="00D545A2">
        <w:trPr>
          <w:trHeight w:val="288"/>
        </w:trPr>
        <w:tc>
          <w:tcPr>
            <w:tcW w:w="2186" w:type="dxa"/>
            <w:vMerge w:val="restart"/>
            <w:hideMark/>
          </w:tcPr>
          <w:p w14:paraId="308CB796" w14:textId="77777777" w:rsidR="00EA4FE5" w:rsidRPr="007C488A" w:rsidRDefault="00EA4FE5" w:rsidP="00275263">
            <w:pPr>
              <w:spacing w:before="0"/>
              <w:rPr>
                <w:rFonts w:ascii="Arial Narrow" w:hAnsi="Arial Narrow"/>
                <w:sz w:val="20"/>
              </w:rPr>
            </w:pPr>
            <w:r w:rsidRPr="007C488A">
              <w:rPr>
                <w:rFonts w:ascii="Arial Narrow" w:hAnsi="Arial Narrow"/>
                <w:sz w:val="20"/>
              </w:rPr>
              <w:t>Device costs</w:t>
            </w:r>
          </w:p>
        </w:tc>
        <w:tc>
          <w:tcPr>
            <w:tcW w:w="1260" w:type="dxa"/>
            <w:hideMark/>
          </w:tcPr>
          <w:p w14:paraId="216BC12C" w14:textId="2C79424E" w:rsidR="00EA4FE5" w:rsidRPr="007C488A" w:rsidRDefault="00EA4FE5" w:rsidP="00275263">
            <w:pPr>
              <w:spacing w:before="0"/>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29" w:type="dxa"/>
            <w:hideMark/>
          </w:tcPr>
          <w:p w14:paraId="3DDE79FE" w14:textId="48A865C2" w:rsidR="00EA4FE5" w:rsidRPr="007C488A" w:rsidRDefault="00EA4FE5" w:rsidP="00275263">
            <w:pPr>
              <w:spacing w:before="0"/>
              <w:rPr>
                <w:rFonts w:ascii="Arial Narrow" w:hAnsi="Arial Narrow"/>
                <w:sz w:val="20"/>
              </w:rPr>
            </w:pPr>
            <w:r w:rsidRPr="007C488A">
              <w:rPr>
                <w:rFonts w:ascii="Arial Narrow" w:hAnsi="Arial Narrow"/>
                <w:sz w:val="20"/>
              </w:rPr>
              <w:t>$</w:t>
            </w:r>
            <w:r w:rsidR="00055595" w:rsidRPr="007C488A">
              <w:rPr>
                <w:rFonts w:ascii="Arial Narrow" w:hAnsi="Arial Narrow"/>
                <w:b/>
                <w:bCs/>
                <w:sz w:val="20"/>
              </w:rPr>
              <w:t>redacted</w:t>
            </w:r>
          </w:p>
        </w:tc>
        <w:tc>
          <w:tcPr>
            <w:tcW w:w="1175" w:type="dxa"/>
            <w:noWrap/>
            <w:hideMark/>
          </w:tcPr>
          <w:p w14:paraId="1AFAEA48" w14:textId="28993064"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26FA79F0"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hideMark/>
          </w:tcPr>
          <w:p w14:paraId="7224C559" w14:textId="6A46BB95"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07B3ED62"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-30%</w:t>
            </w:r>
          </w:p>
        </w:tc>
      </w:tr>
      <w:tr w:rsidR="00EA4FE5" w:rsidRPr="007C488A" w14:paraId="6267ED73" w14:textId="77777777" w:rsidTr="00D545A2">
        <w:trPr>
          <w:trHeight w:val="288"/>
        </w:trPr>
        <w:tc>
          <w:tcPr>
            <w:tcW w:w="2186" w:type="dxa"/>
            <w:vMerge/>
            <w:hideMark/>
          </w:tcPr>
          <w:p w14:paraId="39B39FC9" w14:textId="77777777" w:rsidR="00EA4FE5" w:rsidRPr="007C488A" w:rsidRDefault="00EA4FE5" w:rsidP="00275263">
            <w:pPr>
              <w:spacing w:before="0"/>
              <w:rPr>
                <w:rFonts w:ascii="Arial Narrow" w:hAnsi="Arial Narrow"/>
                <w:sz w:val="20"/>
              </w:rPr>
            </w:pPr>
          </w:p>
        </w:tc>
        <w:tc>
          <w:tcPr>
            <w:tcW w:w="1260" w:type="dxa"/>
            <w:hideMark/>
          </w:tcPr>
          <w:p w14:paraId="3B05A2FC" w14:textId="77777777" w:rsidR="00EA4FE5" w:rsidRPr="007C488A" w:rsidRDefault="00EA4FE5" w:rsidP="00275263">
            <w:pPr>
              <w:spacing w:before="0"/>
              <w:rPr>
                <w:rFonts w:ascii="Arial Narrow" w:hAnsi="Arial Narrow"/>
                <w:sz w:val="20"/>
              </w:rPr>
            </w:pPr>
          </w:p>
        </w:tc>
        <w:tc>
          <w:tcPr>
            <w:tcW w:w="1129" w:type="dxa"/>
            <w:hideMark/>
          </w:tcPr>
          <w:p w14:paraId="624A6387" w14:textId="2CCA5B05" w:rsidR="00EA4FE5" w:rsidRPr="007C488A" w:rsidRDefault="00EA4FE5" w:rsidP="00275263">
            <w:pPr>
              <w:spacing w:before="0"/>
              <w:rPr>
                <w:rFonts w:ascii="Arial Narrow" w:hAnsi="Arial Narrow"/>
                <w:sz w:val="20"/>
              </w:rPr>
            </w:pPr>
            <w:r w:rsidRPr="007C488A">
              <w:rPr>
                <w:rFonts w:ascii="Arial Narrow" w:hAnsi="Arial Narrow"/>
                <w:sz w:val="20"/>
              </w:rPr>
              <w:t>$</w:t>
            </w:r>
            <w:r w:rsidR="00055595" w:rsidRPr="007C488A">
              <w:rPr>
                <w:rFonts w:ascii="Arial Narrow" w:hAnsi="Arial Narrow"/>
                <w:b/>
                <w:bCs/>
                <w:sz w:val="20"/>
              </w:rPr>
              <w:t>redacted</w:t>
            </w:r>
          </w:p>
        </w:tc>
        <w:tc>
          <w:tcPr>
            <w:tcW w:w="1175" w:type="dxa"/>
            <w:noWrap/>
            <w:hideMark/>
          </w:tcPr>
          <w:p w14:paraId="5AD924E8" w14:textId="14A9B3A7"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5769C394"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hideMark/>
          </w:tcPr>
          <w:p w14:paraId="0F80E2CE" w14:textId="0051FEC0"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5E89AABD"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28%</w:t>
            </w:r>
          </w:p>
        </w:tc>
      </w:tr>
      <w:tr w:rsidR="00EA4FE5" w:rsidRPr="007C488A" w14:paraId="181211A1" w14:textId="77777777" w:rsidTr="00D545A2">
        <w:trPr>
          <w:trHeight w:val="288"/>
        </w:trPr>
        <w:tc>
          <w:tcPr>
            <w:tcW w:w="2186" w:type="dxa"/>
            <w:vMerge w:val="restart"/>
            <w:hideMark/>
          </w:tcPr>
          <w:p w14:paraId="480D37FB" w14:textId="77777777" w:rsidR="00EA4FE5" w:rsidRPr="007C488A" w:rsidRDefault="00EA4FE5" w:rsidP="00275263">
            <w:pPr>
              <w:spacing w:before="0"/>
              <w:rPr>
                <w:rFonts w:ascii="Arial Narrow" w:hAnsi="Arial Narrow"/>
                <w:sz w:val="20"/>
              </w:rPr>
            </w:pPr>
            <w:r w:rsidRPr="007C488A">
              <w:rPr>
                <w:rFonts w:ascii="Arial Narrow" w:hAnsi="Arial Narrow"/>
                <w:sz w:val="20"/>
              </w:rPr>
              <w:t>Procedural and recovery costs in LVAD arm</w:t>
            </w:r>
          </w:p>
        </w:tc>
        <w:tc>
          <w:tcPr>
            <w:tcW w:w="1260" w:type="dxa"/>
            <w:hideMark/>
          </w:tcPr>
          <w:p w14:paraId="3E2984E8" w14:textId="77777777" w:rsidR="00EA4FE5" w:rsidRPr="007C488A" w:rsidRDefault="00EA4FE5" w:rsidP="00275263">
            <w:pPr>
              <w:spacing w:before="0"/>
              <w:rPr>
                <w:rFonts w:ascii="Arial Narrow" w:hAnsi="Arial Narrow"/>
                <w:sz w:val="20"/>
              </w:rPr>
            </w:pPr>
            <w:r w:rsidRPr="007C488A">
              <w:rPr>
                <w:rFonts w:ascii="Arial Narrow" w:hAnsi="Arial Narrow"/>
                <w:sz w:val="20"/>
              </w:rPr>
              <w:t>$75,009.85</w:t>
            </w:r>
          </w:p>
        </w:tc>
        <w:tc>
          <w:tcPr>
            <w:tcW w:w="1129" w:type="dxa"/>
            <w:hideMark/>
          </w:tcPr>
          <w:p w14:paraId="59DC8143" w14:textId="77777777" w:rsidR="00EA4FE5" w:rsidRPr="007C488A" w:rsidRDefault="00EA4FE5" w:rsidP="00275263">
            <w:pPr>
              <w:spacing w:before="0"/>
              <w:rPr>
                <w:rFonts w:ascii="Arial Narrow" w:hAnsi="Arial Narrow"/>
                <w:sz w:val="20"/>
              </w:rPr>
            </w:pPr>
            <w:r w:rsidRPr="007C488A">
              <w:rPr>
                <w:rFonts w:ascii="Arial Narrow" w:hAnsi="Arial Narrow"/>
                <w:sz w:val="20"/>
              </w:rPr>
              <w:t>$37,504.92</w:t>
            </w:r>
          </w:p>
        </w:tc>
        <w:tc>
          <w:tcPr>
            <w:tcW w:w="1175" w:type="dxa"/>
            <w:noWrap/>
            <w:hideMark/>
          </w:tcPr>
          <w:p w14:paraId="7B57BE07" w14:textId="01335D08"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702218D0"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hideMark/>
          </w:tcPr>
          <w:p w14:paraId="671ED095" w14:textId="6188D912"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2434C90F"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-17%</w:t>
            </w:r>
          </w:p>
        </w:tc>
      </w:tr>
      <w:tr w:rsidR="00EA4FE5" w:rsidRPr="007C488A" w14:paraId="43648D21" w14:textId="77777777" w:rsidTr="00D545A2">
        <w:trPr>
          <w:trHeight w:val="288"/>
        </w:trPr>
        <w:tc>
          <w:tcPr>
            <w:tcW w:w="2186" w:type="dxa"/>
            <w:vMerge/>
            <w:hideMark/>
          </w:tcPr>
          <w:p w14:paraId="083B046A" w14:textId="77777777" w:rsidR="00EA4FE5" w:rsidRPr="007C488A" w:rsidRDefault="00EA4FE5" w:rsidP="00275263">
            <w:pPr>
              <w:spacing w:before="0"/>
              <w:rPr>
                <w:rFonts w:ascii="Arial Narrow" w:hAnsi="Arial Narrow"/>
                <w:sz w:val="20"/>
              </w:rPr>
            </w:pPr>
          </w:p>
        </w:tc>
        <w:tc>
          <w:tcPr>
            <w:tcW w:w="1260" w:type="dxa"/>
            <w:hideMark/>
          </w:tcPr>
          <w:p w14:paraId="5B250F74" w14:textId="77777777" w:rsidR="00EA4FE5" w:rsidRPr="007C488A" w:rsidRDefault="00EA4FE5" w:rsidP="00275263">
            <w:pPr>
              <w:spacing w:before="0"/>
              <w:rPr>
                <w:rFonts w:ascii="Arial Narrow" w:hAnsi="Arial Narrow"/>
                <w:sz w:val="20"/>
              </w:rPr>
            </w:pPr>
          </w:p>
        </w:tc>
        <w:tc>
          <w:tcPr>
            <w:tcW w:w="1129" w:type="dxa"/>
            <w:hideMark/>
          </w:tcPr>
          <w:p w14:paraId="37CEB0C7" w14:textId="77777777" w:rsidR="00EA4FE5" w:rsidRPr="007C488A" w:rsidRDefault="00EA4FE5" w:rsidP="00275263">
            <w:pPr>
              <w:spacing w:before="0"/>
              <w:rPr>
                <w:rFonts w:ascii="Arial Narrow" w:hAnsi="Arial Narrow"/>
                <w:sz w:val="20"/>
              </w:rPr>
            </w:pPr>
            <w:r w:rsidRPr="007C488A">
              <w:rPr>
                <w:rFonts w:ascii="Arial Narrow" w:hAnsi="Arial Narrow"/>
                <w:sz w:val="20"/>
              </w:rPr>
              <w:t>$112,514.77</w:t>
            </w:r>
          </w:p>
        </w:tc>
        <w:tc>
          <w:tcPr>
            <w:tcW w:w="1175" w:type="dxa"/>
            <w:noWrap/>
            <w:hideMark/>
          </w:tcPr>
          <w:p w14:paraId="0F60A1C1" w14:textId="683362E6"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092A2C54"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hideMark/>
          </w:tcPr>
          <w:p w14:paraId="31F3435F" w14:textId="6E578860"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5C6C5778"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18%</w:t>
            </w:r>
          </w:p>
        </w:tc>
      </w:tr>
      <w:tr w:rsidR="00EA4FE5" w:rsidRPr="007C488A" w14:paraId="1398D61E" w14:textId="77777777" w:rsidTr="00D545A2">
        <w:trPr>
          <w:trHeight w:val="288"/>
        </w:trPr>
        <w:tc>
          <w:tcPr>
            <w:tcW w:w="2186" w:type="dxa"/>
            <w:vMerge w:val="restart"/>
          </w:tcPr>
          <w:p w14:paraId="03871278" w14:textId="77777777" w:rsidR="00EA4FE5" w:rsidRPr="007C488A" w:rsidRDefault="00EA4FE5" w:rsidP="00275263">
            <w:pPr>
              <w:spacing w:before="0"/>
              <w:rPr>
                <w:rFonts w:ascii="Arial Narrow" w:hAnsi="Arial Narrow"/>
                <w:sz w:val="20"/>
              </w:rPr>
            </w:pPr>
            <w:r w:rsidRPr="007C488A">
              <w:rPr>
                <w:rFonts w:ascii="Arial Narrow" w:hAnsi="Arial Narrow"/>
                <w:sz w:val="20"/>
              </w:rPr>
              <w:t>OMM disease related costs 1st cycle</w:t>
            </w:r>
          </w:p>
        </w:tc>
        <w:tc>
          <w:tcPr>
            <w:tcW w:w="1260" w:type="dxa"/>
          </w:tcPr>
          <w:p w14:paraId="6FDC3326" w14:textId="77777777" w:rsidR="00EA4FE5" w:rsidRPr="007C488A" w:rsidRDefault="00EA4FE5" w:rsidP="00275263">
            <w:pPr>
              <w:spacing w:before="0"/>
              <w:rPr>
                <w:rFonts w:ascii="Arial Narrow" w:hAnsi="Arial Narrow"/>
                <w:sz w:val="20"/>
              </w:rPr>
            </w:pPr>
            <w:r w:rsidRPr="007C488A">
              <w:rPr>
                <w:rFonts w:ascii="Arial Narrow" w:hAnsi="Arial Narrow"/>
                <w:sz w:val="20"/>
              </w:rPr>
              <w:t>$34,218.02</w:t>
            </w:r>
          </w:p>
        </w:tc>
        <w:tc>
          <w:tcPr>
            <w:tcW w:w="1129" w:type="dxa"/>
          </w:tcPr>
          <w:p w14:paraId="6DA3236D" w14:textId="77777777" w:rsidR="00EA4FE5" w:rsidRPr="007C488A" w:rsidRDefault="00EA4FE5" w:rsidP="00275263">
            <w:pPr>
              <w:spacing w:before="0"/>
              <w:rPr>
                <w:rFonts w:ascii="Arial Narrow" w:hAnsi="Arial Narrow"/>
                <w:sz w:val="20"/>
              </w:rPr>
            </w:pPr>
            <w:r w:rsidRPr="007C488A">
              <w:rPr>
                <w:rFonts w:ascii="Arial Narrow" w:hAnsi="Arial Narrow"/>
                <w:sz w:val="20"/>
              </w:rPr>
              <w:t>$17,109.01</w:t>
            </w:r>
          </w:p>
        </w:tc>
        <w:tc>
          <w:tcPr>
            <w:tcW w:w="1175" w:type="dxa"/>
            <w:noWrap/>
          </w:tcPr>
          <w:p w14:paraId="2692F8B9" w14:textId="3E04C5D2"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6F5C88E0"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tcPr>
          <w:p w14:paraId="4BFBF801" w14:textId="3FCAFB42"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tcPr>
          <w:p w14:paraId="1C66174E"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6%</w:t>
            </w:r>
          </w:p>
        </w:tc>
      </w:tr>
      <w:tr w:rsidR="00EA4FE5" w:rsidRPr="007C488A" w14:paraId="4145705D" w14:textId="77777777" w:rsidTr="00D545A2">
        <w:trPr>
          <w:trHeight w:val="288"/>
        </w:trPr>
        <w:tc>
          <w:tcPr>
            <w:tcW w:w="2186" w:type="dxa"/>
            <w:vMerge/>
          </w:tcPr>
          <w:p w14:paraId="695AFB03" w14:textId="77777777" w:rsidR="00EA4FE5" w:rsidRPr="007C488A" w:rsidRDefault="00EA4FE5" w:rsidP="00275263">
            <w:pPr>
              <w:spacing w:before="0"/>
              <w:rPr>
                <w:rFonts w:ascii="Arial Narrow" w:hAnsi="Arial Narrow"/>
                <w:sz w:val="20"/>
              </w:rPr>
            </w:pPr>
          </w:p>
        </w:tc>
        <w:tc>
          <w:tcPr>
            <w:tcW w:w="1260" w:type="dxa"/>
          </w:tcPr>
          <w:p w14:paraId="625C922E" w14:textId="77777777" w:rsidR="00EA4FE5" w:rsidRPr="007C488A" w:rsidRDefault="00EA4FE5" w:rsidP="00275263">
            <w:pPr>
              <w:spacing w:before="0"/>
              <w:rPr>
                <w:rFonts w:ascii="Arial Narrow" w:hAnsi="Arial Narrow"/>
                <w:sz w:val="20"/>
              </w:rPr>
            </w:pPr>
          </w:p>
        </w:tc>
        <w:tc>
          <w:tcPr>
            <w:tcW w:w="1129" w:type="dxa"/>
          </w:tcPr>
          <w:p w14:paraId="1460E4BA" w14:textId="77777777" w:rsidR="00EA4FE5" w:rsidRPr="007C488A" w:rsidRDefault="00EA4FE5" w:rsidP="00275263">
            <w:pPr>
              <w:spacing w:before="0"/>
              <w:rPr>
                <w:rFonts w:ascii="Arial Narrow" w:hAnsi="Arial Narrow"/>
                <w:sz w:val="20"/>
              </w:rPr>
            </w:pPr>
            <w:r w:rsidRPr="007C488A">
              <w:rPr>
                <w:rFonts w:ascii="Arial Narrow" w:hAnsi="Arial Narrow"/>
                <w:sz w:val="20"/>
              </w:rPr>
              <w:t>$51,327.02</w:t>
            </w:r>
          </w:p>
        </w:tc>
        <w:tc>
          <w:tcPr>
            <w:tcW w:w="1175" w:type="dxa"/>
            <w:noWrap/>
          </w:tcPr>
          <w:p w14:paraId="64336A44" w14:textId="17A4CA52"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2380A379"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tcPr>
          <w:p w14:paraId="190C1A99" w14:textId="2F684210"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tcPr>
          <w:p w14:paraId="0065178F"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w:t>
            </w:r>
          </w:p>
        </w:tc>
      </w:tr>
      <w:tr w:rsidR="00EA4FE5" w:rsidRPr="007C488A" w14:paraId="17AFD3C1" w14:textId="77777777" w:rsidTr="00D545A2">
        <w:trPr>
          <w:trHeight w:val="288"/>
        </w:trPr>
        <w:tc>
          <w:tcPr>
            <w:tcW w:w="2186" w:type="dxa"/>
            <w:vMerge w:val="restart"/>
          </w:tcPr>
          <w:p w14:paraId="1FF46818" w14:textId="77777777" w:rsidR="00EA4FE5" w:rsidRPr="007C488A" w:rsidRDefault="00EA4FE5" w:rsidP="00275263">
            <w:pPr>
              <w:spacing w:before="0"/>
              <w:rPr>
                <w:rFonts w:ascii="Arial Narrow" w:hAnsi="Arial Narrow"/>
                <w:sz w:val="20"/>
              </w:rPr>
            </w:pPr>
            <w:r w:rsidRPr="007C488A">
              <w:rPr>
                <w:rFonts w:ascii="Arial Narrow" w:hAnsi="Arial Narrow"/>
                <w:sz w:val="20"/>
              </w:rPr>
              <w:t>OMM disease related costs subsequent cycle (baseline)</w:t>
            </w:r>
          </w:p>
        </w:tc>
        <w:tc>
          <w:tcPr>
            <w:tcW w:w="1260" w:type="dxa"/>
          </w:tcPr>
          <w:p w14:paraId="7E4A2D71" w14:textId="77777777" w:rsidR="00EA4FE5" w:rsidRPr="007C488A" w:rsidRDefault="00EA4FE5" w:rsidP="00275263">
            <w:pPr>
              <w:spacing w:before="0"/>
              <w:rPr>
                <w:rFonts w:ascii="Arial Narrow" w:hAnsi="Arial Narrow"/>
                <w:sz w:val="20"/>
              </w:rPr>
            </w:pPr>
            <w:r w:rsidRPr="007C488A">
              <w:rPr>
                <w:rFonts w:ascii="Arial Narrow" w:hAnsi="Arial Narrow"/>
                <w:sz w:val="20"/>
              </w:rPr>
              <w:t>$4,862.80</w:t>
            </w:r>
          </w:p>
        </w:tc>
        <w:tc>
          <w:tcPr>
            <w:tcW w:w="1129" w:type="dxa"/>
          </w:tcPr>
          <w:p w14:paraId="7EBE4840" w14:textId="77777777" w:rsidR="00EA4FE5" w:rsidRPr="007C488A" w:rsidRDefault="00EA4FE5" w:rsidP="00275263">
            <w:pPr>
              <w:spacing w:before="0"/>
              <w:rPr>
                <w:rFonts w:ascii="Arial Narrow" w:hAnsi="Arial Narrow"/>
                <w:sz w:val="20"/>
              </w:rPr>
            </w:pPr>
            <w:r w:rsidRPr="007C488A">
              <w:rPr>
                <w:rFonts w:ascii="Arial Narrow" w:hAnsi="Arial Narrow"/>
                <w:sz w:val="20"/>
              </w:rPr>
              <w:t>$2,431.40</w:t>
            </w:r>
          </w:p>
        </w:tc>
        <w:tc>
          <w:tcPr>
            <w:tcW w:w="1175" w:type="dxa"/>
            <w:noWrap/>
          </w:tcPr>
          <w:p w14:paraId="64E6B75C" w14:textId="6DC57945"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021524DC"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tcPr>
          <w:p w14:paraId="0033B6A3" w14:textId="565406F8"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tcPr>
          <w:p w14:paraId="5AF22CDC"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8%</w:t>
            </w:r>
          </w:p>
        </w:tc>
      </w:tr>
      <w:tr w:rsidR="00EA4FE5" w:rsidRPr="007C488A" w14:paraId="3307EE51" w14:textId="77777777" w:rsidTr="00D545A2">
        <w:trPr>
          <w:trHeight w:val="288"/>
        </w:trPr>
        <w:tc>
          <w:tcPr>
            <w:tcW w:w="2186" w:type="dxa"/>
            <w:vMerge/>
          </w:tcPr>
          <w:p w14:paraId="4F5B428B" w14:textId="77777777" w:rsidR="00EA4FE5" w:rsidRPr="007C488A" w:rsidRDefault="00EA4FE5" w:rsidP="00275263">
            <w:pPr>
              <w:spacing w:before="0"/>
              <w:rPr>
                <w:rFonts w:ascii="Arial Narrow" w:hAnsi="Arial Narrow"/>
                <w:sz w:val="20"/>
              </w:rPr>
            </w:pPr>
          </w:p>
        </w:tc>
        <w:tc>
          <w:tcPr>
            <w:tcW w:w="1260" w:type="dxa"/>
          </w:tcPr>
          <w:p w14:paraId="7B14A782" w14:textId="77777777" w:rsidR="00EA4FE5" w:rsidRPr="007C488A" w:rsidRDefault="00EA4FE5" w:rsidP="00275263">
            <w:pPr>
              <w:spacing w:before="0"/>
              <w:rPr>
                <w:rFonts w:ascii="Arial Narrow" w:hAnsi="Arial Narrow"/>
                <w:sz w:val="20"/>
              </w:rPr>
            </w:pPr>
          </w:p>
        </w:tc>
        <w:tc>
          <w:tcPr>
            <w:tcW w:w="1129" w:type="dxa"/>
          </w:tcPr>
          <w:p w14:paraId="626B1E56" w14:textId="77777777" w:rsidR="00EA4FE5" w:rsidRPr="007C488A" w:rsidRDefault="00EA4FE5" w:rsidP="00275263">
            <w:pPr>
              <w:spacing w:before="0"/>
              <w:rPr>
                <w:rFonts w:ascii="Arial Narrow" w:hAnsi="Arial Narrow"/>
                <w:sz w:val="20"/>
              </w:rPr>
            </w:pPr>
            <w:r w:rsidRPr="007C488A">
              <w:rPr>
                <w:rFonts w:ascii="Arial Narrow" w:hAnsi="Arial Narrow"/>
                <w:sz w:val="20"/>
              </w:rPr>
              <w:t>$7,294.20</w:t>
            </w:r>
          </w:p>
        </w:tc>
        <w:tc>
          <w:tcPr>
            <w:tcW w:w="1175" w:type="dxa"/>
            <w:noWrap/>
          </w:tcPr>
          <w:p w14:paraId="4277A9AD" w14:textId="1E859954"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03B522ED"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4.671</w:t>
            </w:r>
          </w:p>
        </w:tc>
        <w:tc>
          <w:tcPr>
            <w:tcW w:w="1046" w:type="dxa"/>
            <w:noWrap/>
          </w:tcPr>
          <w:p w14:paraId="57097FBD" w14:textId="3B3968B8" w:rsidR="00EA4FE5" w:rsidRPr="007C488A" w:rsidRDefault="00EA4FE5"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tcPr>
          <w:p w14:paraId="227664DB" w14:textId="77777777" w:rsidR="00EA4FE5" w:rsidRPr="007C488A" w:rsidRDefault="00EA4FE5" w:rsidP="00275263">
            <w:pPr>
              <w:spacing w:before="0"/>
              <w:jc w:val="center"/>
              <w:rPr>
                <w:rFonts w:ascii="Arial Narrow" w:hAnsi="Arial Narrow"/>
                <w:sz w:val="20"/>
              </w:rPr>
            </w:pPr>
            <w:r w:rsidRPr="007C488A">
              <w:rPr>
                <w:rFonts w:ascii="Arial Narrow" w:hAnsi="Arial Narrow"/>
                <w:sz w:val="20"/>
              </w:rPr>
              <w:t>-8%</w:t>
            </w:r>
          </w:p>
        </w:tc>
      </w:tr>
      <w:tr w:rsidR="00D545A2" w:rsidRPr="007C488A" w14:paraId="266C713F" w14:textId="77777777" w:rsidTr="007D1A1F">
        <w:trPr>
          <w:trHeight w:val="325"/>
        </w:trPr>
        <w:tc>
          <w:tcPr>
            <w:tcW w:w="2186" w:type="dxa"/>
            <w:vMerge w:val="restart"/>
          </w:tcPr>
          <w:p w14:paraId="4A31BC66" w14:textId="70F9011D" w:rsidR="00D545A2" w:rsidRPr="007C488A" w:rsidRDefault="00D545A2" w:rsidP="00275263">
            <w:pPr>
              <w:pStyle w:val="TableText"/>
              <w:spacing w:before="0" w:after="0"/>
            </w:pPr>
            <w:r w:rsidRPr="007C488A">
              <w:t>Health state utility - LVAD subsequent cycles</w:t>
            </w:r>
          </w:p>
        </w:tc>
        <w:tc>
          <w:tcPr>
            <w:tcW w:w="1260" w:type="dxa"/>
          </w:tcPr>
          <w:p w14:paraId="71157124" w14:textId="1BAC9B5E" w:rsidR="00D545A2" w:rsidRPr="007C488A" w:rsidRDefault="00D545A2" w:rsidP="00275263">
            <w:pPr>
              <w:pStyle w:val="TableText"/>
              <w:spacing w:before="0" w:after="0"/>
            </w:pPr>
            <w:r w:rsidRPr="007C488A">
              <w:t>0.79</w:t>
            </w:r>
          </w:p>
        </w:tc>
        <w:tc>
          <w:tcPr>
            <w:tcW w:w="1129" w:type="dxa"/>
          </w:tcPr>
          <w:p w14:paraId="5EA254FB" w14:textId="47D112EE" w:rsidR="00D545A2" w:rsidRPr="007C488A" w:rsidRDefault="00D545A2" w:rsidP="00275263">
            <w:pPr>
              <w:pStyle w:val="TableText"/>
              <w:spacing w:before="0" w:after="0"/>
            </w:pPr>
            <w:r w:rsidRPr="007C488A">
              <w:t>0.59</w:t>
            </w:r>
          </w:p>
        </w:tc>
        <w:tc>
          <w:tcPr>
            <w:tcW w:w="1175" w:type="dxa"/>
            <w:noWrap/>
          </w:tcPr>
          <w:p w14:paraId="14A31866" w14:textId="52CD9435" w:rsidR="00D545A2" w:rsidRPr="007C488A" w:rsidRDefault="00D545A2" w:rsidP="00275263">
            <w:pPr>
              <w:pStyle w:val="TableText"/>
              <w:spacing w:before="0" w:after="0"/>
              <w:jc w:val="center"/>
            </w:pPr>
            <w:r w:rsidRPr="007C488A">
              <w:t>$</w:t>
            </w:r>
            <w:r w:rsidR="00C60AE9" w:rsidRPr="007C488A">
              <w:rPr>
                <w:b/>
                <w:bCs/>
              </w:rPr>
              <w:t>redacted</w:t>
            </w:r>
          </w:p>
        </w:tc>
        <w:tc>
          <w:tcPr>
            <w:tcW w:w="1137" w:type="dxa"/>
            <w:noWrap/>
          </w:tcPr>
          <w:p w14:paraId="4FEBB428" w14:textId="5AA792CF" w:rsidR="00D545A2" w:rsidRPr="007C488A" w:rsidRDefault="00D545A2" w:rsidP="00275263">
            <w:pPr>
              <w:pStyle w:val="TableText"/>
              <w:spacing w:before="0" w:after="0"/>
              <w:jc w:val="center"/>
            </w:pPr>
            <w:r w:rsidRPr="007C488A">
              <w:t>3.444</w:t>
            </w:r>
          </w:p>
        </w:tc>
        <w:tc>
          <w:tcPr>
            <w:tcW w:w="1046" w:type="dxa"/>
            <w:noWrap/>
          </w:tcPr>
          <w:p w14:paraId="206B37BA" w14:textId="6DC601AC" w:rsidR="00D545A2" w:rsidRPr="007C488A" w:rsidRDefault="00D545A2" w:rsidP="00275263">
            <w:pPr>
              <w:pStyle w:val="TableText"/>
              <w:spacing w:before="0" w:after="0"/>
              <w:jc w:val="center"/>
            </w:pPr>
            <w:r w:rsidRPr="007C488A">
              <w:t>$</w:t>
            </w:r>
            <w:r w:rsidR="00C60AE9" w:rsidRPr="007C488A">
              <w:rPr>
                <w:b/>
                <w:bCs/>
              </w:rPr>
              <w:t>redacted</w:t>
            </w:r>
          </w:p>
        </w:tc>
        <w:tc>
          <w:tcPr>
            <w:tcW w:w="1083" w:type="dxa"/>
            <w:noWrap/>
          </w:tcPr>
          <w:p w14:paraId="4C45A234" w14:textId="4F31D947" w:rsidR="00D545A2" w:rsidRPr="007C488A" w:rsidRDefault="00D545A2" w:rsidP="00275263">
            <w:pPr>
              <w:pStyle w:val="TableText"/>
              <w:spacing w:before="0" w:after="0"/>
              <w:jc w:val="center"/>
            </w:pPr>
            <w:r w:rsidRPr="007C488A">
              <w:t>36%</w:t>
            </w:r>
          </w:p>
        </w:tc>
      </w:tr>
      <w:tr w:rsidR="00D545A2" w:rsidRPr="007C488A" w14:paraId="5F4862F4" w14:textId="77777777" w:rsidTr="007D1A1F">
        <w:trPr>
          <w:trHeight w:val="305"/>
        </w:trPr>
        <w:tc>
          <w:tcPr>
            <w:tcW w:w="2186" w:type="dxa"/>
            <w:vMerge/>
          </w:tcPr>
          <w:p w14:paraId="500A4BAB" w14:textId="77777777" w:rsidR="00D545A2" w:rsidRPr="007C488A" w:rsidRDefault="00D545A2" w:rsidP="00275263">
            <w:pPr>
              <w:pStyle w:val="TableText"/>
              <w:spacing w:before="0" w:after="0"/>
            </w:pPr>
          </w:p>
        </w:tc>
        <w:tc>
          <w:tcPr>
            <w:tcW w:w="1260" w:type="dxa"/>
          </w:tcPr>
          <w:p w14:paraId="3605AE9F" w14:textId="77777777" w:rsidR="00D545A2" w:rsidRPr="007C488A" w:rsidRDefault="00D545A2" w:rsidP="00275263">
            <w:pPr>
              <w:pStyle w:val="TableText"/>
              <w:spacing w:before="0" w:after="0"/>
            </w:pPr>
          </w:p>
        </w:tc>
        <w:tc>
          <w:tcPr>
            <w:tcW w:w="1129" w:type="dxa"/>
          </w:tcPr>
          <w:p w14:paraId="1308D8E4" w14:textId="04488C58" w:rsidR="00D545A2" w:rsidRPr="007C488A" w:rsidRDefault="00D545A2" w:rsidP="00275263">
            <w:pPr>
              <w:pStyle w:val="TableText"/>
              <w:spacing w:before="0" w:after="0"/>
            </w:pPr>
            <w:r w:rsidRPr="007C488A">
              <w:t>0.99</w:t>
            </w:r>
          </w:p>
        </w:tc>
        <w:tc>
          <w:tcPr>
            <w:tcW w:w="1175" w:type="dxa"/>
            <w:noWrap/>
          </w:tcPr>
          <w:p w14:paraId="55754F1C" w14:textId="39A88ACB" w:rsidR="00D545A2" w:rsidRPr="007C488A" w:rsidRDefault="00D545A2" w:rsidP="00275263">
            <w:pPr>
              <w:pStyle w:val="TableText"/>
              <w:spacing w:before="0" w:after="0"/>
              <w:jc w:val="center"/>
            </w:pPr>
            <w:r w:rsidRPr="007C488A">
              <w:t>$</w:t>
            </w:r>
            <w:r w:rsidR="00C60AE9" w:rsidRPr="007C488A">
              <w:rPr>
                <w:b/>
                <w:bCs/>
              </w:rPr>
              <w:t>redacted</w:t>
            </w:r>
          </w:p>
        </w:tc>
        <w:tc>
          <w:tcPr>
            <w:tcW w:w="1137" w:type="dxa"/>
            <w:noWrap/>
          </w:tcPr>
          <w:p w14:paraId="1068CC6D" w14:textId="2BC8873E" w:rsidR="00D545A2" w:rsidRPr="007C488A" w:rsidRDefault="00D545A2" w:rsidP="00275263">
            <w:pPr>
              <w:pStyle w:val="TableText"/>
              <w:spacing w:before="0" w:after="0"/>
              <w:jc w:val="center"/>
            </w:pPr>
            <w:r w:rsidRPr="007C488A">
              <w:t>5.899</w:t>
            </w:r>
          </w:p>
        </w:tc>
        <w:tc>
          <w:tcPr>
            <w:tcW w:w="1046" w:type="dxa"/>
            <w:noWrap/>
          </w:tcPr>
          <w:p w14:paraId="1F77309D" w14:textId="051EF8EC" w:rsidR="00D545A2" w:rsidRPr="007C488A" w:rsidRDefault="00D545A2" w:rsidP="00275263">
            <w:pPr>
              <w:pStyle w:val="TableText"/>
              <w:spacing w:before="0" w:after="0"/>
              <w:jc w:val="center"/>
            </w:pPr>
            <w:r w:rsidRPr="007C488A">
              <w:t>$</w:t>
            </w:r>
            <w:r w:rsidR="00C60AE9" w:rsidRPr="007C488A">
              <w:rPr>
                <w:b/>
                <w:bCs/>
              </w:rPr>
              <w:t>redacted</w:t>
            </w:r>
          </w:p>
        </w:tc>
        <w:tc>
          <w:tcPr>
            <w:tcW w:w="1083" w:type="dxa"/>
            <w:noWrap/>
          </w:tcPr>
          <w:p w14:paraId="3A90C7A9" w14:textId="5E72ED49" w:rsidR="00D545A2" w:rsidRPr="007C488A" w:rsidRDefault="00D545A2" w:rsidP="00275263">
            <w:pPr>
              <w:pStyle w:val="TableText"/>
              <w:spacing w:before="0" w:after="0"/>
              <w:jc w:val="center"/>
            </w:pPr>
            <w:r w:rsidRPr="007C488A">
              <w:t>-21%</w:t>
            </w:r>
          </w:p>
        </w:tc>
      </w:tr>
      <w:tr w:rsidR="00D545A2" w:rsidRPr="007C488A" w14:paraId="3A9BD99D" w14:textId="77777777" w:rsidTr="00D545A2">
        <w:trPr>
          <w:trHeight w:val="576"/>
        </w:trPr>
        <w:tc>
          <w:tcPr>
            <w:tcW w:w="2186" w:type="dxa"/>
            <w:vMerge w:val="restart"/>
            <w:hideMark/>
          </w:tcPr>
          <w:p w14:paraId="524E5B36" w14:textId="77777777" w:rsidR="00D545A2" w:rsidRPr="007C488A" w:rsidRDefault="00D545A2" w:rsidP="00275263">
            <w:pPr>
              <w:spacing w:before="0"/>
              <w:rPr>
                <w:rFonts w:ascii="Arial Narrow" w:hAnsi="Arial Narrow"/>
                <w:sz w:val="20"/>
              </w:rPr>
            </w:pPr>
            <w:r w:rsidRPr="007C488A">
              <w:rPr>
                <w:rFonts w:ascii="Arial Narrow" w:hAnsi="Arial Narrow"/>
                <w:sz w:val="20"/>
              </w:rPr>
              <w:t>KM curve fitting - LVAD arm, parametric model</w:t>
            </w:r>
          </w:p>
        </w:tc>
        <w:tc>
          <w:tcPr>
            <w:tcW w:w="1260" w:type="dxa"/>
            <w:hideMark/>
          </w:tcPr>
          <w:p w14:paraId="230E12E4" w14:textId="77777777" w:rsidR="00D545A2" w:rsidRPr="007C488A" w:rsidRDefault="00D545A2" w:rsidP="00275263">
            <w:pPr>
              <w:spacing w:before="0"/>
              <w:rPr>
                <w:rFonts w:ascii="Arial Narrow" w:hAnsi="Arial Narrow"/>
                <w:sz w:val="20"/>
              </w:rPr>
            </w:pPr>
            <w:r w:rsidRPr="007C488A">
              <w:rPr>
                <w:rFonts w:ascii="Arial Narrow" w:hAnsi="Arial Narrow"/>
                <w:sz w:val="20"/>
              </w:rPr>
              <w:t>Generalised Gamma</w:t>
            </w:r>
          </w:p>
        </w:tc>
        <w:tc>
          <w:tcPr>
            <w:tcW w:w="1129" w:type="dxa"/>
            <w:hideMark/>
          </w:tcPr>
          <w:p w14:paraId="6DF77A5C" w14:textId="77777777" w:rsidR="00D545A2" w:rsidRPr="007C488A" w:rsidRDefault="00D545A2" w:rsidP="00275263">
            <w:pPr>
              <w:spacing w:before="0"/>
              <w:rPr>
                <w:rFonts w:ascii="Arial Narrow" w:hAnsi="Arial Narrow"/>
                <w:sz w:val="20"/>
              </w:rPr>
            </w:pPr>
            <w:r w:rsidRPr="007C488A">
              <w:rPr>
                <w:rFonts w:ascii="Arial Narrow" w:hAnsi="Arial Narrow"/>
                <w:sz w:val="20"/>
              </w:rPr>
              <w:t>Exponential</w:t>
            </w:r>
          </w:p>
        </w:tc>
        <w:tc>
          <w:tcPr>
            <w:tcW w:w="1175" w:type="dxa"/>
            <w:noWrap/>
            <w:hideMark/>
          </w:tcPr>
          <w:p w14:paraId="4A1E0AD7" w14:textId="3CE4CF6B"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7D92B7D6"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3.865</w:t>
            </w:r>
          </w:p>
        </w:tc>
        <w:tc>
          <w:tcPr>
            <w:tcW w:w="1046" w:type="dxa"/>
            <w:noWrap/>
            <w:hideMark/>
          </w:tcPr>
          <w:p w14:paraId="00A395DD" w14:textId="38905F41"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1EB90259"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16%</w:t>
            </w:r>
          </w:p>
        </w:tc>
      </w:tr>
      <w:tr w:rsidR="00D545A2" w:rsidRPr="007C488A" w14:paraId="0C3858A1" w14:textId="77777777" w:rsidTr="00D545A2">
        <w:trPr>
          <w:trHeight w:val="288"/>
        </w:trPr>
        <w:tc>
          <w:tcPr>
            <w:tcW w:w="2186" w:type="dxa"/>
            <w:vMerge/>
            <w:hideMark/>
          </w:tcPr>
          <w:p w14:paraId="07F833BE" w14:textId="77777777" w:rsidR="00D545A2" w:rsidRPr="007C488A" w:rsidRDefault="00D545A2" w:rsidP="00275263">
            <w:pPr>
              <w:spacing w:before="0"/>
              <w:rPr>
                <w:rFonts w:ascii="Arial Narrow" w:hAnsi="Arial Narrow"/>
                <w:sz w:val="20"/>
              </w:rPr>
            </w:pPr>
          </w:p>
        </w:tc>
        <w:tc>
          <w:tcPr>
            <w:tcW w:w="1260" w:type="dxa"/>
            <w:hideMark/>
          </w:tcPr>
          <w:p w14:paraId="57E5B7C5" w14:textId="77777777" w:rsidR="00D545A2" w:rsidRPr="007C488A" w:rsidRDefault="00D545A2" w:rsidP="00275263">
            <w:pPr>
              <w:spacing w:before="0"/>
              <w:rPr>
                <w:rFonts w:ascii="Arial Narrow" w:hAnsi="Arial Narrow"/>
                <w:sz w:val="20"/>
              </w:rPr>
            </w:pPr>
          </w:p>
        </w:tc>
        <w:tc>
          <w:tcPr>
            <w:tcW w:w="1129" w:type="dxa"/>
            <w:hideMark/>
          </w:tcPr>
          <w:p w14:paraId="22C7DFCD" w14:textId="77777777" w:rsidR="00D545A2" w:rsidRPr="007C488A" w:rsidRDefault="00D545A2" w:rsidP="00275263">
            <w:pPr>
              <w:spacing w:before="0"/>
              <w:rPr>
                <w:rFonts w:ascii="Arial Narrow" w:hAnsi="Arial Narrow"/>
                <w:sz w:val="20"/>
              </w:rPr>
            </w:pPr>
            <w:r w:rsidRPr="007C488A">
              <w:rPr>
                <w:rFonts w:ascii="Arial Narrow" w:hAnsi="Arial Narrow"/>
                <w:sz w:val="20"/>
              </w:rPr>
              <w:t>Gompertz</w:t>
            </w:r>
          </w:p>
        </w:tc>
        <w:tc>
          <w:tcPr>
            <w:tcW w:w="1175" w:type="dxa"/>
            <w:noWrap/>
            <w:hideMark/>
          </w:tcPr>
          <w:p w14:paraId="68E19024" w14:textId="727555D9"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306398A9"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5.532</w:t>
            </w:r>
          </w:p>
        </w:tc>
        <w:tc>
          <w:tcPr>
            <w:tcW w:w="1046" w:type="dxa"/>
            <w:noWrap/>
            <w:hideMark/>
          </w:tcPr>
          <w:p w14:paraId="77E44E3A" w14:textId="52828334"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0C9A082D"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-12%</w:t>
            </w:r>
          </w:p>
        </w:tc>
      </w:tr>
      <w:tr w:rsidR="00D545A2" w:rsidRPr="007C488A" w14:paraId="6AD1ED5B" w14:textId="77777777" w:rsidTr="00D545A2">
        <w:trPr>
          <w:trHeight w:val="576"/>
        </w:trPr>
        <w:tc>
          <w:tcPr>
            <w:tcW w:w="2186" w:type="dxa"/>
            <w:vMerge/>
            <w:hideMark/>
          </w:tcPr>
          <w:p w14:paraId="68ACC764" w14:textId="77777777" w:rsidR="00D545A2" w:rsidRPr="007C488A" w:rsidRDefault="00D545A2" w:rsidP="00275263">
            <w:pPr>
              <w:spacing w:before="0"/>
              <w:rPr>
                <w:rFonts w:ascii="Arial Narrow" w:hAnsi="Arial Narrow"/>
                <w:sz w:val="20"/>
              </w:rPr>
            </w:pPr>
          </w:p>
        </w:tc>
        <w:tc>
          <w:tcPr>
            <w:tcW w:w="1260" w:type="dxa"/>
            <w:hideMark/>
          </w:tcPr>
          <w:p w14:paraId="476A3C4B" w14:textId="77777777" w:rsidR="00D545A2" w:rsidRPr="007C488A" w:rsidRDefault="00D545A2" w:rsidP="00275263">
            <w:pPr>
              <w:spacing w:before="0"/>
              <w:rPr>
                <w:rFonts w:ascii="Arial Narrow" w:hAnsi="Arial Narrow"/>
                <w:sz w:val="20"/>
              </w:rPr>
            </w:pPr>
          </w:p>
        </w:tc>
        <w:tc>
          <w:tcPr>
            <w:tcW w:w="1129" w:type="dxa"/>
            <w:hideMark/>
          </w:tcPr>
          <w:p w14:paraId="5197D17A" w14:textId="77777777" w:rsidR="00D545A2" w:rsidRPr="007C488A" w:rsidRDefault="00D545A2" w:rsidP="00275263">
            <w:pPr>
              <w:spacing w:before="0"/>
              <w:rPr>
                <w:rFonts w:ascii="Arial Narrow" w:hAnsi="Arial Narrow"/>
                <w:sz w:val="20"/>
              </w:rPr>
            </w:pPr>
            <w:r w:rsidRPr="007C488A">
              <w:rPr>
                <w:rFonts w:ascii="Arial Narrow" w:hAnsi="Arial Narrow"/>
                <w:sz w:val="20"/>
              </w:rPr>
              <w:t>Log-Log</w:t>
            </w:r>
          </w:p>
        </w:tc>
        <w:tc>
          <w:tcPr>
            <w:tcW w:w="1175" w:type="dxa"/>
            <w:noWrap/>
            <w:hideMark/>
          </w:tcPr>
          <w:p w14:paraId="484C130E" w14:textId="7FD54B57"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2983E2D8"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5.115</w:t>
            </w:r>
          </w:p>
        </w:tc>
        <w:tc>
          <w:tcPr>
            <w:tcW w:w="1046" w:type="dxa"/>
            <w:noWrap/>
            <w:hideMark/>
          </w:tcPr>
          <w:p w14:paraId="43A23B61" w14:textId="00829AE0"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41CCD9F2"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-7%</w:t>
            </w:r>
          </w:p>
        </w:tc>
      </w:tr>
      <w:tr w:rsidR="00D545A2" w:rsidRPr="007C488A" w14:paraId="210926AC" w14:textId="77777777" w:rsidTr="00D545A2">
        <w:trPr>
          <w:trHeight w:val="576"/>
        </w:trPr>
        <w:tc>
          <w:tcPr>
            <w:tcW w:w="2186" w:type="dxa"/>
            <w:vMerge/>
            <w:hideMark/>
          </w:tcPr>
          <w:p w14:paraId="128BB11A" w14:textId="77777777" w:rsidR="00D545A2" w:rsidRPr="007C488A" w:rsidRDefault="00D545A2" w:rsidP="00275263">
            <w:pPr>
              <w:spacing w:before="0"/>
              <w:rPr>
                <w:rFonts w:ascii="Arial Narrow" w:hAnsi="Arial Narrow"/>
                <w:sz w:val="20"/>
              </w:rPr>
            </w:pPr>
          </w:p>
        </w:tc>
        <w:tc>
          <w:tcPr>
            <w:tcW w:w="1260" w:type="dxa"/>
            <w:hideMark/>
          </w:tcPr>
          <w:p w14:paraId="1415DB6F" w14:textId="77777777" w:rsidR="00D545A2" w:rsidRPr="007C488A" w:rsidRDefault="00D545A2" w:rsidP="00275263">
            <w:pPr>
              <w:spacing w:before="0"/>
              <w:rPr>
                <w:rFonts w:ascii="Arial Narrow" w:hAnsi="Arial Narrow"/>
                <w:sz w:val="20"/>
              </w:rPr>
            </w:pPr>
          </w:p>
        </w:tc>
        <w:tc>
          <w:tcPr>
            <w:tcW w:w="1129" w:type="dxa"/>
            <w:hideMark/>
          </w:tcPr>
          <w:p w14:paraId="258FF284" w14:textId="77777777" w:rsidR="00D545A2" w:rsidRPr="007C488A" w:rsidRDefault="00D545A2" w:rsidP="00275263">
            <w:pPr>
              <w:spacing w:before="0"/>
              <w:rPr>
                <w:rFonts w:ascii="Arial Narrow" w:hAnsi="Arial Narrow"/>
                <w:sz w:val="20"/>
              </w:rPr>
            </w:pPr>
            <w:r w:rsidRPr="007C488A">
              <w:rPr>
                <w:rFonts w:ascii="Arial Narrow" w:hAnsi="Arial Narrow"/>
                <w:sz w:val="20"/>
              </w:rPr>
              <w:t>Weibull (next best fit)</w:t>
            </w:r>
          </w:p>
        </w:tc>
        <w:tc>
          <w:tcPr>
            <w:tcW w:w="1175" w:type="dxa"/>
            <w:noWrap/>
            <w:hideMark/>
          </w:tcPr>
          <w:p w14:paraId="1E57667B" w14:textId="6186F400"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1A033CD3"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4.837</w:t>
            </w:r>
          </w:p>
        </w:tc>
        <w:tc>
          <w:tcPr>
            <w:tcW w:w="1046" w:type="dxa"/>
            <w:noWrap/>
            <w:hideMark/>
          </w:tcPr>
          <w:p w14:paraId="094130B7" w14:textId="4EA74707"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24F68997"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-3%</w:t>
            </w:r>
          </w:p>
        </w:tc>
      </w:tr>
      <w:tr w:rsidR="00D545A2" w:rsidRPr="007C488A" w14:paraId="34AE75CD" w14:textId="77777777" w:rsidTr="00D545A2">
        <w:trPr>
          <w:trHeight w:val="288"/>
        </w:trPr>
        <w:tc>
          <w:tcPr>
            <w:tcW w:w="2186" w:type="dxa"/>
            <w:vMerge/>
            <w:hideMark/>
          </w:tcPr>
          <w:p w14:paraId="771D4C87" w14:textId="77777777" w:rsidR="00D545A2" w:rsidRPr="007C488A" w:rsidRDefault="00D545A2" w:rsidP="00275263">
            <w:pPr>
              <w:spacing w:before="0"/>
              <w:rPr>
                <w:rFonts w:ascii="Arial Narrow" w:hAnsi="Arial Narrow"/>
                <w:sz w:val="20"/>
              </w:rPr>
            </w:pPr>
          </w:p>
        </w:tc>
        <w:tc>
          <w:tcPr>
            <w:tcW w:w="1260" w:type="dxa"/>
            <w:hideMark/>
          </w:tcPr>
          <w:p w14:paraId="3A0DD227" w14:textId="77777777" w:rsidR="00D545A2" w:rsidRPr="007C488A" w:rsidRDefault="00D545A2" w:rsidP="00275263">
            <w:pPr>
              <w:spacing w:before="0"/>
              <w:rPr>
                <w:rFonts w:ascii="Arial Narrow" w:hAnsi="Arial Narrow"/>
                <w:sz w:val="20"/>
              </w:rPr>
            </w:pPr>
          </w:p>
        </w:tc>
        <w:tc>
          <w:tcPr>
            <w:tcW w:w="1129" w:type="dxa"/>
            <w:hideMark/>
          </w:tcPr>
          <w:p w14:paraId="3F43E66E" w14:textId="77777777" w:rsidR="00D545A2" w:rsidRPr="007C488A" w:rsidRDefault="00D545A2" w:rsidP="00275263">
            <w:pPr>
              <w:spacing w:before="0"/>
              <w:rPr>
                <w:rFonts w:ascii="Arial Narrow" w:hAnsi="Arial Narrow"/>
                <w:sz w:val="20"/>
              </w:rPr>
            </w:pPr>
            <w:r w:rsidRPr="007C488A">
              <w:rPr>
                <w:rFonts w:ascii="Arial Narrow" w:hAnsi="Arial Narrow"/>
                <w:sz w:val="20"/>
              </w:rPr>
              <w:t>Log-normal</w:t>
            </w:r>
          </w:p>
        </w:tc>
        <w:tc>
          <w:tcPr>
            <w:tcW w:w="1175" w:type="dxa"/>
            <w:noWrap/>
            <w:hideMark/>
          </w:tcPr>
          <w:p w14:paraId="2AEBCFA5" w14:textId="1FF7C501"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hideMark/>
          </w:tcPr>
          <w:p w14:paraId="3389C3EF"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5.176</w:t>
            </w:r>
          </w:p>
        </w:tc>
        <w:tc>
          <w:tcPr>
            <w:tcW w:w="1046" w:type="dxa"/>
            <w:noWrap/>
            <w:hideMark/>
          </w:tcPr>
          <w:p w14:paraId="472E7D3E" w14:textId="0814A5B3"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noWrap/>
            <w:hideMark/>
          </w:tcPr>
          <w:p w14:paraId="5D87900F"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-7%</w:t>
            </w:r>
          </w:p>
        </w:tc>
      </w:tr>
      <w:tr w:rsidR="00D545A2" w:rsidRPr="007C488A" w14:paraId="66A5EDB7" w14:textId="77777777" w:rsidTr="00EA4FE5">
        <w:trPr>
          <w:trHeight w:val="288"/>
        </w:trPr>
        <w:tc>
          <w:tcPr>
            <w:tcW w:w="9016" w:type="dxa"/>
            <w:gridSpan w:val="7"/>
          </w:tcPr>
          <w:p w14:paraId="23EA17F6" w14:textId="4108BA88" w:rsidR="00D545A2" w:rsidRPr="007C488A" w:rsidRDefault="00D545A2" w:rsidP="00275263">
            <w:pPr>
              <w:spacing w:before="0"/>
              <w:rPr>
                <w:rFonts w:ascii="Arial Narrow" w:hAnsi="Arial Narrow"/>
                <w:sz w:val="20"/>
              </w:rPr>
            </w:pPr>
            <w:r w:rsidRPr="007C488A">
              <w:rPr>
                <w:rFonts w:ascii="Arial Narrow" w:hAnsi="Arial Narrow"/>
                <w:b/>
                <w:bCs/>
                <w:sz w:val="20"/>
              </w:rPr>
              <w:t>Sensitivity analysis performed by the commentary</w:t>
            </w:r>
          </w:p>
        </w:tc>
      </w:tr>
      <w:tr w:rsidR="00D545A2" w:rsidRPr="007C488A" w14:paraId="70D611F9" w14:textId="77777777" w:rsidTr="00D545A2">
        <w:trPr>
          <w:trHeight w:val="288"/>
        </w:trPr>
        <w:tc>
          <w:tcPr>
            <w:tcW w:w="2186" w:type="dxa"/>
          </w:tcPr>
          <w:p w14:paraId="069D6BE9" w14:textId="77777777" w:rsidR="00D545A2" w:rsidRPr="007C488A" w:rsidRDefault="00D545A2" w:rsidP="00275263">
            <w:pPr>
              <w:spacing w:before="0"/>
              <w:rPr>
                <w:rFonts w:ascii="Arial Narrow" w:hAnsi="Arial Narrow"/>
                <w:sz w:val="20"/>
              </w:rPr>
            </w:pPr>
            <w:r w:rsidRPr="007C488A">
              <w:rPr>
                <w:rFonts w:ascii="Arial Narrow" w:hAnsi="Arial Narrow"/>
                <w:b/>
                <w:bCs/>
                <w:sz w:val="20"/>
              </w:rPr>
              <w:t>Univariate analysis</w:t>
            </w:r>
          </w:p>
        </w:tc>
        <w:tc>
          <w:tcPr>
            <w:tcW w:w="1260" w:type="dxa"/>
          </w:tcPr>
          <w:p w14:paraId="604188BC" w14:textId="77777777" w:rsidR="00D545A2" w:rsidRPr="007C488A" w:rsidRDefault="00D545A2" w:rsidP="00275263">
            <w:pPr>
              <w:spacing w:before="0"/>
              <w:rPr>
                <w:rFonts w:ascii="Arial Narrow" w:hAnsi="Arial Narrow"/>
                <w:sz w:val="20"/>
              </w:rPr>
            </w:pPr>
          </w:p>
        </w:tc>
        <w:tc>
          <w:tcPr>
            <w:tcW w:w="1129" w:type="dxa"/>
          </w:tcPr>
          <w:p w14:paraId="4D276BE3" w14:textId="77777777" w:rsidR="00D545A2" w:rsidRPr="007C488A" w:rsidRDefault="00D545A2" w:rsidP="00275263">
            <w:pPr>
              <w:spacing w:before="0"/>
              <w:rPr>
                <w:rFonts w:ascii="Arial Narrow" w:hAnsi="Arial Narrow"/>
                <w:sz w:val="20"/>
              </w:rPr>
            </w:pPr>
          </w:p>
        </w:tc>
        <w:tc>
          <w:tcPr>
            <w:tcW w:w="1175" w:type="dxa"/>
            <w:noWrap/>
          </w:tcPr>
          <w:p w14:paraId="7C62CA43" w14:textId="77777777" w:rsidR="00D545A2" w:rsidRPr="007C488A" w:rsidRDefault="00D545A2" w:rsidP="00275263">
            <w:pPr>
              <w:spacing w:before="0"/>
              <w:jc w:val="center"/>
              <w:rPr>
                <w:rFonts w:ascii="Arial Narrow" w:hAnsi="Arial Narrow"/>
                <w:sz w:val="20"/>
              </w:rPr>
            </w:pPr>
          </w:p>
        </w:tc>
        <w:tc>
          <w:tcPr>
            <w:tcW w:w="1137" w:type="dxa"/>
            <w:noWrap/>
          </w:tcPr>
          <w:p w14:paraId="74F674A2" w14:textId="77777777" w:rsidR="00D545A2" w:rsidRPr="007C488A" w:rsidRDefault="00D545A2" w:rsidP="00275263">
            <w:pPr>
              <w:spacing w:before="0"/>
              <w:jc w:val="center"/>
              <w:rPr>
                <w:rFonts w:ascii="Arial Narrow" w:hAnsi="Arial Narrow"/>
                <w:sz w:val="20"/>
              </w:rPr>
            </w:pPr>
          </w:p>
        </w:tc>
        <w:tc>
          <w:tcPr>
            <w:tcW w:w="1046" w:type="dxa"/>
            <w:noWrap/>
          </w:tcPr>
          <w:p w14:paraId="2DE55447" w14:textId="77777777" w:rsidR="00D545A2" w:rsidRPr="007C488A" w:rsidRDefault="00D545A2" w:rsidP="00275263">
            <w:pPr>
              <w:spacing w:before="0"/>
              <w:jc w:val="center"/>
              <w:rPr>
                <w:rFonts w:ascii="Arial Narrow" w:hAnsi="Arial Narrow"/>
                <w:sz w:val="20"/>
              </w:rPr>
            </w:pPr>
          </w:p>
        </w:tc>
        <w:tc>
          <w:tcPr>
            <w:tcW w:w="1083" w:type="dxa"/>
            <w:noWrap/>
          </w:tcPr>
          <w:p w14:paraId="51DEF126" w14:textId="77777777" w:rsidR="00D545A2" w:rsidRPr="007C488A" w:rsidRDefault="00D545A2" w:rsidP="00275263">
            <w:pPr>
              <w:spacing w:before="0"/>
              <w:jc w:val="center"/>
              <w:rPr>
                <w:rFonts w:ascii="Arial Narrow" w:hAnsi="Arial Narrow"/>
                <w:sz w:val="20"/>
              </w:rPr>
            </w:pPr>
          </w:p>
        </w:tc>
      </w:tr>
      <w:tr w:rsidR="00D545A2" w:rsidRPr="007C488A" w14:paraId="18A15858" w14:textId="77777777" w:rsidTr="00D545A2">
        <w:trPr>
          <w:trHeight w:val="288"/>
        </w:trPr>
        <w:tc>
          <w:tcPr>
            <w:tcW w:w="2186" w:type="dxa"/>
          </w:tcPr>
          <w:p w14:paraId="5F7C6F1F" w14:textId="295D991A" w:rsidR="00D545A2" w:rsidRPr="007C488A" w:rsidRDefault="00D545A2" w:rsidP="00275263">
            <w:pPr>
              <w:spacing w:before="0"/>
              <w:rPr>
                <w:rFonts w:ascii="Arial Narrow" w:hAnsi="Arial Narrow"/>
                <w:sz w:val="20"/>
              </w:rPr>
            </w:pPr>
            <w:r w:rsidRPr="007C488A">
              <w:rPr>
                <w:rFonts w:ascii="Arial Narrow" w:hAnsi="Arial Narrow"/>
                <w:sz w:val="20"/>
              </w:rPr>
              <w:t xml:space="preserve">Applying the </w:t>
            </w:r>
            <w:r w:rsidR="008A0A11" w:rsidRPr="007C488A">
              <w:rPr>
                <w:rFonts w:ascii="Arial Narrow" w:hAnsi="Arial Narrow"/>
                <w:sz w:val="20"/>
              </w:rPr>
              <w:t xml:space="preserve">“HR” as method of extrapolating in the economic model </w:t>
            </w:r>
          </w:p>
        </w:tc>
        <w:tc>
          <w:tcPr>
            <w:tcW w:w="1260" w:type="dxa"/>
          </w:tcPr>
          <w:p w14:paraId="43BFE73B" w14:textId="77777777" w:rsidR="00D545A2" w:rsidRPr="007C488A" w:rsidRDefault="00D545A2" w:rsidP="00275263">
            <w:pPr>
              <w:spacing w:before="0"/>
              <w:rPr>
                <w:rFonts w:ascii="Arial Narrow" w:hAnsi="Arial Narrow"/>
                <w:sz w:val="20"/>
              </w:rPr>
            </w:pPr>
          </w:p>
        </w:tc>
        <w:tc>
          <w:tcPr>
            <w:tcW w:w="1129" w:type="dxa"/>
          </w:tcPr>
          <w:p w14:paraId="34169CA6" w14:textId="77777777" w:rsidR="00D545A2" w:rsidRPr="007C488A" w:rsidRDefault="00D545A2" w:rsidP="00275263">
            <w:pPr>
              <w:spacing w:before="0"/>
              <w:rPr>
                <w:rFonts w:ascii="Arial Narrow" w:hAnsi="Arial Narrow"/>
                <w:sz w:val="20"/>
              </w:rPr>
            </w:pPr>
          </w:p>
        </w:tc>
        <w:tc>
          <w:tcPr>
            <w:tcW w:w="1175" w:type="dxa"/>
            <w:noWrap/>
          </w:tcPr>
          <w:p w14:paraId="62845A74" w14:textId="3067A7AE"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0A8EFF4B"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2.559</w:t>
            </w:r>
          </w:p>
        </w:tc>
        <w:tc>
          <w:tcPr>
            <w:tcW w:w="1046" w:type="dxa"/>
            <w:noWrap/>
          </w:tcPr>
          <w:p w14:paraId="2AE489FC" w14:textId="0D2A0040"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shd w:val="clear" w:color="auto" w:fill="auto"/>
            <w:noWrap/>
          </w:tcPr>
          <w:p w14:paraId="1C8E42B2"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85%</w:t>
            </w:r>
          </w:p>
        </w:tc>
      </w:tr>
      <w:tr w:rsidR="00D545A2" w:rsidRPr="007C488A" w14:paraId="6F82015F" w14:textId="77777777" w:rsidTr="00D545A2">
        <w:trPr>
          <w:trHeight w:val="288"/>
        </w:trPr>
        <w:tc>
          <w:tcPr>
            <w:tcW w:w="2186" w:type="dxa"/>
          </w:tcPr>
          <w:p w14:paraId="00C6EBDC" w14:textId="77777777" w:rsidR="00D545A2" w:rsidRPr="007C488A" w:rsidRDefault="00D545A2" w:rsidP="00275263">
            <w:pPr>
              <w:spacing w:before="0"/>
              <w:rPr>
                <w:rFonts w:ascii="Arial Narrow" w:hAnsi="Arial Narrow"/>
                <w:sz w:val="20"/>
              </w:rPr>
            </w:pPr>
            <w:bookmarkStart w:id="61" w:name="_Hlk152076780"/>
            <w:r w:rsidRPr="007C488A">
              <w:rPr>
                <w:rFonts w:ascii="Arial Narrow" w:hAnsi="Arial Narrow"/>
                <w:sz w:val="20"/>
              </w:rPr>
              <w:t>OMM disease related costs 1st cycle</w:t>
            </w:r>
          </w:p>
        </w:tc>
        <w:tc>
          <w:tcPr>
            <w:tcW w:w="1260" w:type="dxa"/>
          </w:tcPr>
          <w:p w14:paraId="6A52F9C3" w14:textId="77777777" w:rsidR="00D545A2" w:rsidRPr="007C488A" w:rsidRDefault="00D545A2" w:rsidP="00275263">
            <w:pPr>
              <w:spacing w:before="0"/>
              <w:rPr>
                <w:rFonts w:ascii="Arial Narrow" w:hAnsi="Arial Narrow"/>
                <w:sz w:val="20"/>
              </w:rPr>
            </w:pPr>
            <w:r w:rsidRPr="007C488A">
              <w:rPr>
                <w:rFonts w:ascii="Arial Narrow" w:hAnsi="Arial Narrow"/>
                <w:sz w:val="20"/>
              </w:rPr>
              <w:t>$34,218.02</w:t>
            </w:r>
          </w:p>
        </w:tc>
        <w:tc>
          <w:tcPr>
            <w:tcW w:w="1129" w:type="dxa"/>
          </w:tcPr>
          <w:p w14:paraId="0C449971" w14:textId="77777777" w:rsidR="00D545A2" w:rsidRPr="007C488A" w:rsidRDefault="00D545A2" w:rsidP="00275263">
            <w:pPr>
              <w:spacing w:before="0"/>
              <w:rPr>
                <w:rFonts w:ascii="Arial Narrow" w:hAnsi="Arial Narrow"/>
                <w:sz w:val="20"/>
              </w:rPr>
            </w:pPr>
            <w:r w:rsidRPr="007C488A">
              <w:rPr>
                <w:rFonts w:ascii="Arial Narrow" w:hAnsi="Arial Narrow"/>
                <w:sz w:val="20"/>
              </w:rPr>
              <w:t>$0</w:t>
            </w:r>
          </w:p>
        </w:tc>
        <w:tc>
          <w:tcPr>
            <w:tcW w:w="1175" w:type="dxa"/>
            <w:noWrap/>
          </w:tcPr>
          <w:p w14:paraId="3EBF3CB2" w14:textId="33C7CAB4"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49885ECB"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5.672</w:t>
            </w:r>
          </w:p>
        </w:tc>
        <w:tc>
          <w:tcPr>
            <w:tcW w:w="1046" w:type="dxa"/>
            <w:noWrap/>
          </w:tcPr>
          <w:p w14:paraId="0FA95B54" w14:textId="43783BB0"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shd w:val="clear" w:color="auto" w:fill="auto"/>
            <w:noWrap/>
          </w:tcPr>
          <w:p w14:paraId="6F21673A" w14:textId="77777777" w:rsidR="00D545A2" w:rsidRPr="007C488A" w:rsidRDefault="00D545A2" w:rsidP="00275263">
            <w:pPr>
              <w:spacing w:before="0"/>
              <w:jc w:val="center"/>
              <w:rPr>
                <w:rFonts w:ascii="Arial Narrow" w:hAnsi="Arial Narrow"/>
                <w:sz w:val="20"/>
              </w:rPr>
            </w:pPr>
            <w:r w:rsidRPr="007C488A">
              <w:rPr>
                <w:rFonts w:ascii="Arial Narrow" w:hAnsi="Arial Narrow"/>
                <w:sz w:val="20"/>
              </w:rPr>
              <w:t>8%</w:t>
            </w:r>
          </w:p>
        </w:tc>
      </w:tr>
      <w:bookmarkEnd w:id="61"/>
      <w:tr w:rsidR="00D545A2" w:rsidRPr="007C488A" w14:paraId="2B660B01" w14:textId="77777777" w:rsidTr="00D545A2">
        <w:trPr>
          <w:trHeight w:val="288"/>
        </w:trPr>
        <w:tc>
          <w:tcPr>
            <w:tcW w:w="4575" w:type="dxa"/>
            <w:gridSpan w:val="3"/>
          </w:tcPr>
          <w:p w14:paraId="697B8987" w14:textId="77777777" w:rsidR="00D545A2" w:rsidRPr="007C488A" w:rsidRDefault="00D545A2" w:rsidP="00275263">
            <w:pPr>
              <w:spacing w:before="0"/>
              <w:rPr>
                <w:rFonts w:ascii="Arial Narrow" w:hAnsi="Arial Narrow"/>
                <w:b/>
                <w:bCs/>
                <w:sz w:val="20"/>
              </w:rPr>
            </w:pPr>
            <w:r w:rsidRPr="007C488A">
              <w:rPr>
                <w:rFonts w:ascii="Arial Narrow" w:hAnsi="Arial Narrow"/>
                <w:b/>
                <w:bCs/>
                <w:sz w:val="20"/>
              </w:rPr>
              <w:t>Multivariate analysis</w:t>
            </w:r>
          </w:p>
        </w:tc>
        <w:tc>
          <w:tcPr>
            <w:tcW w:w="1175" w:type="dxa"/>
            <w:noWrap/>
          </w:tcPr>
          <w:p w14:paraId="4357EF29" w14:textId="77777777" w:rsidR="00D545A2" w:rsidRPr="007C488A" w:rsidRDefault="00D545A2" w:rsidP="00275263">
            <w:pPr>
              <w:spacing w:before="0"/>
              <w:jc w:val="center"/>
              <w:rPr>
                <w:rFonts w:ascii="Arial Narrow" w:hAnsi="Arial Narrow"/>
                <w:sz w:val="20"/>
              </w:rPr>
            </w:pPr>
          </w:p>
        </w:tc>
        <w:tc>
          <w:tcPr>
            <w:tcW w:w="1137" w:type="dxa"/>
            <w:noWrap/>
          </w:tcPr>
          <w:p w14:paraId="1F7EE00C" w14:textId="77777777" w:rsidR="00D545A2" w:rsidRPr="007C488A" w:rsidRDefault="00D545A2" w:rsidP="00275263">
            <w:pPr>
              <w:spacing w:before="0"/>
              <w:jc w:val="center"/>
              <w:rPr>
                <w:rFonts w:ascii="Arial Narrow" w:hAnsi="Arial Narrow"/>
                <w:sz w:val="20"/>
              </w:rPr>
            </w:pPr>
          </w:p>
        </w:tc>
        <w:tc>
          <w:tcPr>
            <w:tcW w:w="1046" w:type="dxa"/>
            <w:noWrap/>
          </w:tcPr>
          <w:p w14:paraId="6165F244" w14:textId="77777777" w:rsidR="00D545A2" w:rsidRPr="007C488A" w:rsidRDefault="00D545A2" w:rsidP="00275263">
            <w:pPr>
              <w:spacing w:before="0"/>
              <w:jc w:val="center"/>
              <w:rPr>
                <w:rFonts w:ascii="Arial Narrow" w:hAnsi="Arial Narrow"/>
                <w:sz w:val="20"/>
              </w:rPr>
            </w:pPr>
          </w:p>
        </w:tc>
        <w:tc>
          <w:tcPr>
            <w:tcW w:w="1083" w:type="dxa"/>
            <w:shd w:val="clear" w:color="auto" w:fill="auto"/>
            <w:noWrap/>
          </w:tcPr>
          <w:p w14:paraId="1F0C069A" w14:textId="77777777" w:rsidR="00D545A2" w:rsidRPr="007C488A" w:rsidRDefault="00D545A2" w:rsidP="00275263">
            <w:pPr>
              <w:spacing w:before="0"/>
              <w:jc w:val="center"/>
              <w:rPr>
                <w:rFonts w:ascii="Arial Narrow" w:hAnsi="Arial Narrow"/>
                <w:sz w:val="20"/>
              </w:rPr>
            </w:pPr>
          </w:p>
        </w:tc>
      </w:tr>
      <w:tr w:rsidR="00D545A2" w:rsidRPr="007C488A" w14:paraId="48A3EC47" w14:textId="77777777" w:rsidTr="00D545A2">
        <w:trPr>
          <w:trHeight w:val="288"/>
        </w:trPr>
        <w:tc>
          <w:tcPr>
            <w:tcW w:w="4575" w:type="dxa"/>
            <w:gridSpan w:val="3"/>
          </w:tcPr>
          <w:p w14:paraId="04C0DCAA" w14:textId="379581C2" w:rsidR="00D545A2" w:rsidRPr="007C488A" w:rsidRDefault="00D545A2" w:rsidP="00275263">
            <w:pPr>
              <w:spacing w:before="0"/>
              <w:rPr>
                <w:rFonts w:ascii="Arial Narrow" w:hAnsi="Arial Narrow"/>
                <w:sz w:val="20"/>
              </w:rPr>
            </w:pPr>
            <w:r w:rsidRPr="007C488A">
              <w:rPr>
                <w:rFonts w:ascii="Arial Narrow" w:hAnsi="Arial Narrow"/>
                <w:sz w:val="20"/>
              </w:rPr>
              <w:t>Assuming a time horizon of 10 years, health state utility - LVAD subsequent cycles 0.59, applying ITC hazard ratio and OMM disease related costs in 1st cycle $0</w:t>
            </w:r>
          </w:p>
        </w:tc>
        <w:tc>
          <w:tcPr>
            <w:tcW w:w="1175" w:type="dxa"/>
            <w:noWrap/>
          </w:tcPr>
          <w:p w14:paraId="75DE1B2E" w14:textId="16C2E211"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137" w:type="dxa"/>
            <w:noWrap/>
          </w:tcPr>
          <w:p w14:paraId="64C5A11B" w14:textId="4CD37777" w:rsidR="00D545A2" w:rsidRPr="007C488A" w:rsidRDefault="00AF0673" w:rsidP="00275263">
            <w:pPr>
              <w:spacing w:before="0"/>
              <w:jc w:val="center"/>
              <w:rPr>
                <w:rFonts w:ascii="Arial Narrow" w:hAnsi="Arial Narrow"/>
                <w:sz w:val="20"/>
              </w:rPr>
            </w:pPr>
            <w:r w:rsidRPr="007C488A">
              <w:rPr>
                <w:rFonts w:ascii="Arial Narrow" w:hAnsi="Arial Narrow"/>
                <w:sz w:val="20"/>
              </w:rPr>
              <w:t>1.591</w:t>
            </w:r>
          </w:p>
        </w:tc>
        <w:tc>
          <w:tcPr>
            <w:tcW w:w="1046" w:type="dxa"/>
            <w:noWrap/>
          </w:tcPr>
          <w:p w14:paraId="0CC26A25" w14:textId="7DD8B474" w:rsidR="00D545A2" w:rsidRPr="007C488A" w:rsidRDefault="00D545A2" w:rsidP="00275263">
            <w:pPr>
              <w:spacing w:before="0"/>
              <w:jc w:val="center"/>
              <w:rPr>
                <w:rFonts w:ascii="Arial Narrow" w:hAnsi="Arial Narrow"/>
                <w:sz w:val="20"/>
              </w:rPr>
            </w:pPr>
            <w:r w:rsidRPr="007C488A">
              <w:rPr>
                <w:rFonts w:ascii="Arial Narrow" w:hAnsi="Arial Narrow"/>
                <w:sz w:val="20"/>
              </w:rPr>
              <w:t>$</w:t>
            </w:r>
            <w:r w:rsidR="00C60AE9" w:rsidRPr="007C488A">
              <w:rPr>
                <w:rFonts w:ascii="Arial Narrow" w:hAnsi="Arial Narrow"/>
                <w:b/>
                <w:bCs/>
                <w:sz w:val="20"/>
              </w:rPr>
              <w:t>redacted</w:t>
            </w:r>
          </w:p>
        </w:tc>
        <w:tc>
          <w:tcPr>
            <w:tcW w:w="1083" w:type="dxa"/>
            <w:shd w:val="clear" w:color="auto" w:fill="auto"/>
            <w:noWrap/>
          </w:tcPr>
          <w:p w14:paraId="196EBF0C" w14:textId="3BA576A3" w:rsidR="00D545A2" w:rsidRPr="007C488A" w:rsidRDefault="00AF0673" w:rsidP="00275263">
            <w:pPr>
              <w:spacing w:before="0"/>
              <w:jc w:val="center"/>
              <w:rPr>
                <w:rFonts w:ascii="Arial Narrow" w:hAnsi="Arial Narrow"/>
                <w:sz w:val="20"/>
              </w:rPr>
            </w:pPr>
            <w:r w:rsidRPr="007C488A">
              <w:rPr>
                <w:rFonts w:ascii="Arial Narrow" w:hAnsi="Arial Narrow"/>
                <w:sz w:val="20"/>
              </w:rPr>
              <w:t>160</w:t>
            </w:r>
            <w:r w:rsidR="00D545A2" w:rsidRPr="007C488A">
              <w:rPr>
                <w:rFonts w:ascii="Arial Narrow" w:hAnsi="Arial Narrow"/>
                <w:sz w:val="20"/>
              </w:rPr>
              <w:t>%</w:t>
            </w:r>
          </w:p>
        </w:tc>
      </w:tr>
    </w:tbl>
    <w:p w14:paraId="53AC2D1E" w14:textId="1B13B8CA" w:rsidR="00EB2081" w:rsidRPr="007C488A" w:rsidRDefault="00EB2081" w:rsidP="00EA4FE5">
      <w:pPr>
        <w:pStyle w:val="Tablenotes0"/>
        <w:rPr>
          <w:snapToGrid w:val="0"/>
        </w:rPr>
      </w:pPr>
      <w:r w:rsidRPr="007C488A">
        <w:rPr>
          <w:snapToGrid w:val="0"/>
        </w:rPr>
        <w:t>Source: Table 76, Pp</w:t>
      </w:r>
      <w:r w:rsidR="00886AD7" w:rsidRPr="007C488A">
        <w:rPr>
          <w:snapToGrid w:val="0"/>
        </w:rPr>
        <w:t>251-253</w:t>
      </w:r>
      <w:r w:rsidRPr="007C488A">
        <w:rPr>
          <w:snapToGrid w:val="0"/>
        </w:rPr>
        <w:t xml:space="preserve"> of </w:t>
      </w:r>
      <w:r w:rsidR="00FF43D6" w:rsidRPr="007C488A">
        <w:rPr>
          <w:snapToGrid w:val="0"/>
        </w:rPr>
        <w:t>MSAC 1749 ADAR+ in-line commentary</w:t>
      </w:r>
    </w:p>
    <w:p w14:paraId="68895354" w14:textId="3E1725B3" w:rsidR="00EB2081" w:rsidRPr="007C488A" w:rsidRDefault="00EB2081" w:rsidP="00AE0B61">
      <w:pPr>
        <w:pStyle w:val="Tablenotes0"/>
        <w:rPr>
          <w:snapToGrid w:val="0"/>
        </w:rPr>
      </w:pPr>
      <w:r w:rsidRPr="007C488A">
        <w:rPr>
          <w:snapToGrid w:val="0"/>
        </w:rPr>
        <w:t xml:space="preserve">Abbreviations: </w:t>
      </w:r>
      <w:r w:rsidR="008A0A11" w:rsidRPr="007C488A">
        <w:rPr>
          <w:snapToGrid w:val="0"/>
        </w:rPr>
        <w:t xml:space="preserve">HR= Hazard ratio; </w:t>
      </w:r>
      <w:r w:rsidRPr="007C488A">
        <w:rPr>
          <w:snapToGrid w:val="0"/>
        </w:rPr>
        <w:t>ICER = incremental cost-effectiveness ratio;</w:t>
      </w:r>
      <w:r w:rsidRPr="007C488A">
        <w:rPr>
          <w:rFonts w:eastAsia="Times New Roman"/>
          <w:snapToGrid w:val="0"/>
        </w:rPr>
        <w:t xml:space="preserve"> </w:t>
      </w:r>
      <w:r w:rsidR="00F044F0" w:rsidRPr="007C488A">
        <w:rPr>
          <w:rFonts w:eastAsia="Times New Roman"/>
          <w:snapToGrid w:val="0"/>
        </w:rPr>
        <w:t xml:space="preserve">ITC = indirect treatment comparison; </w:t>
      </w:r>
      <w:r w:rsidR="005E59D7" w:rsidRPr="007C488A">
        <w:rPr>
          <w:rFonts w:eastAsia="Times New Roman"/>
          <w:snapToGrid w:val="0"/>
        </w:rPr>
        <w:t xml:space="preserve">KM = Kaplan Meier; </w:t>
      </w:r>
      <w:r w:rsidRPr="007C488A">
        <w:rPr>
          <w:snapToGrid w:val="0"/>
        </w:rPr>
        <w:t xml:space="preserve">LVAD = left ventricular assist device; OMM = optimal medical management; QALY = quality adjusted life year. </w:t>
      </w:r>
    </w:p>
    <w:p w14:paraId="055D13DF" w14:textId="65F27EBA" w:rsidR="00565DB5" w:rsidRPr="007C488A" w:rsidRDefault="00477C8D" w:rsidP="00AE0B61">
      <w:pPr>
        <w:pStyle w:val="Tablenotes0"/>
        <w:rPr>
          <w:rFonts w:ascii="Franklin Gothic Book" w:hAnsi="Franklin Gothic Book"/>
          <w:snapToGrid w:val="0"/>
          <w:sz w:val="22"/>
        </w:rPr>
      </w:pPr>
      <w:r w:rsidRPr="007C488A">
        <w:rPr>
          <w:rFonts w:ascii="Franklin Gothic Book" w:hAnsi="Franklin Gothic Book"/>
          <w:snapToGrid w:val="0"/>
          <w:sz w:val="22"/>
        </w:rPr>
        <w:lastRenderedPageBreak/>
        <w:fldChar w:fldCharType="begin"/>
      </w:r>
      <w:r w:rsidRPr="007C488A">
        <w:rPr>
          <w:rFonts w:ascii="Franklin Gothic Book" w:hAnsi="Franklin Gothic Book"/>
          <w:snapToGrid w:val="0"/>
          <w:sz w:val="22"/>
        </w:rPr>
        <w:instrText xml:space="preserve"> REF _Ref164183803 \h  \* MERGEFORMAT </w:instrText>
      </w:r>
      <w:r w:rsidRPr="007C488A">
        <w:rPr>
          <w:rFonts w:ascii="Franklin Gothic Book" w:hAnsi="Franklin Gothic Book"/>
          <w:snapToGrid w:val="0"/>
          <w:sz w:val="22"/>
        </w:rPr>
      </w:r>
      <w:r w:rsidRPr="007C488A">
        <w:rPr>
          <w:rFonts w:ascii="Franklin Gothic Book" w:hAnsi="Franklin Gothic Book"/>
          <w:snapToGrid w:val="0"/>
          <w:sz w:val="22"/>
        </w:rPr>
        <w:fldChar w:fldCharType="separate"/>
      </w:r>
      <w:r w:rsidR="00406484" w:rsidRPr="007C488A">
        <w:rPr>
          <w:rFonts w:ascii="Franklin Gothic Book" w:hAnsi="Franklin Gothic Book"/>
          <w:sz w:val="22"/>
        </w:rPr>
        <w:t xml:space="preserve">Table </w:t>
      </w:r>
      <w:r w:rsidR="00406484" w:rsidRPr="007C488A">
        <w:rPr>
          <w:rFonts w:ascii="Franklin Gothic Book" w:hAnsi="Franklin Gothic Book"/>
          <w:noProof/>
          <w:sz w:val="22"/>
        </w:rPr>
        <w:t>12</w:t>
      </w:r>
      <w:r w:rsidRPr="007C488A">
        <w:rPr>
          <w:rFonts w:ascii="Franklin Gothic Book" w:hAnsi="Franklin Gothic Book"/>
          <w:snapToGrid w:val="0"/>
          <w:sz w:val="22"/>
        </w:rPr>
        <w:fldChar w:fldCharType="end"/>
      </w:r>
      <w:r w:rsidRPr="007C488A">
        <w:rPr>
          <w:rFonts w:ascii="Franklin Gothic Book" w:hAnsi="Franklin Gothic Book"/>
          <w:snapToGrid w:val="0"/>
          <w:sz w:val="22"/>
        </w:rPr>
        <w:t xml:space="preserve"> presents additional sensitivity analys</w:t>
      </w:r>
      <w:r w:rsidR="000C3319" w:rsidRPr="007C488A">
        <w:rPr>
          <w:rFonts w:ascii="Franklin Gothic Book" w:hAnsi="Franklin Gothic Book"/>
          <w:snapToGrid w:val="0"/>
          <w:sz w:val="22"/>
        </w:rPr>
        <w:t>e</w:t>
      </w:r>
      <w:r w:rsidRPr="007C488A">
        <w:rPr>
          <w:rFonts w:ascii="Franklin Gothic Book" w:hAnsi="Franklin Gothic Book"/>
          <w:snapToGrid w:val="0"/>
          <w:sz w:val="22"/>
        </w:rPr>
        <w:t>s provided by the applicant in their pre-MSAC response and the MSAC’s re-specification of the base case.</w:t>
      </w:r>
    </w:p>
    <w:p w14:paraId="6BDA3923" w14:textId="1038146A" w:rsidR="00565DB5" w:rsidRPr="007C488A" w:rsidRDefault="00565DB5" w:rsidP="00565DB5">
      <w:pPr>
        <w:pStyle w:val="Caption"/>
      </w:pPr>
      <w:bookmarkStart w:id="62" w:name="_Ref164183803"/>
      <w:r w:rsidRPr="007C488A">
        <w:t xml:space="preserve">Table </w:t>
      </w:r>
      <w:r w:rsidRPr="007C488A">
        <w:fldChar w:fldCharType="begin"/>
      </w:r>
      <w:r w:rsidRPr="007C488A">
        <w:instrText>SEQ Table \* ARABIC</w:instrText>
      </w:r>
      <w:r w:rsidRPr="007C488A">
        <w:fldChar w:fldCharType="separate"/>
      </w:r>
      <w:r w:rsidR="00406484" w:rsidRPr="007C488A">
        <w:rPr>
          <w:noProof/>
        </w:rPr>
        <w:t>12</w:t>
      </w:r>
      <w:r w:rsidRPr="007C488A">
        <w:fldChar w:fldCharType="end"/>
      </w:r>
      <w:bookmarkEnd w:id="62"/>
      <w:r w:rsidRPr="007C488A">
        <w:t xml:space="preserve">: </w:t>
      </w:r>
      <w:r w:rsidR="00477C8D" w:rsidRPr="007C488A">
        <w:t>Re-specification of base case</w:t>
      </w:r>
    </w:p>
    <w:tbl>
      <w:tblPr>
        <w:tblStyle w:val="TableGrid"/>
        <w:tblW w:w="9067" w:type="dxa"/>
        <w:tblLook w:val="04A0" w:firstRow="1" w:lastRow="0" w:firstColumn="1" w:lastColumn="0" w:noHBand="0" w:noVBand="1"/>
      </w:tblPr>
      <w:tblGrid>
        <w:gridCol w:w="4248"/>
        <w:gridCol w:w="1701"/>
        <w:gridCol w:w="1843"/>
        <w:gridCol w:w="1275"/>
      </w:tblGrid>
      <w:tr w:rsidR="006D47D5" w:rsidRPr="007C488A" w14:paraId="00AD85CC" w14:textId="77777777" w:rsidTr="006D47D5">
        <w:trPr>
          <w:trHeight w:val="288"/>
          <w:tblHeader/>
        </w:trPr>
        <w:tc>
          <w:tcPr>
            <w:tcW w:w="4248" w:type="dxa"/>
            <w:shd w:val="clear" w:color="auto" w:fill="auto"/>
          </w:tcPr>
          <w:p w14:paraId="31ED979D" w14:textId="77777777" w:rsidR="00661374" w:rsidRPr="007C488A" w:rsidRDefault="00661374" w:rsidP="00E03BF8">
            <w:pPr>
              <w:spacing w:before="40" w:after="40"/>
              <w:rPr>
                <w:rFonts w:ascii="Arial Narrow" w:hAnsi="Arial Narrow"/>
                <w:b/>
                <w:bCs/>
                <w:sz w:val="20"/>
              </w:rPr>
            </w:pPr>
            <w:r w:rsidRPr="007C488A">
              <w:rPr>
                <w:rFonts w:ascii="Arial Narrow" w:hAnsi="Arial Narrow"/>
                <w:b/>
                <w:bCs/>
                <w:sz w:val="20"/>
              </w:rPr>
              <w:t>Parameter</w:t>
            </w:r>
          </w:p>
        </w:tc>
        <w:tc>
          <w:tcPr>
            <w:tcW w:w="1701" w:type="dxa"/>
            <w:shd w:val="clear" w:color="auto" w:fill="auto"/>
          </w:tcPr>
          <w:p w14:paraId="02DE3177" w14:textId="2C876122" w:rsidR="00661374" w:rsidRPr="007C488A" w:rsidRDefault="00661374" w:rsidP="00E03BF8">
            <w:pPr>
              <w:spacing w:before="40" w:after="40"/>
              <w:rPr>
                <w:rFonts w:ascii="Arial Narrow" w:hAnsi="Arial Narrow"/>
                <w:b/>
                <w:bCs/>
                <w:sz w:val="20"/>
              </w:rPr>
            </w:pPr>
            <w:r w:rsidRPr="007C488A">
              <w:rPr>
                <w:rFonts w:ascii="Arial Narrow" w:hAnsi="Arial Narrow"/>
                <w:b/>
                <w:bCs/>
                <w:sz w:val="20"/>
              </w:rPr>
              <w:t>Incremental cost</w:t>
            </w:r>
          </w:p>
        </w:tc>
        <w:tc>
          <w:tcPr>
            <w:tcW w:w="1843" w:type="dxa"/>
            <w:shd w:val="clear" w:color="auto" w:fill="auto"/>
          </w:tcPr>
          <w:p w14:paraId="211C4406" w14:textId="4646DEEC" w:rsidR="00661374" w:rsidRPr="007C488A" w:rsidRDefault="00661374" w:rsidP="00E03BF8">
            <w:pPr>
              <w:spacing w:before="40" w:after="40"/>
              <w:rPr>
                <w:rFonts w:ascii="Arial Narrow" w:hAnsi="Arial Narrow"/>
                <w:b/>
                <w:bCs/>
                <w:sz w:val="20"/>
              </w:rPr>
            </w:pPr>
            <w:r w:rsidRPr="007C488A">
              <w:rPr>
                <w:rFonts w:ascii="Arial Narrow" w:hAnsi="Arial Narrow"/>
                <w:b/>
                <w:bCs/>
                <w:sz w:val="20"/>
              </w:rPr>
              <w:t>Incremental QALY</w:t>
            </w:r>
          </w:p>
        </w:tc>
        <w:tc>
          <w:tcPr>
            <w:tcW w:w="1275" w:type="dxa"/>
            <w:shd w:val="clear" w:color="auto" w:fill="auto"/>
            <w:noWrap/>
          </w:tcPr>
          <w:p w14:paraId="546A70F3" w14:textId="2B86163C" w:rsidR="00661374" w:rsidRPr="007C488A" w:rsidRDefault="00661374" w:rsidP="00E03BF8">
            <w:pPr>
              <w:spacing w:before="40" w:after="40"/>
              <w:rPr>
                <w:rFonts w:ascii="Arial Narrow" w:hAnsi="Arial Narrow"/>
                <w:b/>
                <w:bCs/>
                <w:sz w:val="20"/>
              </w:rPr>
            </w:pPr>
            <w:r w:rsidRPr="007C488A">
              <w:rPr>
                <w:rFonts w:ascii="Arial Narrow" w:hAnsi="Arial Narrow"/>
                <w:b/>
                <w:bCs/>
                <w:sz w:val="20"/>
              </w:rPr>
              <w:t>ICER</w:t>
            </w:r>
          </w:p>
        </w:tc>
      </w:tr>
      <w:tr w:rsidR="006D47D5" w:rsidRPr="007C488A" w14:paraId="475EFEA0" w14:textId="77777777" w:rsidTr="006D47D5">
        <w:trPr>
          <w:trHeight w:val="288"/>
        </w:trPr>
        <w:tc>
          <w:tcPr>
            <w:tcW w:w="4248" w:type="dxa"/>
          </w:tcPr>
          <w:p w14:paraId="2C0498C1" w14:textId="1F1DF228" w:rsidR="00661374" w:rsidRPr="007C488A" w:rsidRDefault="00661374" w:rsidP="00E03BF8">
            <w:pPr>
              <w:spacing w:before="40" w:after="40"/>
              <w:rPr>
                <w:rFonts w:ascii="Arial Narrow" w:hAnsi="Arial Narrow"/>
                <w:sz w:val="20"/>
              </w:rPr>
            </w:pPr>
            <w:r w:rsidRPr="007C488A">
              <w:rPr>
                <w:rFonts w:ascii="Arial Narrow" w:hAnsi="Arial Narrow"/>
                <w:sz w:val="20"/>
              </w:rPr>
              <w:t>ADAR base case (time horizon 40 years)</w:t>
            </w:r>
          </w:p>
        </w:tc>
        <w:tc>
          <w:tcPr>
            <w:tcW w:w="1701" w:type="dxa"/>
          </w:tcPr>
          <w:p w14:paraId="4764E2AE" w14:textId="03A3D585" w:rsidR="00661374" w:rsidRPr="007C488A" w:rsidRDefault="00661374"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c>
          <w:tcPr>
            <w:tcW w:w="1843" w:type="dxa"/>
          </w:tcPr>
          <w:p w14:paraId="0458FA64" w14:textId="6CFB09CE" w:rsidR="00661374" w:rsidRPr="007C488A" w:rsidRDefault="00661374" w:rsidP="00661374">
            <w:pPr>
              <w:spacing w:before="40" w:after="40"/>
              <w:rPr>
                <w:rFonts w:ascii="Arial Narrow" w:hAnsi="Arial Narrow"/>
                <w:sz w:val="20"/>
              </w:rPr>
            </w:pPr>
            <w:r w:rsidRPr="007C488A">
              <w:rPr>
                <w:rFonts w:ascii="Arial Narrow" w:hAnsi="Arial Narrow"/>
                <w:sz w:val="20"/>
              </w:rPr>
              <w:t>4.671</w:t>
            </w:r>
          </w:p>
        </w:tc>
        <w:tc>
          <w:tcPr>
            <w:tcW w:w="1275" w:type="dxa"/>
            <w:noWrap/>
          </w:tcPr>
          <w:p w14:paraId="648A8540" w14:textId="5FB3DB02" w:rsidR="00661374" w:rsidRPr="007C488A" w:rsidRDefault="00661374"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r>
      <w:tr w:rsidR="006D47D5" w:rsidRPr="007C488A" w14:paraId="4D7B2C3F" w14:textId="77777777" w:rsidTr="006D47D5">
        <w:trPr>
          <w:trHeight w:val="288"/>
        </w:trPr>
        <w:tc>
          <w:tcPr>
            <w:tcW w:w="4248" w:type="dxa"/>
          </w:tcPr>
          <w:p w14:paraId="49C45968" w14:textId="7F63941B" w:rsidR="00661374" w:rsidRPr="007C488A" w:rsidRDefault="00661374" w:rsidP="00E03BF8">
            <w:pPr>
              <w:spacing w:before="40" w:after="40"/>
              <w:rPr>
                <w:rFonts w:ascii="Arial Narrow" w:hAnsi="Arial Narrow"/>
                <w:sz w:val="20"/>
              </w:rPr>
            </w:pPr>
            <w:r w:rsidRPr="007C488A">
              <w:rPr>
                <w:rFonts w:ascii="Arial Narrow" w:hAnsi="Arial Narrow"/>
                <w:sz w:val="20"/>
              </w:rPr>
              <w:t>ADAR base case (time horizon 10 years)</w:t>
            </w:r>
          </w:p>
        </w:tc>
        <w:tc>
          <w:tcPr>
            <w:tcW w:w="1701" w:type="dxa"/>
          </w:tcPr>
          <w:p w14:paraId="0CA6D5DB" w14:textId="4BC7CB13" w:rsidR="00661374" w:rsidRPr="007C488A" w:rsidRDefault="00661374"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c>
          <w:tcPr>
            <w:tcW w:w="1843" w:type="dxa"/>
          </w:tcPr>
          <w:p w14:paraId="7766FBB0" w14:textId="7862FB6F" w:rsidR="00661374" w:rsidRPr="007C488A" w:rsidRDefault="00661374" w:rsidP="00661374">
            <w:pPr>
              <w:spacing w:before="40" w:after="40"/>
              <w:rPr>
                <w:rFonts w:ascii="Arial Narrow" w:hAnsi="Arial Narrow"/>
                <w:sz w:val="20"/>
              </w:rPr>
            </w:pPr>
            <w:r w:rsidRPr="007C488A">
              <w:rPr>
                <w:rFonts w:ascii="Arial Narrow" w:hAnsi="Arial Narrow"/>
                <w:sz w:val="20"/>
              </w:rPr>
              <w:t>3.391</w:t>
            </w:r>
          </w:p>
        </w:tc>
        <w:tc>
          <w:tcPr>
            <w:tcW w:w="1275" w:type="dxa"/>
            <w:noWrap/>
          </w:tcPr>
          <w:p w14:paraId="44D27391" w14:textId="48B1D701" w:rsidR="00661374" w:rsidRPr="007C488A" w:rsidRDefault="00661374"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r>
      <w:tr w:rsidR="006D47D5" w:rsidRPr="007C488A" w14:paraId="6AF48CF7" w14:textId="77777777" w:rsidTr="006D47D5">
        <w:trPr>
          <w:trHeight w:val="288"/>
        </w:trPr>
        <w:tc>
          <w:tcPr>
            <w:tcW w:w="4248" w:type="dxa"/>
          </w:tcPr>
          <w:p w14:paraId="2331D995" w14:textId="1E2D6E69" w:rsidR="00661374" w:rsidRPr="007C488A" w:rsidRDefault="0032126C" w:rsidP="00E03BF8">
            <w:pPr>
              <w:spacing w:before="40" w:after="40"/>
              <w:rPr>
                <w:rFonts w:ascii="Arial Narrow" w:hAnsi="Arial Narrow"/>
                <w:sz w:val="20"/>
              </w:rPr>
            </w:pPr>
            <w:r w:rsidRPr="007C488A">
              <w:rPr>
                <w:rFonts w:ascii="Arial Narrow" w:hAnsi="Arial Narrow"/>
                <w:sz w:val="20"/>
              </w:rPr>
              <w:t>Applicant p</w:t>
            </w:r>
            <w:r w:rsidR="006D47D5" w:rsidRPr="007C488A">
              <w:rPr>
                <w:rFonts w:ascii="Arial Narrow" w:hAnsi="Arial Narrow"/>
                <w:sz w:val="20"/>
              </w:rPr>
              <w:t>re-MSAC response multivariate analysis</w:t>
            </w:r>
            <w:r w:rsidR="006D47D5" w:rsidRPr="007C488A">
              <w:rPr>
                <w:rFonts w:ascii="Arial Narrow" w:hAnsi="Arial Narrow"/>
                <w:sz w:val="20"/>
              </w:rPr>
              <w:br/>
              <w:t xml:space="preserve">(assuming </w:t>
            </w:r>
            <w:r w:rsidR="000C3319" w:rsidRPr="007C488A">
              <w:rPr>
                <w:rFonts w:ascii="Arial Narrow" w:hAnsi="Arial Narrow"/>
                <w:sz w:val="20"/>
              </w:rPr>
              <w:t xml:space="preserve">a </w:t>
            </w:r>
            <w:r w:rsidR="006D47D5" w:rsidRPr="007C488A">
              <w:rPr>
                <w:rFonts w:ascii="Arial Narrow" w:hAnsi="Arial Narrow"/>
                <w:sz w:val="20"/>
              </w:rPr>
              <w:t>time horizon of 10 year</w:t>
            </w:r>
            <w:r w:rsidR="000C3319" w:rsidRPr="007C488A">
              <w:rPr>
                <w:rFonts w:ascii="Arial Narrow" w:hAnsi="Arial Narrow"/>
                <w:sz w:val="20"/>
              </w:rPr>
              <w:t xml:space="preserve">s </w:t>
            </w:r>
            <w:r w:rsidR="006D47D5" w:rsidRPr="007C488A">
              <w:rPr>
                <w:rFonts w:ascii="Arial Narrow" w:hAnsi="Arial Narrow"/>
                <w:sz w:val="20"/>
              </w:rPr>
              <w:t>and OMM disease related costs in 1</w:t>
            </w:r>
            <w:r w:rsidR="006D47D5" w:rsidRPr="007C488A">
              <w:rPr>
                <w:rFonts w:ascii="Arial Narrow" w:hAnsi="Arial Narrow"/>
                <w:sz w:val="20"/>
                <w:vertAlign w:val="superscript"/>
              </w:rPr>
              <w:t>st</w:t>
            </w:r>
            <w:r w:rsidR="006D47D5" w:rsidRPr="007C488A">
              <w:rPr>
                <w:rFonts w:ascii="Arial Narrow" w:hAnsi="Arial Narrow"/>
                <w:sz w:val="20"/>
              </w:rPr>
              <w:t xml:space="preserve"> cycle $0)</w:t>
            </w:r>
          </w:p>
        </w:tc>
        <w:tc>
          <w:tcPr>
            <w:tcW w:w="1701" w:type="dxa"/>
          </w:tcPr>
          <w:p w14:paraId="4A74EFA3" w14:textId="6B6EEF15" w:rsidR="00661374" w:rsidRPr="007C488A" w:rsidRDefault="006D47D5"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c>
          <w:tcPr>
            <w:tcW w:w="1843" w:type="dxa"/>
          </w:tcPr>
          <w:p w14:paraId="031A1723" w14:textId="4A1DB77C" w:rsidR="00661374" w:rsidRPr="007C488A" w:rsidRDefault="006D47D5" w:rsidP="00661374">
            <w:pPr>
              <w:spacing w:before="40" w:after="40"/>
              <w:rPr>
                <w:rFonts w:ascii="Arial Narrow" w:hAnsi="Arial Narrow"/>
                <w:sz w:val="20"/>
              </w:rPr>
            </w:pPr>
            <w:r w:rsidRPr="007C488A">
              <w:rPr>
                <w:rFonts w:ascii="Arial Narrow" w:hAnsi="Arial Narrow"/>
                <w:sz w:val="20"/>
              </w:rPr>
              <w:t>3.391</w:t>
            </w:r>
          </w:p>
        </w:tc>
        <w:tc>
          <w:tcPr>
            <w:tcW w:w="1275" w:type="dxa"/>
            <w:noWrap/>
          </w:tcPr>
          <w:p w14:paraId="1AF641CE" w14:textId="13453B90" w:rsidR="00661374" w:rsidRPr="007C488A" w:rsidRDefault="006D47D5"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r>
      <w:tr w:rsidR="006D47D5" w:rsidRPr="007C488A" w14:paraId="7913E582" w14:textId="77777777" w:rsidTr="006D47D5">
        <w:trPr>
          <w:trHeight w:val="288"/>
        </w:trPr>
        <w:tc>
          <w:tcPr>
            <w:tcW w:w="4248" w:type="dxa"/>
          </w:tcPr>
          <w:p w14:paraId="5F358822" w14:textId="1A8FE6EB" w:rsidR="00661374" w:rsidRPr="007C488A" w:rsidRDefault="0032126C" w:rsidP="00E03BF8">
            <w:pPr>
              <w:spacing w:before="40" w:after="40"/>
              <w:rPr>
                <w:rFonts w:ascii="Arial Narrow" w:hAnsi="Arial Narrow"/>
                <w:sz w:val="20"/>
              </w:rPr>
            </w:pPr>
            <w:r w:rsidRPr="007C488A">
              <w:rPr>
                <w:rFonts w:ascii="Arial Narrow" w:hAnsi="Arial Narrow"/>
                <w:sz w:val="20"/>
              </w:rPr>
              <w:t>Applicant p</w:t>
            </w:r>
            <w:r w:rsidR="006D47D5" w:rsidRPr="007C488A">
              <w:rPr>
                <w:rFonts w:ascii="Arial Narrow" w:hAnsi="Arial Narrow"/>
                <w:sz w:val="20"/>
              </w:rPr>
              <w:t>re-MSAC response multivariate analysis</w:t>
            </w:r>
            <w:r w:rsidR="006D47D5" w:rsidRPr="007C488A">
              <w:rPr>
                <w:rFonts w:ascii="Arial Narrow" w:hAnsi="Arial Narrow"/>
                <w:sz w:val="20"/>
              </w:rPr>
              <w:br/>
              <w:t xml:space="preserve">(assuming </w:t>
            </w:r>
            <w:r w:rsidR="000C3319" w:rsidRPr="007C488A">
              <w:rPr>
                <w:rFonts w:ascii="Arial Narrow" w:hAnsi="Arial Narrow"/>
                <w:sz w:val="20"/>
              </w:rPr>
              <w:t xml:space="preserve">a </w:t>
            </w:r>
            <w:r w:rsidR="006D47D5" w:rsidRPr="007C488A">
              <w:rPr>
                <w:rFonts w:ascii="Arial Narrow" w:hAnsi="Arial Narrow"/>
                <w:sz w:val="20"/>
              </w:rPr>
              <w:t>time horizon of 10 year</w:t>
            </w:r>
            <w:r w:rsidR="000C3319" w:rsidRPr="007C488A">
              <w:rPr>
                <w:rFonts w:ascii="Arial Narrow" w:hAnsi="Arial Narrow"/>
                <w:sz w:val="20"/>
              </w:rPr>
              <w:t>s</w:t>
            </w:r>
            <w:r w:rsidR="006D47D5" w:rsidRPr="007C488A">
              <w:rPr>
                <w:rFonts w:ascii="Arial Narrow" w:hAnsi="Arial Narrow"/>
                <w:sz w:val="20"/>
              </w:rPr>
              <w:t>, OMM disease related costs in 1</w:t>
            </w:r>
            <w:r w:rsidR="006D47D5" w:rsidRPr="007C488A">
              <w:rPr>
                <w:rFonts w:ascii="Arial Narrow" w:hAnsi="Arial Narrow"/>
                <w:sz w:val="20"/>
                <w:vertAlign w:val="superscript"/>
              </w:rPr>
              <w:t>st</w:t>
            </w:r>
            <w:r w:rsidR="006D47D5" w:rsidRPr="007C488A">
              <w:rPr>
                <w:rFonts w:ascii="Arial Narrow" w:hAnsi="Arial Narrow"/>
                <w:sz w:val="20"/>
              </w:rPr>
              <w:t xml:space="preserve"> cycle $0, health state utility – LVAD subsequent cycles 0.59)</w:t>
            </w:r>
          </w:p>
        </w:tc>
        <w:tc>
          <w:tcPr>
            <w:tcW w:w="1701" w:type="dxa"/>
          </w:tcPr>
          <w:p w14:paraId="23B46A9A" w14:textId="21D92FE7" w:rsidR="00661374" w:rsidRPr="007C488A" w:rsidRDefault="006D47D5"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c>
          <w:tcPr>
            <w:tcW w:w="1843" w:type="dxa"/>
          </w:tcPr>
          <w:p w14:paraId="5B6A5F26" w14:textId="7FE03EB6" w:rsidR="00661374" w:rsidRPr="007C488A" w:rsidRDefault="006D47D5" w:rsidP="00661374">
            <w:pPr>
              <w:spacing w:before="40" w:after="40"/>
              <w:rPr>
                <w:rFonts w:ascii="Arial Narrow" w:hAnsi="Arial Narrow"/>
                <w:sz w:val="20"/>
              </w:rPr>
            </w:pPr>
            <w:r w:rsidRPr="007C488A">
              <w:rPr>
                <w:rFonts w:ascii="Arial Narrow" w:hAnsi="Arial Narrow"/>
                <w:sz w:val="20"/>
              </w:rPr>
              <w:t>2.472</w:t>
            </w:r>
          </w:p>
        </w:tc>
        <w:tc>
          <w:tcPr>
            <w:tcW w:w="1275" w:type="dxa"/>
            <w:noWrap/>
          </w:tcPr>
          <w:p w14:paraId="1AD12068" w14:textId="2512C5C2" w:rsidR="00661374" w:rsidRPr="007C488A" w:rsidRDefault="006D47D5"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r>
      <w:tr w:rsidR="006D47D5" w:rsidRPr="007C488A" w14:paraId="309EB5C5" w14:textId="77777777" w:rsidTr="006D47D5">
        <w:trPr>
          <w:trHeight w:val="288"/>
        </w:trPr>
        <w:tc>
          <w:tcPr>
            <w:tcW w:w="4248" w:type="dxa"/>
          </w:tcPr>
          <w:p w14:paraId="5187715A" w14:textId="0B82169C" w:rsidR="00661374" w:rsidRPr="007C488A" w:rsidRDefault="0032126C" w:rsidP="00E03BF8">
            <w:pPr>
              <w:spacing w:before="40" w:after="40"/>
              <w:rPr>
                <w:rFonts w:ascii="Arial Narrow" w:hAnsi="Arial Narrow"/>
                <w:sz w:val="20"/>
              </w:rPr>
            </w:pPr>
            <w:r w:rsidRPr="007C488A">
              <w:rPr>
                <w:rFonts w:ascii="Arial Narrow" w:hAnsi="Arial Narrow"/>
                <w:sz w:val="20"/>
              </w:rPr>
              <w:t xml:space="preserve">MSAC re-specification of base </w:t>
            </w:r>
            <w:proofErr w:type="spellStart"/>
            <w:r w:rsidRPr="007C488A">
              <w:rPr>
                <w:rFonts w:ascii="Arial Narrow" w:hAnsi="Arial Narrow"/>
                <w:sz w:val="20"/>
              </w:rPr>
              <w:t>case</w:t>
            </w:r>
            <w:r w:rsidR="00FC38C4" w:rsidRPr="007C488A">
              <w:rPr>
                <w:rFonts w:ascii="Arial Narrow" w:hAnsi="Arial Narrow"/>
                <w:sz w:val="20"/>
                <w:vertAlign w:val="superscript"/>
              </w:rPr>
              <w:t>a</w:t>
            </w:r>
            <w:proofErr w:type="spellEnd"/>
            <w:r w:rsidRPr="007C488A">
              <w:rPr>
                <w:rFonts w:ascii="Arial Narrow" w:hAnsi="Arial Narrow"/>
                <w:sz w:val="20"/>
              </w:rPr>
              <w:br/>
              <w:t xml:space="preserve">(assuming </w:t>
            </w:r>
            <w:r w:rsidR="000C3319" w:rsidRPr="007C488A">
              <w:rPr>
                <w:rFonts w:ascii="Arial Narrow" w:hAnsi="Arial Narrow"/>
                <w:sz w:val="20"/>
              </w:rPr>
              <w:t xml:space="preserve">a </w:t>
            </w:r>
            <w:r w:rsidRPr="007C488A">
              <w:rPr>
                <w:rFonts w:ascii="Arial Narrow" w:hAnsi="Arial Narrow"/>
                <w:sz w:val="20"/>
              </w:rPr>
              <w:t>time horizon of 10 years, OMM disease related costs in 1</w:t>
            </w:r>
            <w:r w:rsidRPr="007C488A">
              <w:rPr>
                <w:rFonts w:ascii="Arial Narrow" w:hAnsi="Arial Narrow"/>
                <w:sz w:val="20"/>
                <w:vertAlign w:val="superscript"/>
              </w:rPr>
              <w:t>st</w:t>
            </w:r>
            <w:r w:rsidRPr="007C488A">
              <w:rPr>
                <w:rFonts w:ascii="Arial Narrow" w:hAnsi="Arial Narrow"/>
                <w:sz w:val="20"/>
              </w:rPr>
              <w:t xml:space="preserve"> cycle $0, health state utility </w:t>
            </w:r>
            <w:r w:rsidR="00AC55F8" w:rsidRPr="007C488A">
              <w:rPr>
                <w:rFonts w:ascii="Arial Narrow" w:hAnsi="Arial Narrow"/>
                <w:sz w:val="20"/>
              </w:rPr>
              <w:t>– 0.64, LVAD subsequent cycles 0.79)</w:t>
            </w:r>
          </w:p>
        </w:tc>
        <w:tc>
          <w:tcPr>
            <w:tcW w:w="1701" w:type="dxa"/>
          </w:tcPr>
          <w:p w14:paraId="541479B6" w14:textId="0F7D7E06" w:rsidR="00661374" w:rsidRPr="007C488A" w:rsidRDefault="00477C8D"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c>
          <w:tcPr>
            <w:tcW w:w="1843" w:type="dxa"/>
          </w:tcPr>
          <w:p w14:paraId="308E2A2A" w14:textId="6889021A" w:rsidR="00661374" w:rsidRPr="007C488A" w:rsidRDefault="00477C8D" w:rsidP="00661374">
            <w:pPr>
              <w:spacing w:before="40" w:after="40"/>
              <w:rPr>
                <w:rFonts w:ascii="Arial Narrow" w:hAnsi="Arial Narrow"/>
                <w:sz w:val="20"/>
              </w:rPr>
            </w:pPr>
            <w:r w:rsidRPr="007C488A">
              <w:rPr>
                <w:rFonts w:ascii="Arial Narrow" w:hAnsi="Arial Narrow"/>
                <w:sz w:val="20"/>
              </w:rPr>
              <w:t>3.268</w:t>
            </w:r>
          </w:p>
        </w:tc>
        <w:tc>
          <w:tcPr>
            <w:tcW w:w="1275" w:type="dxa"/>
            <w:noWrap/>
          </w:tcPr>
          <w:p w14:paraId="58F44813" w14:textId="0BC0A7EB" w:rsidR="00661374" w:rsidRPr="007C488A" w:rsidRDefault="00477C8D" w:rsidP="00661374">
            <w:pPr>
              <w:spacing w:before="40" w:after="40"/>
              <w:rPr>
                <w:rFonts w:ascii="Arial Narrow" w:hAnsi="Arial Narrow"/>
                <w:sz w:val="20"/>
              </w:rPr>
            </w:pPr>
            <w:r w:rsidRPr="007C488A">
              <w:rPr>
                <w:rFonts w:ascii="Arial Narrow" w:hAnsi="Arial Narrow"/>
                <w:sz w:val="20"/>
              </w:rPr>
              <w:t>$</w:t>
            </w:r>
            <w:r w:rsidR="00E05221" w:rsidRPr="007C488A">
              <w:rPr>
                <w:rFonts w:ascii="Arial Narrow" w:hAnsi="Arial Narrow"/>
                <w:b/>
                <w:bCs/>
                <w:sz w:val="20"/>
              </w:rPr>
              <w:t>redacted</w:t>
            </w:r>
          </w:p>
        </w:tc>
      </w:tr>
    </w:tbl>
    <w:p w14:paraId="3121FF8F" w14:textId="5C2D5F6C" w:rsidR="00565DB5" w:rsidRPr="007C488A" w:rsidRDefault="00477C8D" w:rsidP="00AE0B61">
      <w:pPr>
        <w:pStyle w:val="Tablenotes0"/>
        <w:rPr>
          <w:snapToGrid w:val="0"/>
        </w:rPr>
      </w:pPr>
      <w:r w:rsidRPr="007C488A">
        <w:rPr>
          <w:snapToGrid w:val="0"/>
        </w:rPr>
        <w:t xml:space="preserve">Abbreviations: ADAR = applicant developed assessment report; </w:t>
      </w:r>
      <w:r w:rsidR="000C3319" w:rsidRPr="007C488A">
        <w:rPr>
          <w:snapToGrid w:val="0"/>
        </w:rPr>
        <w:t xml:space="preserve">ICER = incremental cost-effectiveness ratio; </w:t>
      </w:r>
      <w:r w:rsidRPr="007C488A">
        <w:rPr>
          <w:snapToGrid w:val="0"/>
        </w:rPr>
        <w:t>LVAD = left ventricular assist device; MSAC = medical services advisory committee; OMM = optimal medical management</w:t>
      </w:r>
      <w:r w:rsidR="000C3319" w:rsidRPr="007C488A">
        <w:rPr>
          <w:snapToGrid w:val="0"/>
        </w:rPr>
        <w:t>; QALY = quality adjusted life year.</w:t>
      </w:r>
    </w:p>
    <w:p w14:paraId="05C276A1" w14:textId="69303466" w:rsidR="00FC38C4" w:rsidRPr="007C488A" w:rsidRDefault="00FC38C4" w:rsidP="00AE0B61">
      <w:pPr>
        <w:pStyle w:val="Tablenotes0"/>
        <w:rPr>
          <w:snapToGrid w:val="0"/>
        </w:rPr>
      </w:pPr>
      <w:r w:rsidRPr="007C488A">
        <w:rPr>
          <w:snapToGrid w:val="0"/>
          <w:vertAlign w:val="superscript"/>
        </w:rPr>
        <w:t>a</w:t>
      </w:r>
      <w:r w:rsidRPr="007C488A">
        <w:rPr>
          <w:snapToGrid w:val="0"/>
        </w:rPr>
        <w:t xml:space="preserve"> Note that this base case does not fully incorporate the aftercare costs and does not include device replacement costs for any reason other than in relation to pump thrombosis.</w:t>
      </w:r>
    </w:p>
    <w:p w14:paraId="78D7C7E3" w14:textId="034466C9" w:rsidR="00F162BE" w:rsidRPr="007C488A" w:rsidRDefault="00F162BE" w:rsidP="00FE6DA8">
      <w:pPr>
        <w:keepNext/>
        <w:rPr>
          <w:b/>
          <w:bCs/>
        </w:rPr>
      </w:pPr>
      <w:r w:rsidRPr="007C488A">
        <w:rPr>
          <w:b/>
          <w:bCs/>
        </w:rPr>
        <w:t>Scenario analysis</w:t>
      </w:r>
    </w:p>
    <w:p w14:paraId="11B3C628" w14:textId="54497316" w:rsidR="00F162BE" w:rsidRPr="007C488A" w:rsidRDefault="00F162BE" w:rsidP="00EB2081">
      <w:pPr>
        <w:jc w:val="both"/>
      </w:pPr>
      <w:r w:rsidRPr="007C488A">
        <w:t xml:space="preserve">The ADAR also presented two </w:t>
      </w:r>
      <w:bookmarkStart w:id="63" w:name="_Hlk155353556"/>
      <w:r w:rsidRPr="007C488A">
        <w:t>scenario analys</w:t>
      </w:r>
      <w:r w:rsidR="001C211E" w:rsidRPr="007C488A">
        <w:t>e</w:t>
      </w:r>
      <w:r w:rsidRPr="007C488A">
        <w:t>s</w:t>
      </w:r>
      <w:bookmarkEnd w:id="63"/>
      <w:r w:rsidR="001C211E" w:rsidRPr="007C488A">
        <w:t>: 1)</w:t>
      </w:r>
      <w:r w:rsidR="0031402E" w:rsidRPr="007C488A">
        <w:t xml:space="preserve"> Heart transplant in a proportion of patients post LVAD as DT</w:t>
      </w:r>
      <w:r w:rsidR="00E86F76" w:rsidRPr="007C488A">
        <w:t xml:space="preserve"> using MOMENTUM 3 and REMATCH trials</w:t>
      </w:r>
      <w:r w:rsidR="001C211E" w:rsidRPr="007C488A">
        <w:t>, and 2)</w:t>
      </w:r>
      <w:r w:rsidR="0031402E" w:rsidRPr="007C488A">
        <w:t xml:space="preserve"> </w:t>
      </w:r>
      <w:r w:rsidR="00444BEA" w:rsidRPr="007C488A">
        <w:t xml:space="preserve">Comparison </w:t>
      </w:r>
      <w:r w:rsidR="001C211E" w:rsidRPr="007C488A">
        <w:t xml:space="preserve">using </w:t>
      </w:r>
      <w:r w:rsidR="00444BEA" w:rsidRPr="007C488A">
        <w:t xml:space="preserve">LVAD arm data from </w:t>
      </w:r>
      <w:r w:rsidR="00E86F76" w:rsidRPr="007C488A">
        <w:t xml:space="preserve">MOMENTUM 3 </w:t>
      </w:r>
      <w:r w:rsidR="00444BEA" w:rsidRPr="007C488A">
        <w:t xml:space="preserve">versus OMM </w:t>
      </w:r>
      <w:r w:rsidR="00E339AA" w:rsidRPr="007C488A">
        <w:t xml:space="preserve">arm data from </w:t>
      </w:r>
      <w:r w:rsidR="00E86F76" w:rsidRPr="007C488A">
        <w:t>ROADMAP.</w:t>
      </w:r>
      <w:r w:rsidR="00E86F76" w:rsidRPr="007C488A" w:rsidDel="00E86F76">
        <w:t xml:space="preserve"> </w:t>
      </w:r>
    </w:p>
    <w:p w14:paraId="30CAAA83" w14:textId="485353E2" w:rsidR="00F162BE" w:rsidRPr="007C488A" w:rsidRDefault="00F162BE" w:rsidP="00DC74C9">
      <w:pPr>
        <w:pStyle w:val="ListParagraph"/>
        <w:numPr>
          <w:ilvl w:val="0"/>
          <w:numId w:val="21"/>
        </w:numPr>
        <w:jc w:val="both"/>
        <w:rPr>
          <w:b/>
          <w:bCs/>
        </w:rPr>
      </w:pPr>
      <w:r w:rsidRPr="007C488A">
        <w:rPr>
          <w:b/>
          <w:bCs/>
        </w:rPr>
        <w:t>Heart transplant in a proportion of patients post LVAD as DT</w:t>
      </w:r>
    </w:p>
    <w:p w14:paraId="7A53C008" w14:textId="76D36971" w:rsidR="00F162BE" w:rsidRPr="007C488A" w:rsidRDefault="00B721C4" w:rsidP="00F162BE">
      <w:pPr>
        <w:jc w:val="both"/>
      </w:pPr>
      <w:r w:rsidRPr="007C488A">
        <w:t>As noted in the clinical algorithms</w:t>
      </w:r>
      <w:r w:rsidR="00DC181B" w:rsidRPr="007C488A">
        <w:t>,</w:t>
      </w:r>
      <w:r w:rsidR="00F162BE" w:rsidRPr="007C488A">
        <w:t xml:space="preserve"> a proportion of patients </w:t>
      </w:r>
      <w:r w:rsidRPr="007C488A">
        <w:t>may become</w:t>
      </w:r>
      <w:r w:rsidR="00F162BE" w:rsidRPr="007C488A">
        <w:t xml:space="preserve"> eligible for heart transplant following LVAD. </w:t>
      </w:r>
      <w:r w:rsidR="005B7F5F" w:rsidRPr="007C488A">
        <w:t xml:space="preserve">In MOMENTUM 3, 17.0% of patients </w:t>
      </w:r>
      <w:r w:rsidR="00DC181B" w:rsidRPr="007C488A">
        <w:t xml:space="preserve">initially </w:t>
      </w:r>
      <w:r w:rsidR="005B7F5F" w:rsidRPr="007C488A">
        <w:t xml:space="preserve">classified as DT and implanted with an LVAD proceeded to receive a heart transplant. </w:t>
      </w:r>
      <w:r w:rsidR="00F162BE" w:rsidRPr="007C488A">
        <w:t xml:space="preserve">Therefore, </w:t>
      </w:r>
      <w:r w:rsidR="008B393E" w:rsidRPr="007C488A">
        <w:t xml:space="preserve">the </w:t>
      </w:r>
      <w:r w:rsidR="005B7F5F" w:rsidRPr="007C488A">
        <w:t xml:space="preserve">ADAR presented </w:t>
      </w:r>
      <w:r w:rsidR="00F162BE" w:rsidRPr="007C488A">
        <w:t xml:space="preserve">a scenario analysis to explore the impact </w:t>
      </w:r>
      <w:r w:rsidR="002F0601" w:rsidRPr="007C488A">
        <w:t xml:space="preserve">on the ICER </w:t>
      </w:r>
      <w:r w:rsidR="00F162BE" w:rsidRPr="007C488A">
        <w:t xml:space="preserve">of </w:t>
      </w:r>
      <w:r w:rsidR="002F0601" w:rsidRPr="007C488A">
        <w:t xml:space="preserve">including </w:t>
      </w:r>
      <w:r w:rsidR="00F162BE" w:rsidRPr="007C488A">
        <w:t>subsequent heart transplant in LVAD patients</w:t>
      </w:r>
      <w:r w:rsidR="007B16F6" w:rsidRPr="007C488A">
        <w:t>.</w:t>
      </w:r>
    </w:p>
    <w:p w14:paraId="0B3B08BE" w14:textId="2DD71B7B" w:rsidR="00F162BE" w:rsidRPr="007C488A" w:rsidRDefault="00DC181B" w:rsidP="00F162BE">
      <w:pPr>
        <w:jc w:val="both"/>
      </w:pPr>
      <w:r w:rsidRPr="007C488A">
        <w:t>The m</w:t>
      </w:r>
      <w:r w:rsidR="00F162BE" w:rsidRPr="007C488A">
        <w:t xml:space="preserve">odel structure and inputs </w:t>
      </w:r>
      <w:r w:rsidR="005B7F5F" w:rsidRPr="007C488A">
        <w:t xml:space="preserve">of the heart transplant scenario analysis </w:t>
      </w:r>
      <w:r w:rsidRPr="007C488A">
        <w:t>were</w:t>
      </w:r>
      <w:r w:rsidR="00F162BE" w:rsidRPr="007C488A">
        <w:t xml:space="preserve"> </w:t>
      </w:r>
      <w:proofErr w:type="gramStart"/>
      <w:r w:rsidR="00F162BE" w:rsidRPr="007C488A">
        <w:t xml:space="preserve">similar </w:t>
      </w:r>
      <w:r w:rsidR="005B7F5F" w:rsidRPr="007C488A">
        <w:t>to</w:t>
      </w:r>
      <w:proofErr w:type="gramEnd"/>
      <w:r w:rsidR="005B7F5F" w:rsidRPr="007C488A">
        <w:t xml:space="preserve"> the base case analysis</w:t>
      </w:r>
      <w:r w:rsidRPr="007C488A">
        <w:t>, with</w:t>
      </w:r>
      <w:r w:rsidR="005B7F5F" w:rsidRPr="007C488A">
        <w:t xml:space="preserve"> </w:t>
      </w:r>
      <w:r w:rsidR="001C211E" w:rsidRPr="007C488A">
        <w:t xml:space="preserve">the </w:t>
      </w:r>
      <w:r w:rsidR="005B7F5F" w:rsidRPr="007C488A">
        <w:t>following two changes</w:t>
      </w:r>
      <w:r w:rsidRPr="007C488A">
        <w:t>:</w:t>
      </w:r>
    </w:p>
    <w:p w14:paraId="3C18D034" w14:textId="6A202E52" w:rsidR="00C4039D" w:rsidRPr="007C488A" w:rsidRDefault="00F162BE" w:rsidP="00DC74C9">
      <w:pPr>
        <w:pStyle w:val="ListParagraph"/>
        <w:numPr>
          <w:ilvl w:val="0"/>
          <w:numId w:val="22"/>
        </w:numPr>
        <w:jc w:val="both"/>
      </w:pPr>
      <w:r w:rsidRPr="007C488A">
        <w:t>Change in the OS curve for the LVAD arm to account for survival in</w:t>
      </w:r>
      <w:r w:rsidR="001C211E" w:rsidRPr="007C488A">
        <w:t xml:space="preserve"> </w:t>
      </w:r>
      <w:r w:rsidRPr="007C488A">
        <w:t xml:space="preserve">patients </w:t>
      </w:r>
      <w:r w:rsidR="001C211E" w:rsidRPr="007C488A">
        <w:t>who eventually</w:t>
      </w:r>
      <w:r w:rsidR="008850A1" w:rsidRPr="007C488A">
        <w:t xml:space="preserve"> </w:t>
      </w:r>
      <w:r w:rsidRPr="007C488A">
        <w:t xml:space="preserve">receive a heart transplant. </w:t>
      </w:r>
      <w:r w:rsidR="00DC181B" w:rsidRPr="007C488A">
        <w:t>In MOMENTUM 3, the</w:t>
      </w:r>
      <w:r w:rsidR="0045254D" w:rsidRPr="007C488A">
        <w:t xml:space="preserve"> only OS data available for DT patients was KM curves which excluded patients </w:t>
      </w:r>
      <w:r w:rsidR="00DC181B" w:rsidRPr="007C488A">
        <w:t xml:space="preserve">who </w:t>
      </w:r>
      <w:r w:rsidR="0045254D" w:rsidRPr="007C488A">
        <w:t>receive</w:t>
      </w:r>
      <w:r w:rsidR="00DC181B" w:rsidRPr="007C488A">
        <w:t>d</w:t>
      </w:r>
      <w:r w:rsidR="0045254D" w:rsidRPr="007C488A">
        <w:t xml:space="preserve"> heart transplant (base case analysis), or KM curves which censored patients </w:t>
      </w:r>
      <w:r w:rsidR="00DC181B" w:rsidRPr="007C488A">
        <w:t>at</w:t>
      </w:r>
      <w:r w:rsidR="0045254D" w:rsidRPr="007C488A">
        <w:t xml:space="preserve"> the time of receiving a heart transplant. </w:t>
      </w:r>
      <w:r w:rsidR="00DC181B" w:rsidRPr="007C488A">
        <w:t>For the scenario analysis, t</w:t>
      </w:r>
      <w:r w:rsidR="008850A1" w:rsidRPr="007C488A">
        <w:t xml:space="preserve">he ADAR used the OS curves </w:t>
      </w:r>
      <w:r w:rsidR="00DC181B" w:rsidRPr="007C488A">
        <w:t>that</w:t>
      </w:r>
      <w:r w:rsidR="008850A1" w:rsidRPr="007C488A">
        <w:t xml:space="preserve"> censored patients </w:t>
      </w:r>
      <w:r w:rsidR="00DC181B" w:rsidRPr="007C488A">
        <w:t>at</w:t>
      </w:r>
      <w:r w:rsidR="008850A1" w:rsidRPr="007C488A">
        <w:t xml:space="preserve"> the time of receiving a heart transplant</w:t>
      </w:r>
      <w:r w:rsidR="00DC181B" w:rsidRPr="007C488A">
        <w:t>.</w:t>
      </w:r>
      <w:r w:rsidR="008850A1" w:rsidRPr="007C488A">
        <w:t xml:space="preserve"> </w:t>
      </w:r>
      <w:r w:rsidR="00DC181B" w:rsidRPr="007C488A">
        <w:t>T</w:t>
      </w:r>
      <w:r w:rsidR="008850A1" w:rsidRPr="007C488A">
        <w:t xml:space="preserve">he ADAR justified </w:t>
      </w:r>
      <w:r w:rsidR="00DC181B" w:rsidRPr="007C488A">
        <w:t xml:space="preserve">this approach by arguing that </w:t>
      </w:r>
      <w:r w:rsidR="008850A1" w:rsidRPr="007C488A">
        <w:t xml:space="preserve">survival in patients successfully living with LVAD as DT would be comparable to patients </w:t>
      </w:r>
      <w:r w:rsidR="00DC181B" w:rsidRPr="007C488A">
        <w:t>who</w:t>
      </w:r>
      <w:r w:rsidR="008850A1" w:rsidRPr="007C488A">
        <w:t xml:space="preserve"> received a heart transplant.</w:t>
      </w:r>
      <w:r w:rsidR="008850A1" w:rsidRPr="007C488A">
        <w:rPr>
          <w:rStyle w:val="CommentReference"/>
          <w:rFonts w:ascii="Calibri" w:eastAsia="Times New Roman" w:hAnsi="Calibri" w:cs="Times New Roman"/>
          <w:color w:val="000000"/>
          <w:lang w:eastAsia="en-AU"/>
        </w:rPr>
        <w:t xml:space="preserve"> </w:t>
      </w:r>
      <w:r w:rsidR="008850A1" w:rsidRPr="007C488A">
        <w:rPr>
          <w:rStyle w:val="CommentReference"/>
          <w:rFonts w:eastAsia="Times New Roman" w:cs="Times New Roman"/>
          <w:color w:val="000000"/>
          <w:sz w:val="22"/>
          <w:szCs w:val="22"/>
          <w:lang w:eastAsia="en-AU"/>
        </w:rPr>
        <w:t>T</w:t>
      </w:r>
      <w:r w:rsidR="00326691" w:rsidRPr="007C488A">
        <w:t xml:space="preserve">he ADAR claimed that this assumption </w:t>
      </w:r>
      <w:r w:rsidR="00DC181B" w:rsidRPr="007C488A">
        <w:t xml:space="preserve">was </w:t>
      </w:r>
      <w:r w:rsidR="00326691" w:rsidRPr="007C488A">
        <w:t>supported by survival data from INTERMACS registry</w:t>
      </w:r>
      <w:r w:rsidR="00DC181B" w:rsidRPr="007C488A">
        <w:t>,</w:t>
      </w:r>
      <w:r w:rsidR="00326691" w:rsidRPr="007C488A">
        <w:t xml:space="preserve"> where </w:t>
      </w:r>
      <w:r w:rsidR="00DC181B" w:rsidRPr="007C488A">
        <w:t xml:space="preserve">the </w:t>
      </w:r>
      <w:r w:rsidR="00326691" w:rsidRPr="007C488A">
        <w:t xml:space="preserve">5-year survival </w:t>
      </w:r>
      <w:r w:rsidR="00DC181B" w:rsidRPr="007C488A">
        <w:t>rates were</w:t>
      </w:r>
      <w:r w:rsidR="00326691" w:rsidRPr="007C488A">
        <w:t xml:space="preserve"> 49.4% and 42.4% in BTC and DT patients</w:t>
      </w:r>
      <w:r w:rsidR="00DC181B" w:rsidRPr="007C488A">
        <w:t>,</w:t>
      </w:r>
      <w:r w:rsidR="00326691" w:rsidRPr="007C488A">
        <w:t xml:space="preserve"> respectively.</w:t>
      </w:r>
      <w:r w:rsidR="002D5EC6" w:rsidRPr="007C488A">
        <w:t xml:space="preserve"> The commentary consider</w:t>
      </w:r>
      <w:r w:rsidR="00261D55" w:rsidRPr="007C488A">
        <w:t>ed</w:t>
      </w:r>
      <w:r w:rsidR="002D5EC6" w:rsidRPr="007C488A">
        <w:t xml:space="preserve"> this claim uncertain given the difference in the 5-year survival presented above.</w:t>
      </w:r>
    </w:p>
    <w:p w14:paraId="109F4434" w14:textId="1E6ECA77" w:rsidR="00C4039D" w:rsidRPr="007C488A" w:rsidRDefault="00F162BE" w:rsidP="00DC74C9">
      <w:pPr>
        <w:pStyle w:val="ListParagraph"/>
        <w:numPr>
          <w:ilvl w:val="0"/>
          <w:numId w:val="22"/>
        </w:numPr>
        <w:jc w:val="both"/>
      </w:pPr>
      <w:r w:rsidRPr="007C488A">
        <w:lastRenderedPageBreak/>
        <w:t xml:space="preserve">Application of </w:t>
      </w:r>
      <w:r w:rsidR="0045254D" w:rsidRPr="007C488A">
        <w:t xml:space="preserve">additional costs associated with heart transplant </w:t>
      </w:r>
      <w:r w:rsidR="005B7F5F" w:rsidRPr="007C488A">
        <w:t>(</w:t>
      </w:r>
      <w:r w:rsidR="00DC181B" w:rsidRPr="007C488A">
        <w:t>r</w:t>
      </w:r>
      <w:r w:rsidRPr="007C488A">
        <w:t xml:space="preserve">ates of transplant </w:t>
      </w:r>
      <w:r w:rsidR="00DC181B" w:rsidRPr="007C488A">
        <w:t>were</w:t>
      </w:r>
      <w:r w:rsidRPr="007C488A">
        <w:t xml:space="preserve"> based on the MOMENTUM 3 trial and the cost of heart transplant </w:t>
      </w:r>
      <w:r w:rsidR="00DC181B" w:rsidRPr="007C488A">
        <w:t>was based on the</w:t>
      </w:r>
      <w:r w:rsidRPr="007C488A">
        <w:t xml:space="preserve"> AR-DRG code F23Z</w:t>
      </w:r>
      <w:r w:rsidR="005B7F5F" w:rsidRPr="007C488A">
        <w:t>)</w:t>
      </w:r>
      <w:r w:rsidRPr="007C488A">
        <w:t>.</w:t>
      </w:r>
      <w:r w:rsidR="00C4039D" w:rsidRPr="007C488A">
        <w:t xml:space="preserve"> </w:t>
      </w:r>
    </w:p>
    <w:p w14:paraId="5A270E97" w14:textId="58E4DCCA" w:rsidR="00103D24" w:rsidRPr="007C488A" w:rsidRDefault="00E17863" w:rsidP="007D1A1F">
      <w:pPr>
        <w:jc w:val="both"/>
      </w:pPr>
      <w:r w:rsidRPr="007C488A">
        <w:fldChar w:fldCharType="begin"/>
      </w:r>
      <w:r w:rsidRPr="007C488A">
        <w:instrText xml:space="preserve"> REF _Ref155619226 \h </w:instrText>
      </w:r>
      <w:r w:rsidR="007C488A">
        <w:instrText xml:space="preserve"> \* MERGEFORMAT </w:instrText>
      </w:r>
      <w:r w:rsidRPr="007C488A">
        <w:fldChar w:fldCharType="separate"/>
      </w:r>
      <w:r w:rsidR="00406484" w:rsidRPr="007C488A">
        <w:t xml:space="preserve">Table </w:t>
      </w:r>
      <w:r w:rsidR="00406484" w:rsidRPr="007C488A">
        <w:rPr>
          <w:noProof/>
        </w:rPr>
        <w:t>13</w:t>
      </w:r>
      <w:r w:rsidRPr="007C488A">
        <w:fldChar w:fldCharType="end"/>
      </w:r>
      <w:r w:rsidRPr="007C488A">
        <w:t xml:space="preserve"> </w:t>
      </w:r>
      <w:r w:rsidR="00334AE7" w:rsidRPr="007C488A">
        <w:t xml:space="preserve">summarise the </w:t>
      </w:r>
      <w:r w:rsidR="00103D24" w:rsidRPr="007C488A">
        <w:t>results of this scenario analysis</w:t>
      </w:r>
      <w:r w:rsidR="00DC181B" w:rsidRPr="007C488A">
        <w:t>,</w:t>
      </w:r>
      <w:r w:rsidR="00103D24" w:rsidRPr="007C488A">
        <w:t xml:space="preserve"> indicat</w:t>
      </w:r>
      <w:r w:rsidR="001C211E" w:rsidRPr="007C488A">
        <w:t>ing</w:t>
      </w:r>
      <w:r w:rsidR="00103D24" w:rsidRPr="007C488A">
        <w:t xml:space="preserve"> that allowing for a proportion of patients to receive heart transplant following LVAD as DT has a modest impact on </w:t>
      </w:r>
      <w:r w:rsidR="001C211E" w:rsidRPr="007C488A">
        <w:t>t</w:t>
      </w:r>
      <w:r w:rsidR="00422F0E" w:rsidRPr="007C488A">
        <w:t>he</w:t>
      </w:r>
      <w:r w:rsidR="001C211E" w:rsidRPr="007C488A">
        <w:t xml:space="preserve"> base case ICER</w:t>
      </w:r>
      <w:r w:rsidR="00103D24" w:rsidRPr="007C488A">
        <w:t xml:space="preserve"> (</w:t>
      </w:r>
      <w:r w:rsidR="00E943D9" w:rsidRPr="007C488A">
        <w:t xml:space="preserve">increase </w:t>
      </w:r>
      <w:r w:rsidR="002F0601" w:rsidRPr="007C488A">
        <w:t>from $</w:t>
      </w:r>
      <w:r w:rsidR="00E05221" w:rsidRPr="007C488A">
        <w:rPr>
          <w:b/>
          <w:bCs/>
        </w:rPr>
        <w:t>redacted</w:t>
      </w:r>
      <w:r w:rsidR="002F0601" w:rsidRPr="007C488A">
        <w:t xml:space="preserve"> </w:t>
      </w:r>
      <w:r w:rsidR="00E943D9" w:rsidRPr="007C488A">
        <w:t xml:space="preserve">to </w:t>
      </w:r>
      <w:r w:rsidR="00103D24" w:rsidRPr="007C488A">
        <w:t>$</w:t>
      </w:r>
      <w:r w:rsidR="00E05221" w:rsidRPr="007C488A">
        <w:rPr>
          <w:b/>
          <w:bCs/>
        </w:rPr>
        <w:t>redacted</w:t>
      </w:r>
      <w:r w:rsidR="00103D24" w:rsidRPr="007C488A">
        <w:t xml:space="preserve">). </w:t>
      </w:r>
    </w:p>
    <w:p w14:paraId="6B478DE7" w14:textId="54A334AE" w:rsidR="00103D24" w:rsidRPr="007C488A" w:rsidRDefault="00103D24" w:rsidP="00FE6DA8">
      <w:pPr>
        <w:pStyle w:val="Caption"/>
      </w:pPr>
      <w:bookmarkStart w:id="64" w:name="_Ref155619226"/>
      <w:r w:rsidRPr="007C488A">
        <w:t xml:space="preserve">Table </w:t>
      </w:r>
      <w:r w:rsidRPr="007C488A">
        <w:fldChar w:fldCharType="begin"/>
      </w:r>
      <w:r w:rsidRPr="007C488A">
        <w:instrText>SEQ Table \* ARABIC</w:instrText>
      </w:r>
      <w:r w:rsidRPr="007C488A">
        <w:fldChar w:fldCharType="separate"/>
      </w:r>
      <w:r w:rsidR="00406484" w:rsidRPr="007C488A">
        <w:rPr>
          <w:noProof/>
        </w:rPr>
        <w:t>13</w:t>
      </w:r>
      <w:r w:rsidRPr="007C488A">
        <w:fldChar w:fldCharType="end"/>
      </w:r>
      <w:bookmarkEnd w:id="64"/>
      <w:r w:rsidRPr="007C488A">
        <w:t xml:space="preserve">: </w:t>
      </w:r>
      <w:r w:rsidR="007E48E2" w:rsidRPr="007C488A">
        <w:t>R</w:t>
      </w:r>
      <w:r w:rsidRPr="007C488A">
        <w:t>esults for the transplant scenario analysis</w:t>
      </w:r>
    </w:p>
    <w:tbl>
      <w:tblPr>
        <w:tblStyle w:val="TableGrid"/>
        <w:tblW w:w="5000" w:type="pct"/>
        <w:tblLook w:val="04A0" w:firstRow="1" w:lastRow="0" w:firstColumn="1" w:lastColumn="0" w:noHBand="0" w:noVBand="1"/>
      </w:tblPr>
      <w:tblGrid>
        <w:gridCol w:w="1165"/>
        <w:gridCol w:w="3435"/>
        <w:gridCol w:w="1509"/>
        <w:gridCol w:w="1403"/>
        <w:gridCol w:w="1504"/>
      </w:tblGrid>
      <w:tr w:rsidR="00103D24" w:rsidRPr="007C488A" w14:paraId="0585146C" w14:textId="77777777" w:rsidTr="007D1A1F">
        <w:trPr>
          <w:trHeight w:val="288"/>
        </w:trPr>
        <w:tc>
          <w:tcPr>
            <w:tcW w:w="646" w:type="pct"/>
            <w:shd w:val="clear" w:color="auto" w:fill="auto"/>
            <w:noWrap/>
            <w:hideMark/>
          </w:tcPr>
          <w:p w14:paraId="4D8B12CA" w14:textId="77777777" w:rsidR="00103D24" w:rsidRPr="007C488A" w:rsidRDefault="00103D24" w:rsidP="00103D24">
            <w:pPr>
              <w:keepNext/>
              <w:spacing w:before="40" w:after="40"/>
              <w:rPr>
                <w:rFonts w:ascii="Arial Narrow" w:hAnsi="Arial Narrow"/>
                <w:b/>
                <w:bCs/>
                <w:sz w:val="20"/>
              </w:rPr>
            </w:pPr>
            <w:r w:rsidRPr="007C488A">
              <w:rPr>
                <w:rFonts w:ascii="Arial Narrow" w:hAnsi="Arial Narrow"/>
                <w:b/>
                <w:bCs/>
                <w:sz w:val="20"/>
              </w:rPr>
              <w:t>Category</w:t>
            </w:r>
          </w:p>
        </w:tc>
        <w:tc>
          <w:tcPr>
            <w:tcW w:w="1905" w:type="pct"/>
            <w:shd w:val="clear" w:color="auto" w:fill="auto"/>
            <w:noWrap/>
            <w:hideMark/>
          </w:tcPr>
          <w:p w14:paraId="6B5CAD57" w14:textId="77777777" w:rsidR="00103D24" w:rsidRPr="007C488A" w:rsidRDefault="00103D24" w:rsidP="00103D24">
            <w:pPr>
              <w:keepNext/>
              <w:spacing w:before="40" w:after="40"/>
              <w:rPr>
                <w:rFonts w:ascii="Arial Narrow" w:hAnsi="Arial Narrow"/>
                <w:b/>
                <w:bCs/>
                <w:sz w:val="20"/>
              </w:rPr>
            </w:pPr>
            <w:r w:rsidRPr="007C488A">
              <w:rPr>
                <w:rFonts w:ascii="Arial Narrow" w:hAnsi="Arial Narrow"/>
                <w:b/>
                <w:bCs/>
                <w:sz w:val="20"/>
              </w:rPr>
              <w:t>Variable</w:t>
            </w:r>
          </w:p>
        </w:tc>
        <w:tc>
          <w:tcPr>
            <w:tcW w:w="837" w:type="pct"/>
            <w:shd w:val="clear" w:color="auto" w:fill="auto"/>
            <w:noWrap/>
            <w:hideMark/>
          </w:tcPr>
          <w:p w14:paraId="5D72DA44" w14:textId="4A762B54" w:rsidR="00103D24" w:rsidRPr="007C488A" w:rsidRDefault="00103D24" w:rsidP="00103D24">
            <w:pPr>
              <w:keepNext/>
              <w:spacing w:before="40" w:after="40"/>
              <w:rPr>
                <w:rFonts w:ascii="Arial Narrow" w:hAnsi="Arial Narrow"/>
                <w:b/>
                <w:bCs/>
                <w:sz w:val="20"/>
              </w:rPr>
            </w:pPr>
            <w:r w:rsidRPr="007C488A">
              <w:rPr>
                <w:rFonts w:ascii="Arial Narrow" w:hAnsi="Arial Narrow"/>
                <w:b/>
                <w:bCs/>
                <w:sz w:val="20"/>
              </w:rPr>
              <w:t>LVAD</w:t>
            </w:r>
          </w:p>
        </w:tc>
        <w:tc>
          <w:tcPr>
            <w:tcW w:w="778" w:type="pct"/>
            <w:shd w:val="clear" w:color="auto" w:fill="auto"/>
            <w:noWrap/>
            <w:hideMark/>
          </w:tcPr>
          <w:p w14:paraId="1A2C3FB1" w14:textId="77777777" w:rsidR="00103D24" w:rsidRPr="007C488A" w:rsidRDefault="00103D24" w:rsidP="00103D24">
            <w:pPr>
              <w:keepNext/>
              <w:spacing w:before="40" w:after="40"/>
              <w:rPr>
                <w:rFonts w:ascii="Arial Narrow" w:hAnsi="Arial Narrow"/>
                <w:b/>
                <w:bCs/>
                <w:sz w:val="20"/>
              </w:rPr>
            </w:pPr>
            <w:r w:rsidRPr="007C488A">
              <w:rPr>
                <w:rFonts w:ascii="Arial Narrow" w:hAnsi="Arial Narrow"/>
                <w:b/>
                <w:bCs/>
                <w:sz w:val="20"/>
              </w:rPr>
              <w:t>OMM</w:t>
            </w:r>
          </w:p>
        </w:tc>
        <w:tc>
          <w:tcPr>
            <w:tcW w:w="834" w:type="pct"/>
            <w:shd w:val="clear" w:color="auto" w:fill="auto"/>
            <w:noWrap/>
            <w:hideMark/>
          </w:tcPr>
          <w:p w14:paraId="2E942CBD" w14:textId="77777777" w:rsidR="00103D24" w:rsidRPr="007C488A" w:rsidRDefault="00103D24" w:rsidP="00103D24">
            <w:pPr>
              <w:keepNext/>
              <w:spacing w:before="40" w:after="40"/>
              <w:rPr>
                <w:rFonts w:ascii="Arial Narrow" w:hAnsi="Arial Narrow"/>
                <w:b/>
                <w:bCs/>
                <w:sz w:val="20"/>
              </w:rPr>
            </w:pPr>
            <w:r w:rsidRPr="007C488A">
              <w:rPr>
                <w:rFonts w:ascii="Arial Narrow" w:hAnsi="Arial Narrow"/>
                <w:b/>
                <w:bCs/>
                <w:sz w:val="20"/>
              </w:rPr>
              <w:t>Incremental</w:t>
            </w:r>
          </w:p>
        </w:tc>
      </w:tr>
      <w:tr w:rsidR="009D4728" w:rsidRPr="007C488A" w14:paraId="1782D35B" w14:textId="77777777" w:rsidTr="007D1A1F">
        <w:trPr>
          <w:trHeight w:val="288"/>
        </w:trPr>
        <w:tc>
          <w:tcPr>
            <w:tcW w:w="646" w:type="pct"/>
            <w:vMerge w:val="restart"/>
            <w:noWrap/>
            <w:hideMark/>
          </w:tcPr>
          <w:p w14:paraId="5D6D2AD4" w14:textId="73587655" w:rsidR="009D4728" w:rsidRPr="007C488A" w:rsidRDefault="009D4728" w:rsidP="00103D24">
            <w:pPr>
              <w:keepNext/>
              <w:spacing w:before="40" w:after="40"/>
              <w:rPr>
                <w:rFonts w:ascii="Arial Narrow" w:hAnsi="Arial Narrow"/>
                <w:sz w:val="20"/>
              </w:rPr>
            </w:pPr>
            <w:r w:rsidRPr="007C488A">
              <w:rPr>
                <w:rFonts w:ascii="Arial Narrow" w:hAnsi="Arial Narrow"/>
                <w:sz w:val="20"/>
              </w:rPr>
              <w:t>O</w:t>
            </w:r>
            <w:r w:rsidR="00D41072" w:rsidRPr="007C488A">
              <w:rPr>
                <w:rFonts w:ascii="Arial Narrow" w:hAnsi="Arial Narrow"/>
                <w:sz w:val="20"/>
              </w:rPr>
              <w:t>utcomes</w:t>
            </w:r>
          </w:p>
        </w:tc>
        <w:tc>
          <w:tcPr>
            <w:tcW w:w="1905" w:type="pct"/>
            <w:noWrap/>
            <w:hideMark/>
          </w:tcPr>
          <w:p w14:paraId="4010FEAD"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Life years</w:t>
            </w:r>
          </w:p>
        </w:tc>
        <w:tc>
          <w:tcPr>
            <w:tcW w:w="837" w:type="pct"/>
            <w:noWrap/>
            <w:hideMark/>
          </w:tcPr>
          <w:p w14:paraId="67070FC2"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6.618</w:t>
            </w:r>
          </w:p>
        </w:tc>
        <w:tc>
          <w:tcPr>
            <w:tcW w:w="778" w:type="pct"/>
            <w:noWrap/>
            <w:hideMark/>
          </w:tcPr>
          <w:p w14:paraId="14F4684F"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0.586</w:t>
            </w:r>
          </w:p>
        </w:tc>
        <w:tc>
          <w:tcPr>
            <w:tcW w:w="834" w:type="pct"/>
            <w:noWrap/>
            <w:hideMark/>
          </w:tcPr>
          <w:p w14:paraId="7F526893"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6.033</w:t>
            </w:r>
          </w:p>
        </w:tc>
      </w:tr>
      <w:tr w:rsidR="009D4728" w:rsidRPr="007C488A" w14:paraId="7247C8C0" w14:textId="77777777" w:rsidTr="007D1A1F">
        <w:trPr>
          <w:trHeight w:val="288"/>
        </w:trPr>
        <w:tc>
          <w:tcPr>
            <w:tcW w:w="646" w:type="pct"/>
            <w:vMerge/>
            <w:noWrap/>
            <w:hideMark/>
          </w:tcPr>
          <w:p w14:paraId="10F2F898" w14:textId="754E5A0A" w:rsidR="009D4728" w:rsidRPr="007C488A" w:rsidRDefault="009D4728" w:rsidP="00103D24">
            <w:pPr>
              <w:keepNext/>
              <w:spacing w:before="40" w:after="40"/>
              <w:rPr>
                <w:rFonts w:ascii="Arial Narrow" w:hAnsi="Arial Narrow"/>
                <w:sz w:val="20"/>
              </w:rPr>
            </w:pPr>
          </w:p>
        </w:tc>
        <w:tc>
          <w:tcPr>
            <w:tcW w:w="1905" w:type="pct"/>
            <w:noWrap/>
            <w:hideMark/>
          </w:tcPr>
          <w:p w14:paraId="54378AFA"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QALYS</w:t>
            </w:r>
          </w:p>
        </w:tc>
        <w:tc>
          <w:tcPr>
            <w:tcW w:w="837" w:type="pct"/>
            <w:noWrap/>
            <w:hideMark/>
          </w:tcPr>
          <w:p w14:paraId="71DB75A7" w14:textId="77777777"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5.214</w:t>
            </w:r>
          </w:p>
        </w:tc>
        <w:tc>
          <w:tcPr>
            <w:tcW w:w="778" w:type="pct"/>
            <w:noWrap/>
            <w:hideMark/>
          </w:tcPr>
          <w:p w14:paraId="0B3D89E6" w14:textId="77777777"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0.258</w:t>
            </w:r>
          </w:p>
        </w:tc>
        <w:tc>
          <w:tcPr>
            <w:tcW w:w="834" w:type="pct"/>
            <w:noWrap/>
            <w:hideMark/>
          </w:tcPr>
          <w:p w14:paraId="52DFE457" w14:textId="77777777"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4.956</w:t>
            </w:r>
          </w:p>
        </w:tc>
      </w:tr>
      <w:tr w:rsidR="009D4728" w:rsidRPr="007C488A" w14:paraId="326D2161" w14:textId="77777777" w:rsidTr="007D1A1F">
        <w:trPr>
          <w:trHeight w:val="288"/>
        </w:trPr>
        <w:tc>
          <w:tcPr>
            <w:tcW w:w="646" w:type="pct"/>
            <w:vMerge w:val="restart"/>
            <w:noWrap/>
            <w:hideMark/>
          </w:tcPr>
          <w:p w14:paraId="59F9B3E6" w14:textId="5E47B0EE" w:rsidR="009D4728" w:rsidRPr="007C488A" w:rsidRDefault="009D4728" w:rsidP="00103D24">
            <w:pPr>
              <w:keepNext/>
              <w:spacing w:before="40" w:after="40"/>
              <w:rPr>
                <w:rFonts w:ascii="Arial Narrow" w:hAnsi="Arial Narrow"/>
                <w:sz w:val="20"/>
              </w:rPr>
            </w:pPr>
            <w:r w:rsidRPr="007C488A">
              <w:rPr>
                <w:rFonts w:ascii="Arial Narrow" w:hAnsi="Arial Narrow"/>
                <w:sz w:val="20"/>
              </w:rPr>
              <w:t>C</w:t>
            </w:r>
            <w:r w:rsidR="00D41072" w:rsidRPr="007C488A">
              <w:rPr>
                <w:rFonts w:ascii="Arial Narrow" w:hAnsi="Arial Narrow"/>
                <w:sz w:val="20"/>
              </w:rPr>
              <w:t>osts</w:t>
            </w:r>
          </w:p>
        </w:tc>
        <w:tc>
          <w:tcPr>
            <w:tcW w:w="1905" w:type="pct"/>
            <w:noWrap/>
            <w:hideMark/>
          </w:tcPr>
          <w:p w14:paraId="5B776E92" w14:textId="77777777" w:rsidR="009D4728" w:rsidRPr="007C488A" w:rsidRDefault="009D4728" w:rsidP="00103D24">
            <w:pPr>
              <w:keepNext/>
              <w:spacing w:before="40" w:after="40"/>
              <w:rPr>
                <w:rFonts w:ascii="Arial Narrow" w:hAnsi="Arial Narrow"/>
                <w:b/>
                <w:bCs/>
                <w:sz w:val="20"/>
              </w:rPr>
            </w:pPr>
            <w:r w:rsidRPr="007C488A">
              <w:rPr>
                <w:rFonts w:ascii="Arial Narrow" w:hAnsi="Arial Narrow"/>
                <w:b/>
                <w:bCs/>
                <w:sz w:val="20"/>
              </w:rPr>
              <w:t>Total Costs</w:t>
            </w:r>
          </w:p>
        </w:tc>
        <w:tc>
          <w:tcPr>
            <w:tcW w:w="837" w:type="pct"/>
            <w:noWrap/>
            <w:hideMark/>
          </w:tcPr>
          <w:p w14:paraId="0FD9C616" w14:textId="40054F6E"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w:t>
            </w:r>
            <w:r w:rsidR="002F0BEC" w:rsidRPr="007C488A">
              <w:rPr>
                <w:rFonts w:ascii="Arial Narrow" w:hAnsi="Arial Narrow"/>
                <w:b/>
                <w:bCs/>
                <w:sz w:val="20"/>
              </w:rPr>
              <w:t>redacted</w:t>
            </w:r>
          </w:p>
        </w:tc>
        <w:tc>
          <w:tcPr>
            <w:tcW w:w="778" w:type="pct"/>
            <w:noWrap/>
            <w:hideMark/>
          </w:tcPr>
          <w:p w14:paraId="3090F4D0" w14:textId="77777777"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$85,833</w:t>
            </w:r>
          </w:p>
        </w:tc>
        <w:tc>
          <w:tcPr>
            <w:tcW w:w="834" w:type="pct"/>
            <w:noWrap/>
            <w:hideMark/>
          </w:tcPr>
          <w:p w14:paraId="440C9997" w14:textId="31CDC471"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w:t>
            </w:r>
            <w:r w:rsidR="002F0BEC" w:rsidRPr="007C488A">
              <w:rPr>
                <w:rFonts w:ascii="Arial Narrow" w:hAnsi="Arial Narrow"/>
                <w:b/>
                <w:bCs/>
                <w:sz w:val="20"/>
              </w:rPr>
              <w:t>redacted</w:t>
            </w:r>
            <w:r w:rsidR="002F0BEC" w:rsidRPr="007C488A" w:rsidDel="002F0BEC">
              <w:rPr>
                <w:rFonts w:ascii="Arial Narrow" w:hAnsi="Arial Narrow"/>
                <w:sz w:val="20"/>
              </w:rPr>
              <w:t xml:space="preserve"> </w:t>
            </w:r>
          </w:p>
        </w:tc>
      </w:tr>
      <w:tr w:rsidR="009D4728" w:rsidRPr="007C488A" w14:paraId="2BD55515" w14:textId="77777777" w:rsidTr="007D1A1F">
        <w:trPr>
          <w:trHeight w:val="288"/>
        </w:trPr>
        <w:tc>
          <w:tcPr>
            <w:tcW w:w="646" w:type="pct"/>
            <w:vMerge/>
            <w:noWrap/>
            <w:hideMark/>
          </w:tcPr>
          <w:p w14:paraId="1FA652D1" w14:textId="1541F9CC" w:rsidR="009D4728" w:rsidRPr="007C488A" w:rsidRDefault="009D4728" w:rsidP="00103D24">
            <w:pPr>
              <w:keepNext/>
              <w:spacing w:before="40" w:after="40"/>
              <w:rPr>
                <w:rFonts w:ascii="Arial Narrow" w:hAnsi="Arial Narrow"/>
                <w:sz w:val="20"/>
              </w:rPr>
            </w:pPr>
          </w:p>
        </w:tc>
        <w:tc>
          <w:tcPr>
            <w:tcW w:w="1905" w:type="pct"/>
            <w:noWrap/>
            <w:hideMark/>
          </w:tcPr>
          <w:p w14:paraId="4AC3E7D4"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Pre-Implant procedural costs</w:t>
            </w:r>
          </w:p>
        </w:tc>
        <w:tc>
          <w:tcPr>
            <w:tcW w:w="837" w:type="pct"/>
            <w:noWrap/>
            <w:hideMark/>
          </w:tcPr>
          <w:p w14:paraId="58A189EE"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$21,997</w:t>
            </w:r>
          </w:p>
        </w:tc>
        <w:tc>
          <w:tcPr>
            <w:tcW w:w="778" w:type="pct"/>
            <w:noWrap/>
            <w:hideMark/>
          </w:tcPr>
          <w:p w14:paraId="4835481A"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$21,997</w:t>
            </w:r>
          </w:p>
        </w:tc>
        <w:tc>
          <w:tcPr>
            <w:tcW w:w="834" w:type="pct"/>
            <w:noWrap/>
            <w:hideMark/>
          </w:tcPr>
          <w:p w14:paraId="3F1BE2B7"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w:t>
            </w:r>
          </w:p>
        </w:tc>
      </w:tr>
      <w:tr w:rsidR="009D4728" w:rsidRPr="007C488A" w14:paraId="165D7916" w14:textId="77777777" w:rsidTr="007D1A1F">
        <w:trPr>
          <w:trHeight w:val="288"/>
        </w:trPr>
        <w:tc>
          <w:tcPr>
            <w:tcW w:w="646" w:type="pct"/>
            <w:vMerge/>
            <w:noWrap/>
            <w:hideMark/>
          </w:tcPr>
          <w:p w14:paraId="322DCEDC" w14:textId="4F2A7296" w:rsidR="009D4728" w:rsidRPr="007C488A" w:rsidRDefault="009D4728" w:rsidP="00103D24">
            <w:pPr>
              <w:keepNext/>
              <w:spacing w:before="40" w:after="40"/>
              <w:rPr>
                <w:rFonts w:ascii="Arial Narrow" w:hAnsi="Arial Narrow"/>
                <w:sz w:val="20"/>
              </w:rPr>
            </w:pPr>
          </w:p>
        </w:tc>
        <w:tc>
          <w:tcPr>
            <w:tcW w:w="1905" w:type="pct"/>
            <w:noWrap/>
            <w:hideMark/>
          </w:tcPr>
          <w:p w14:paraId="2265ABA9"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LVAD procedural costs</w:t>
            </w:r>
          </w:p>
        </w:tc>
        <w:tc>
          <w:tcPr>
            <w:tcW w:w="837" w:type="pct"/>
            <w:noWrap/>
            <w:hideMark/>
          </w:tcPr>
          <w:p w14:paraId="31772ECA" w14:textId="7C6537E2" w:rsidR="009D4728" w:rsidRPr="007C488A" w:rsidRDefault="009D4728" w:rsidP="00103D24">
            <w:pPr>
              <w:keepNext/>
              <w:spacing w:before="40" w:after="40"/>
              <w:rPr>
                <w:rFonts w:ascii="Arial Narrow" w:hAnsi="Arial Narrow"/>
                <w:sz w:val="20"/>
              </w:rPr>
            </w:pPr>
            <w:r w:rsidRPr="007C488A">
              <w:rPr>
                <w:rFonts w:ascii="Arial Narrow" w:hAnsi="Arial Narrow"/>
                <w:sz w:val="20"/>
              </w:rPr>
              <w:t>$</w:t>
            </w:r>
            <w:r w:rsidR="002F0BEC" w:rsidRPr="007C488A">
              <w:rPr>
                <w:rFonts w:ascii="Arial Narrow" w:hAnsi="Arial Narrow"/>
                <w:b/>
                <w:bCs/>
                <w:sz w:val="20"/>
              </w:rPr>
              <w:t>redacted</w:t>
            </w:r>
            <w:r w:rsidR="002F0BEC" w:rsidRPr="007C488A" w:rsidDel="002F0BEC">
              <w:rPr>
                <w:rFonts w:ascii="Arial Narrow" w:hAnsi="Arial Narrow"/>
                <w:sz w:val="20"/>
              </w:rPr>
              <w:t xml:space="preserve"> </w:t>
            </w:r>
          </w:p>
        </w:tc>
        <w:tc>
          <w:tcPr>
            <w:tcW w:w="778" w:type="pct"/>
            <w:noWrap/>
            <w:hideMark/>
          </w:tcPr>
          <w:p w14:paraId="444ABE4B"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w:t>
            </w:r>
          </w:p>
        </w:tc>
        <w:tc>
          <w:tcPr>
            <w:tcW w:w="834" w:type="pct"/>
            <w:noWrap/>
            <w:hideMark/>
          </w:tcPr>
          <w:p w14:paraId="027324F5" w14:textId="1547C935" w:rsidR="009D4728" w:rsidRPr="007C488A" w:rsidRDefault="009D4728" w:rsidP="00103D24">
            <w:pPr>
              <w:keepNext/>
              <w:spacing w:before="40" w:after="40"/>
              <w:rPr>
                <w:rFonts w:ascii="Arial Narrow" w:hAnsi="Arial Narrow"/>
                <w:sz w:val="20"/>
              </w:rPr>
            </w:pPr>
            <w:r w:rsidRPr="007C488A">
              <w:rPr>
                <w:rFonts w:ascii="Arial Narrow" w:hAnsi="Arial Narrow"/>
                <w:sz w:val="20"/>
              </w:rPr>
              <w:t>$</w:t>
            </w:r>
            <w:r w:rsidR="002F0BEC" w:rsidRPr="007C488A">
              <w:rPr>
                <w:rFonts w:ascii="Arial Narrow" w:hAnsi="Arial Narrow"/>
                <w:b/>
                <w:bCs/>
                <w:sz w:val="20"/>
              </w:rPr>
              <w:t>redacted</w:t>
            </w:r>
            <w:r w:rsidR="002F0BEC" w:rsidRPr="007C488A" w:rsidDel="002F0BEC">
              <w:rPr>
                <w:rFonts w:ascii="Arial Narrow" w:hAnsi="Arial Narrow"/>
                <w:sz w:val="20"/>
              </w:rPr>
              <w:t xml:space="preserve"> </w:t>
            </w:r>
          </w:p>
        </w:tc>
      </w:tr>
      <w:tr w:rsidR="009D4728" w:rsidRPr="007C488A" w14:paraId="60AB8D7E" w14:textId="77777777" w:rsidTr="007D1A1F">
        <w:trPr>
          <w:trHeight w:val="288"/>
        </w:trPr>
        <w:tc>
          <w:tcPr>
            <w:tcW w:w="646" w:type="pct"/>
            <w:vMerge/>
            <w:noWrap/>
            <w:hideMark/>
          </w:tcPr>
          <w:p w14:paraId="1AFB0FAC" w14:textId="530521B4" w:rsidR="009D4728" w:rsidRPr="007C488A" w:rsidRDefault="009D4728" w:rsidP="00103D24">
            <w:pPr>
              <w:keepNext/>
              <w:spacing w:before="40" w:after="40"/>
              <w:rPr>
                <w:rFonts w:ascii="Arial Narrow" w:hAnsi="Arial Narrow"/>
                <w:sz w:val="20"/>
              </w:rPr>
            </w:pPr>
          </w:p>
        </w:tc>
        <w:tc>
          <w:tcPr>
            <w:tcW w:w="1905" w:type="pct"/>
            <w:noWrap/>
            <w:hideMark/>
          </w:tcPr>
          <w:p w14:paraId="2C94F953" w14:textId="77777777" w:rsidR="009D4728" w:rsidRPr="007C488A" w:rsidRDefault="009D4728" w:rsidP="00103D24">
            <w:pPr>
              <w:keepNext/>
              <w:spacing w:before="40" w:after="40"/>
              <w:ind w:left="173"/>
              <w:rPr>
                <w:rFonts w:ascii="Arial Narrow" w:hAnsi="Arial Narrow"/>
                <w:sz w:val="20"/>
              </w:rPr>
            </w:pPr>
            <w:r w:rsidRPr="007C488A">
              <w:rPr>
                <w:rFonts w:ascii="Arial Narrow" w:hAnsi="Arial Narrow"/>
                <w:sz w:val="20"/>
              </w:rPr>
              <w:t>Device Costs</w:t>
            </w:r>
          </w:p>
        </w:tc>
        <w:tc>
          <w:tcPr>
            <w:tcW w:w="837" w:type="pct"/>
            <w:noWrap/>
            <w:hideMark/>
          </w:tcPr>
          <w:p w14:paraId="6A2DB5B3" w14:textId="01C3DFF4" w:rsidR="009D4728" w:rsidRPr="007C488A" w:rsidRDefault="009D4728" w:rsidP="00103D24">
            <w:pPr>
              <w:keepNext/>
              <w:spacing w:before="40" w:after="40"/>
              <w:rPr>
                <w:rFonts w:ascii="Arial Narrow" w:hAnsi="Arial Narrow"/>
                <w:sz w:val="20"/>
              </w:rPr>
            </w:pPr>
            <w:r w:rsidRPr="007C488A">
              <w:rPr>
                <w:rFonts w:ascii="Arial Narrow" w:hAnsi="Arial Narrow"/>
                <w:sz w:val="20"/>
              </w:rPr>
              <w:t>$</w:t>
            </w:r>
            <w:r w:rsidR="002F0BEC" w:rsidRPr="007C488A">
              <w:rPr>
                <w:rFonts w:ascii="Arial Narrow" w:hAnsi="Arial Narrow"/>
                <w:b/>
                <w:bCs/>
                <w:sz w:val="20"/>
              </w:rPr>
              <w:t>redacted</w:t>
            </w:r>
            <w:r w:rsidR="002F0BEC" w:rsidRPr="007C488A" w:rsidDel="002F0BEC">
              <w:rPr>
                <w:rFonts w:ascii="Arial Narrow" w:hAnsi="Arial Narrow"/>
                <w:sz w:val="20"/>
              </w:rPr>
              <w:t xml:space="preserve"> </w:t>
            </w:r>
          </w:p>
        </w:tc>
        <w:tc>
          <w:tcPr>
            <w:tcW w:w="778" w:type="pct"/>
            <w:noWrap/>
            <w:hideMark/>
          </w:tcPr>
          <w:p w14:paraId="76A077FB"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w:t>
            </w:r>
          </w:p>
        </w:tc>
        <w:tc>
          <w:tcPr>
            <w:tcW w:w="834" w:type="pct"/>
            <w:noWrap/>
            <w:hideMark/>
          </w:tcPr>
          <w:p w14:paraId="0527BDDD" w14:textId="74A98A36" w:rsidR="009D4728" w:rsidRPr="007C488A" w:rsidRDefault="009D4728" w:rsidP="00103D24">
            <w:pPr>
              <w:keepNext/>
              <w:spacing w:before="40" w:after="40"/>
              <w:rPr>
                <w:rFonts w:ascii="Arial Narrow" w:hAnsi="Arial Narrow"/>
                <w:sz w:val="20"/>
              </w:rPr>
            </w:pPr>
            <w:r w:rsidRPr="007C488A">
              <w:rPr>
                <w:rFonts w:ascii="Arial Narrow" w:hAnsi="Arial Narrow"/>
                <w:sz w:val="20"/>
              </w:rPr>
              <w:t>$</w:t>
            </w:r>
            <w:r w:rsidR="002F0BEC" w:rsidRPr="007C488A">
              <w:rPr>
                <w:rFonts w:ascii="Arial Narrow" w:hAnsi="Arial Narrow"/>
                <w:b/>
                <w:bCs/>
                <w:sz w:val="20"/>
              </w:rPr>
              <w:t>redacted</w:t>
            </w:r>
            <w:r w:rsidR="002F0BEC" w:rsidRPr="007C488A" w:rsidDel="002F0BEC">
              <w:rPr>
                <w:rFonts w:ascii="Arial Narrow" w:hAnsi="Arial Narrow"/>
                <w:sz w:val="20"/>
              </w:rPr>
              <w:t xml:space="preserve"> </w:t>
            </w:r>
          </w:p>
        </w:tc>
      </w:tr>
      <w:tr w:rsidR="009D4728" w:rsidRPr="007C488A" w14:paraId="2A6FEFB0" w14:textId="77777777" w:rsidTr="007D1A1F">
        <w:trPr>
          <w:trHeight w:val="288"/>
        </w:trPr>
        <w:tc>
          <w:tcPr>
            <w:tcW w:w="646" w:type="pct"/>
            <w:vMerge/>
            <w:noWrap/>
            <w:hideMark/>
          </w:tcPr>
          <w:p w14:paraId="305FFC2E" w14:textId="5D352FC1" w:rsidR="009D4728" w:rsidRPr="007C488A" w:rsidRDefault="009D4728" w:rsidP="00103D24">
            <w:pPr>
              <w:keepNext/>
              <w:spacing w:before="40" w:after="40"/>
              <w:rPr>
                <w:rFonts w:ascii="Arial Narrow" w:hAnsi="Arial Narrow"/>
                <w:sz w:val="20"/>
              </w:rPr>
            </w:pPr>
          </w:p>
        </w:tc>
        <w:tc>
          <w:tcPr>
            <w:tcW w:w="1905" w:type="pct"/>
            <w:noWrap/>
            <w:hideMark/>
          </w:tcPr>
          <w:p w14:paraId="6D5A4FA5" w14:textId="77777777" w:rsidR="009D4728" w:rsidRPr="007C488A" w:rsidRDefault="009D4728" w:rsidP="00103D24">
            <w:pPr>
              <w:keepNext/>
              <w:spacing w:before="40" w:after="40"/>
              <w:ind w:left="173"/>
              <w:rPr>
                <w:rFonts w:ascii="Arial Narrow" w:hAnsi="Arial Narrow"/>
                <w:sz w:val="20"/>
              </w:rPr>
            </w:pPr>
            <w:r w:rsidRPr="007C488A">
              <w:rPr>
                <w:rFonts w:ascii="Arial Narrow" w:hAnsi="Arial Narrow"/>
                <w:sz w:val="20"/>
              </w:rPr>
              <w:t>Implant and post implant procedural costs</w:t>
            </w:r>
          </w:p>
        </w:tc>
        <w:tc>
          <w:tcPr>
            <w:tcW w:w="837" w:type="pct"/>
            <w:noWrap/>
            <w:hideMark/>
          </w:tcPr>
          <w:p w14:paraId="3CAE4C1A"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$75,010</w:t>
            </w:r>
          </w:p>
        </w:tc>
        <w:tc>
          <w:tcPr>
            <w:tcW w:w="778" w:type="pct"/>
            <w:noWrap/>
            <w:hideMark/>
          </w:tcPr>
          <w:p w14:paraId="05AA4F4D"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w:t>
            </w:r>
          </w:p>
        </w:tc>
        <w:tc>
          <w:tcPr>
            <w:tcW w:w="834" w:type="pct"/>
            <w:noWrap/>
            <w:hideMark/>
          </w:tcPr>
          <w:p w14:paraId="71B0E5E1"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$75,010</w:t>
            </w:r>
          </w:p>
        </w:tc>
      </w:tr>
      <w:tr w:rsidR="009D4728" w:rsidRPr="007C488A" w14:paraId="5CF12854" w14:textId="77777777" w:rsidTr="007D1A1F">
        <w:trPr>
          <w:trHeight w:val="288"/>
        </w:trPr>
        <w:tc>
          <w:tcPr>
            <w:tcW w:w="646" w:type="pct"/>
            <w:vMerge/>
            <w:noWrap/>
            <w:hideMark/>
          </w:tcPr>
          <w:p w14:paraId="234AEBA9" w14:textId="0130FF44" w:rsidR="009D4728" w:rsidRPr="007C488A" w:rsidRDefault="009D4728" w:rsidP="00103D24">
            <w:pPr>
              <w:keepNext/>
              <w:spacing w:before="40" w:after="40"/>
              <w:rPr>
                <w:rFonts w:ascii="Arial Narrow" w:hAnsi="Arial Narrow"/>
                <w:sz w:val="20"/>
              </w:rPr>
            </w:pPr>
          </w:p>
        </w:tc>
        <w:tc>
          <w:tcPr>
            <w:tcW w:w="1905" w:type="pct"/>
            <w:noWrap/>
            <w:hideMark/>
          </w:tcPr>
          <w:p w14:paraId="0C3F7921"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Ongoing management</w:t>
            </w:r>
          </w:p>
        </w:tc>
        <w:tc>
          <w:tcPr>
            <w:tcW w:w="837" w:type="pct"/>
            <w:noWrap/>
            <w:hideMark/>
          </w:tcPr>
          <w:p w14:paraId="7A16AC72"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$11,375</w:t>
            </w:r>
          </w:p>
        </w:tc>
        <w:tc>
          <w:tcPr>
            <w:tcW w:w="778" w:type="pct"/>
            <w:noWrap/>
            <w:hideMark/>
          </w:tcPr>
          <w:p w14:paraId="52E279DD"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$941</w:t>
            </w:r>
          </w:p>
        </w:tc>
        <w:tc>
          <w:tcPr>
            <w:tcW w:w="834" w:type="pct"/>
            <w:noWrap/>
            <w:hideMark/>
          </w:tcPr>
          <w:p w14:paraId="5569F537"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$10,434</w:t>
            </w:r>
          </w:p>
        </w:tc>
      </w:tr>
      <w:tr w:rsidR="009D4728" w:rsidRPr="007C488A" w14:paraId="66703477" w14:textId="77777777" w:rsidTr="007D1A1F">
        <w:trPr>
          <w:trHeight w:val="288"/>
        </w:trPr>
        <w:tc>
          <w:tcPr>
            <w:tcW w:w="646" w:type="pct"/>
            <w:vMerge/>
            <w:noWrap/>
            <w:hideMark/>
          </w:tcPr>
          <w:p w14:paraId="2AA50731" w14:textId="2A1C0D55" w:rsidR="009D4728" w:rsidRPr="007C488A" w:rsidRDefault="009D4728" w:rsidP="00103D24">
            <w:pPr>
              <w:keepNext/>
              <w:spacing w:before="40" w:after="40"/>
              <w:rPr>
                <w:rFonts w:ascii="Arial Narrow" w:hAnsi="Arial Narrow"/>
                <w:sz w:val="20"/>
              </w:rPr>
            </w:pPr>
          </w:p>
        </w:tc>
        <w:tc>
          <w:tcPr>
            <w:tcW w:w="1905" w:type="pct"/>
            <w:noWrap/>
            <w:hideMark/>
          </w:tcPr>
          <w:p w14:paraId="1811B320"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Device related event costs</w:t>
            </w:r>
          </w:p>
        </w:tc>
        <w:tc>
          <w:tcPr>
            <w:tcW w:w="837" w:type="pct"/>
            <w:noWrap/>
            <w:hideMark/>
          </w:tcPr>
          <w:p w14:paraId="7A11A1AC" w14:textId="3AD395AE" w:rsidR="009D4728" w:rsidRPr="007C488A" w:rsidRDefault="009D4728" w:rsidP="00103D24">
            <w:pPr>
              <w:keepNext/>
              <w:spacing w:before="40" w:after="40"/>
              <w:rPr>
                <w:rFonts w:ascii="Arial Narrow" w:hAnsi="Arial Narrow"/>
                <w:sz w:val="20"/>
              </w:rPr>
            </w:pPr>
            <w:r w:rsidRPr="007C488A">
              <w:rPr>
                <w:rFonts w:ascii="Arial Narrow" w:hAnsi="Arial Narrow"/>
                <w:sz w:val="20"/>
              </w:rPr>
              <w:t>$</w:t>
            </w:r>
            <w:r w:rsidR="00041FB5" w:rsidRPr="007C488A">
              <w:rPr>
                <w:rFonts w:ascii="Arial Narrow" w:hAnsi="Arial Narrow"/>
                <w:b/>
                <w:bCs/>
                <w:sz w:val="20"/>
              </w:rPr>
              <w:t>redacted</w:t>
            </w:r>
          </w:p>
        </w:tc>
        <w:tc>
          <w:tcPr>
            <w:tcW w:w="778" w:type="pct"/>
            <w:noWrap/>
            <w:hideMark/>
          </w:tcPr>
          <w:p w14:paraId="11743587"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w:t>
            </w:r>
          </w:p>
        </w:tc>
        <w:tc>
          <w:tcPr>
            <w:tcW w:w="834" w:type="pct"/>
            <w:noWrap/>
            <w:hideMark/>
          </w:tcPr>
          <w:p w14:paraId="32364134" w14:textId="71990867" w:rsidR="009D4728" w:rsidRPr="007C488A" w:rsidRDefault="009D4728" w:rsidP="00103D24">
            <w:pPr>
              <w:keepNext/>
              <w:spacing w:before="40" w:after="40"/>
              <w:rPr>
                <w:rFonts w:ascii="Arial Narrow" w:hAnsi="Arial Narrow"/>
                <w:sz w:val="20"/>
              </w:rPr>
            </w:pPr>
            <w:r w:rsidRPr="007C488A">
              <w:rPr>
                <w:rFonts w:ascii="Arial Narrow" w:hAnsi="Arial Narrow"/>
                <w:sz w:val="20"/>
              </w:rPr>
              <w:t>$</w:t>
            </w:r>
            <w:r w:rsidR="00041FB5" w:rsidRPr="007C488A">
              <w:rPr>
                <w:rFonts w:ascii="Arial Narrow" w:hAnsi="Arial Narrow"/>
                <w:b/>
                <w:bCs/>
                <w:sz w:val="20"/>
              </w:rPr>
              <w:t>redacted</w:t>
            </w:r>
          </w:p>
        </w:tc>
      </w:tr>
      <w:tr w:rsidR="009D4728" w:rsidRPr="007C488A" w14:paraId="72FF883E" w14:textId="77777777" w:rsidTr="007D1A1F">
        <w:trPr>
          <w:trHeight w:val="288"/>
        </w:trPr>
        <w:tc>
          <w:tcPr>
            <w:tcW w:w="646" w:type="pct"/>
            <w:vMerge/>
            <w:noWrap/>
            <w:hideMark/>
          </w:tcPr>
          <w:p w14:paraId="7999AB7E" w14:textId="3CB0CAC0" w:rsidR="009D4728" w:rsidRPr="007C488A" w:rsidRDefault="009D4728" w:rsidP="00103D24">
            <w:pPr>
              <w:keepNext/>
              <w:spacing w:before="40" w:after="40"/>
              <w:rPr>
                <w:rFonts w:ascii="Arial Narrow" w:hAnsi="Arial Narrow"/>
                <w:sz w:val="20"/>
              </w:rPr>
            </w:pPr>
          </w:p>
        </w:tc>
        <w:tc>
          <w:tcPr>
            <w:tcW w:w="1905" w:type="pct"/>
            <w:noWrap/>
            <w:hideMark/>
          </w:tcPr>
          <w:p w14:paraId="1755010E"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Disease related event costs</w:t>
            </w:r>
          </w:p>
        </w:tc>
        <w:tc>
          <w:tcPr>
            <w:tcW w:w="837" w:type="pct"/>
            <w:noWrap/>
            <w:hideMark/>
          </w:tcPr>
          <w:p w14:paraId="3316285D"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$39,359</w:t>
            </w:r>
          </w:p>
        </w:tc>
        <w:tc>
          <w:tcPr>
            <w:tcW w:w="778" w:type="pct"/>
            <w:noWrap/>
            <w:hideMark/>
          </w:tcPr>
          <w:p w14:paraId="74174D0D"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$62,895</w:t>
            </w:r>
          </w:p>
        </w:tc>
        <w:tc>
          <w:tcPr>
            <w:tcW w:w="834" w:type="pct"/>
            <w:noWrap/>
            <w:hideMark/>
          </w:tcPr>
          <w:p w14:paraId="3CF3E0B0"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-$23,535</w:t>
            </w:r>
          </w:p>
        </w:tc>
      </w:tr>
      <w:tr w:rsidR="009D4728" w:rsidRPr="007C488A" w14:paraId="0B26188A" w14:textId="77777777" w:rsidTr="007D1A1F">
        <w:trPr>
          <w:trHeight w:val="288"/>
        </w:trPr>
        <w:tc>
          <w:tcPr>
            <w:tcW w:w="646" w:type="pct"/>
            <w:vMerge/>
            <w:noWrap/>
            <w:hideMark/>
          </w:tcPr>
          <w:p w14:paraId="501A973A" w14:textId="2C94ED10" w:rsidR="009D4728" w:rsidRPr="007C488A" w:rsidRDefault="009D4728" w:rsidP="00103D24">
            <w:pPr>
              <w:keepNext/>
              <w:spacing w:before="40" w:after="40"/>
              <w:rPr>
                <w:rFonts w:ascii="Arial Narrow" w:hAnsi="Arial Narrow"/>
                <w:sz w:val="20"/>
              </w:rPr>
            </w:pPr>
          </w:p>
        </w:tc>
        <w:tc>
          <w:tcPr>
            <w:tcW w:w="1905" w:type="pct"/>
            <w:noWrap/>
            <w:hideMark/>
          </w:tcPr>
          <w:p w14:paraId="27286AB5"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Transplant Costs</w:t>
            </w:r>
          </w:p>
        </w:tc>
        <w:tc>
          <w:tcPr>
            <w:tcW w:w="837" w:type="pct"/>
            <w:noWrap/>
            <w:hideMark/>
          </w:tcPr>
          <w:p w14:paraId="5492650A"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$44,508</w:t>
            </w:r>
          </w:p>
        </w:tc>
        <w:tc>
          <w:tcPr>
            <w:tcW w:w="778" w:type="pct"/>
            <w:noWrap/>
            <w:hideMark/>
          </w:tcPr>
          <w:p w14:paraId="0F3B0ED2"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$0</w:t>
            </w:r>
          </w:p>
        </w:tc>
        <w:tc>
          <w:tcPr>
            <w:tcW w:w="834" w:type="pct"/>
            <w:noWrap/>
            <w:hideMark/>
          </w:tcPr>
          <w:p w14:paraId="67B44E20" w14:textId="77777777" w:rsidR="009D4728" w:rsidRPr="007C488A" w:rsidRDefault="009D4728" w:rsidP="00103D24">
            <w:pPr>
              <w:keepNext/>
              <w:spacing w:before="40" w:after="40"/>
              <w:rPr>
                <w:rFonts w:ascii="Arial Narrow" w:hAnsi="Arial Narrow"/>
                <w:sz w:val="20"/>
              </w:rPr>
            </w:pPr>
            <w:r w:rsidRPr="007C488A">
              <w:rPr>
                <w:rFonts w:ascii="Arial Narrow" w:hAnsi="Arial Narrow"/>
                <w:sz w:val="20"/>
              </w:rPr>
              <w:t>$44,508</w:t>
            </w:r>
          </w:p>
        </w:tc>
      </w:tr>
      <w:tr w:rsidR="009D4728" w:rsidRPr="007C488A" w14:paraId="231F82CC" w14:textId="77777777" w:rsidTr="007D1A1F">
        <w:trPr>
          <w:trHeight w:val="288"/>
        </w:trPr>
        <w:tc>
          <w:tcPr>
            <w:tcW w:w="4166" w:type="pct"/>
            <w:gridSpan w:val="4"/>
            <w:noWrap/>
            <w:hideMark/>
          </w:tcPr>
          <w:p w14:paraId="60A9E705" w14:textId="48EEE519" w:rsidR="009D4728" w:rsidRPr="007C488A" w:rsidRDefault="009D4728" w:rsidP="00103D24">
            <w:pPr>
              <w:keepNext/>
              <w:spacing w:before="40" w:after="40"/>
              <w:rPr>
                <w:rFonts w:ascii="Arial Narrow" w:hAnsi="Arial Narrow"/>
                <w:b/>
                <w:bCs/>
                <w:sz w:val="20"/>
              </w:rPr>
            </w:pPr>
            <w:r w:rsidRPr="007C488A">
              <w:rPr>
                <w:rFonts w:ascii="Arial Narrow" w:hAnsi="Arial Narrow"/>
                <w:b/>
                <w:bCs/>
                <w:sz w:val="20"/>
              </w:rPr>
              <w:t>IC/LY</w:t>
            </w:r>
          </w:p>
        </w:tc>
        <w:tc>
          <w:tcPr>
            <w:tcW w:w="834" w:type="pct"/>
            <w:noWrap/>
            <w:hideMark/>
          </w:tcPr>
          <w:p w14:paraId="71108DDE" w14:textId="6728FDF0"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w:t>
            </w:r>
            <w:r w:rsidR="002F0BEC" w:rsidRPr="007C488A">
              <w:rPr>
                <w:rFonts w:ascii="Arial Narrow" w:hAnsi="Arial Narrow"/>
                <w:b/>
                <w:bCs/>
                <w:sz w:val="20"/>
              </w:rPr>
              <w:t>redacted</w:t>
            </w:r>
          </w:p>
        </w:tc>
      </w:tr>
      <w:tr w:rsidR="009D4728" w:rsidRPr="007C488A" w14:paraId="4E293FA2" w14:textId="77777777" w:rsidTr="007D1A1F">
        <w:trPr>
          <w:trHeight w:val="288"/>
        </w:trPr>
        <w:tc>
          <w:tcPr>
            <w:tcW w:w="4166" w:type="pct"/>
            <w:gridSpan w:val="4"/>
            <w:shd w:val="clear" w:color="auto" w:fill="auto"/>
            <w:noWrap/>
            <w:hideMark/>
          </w:tcPr>
          <w:p w14:paraId="49B09A3B" w14:textId="6239AD9F" w:rsidR="009D4728" w:rsidRPr="007C488A" w:rsidRDefault="009D4728" w:rsidP="00103D24">
            <w:pPr>
              <w:keepNext/>
              <w:spacing w:before="40" w:after="40"/>
              <w:rPr>
                <w:rFonts w:ascii="Arial Narrow" w:hAnsi="Arial Narrow"/>
                <w:b/>
                <w:bCs/>
                <w:sz w:val="20"/>
              </w:rPr>
            </w:pPr>
            <w:r w:rsidRPr="007C488A">
              <w:rPr>
                <w:rFonts w:ascii="Arial Narrow" w:hAnsi="Arial Narrow"/>
                <w:b/>
                <w:bCs/>
                <w:sz w:val="20"/>
              </w:rPr>
              <w:t>IC/QALY</w:t>
            </w:r>
          </w:p>
        </w:tc>
        <w:tc>
          <w:tcPr>
            <w:tcW w:w="834" w:type="pct"/>
            <w:shd w:val="clear" w:color="auto" w:fill="auto"/>
            <w:noWrap/>
            <w:hideMark/>
          </w:tcPr>
          <w:p w14:paraId="1719A706" w14:textId="7968A1A3" w:rsidR="009D4728" w:rsidRPr="007C488A" w:rsidRDefault="009D4728" w:rsidP="00103D24">
            <w:pPr>
              <w:keepNext/>
              <w:spacing w:before="40" w:after="40"/>
              <w:rPr>
                <w:rFonts w:ascii="Arial Narrow" w:hAnsi="Arial Narrow"/>
                <w:b/>
                <w:bCs/>
                <w:sz w:val="20"/>
              </w:rPr>
            </w:pPr>
            <w:r w:rsidRPr="007C488A">
              <w:rPr>
                <w:rFonts w:ascii="Arial Narrow" w:hAnsi="Arial Narrow"/>
                <w:sz w:val="20"/>
              </w:rPr>
              <w:t>$</w:t>
            </w:r>
            <w:r w:rsidR="002F0BEC" w:rsidRPr="007C488A">
              <w:rPr>
                <w:rFonts w:ascii="Arial Narrow" w:hAnsi="Arial Narrow"/>
                <w:b/>
                <w:bCs/>
                <w:sz w:val="20"/>
              </w:rPr>
              <w:t>redacted</w:t>
            </w:r>
          </w:p>
        </w:tc>
      </w:tr>
    </w:tbl>
    <w:p w14:paraId="49BAE606" w14:textId="5E1CFF14" w:rsidR="0031402E" w:rsidRPr="007C488A" w:rsidRDefault="0031402E" w:rsidP="0031402E">
      <w:pPr>
        <w:pStyle w:val="Tablenotes0"/>
        <w:rPr>
          <w:snapToGrid w:val="0"/>
        </w:rPr>
      </w:pPr>
      <w:r w:rsidRPr="007C488A">
        <w:rPr>
          <w:snapToGrid w:val="0"/>
        </w:rPr>
        <w:t>Source: Table 7</w:t>
      </w:r>
      <w:r w:rsidR="003B6308" w:rsidRPr="007C488A">
        <w:rPr>
          <w:snapToGrid w:val="0"/>
        </w:rPr>
        <w:t>2</w:t>
      </w:r>
      <w:r w:rsidRPr="007C488A">
        <w:rPr>
          <w:snapToGrid w:val="0"/>
        </w:rPr>
        <w:t>, p238 of MSAC 1749 ADAR+ in-line commentary</w:t>
      </w:r>
    </w:p>
    <w:p w14:paraId="63A21962" w14:textId="59C6AA7D" w:rsidR="005076C2" w:rsidRPr="007C488A" w:rsidRDefault="0031402E" w:rsidP="0031402E">
      <w:pPr>
        <w:pStyle w:val="Tablenotes0"/>
        <w:rPr>
          <w:snapToGrid w:val="0"/>
        </w:rPr>
      </w:pPr>
      <w:r w:rsidRPr="007C488A">
        <w:rPr>
          <w:snapToGrid w:val="0"/>
        </w:rPr>
        <w:t>Abbreviations:</w:t>
      </w:r>
      <w:r w:rsidRPr="007C488A">
        <w:rPr>
          <w:rFonts w:eastAsia="Times New Roman"/>
          <w:snapToGrid w:val="0"/>
        </w:rPr>
        <w:t xml:space="preserve"> </w:t>
      </w:r>
      <w:r w:rsidR="007E48E2" w:rsidRPr="007C488A">
        <w:rPr>
          <w:rFonts w:eastAsia="Times New Roman"/>
          <w:snapToGrid w:val="0"/>
        </w:rPr>
        <w:t xml:space="preserve">IC=incremental cost; </w:t>
      </w:r>
      <w:r w:rsidRPr="007C488A">
        <w:rPr>
          <w:rFonts w:eastAsia="Times New Roman"/>
          <w:snapToGrid w:val="0"/>
        </w:rPr>
        <w:t xml:space="preserve">LY=life years; </w:t>
      </w:r>
      <w:r w:rsidRPr="007C488A">
        <w:rPr>
          <w:snapToGrid w:val="0"/>
        </w:rPr>
        <w:t xml:space="preserve">LVAD = left ventricular assist device; OMM = optimal medical management; QALY = quality adjusted life year. </w:t>
      </w:r>
    </w:p>
    <w:p w14:paraId="11799C64" w14:textId="5C1D6A64" w:rsidR="0031402E" w:rsidRPr="007C488A" w:rsidRDefault="00E339AA" w:rsidP="00DC74C9">
      <w:pPr>
        <w:pStyle w:val="ListParagraph"/>
        <w:numPr>
          <w:ilvl w:val="0"/>
          <w:numId w:val="21"/>
        </w:numPr>
        <w:rPr>
          <w:b/>
          <w:bCs/>
        </w:rPr>
      </w:pPr>
      <w:r w:rsidRPr="007C488A">
        <w:rPr>
          <w:b/>
          <w:bCs/>
        </w:rPr>
        <w:t>Comparison using LVAD arm data from MOMENTUM 3 versus OMM arm data from ROADMAP</w:t>
      </w:r>
      <w:r w:rsidRPr="007C488A" w:rsidDel="00E339AA">
        <w:rPr>
          <w:b/>
          <w:bCs/>
        </w:rPr>
        <w:t xml:space="preserve"> </w:t>
      </w:r>
    </w:p>
    <w:p w14:paraId="2431833F" w14:textId="16A1A3C2" w:rsidR="009D4728" w:rsidRPr="007C488A" w:rsidRDefault="00EF4253" w:rsidP="009D4728">
      <w:pPr>
        <w:jc w:val="both"/>
      </w:pPr>
      <w:r w:rsidRPr="007C488A">
        <w:t xml:space="preserve">The ADAR presented a scenario analysis </w:t>
      </w:r>
      <w:r w:rsidR="00E339AA" w:rsidRPr="007C488A">
        <w:t>that used LVAD arm data from MOMENTUM 3 and OMM arm data from ROADMAP</w:t>
      </w:r>
      <w:r w:rsidR="00B25628" w:rsidRPr="007C488A">
        <w:t xml:space="preserve"> (instead of REMATCH</w:t>
      </w:r>
      <w:r w:rsidR="00A51A71" w:rsidRPr="007C488A">
        <w:t xml:space="preserve"> as per the base case</w:t>
      </w:r>
      <w:r w:rsidR="00B25628" w:rsidRPr="007C488A">
        <w:t>)</w:t>
      </w:r>
      <w:r w:rsidRPr="007C488A">
        <w:t xml:space="preserve">. </w:t>
      </w:r>
      <w:r w:rsidR="00BA7051" w:rsidRPr="007C488A">
        <w:t>S</w:t>
      </w:r>
      <w:r w:rsidR="00AE31B0" w:rsidRPr="007C488A">
        <w:t>ubgroup analysis data for DT patients with INTERMACS 4 were not available from MOME</w:t>
      </w:r>
      <w:r w:rsidR="00BA7051" w:rsidRPr="007C488A">
        <w:t>N</w:t>
      </w:r>
      <w:r w:rsidR="00AE31B0" w:rsidRPr="007C488A">
        <w:t>TUM 3 RCT. Therefore, t</w:t>
      </w:r>
      <w:r w:rsidRPr="007C488A">
        <w:t>he base case inputs for the LVAD arm remain unchanged in this scenario analysis</w:t>
      </w:r>
      <w:r w:rsidR="00BA7051" w:rsidRPr="007C488A">
        <w:t>,</w:t>
      </w:r>
      <w:r w:rsidRPr="007C488A">
        <w:t xml:space="preserve"> </w:t>
      </w:r>
      <w:r w:rsidR="00AE31B0" w:rsidRPr="007C488A">
        <w:t xml:space="preserve">and OS data for LVAD arm was based on entire DT population (INTERMACS 1-7) of </w:t>
      </w:r>
      <w:r w:rsidR="00085B09" w:rsidRPr="007C488A">
        <w:t>MOMENTUM</w:t>
      </w:r>
      <w:r w:rsidR="00AE31B0" w:rsidRPr="007C488A">
        <w:t xml:space="preserve"> 3 RCT </w:t>
      </w:r>
      <w:r w:rsidR="00E50B2F" w:rsidRPr="007C488A">
        <w:t xml:space="preserve">(of which 83.8% </w:t>
      </w:r>
      <w:r w:rsidR="00515FF1" w:rsidRPr="007C488A">
        <w:t xml:space="preserve">were patients with INTERMACS 1-3) </w:t>
      </w:r>
      <w:r w:rsidR="00AE31B0" w:rsidRPr="007C488A">
        <w:t>as in base case analysis.</w:t>
      </w:r>
      <w:r w:rsidR="00625448" w:rsidRPr="007C488A">
        <w:t xml:space="preserve"> </w:t>
      </w:r>
    </w:p>
    <w:p w14:paraId="46F3FF8F" w14:textId="3FAB2830" w:rsidR="009D4728" w:rsidRPr="007C488A" w:rsidRDefault="009D4728" w:rsidP="009D4728">
      <w:pPr>
        <w:jc w:val="both"/>
      </w:pPr>
      <w:r w:rsidRPr="007C488A">
        <w:t xml:space="preserve">The model structure and inputs of the heart transplant scenario analysis were </w:t>
      </w:r>
      <w:proofErr w:type="gramStart"/>
      <w:r w:rsidRPr="007C488A">
        <w:t>similar to</w:t>
      </w:r>
      <w:proofErr w:type="gramEnd"/>
      <w:r w:rsidRPr="007C488A">
        <w:t xml:space="preserve"> the base case analysis, with the following two changes:</w:t>
      </w:r>
    </w:p>
    <w:p w14:paraId="3A6E2B6F" w14:textId="6C09455B" w:rsidR="0031402E" w:rsidRPr="007C488A" w:rsidRDefault="0035631D" w:rsidP="00DC74C9">
      <w:pPr>
        <w:pStyle w:val="ListParagraph"/>
        <w:numPr>
          <w:ilvl w:val="0"/>
          <w:numId w:val="30"/>
        </w:numPr>
        <w:jc w:val="both"/>
      </w:pPr>
      <w:r w:rsidRPr="007C488A">
        <w:t>The</w:t>
      </w:r>
      <w:r w:rsidR="0031402E" w:rsidRPr="007C488A">
        <w:t xml:space="preserve"> OS </w:t>
      </w:r>
      <w:r w:rsidRPr="007C488A">
        <w:t>data</w:t>
      </w:r>
      <w:r w:rsidR="0031402E" w:rsidRPr="007C488A">
        <w:t xml:space="preserve"> for the OMM arm </w:t>
      </w:r>
      <w:r w:rsidRPr="007C488A">
        <w:t xml:space="preserve">was derived from the subgroup analysis of INTERMACS 4 </w:t>
      </w:r>
      <w:r w:rsidR="00EF4253" w:rsidRPr="007C488A">
        <w:t>patients</w:t>
      </w:r>
      <w:r w:rsidR="0031402E" w:rsidRPr="007C488A">
        <w:t xml:space="preserve"> </w:t>
      </w:r>
      <w:r w:rsidRPr="007C488A">
        <w:t xml:space="preserve">in the </w:t>
      </w:r>
      <w:r w:rsidR="0031402E" w:rsidRPr="007C488A">
        <w:t>ROADMAP trial</w:t>
      </w:r>
      <w:r w:rsidR="00BA7051" w:rsidRPr="007C488A">
        <w:t>.</w:t>
      </w:r>
      <w:r w:rsidR="00625448" w:rsidRPr="007C488A">
        <w:t xml:space="preserve"> </w:t>
      </w:r>
    </w:p>
    <w:p w14:paraId="244B5F8A" w14:textId="6868635F" w:rsidR="003B6308" w:rsidRPr="007C488A" w:rsidRDefault="0031402E" w:rsidP="00DC74C9">
      <w:pPr>
        <w:pStyle w:val="ListParagraph"/>
        <w:numPr>
          <w:ilvl w:val="0"/>
          <w:numId w:val="30"/>
        </w:numPr>
        <w:jc w:val="both"/>
      </w:pPr>
      <w:r w:rsidRPr="007C488A">
        <w:t>Remov</w:t>
      </w:r>
      <w:r w:rsidR="00BA7051" w:rsidRPr="007C488A">
        <w:t>al of</w:t>
      </w:r>
      <w:r w:rsidRPr="007C488A">
        <w:t xml:space="preserve"> the critical care</w:t>
      </w:r>
      <w:r w:rsidR="00BA7051" w:rsidRPr="007C488A">
        <w:t xml:space="preserve"> cost</w:t>
      </w:r>
      <w:r w:rsidRPr="007C488A">
        <w:t xml:space="preserve"> in the first cycle of the OMM arm and instead assum</w:t>
      </w:r>
      <w:r w:rsidR="00984F28" w:rsidRPr="007C488A">
        <w:t>ing</w:t>
      </w:r>
      <w:r w:rsidRPr="007C488A">
        <w:t xml:space="preserve"> pre-admission costs are applicable to INTERMACS 4 patients from the first cycle given that these patients do not require inpatient IV inotropic therapy.</w:t>
      </w:r>
      <w:r w:rsidR="00EF4253" w:rsidRPr="007C488A">
        <w:t xml:space="preserve"> </w:t>
      </w:r>
      <w:r w:rsidR="003B6308" w:rsidRPr="007C488A">
        <w:t xml:space="preserve">Pre-transplant costs </w:t>
      </w:r>
      <w:r w:rsidR="00BA7051" w:rsidRPr="007C488A">
        <w:t>were</w:t>
      </w:r>
      <w:r w:rsidR="003B6308" w:rsidRPr="007C488A">
        <w:t xml:space="preserve"> also removed in the OMM arm.</w:t>
      </w:r>
    </w:p>
    <w:p w14:paraId="4D3D817E" w14:textId="1DDF08DB" w:rsidR="00C04145" w:rsidRPr="007C488A" w:rsidRDefault="003B6308" w:rsidP="003B6308">
      <w:pPr>
        <w:jc w:val="both"/>
      </w:pPr>
      <w:r w:rsidRPr="007C488A">
        <w:t xml:space="preserve">The ADAR </w:t>
      </w:r>
      <w:r w:rsidR="00984F28" w:rsidRPr="007C488A">
        <w:t>again</w:t>
      </w:r>
      <w:r w:rsidRPr="007C488A">
        <w:t xml:space="preserve"> selected the generalised gamma model for the OS data applied in the scenario analysis, considering both AIC/BIC statistics and visual fit to the observed KM data</w:t>
      </w:r>
      <w:r w:rsidR="00BA7051" w:rsidRPr="007C488A">
        <w:t>.</w:t>
      </w:r>
      <w:r w:rsidRPr="007C488A">
        <w:t xml:space="preserve"> </w:t>
      </w:r>
      <w:r w:rsidR="00E17863" w:rsidRPr="007C488A">
        <w:fldChar w:fldCharType="begin"/>
      </w:r>
      <w:r w:rsidR="00E17863" w:rsidRPr="007C488A">
        <w:instrText xml:space="preserve"> REF _Ref155619256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14</w:t>
      </w:r>
      <w:r w:rsidR="00E17863" w:rsidRPr="007C488A">
        <w:fldChar w:fldCharType="end"/>
      </w:r>
      <w:r w:rsidRPr="007C488A">
        <w:t xml:space="preserve"> summarise the results of this scenario analysis. The results of this scenario analysis indicate that applying model inputs (survival and costs) for an INTERMACS 4 population in the OMM results in </w:t>
      </w:r>
      <w:r w:rsidRPr="007C488A">
        <w:lastRenderedPageBreak/>
        <w:t xml:space="preserve">comparable </w:t>
      </w:r>
      <w:r w:rsidR="007B16F6" w:rsidRPr="007C488A">
        <w:t>ICER</w:t>
      </w:r>
      <w:r w:rsidRPr="007C488A">
        <w:t xml:space="preserve"> relative to the base case ($</w:t>
      </w:r>
      <w:r w:rsidR="00F66D51" w:rsidRPr="007C488A">
        <w:rPr>
          <w:b/>
          <w:bCs/>
        </w:rPr>
        <w:t>redacted</w:t>
      </w:r>
      <w:r w:rsidRPr="007C488A">
        <w:t xml:space="preserve"> </w:t>
      </w:r>
      <w:r w:rsidR="00D33BEB" w:rsidRPr="007C488A">
        <w:t>versus</w:t>
      </w:r>
      <w:r w:rsidR="00243E69" w:rsidRPr="007C488A">
        <w:t xml:space="preserve"> $</w:t>
      </w:r>
      <w:r w:rsidR="00F66D51" w:rsidRPr="007C488A">
        <w:rPr>
          <w:b/>
          <w:bCs/>
        </w:rPr>
        <w:t>redacted</w:t>
      </w:r>
      <w:r w:rsidR="00243E69" w:rsidRPr="007C488A">
        <w:t xml:space="preserve"> base</w:t>
      </w:r>
      <w:r w:rsidR="007017A2" w:rsidRPr="007C488A">
        <w:t xml:space="preserve"> </w:t>
      </w:r>
      <w:r w:rsidR="00243E69" w:rsidRPr="007C488A">
        <w:t>case</w:t>
      </w:r>
      <w:r w:rsidRPr="007C488A">
        <w:t>) (</w:t>
      </w:r>
      <w:r w:rsidR="00E17863" w:rsidRPr="007C488A">
        <w:fldChar w:fldCharType="begin"/>
      </w:r>
      <w:r w:rsidR="00E17863" w:rsidRPr="007C488A">
        <w:instrText xml:space="preserve"> REF _Ref155619256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14</w:t>
      </w:r>
      <w:r w:rsidR="00E17863" w:rsidRPr="007C488A">
        <w:fldChar w:fldCharType="end"/>
      </w:r>
      <w:r w:rsidRPr="007C488A">
        <w:t>).</w:t>
      </w:r>
      <w:r w:rsidR="0026790B" w:rsidRPr="007C488A">
        <w:t>Th</w:t>
      </w:r>
      <w:r w:rsidR="00C875D1" w:rsidRPr="007C488A">
        <w:t>e ADAR stated this</w:t>
      </w:r>
      <w:r w:rsidR="00065BC4" w:rsidRPr="007C488A">
        <w:t xml:space="preserve"> </w:t>
      </w:r>
      <w:r w:rsidR="00413AF8" w:rsidRPr="007C488A">
        <w:t>occurred</w:t>
      </w:r>
      <w:r w:rsidR="00065BC4" w:rsidRPr="007C488A">
        <w:t xml:space="preserve"> because while OMM patients from ROADMAP had superior survival compared to OMM patients from REMATCH (</w:t>
      </w:r>
      <w:r w:rsidR="00A5039B" w:rsidRPr="007C488A">
        <w:t xml:space="preserve">refer back to </w:t>
      </w:r>
      <w:r w:rsidR="00A5039B" w:rsidRPr="007C488A">
        <w:fldChar w:fldCharType="begin"/>
      </w:r>
      <w:r w:rsidR="00A5039B" w:rsidRPr="007C488A">
        <w:instrText xml:space="preserve"> REF _Ref155620074 \h </w:instrText>
      </w:r>
      <w:r w:rsidR="007C488A">
        <w:instrText xml:space="preserve"> \* MERGEFORMAT </w:instrText>
      </w:r>
      <w:r w:rsidR="00A5039B" w:rsidRPr="007C488A">
        <w:fldChar w:fldCharType="separate"/>
      </w:r>
      <w:r w:rsidR="00406484" w:rsidRPr="007C488A">
        <w:t xml:space="preserve">Figure </w:t>
      </w:r>
      <w:r w:rsidR="00406484" w:rsidRPr="007C488A">
        <w:rPr>
          <w:noProof/>
        </w:rPr>
        <w:t>5</w:t>
      </w:r>
      <w:r w:rsidR="00A5039B" w:rsidRPr="007C488A">
        <w:fldChar w:fldCharType="end"/>
      </w:r>
      <w:r w:rsidR="00A5039B" w:rsidRPr="007C488A">
        <w:t>)</w:t>
      </w:r>
      <w:r w:rsidR="00065BC4" w:rsidRPr="007C488A">
        <w:t xml:space="preserve">, </w:t>
      </w:r>
      <w:r w:rsidR="006C7DC4" w:rsidRPr="007C488A">
        <w:t>in the model the patients</w:t>
      </w:r>
      <w:r w:rsidR="00065BC4" w:rsidRPr="007C488A">
        <w:t xml:space="preserve"> are living for a long</w:t>
      </w:r>
      <w:r w:rsidR="006C7DC4" w:rsidRPr="007C488A">
        <w:t>er</w:t>
      </w:r>
      <w:r w:rsidR="00065BC4" w:rsidRPr="007C488A">
        <w:t xml:space="preserve"> period of time at a low QoL and accruing significant costs of care over this period</w:t>
      </w:r>
      <w:r w:rsidR="00677194" w:rsidRPr="007C488A">
        <w:t>. That is</w:t>
      </w:r>
      <w:r w:rsidR="00337B15" w:rsidRPr="007C488A">
        <w:t>,</w:t>
      </w:r>
      <w:r w:rsidR="009862F5" w:rsidRPr="007C488A">
        <w:t xml:space="preserve"> in this scenario analysis</w:t>
      </w:r>
      <w:r w:rsidR="00F65137" w:rsidRPr="007C488A">
        <w:t xml:space="preserve"> using OMM arm data from the ROADMAP study</w:t>
      </w:r>
      <w:r w:rsidR="00C04145" w:rsidRPr="007C488A">
        <w:t xml:space="preserve">: </w:t>
      </w:r>
    </w:p>
    <w:p w14:paraId="5C9D4FA4" w14:textId="452682EA" w:rsidR="00473F8F" w:rsidRPr="007C488A" w:rsidRDefault="00F65137" w:rsidP="00DC74C9">
      <w:pPr>
        <w:pStyle w:val="ListParagraph"/>
        <w:numPr>
          <w:ilvl w:val="0"/>
          <w:numId w:val="32"/>
        </w:numPr>
        <w:jc w:val="both"/>
      </w:pPr>
      <w:r w:rsidRPr="007C488A">
        <w:t>T</w:t>
      </w:r>
      <w:r w:rsidR="00C04145" w:rsidRPr="007C488A">
        <w:t xml:space="preserve">he OS curve for OMM </w:t>
      </w:r>
      <w:r w:rsidR="00583E95" w:rsidRPr="007C488A">
        <w:t>was</w:t>
      </w:r>
      <w:r w:rsidR="001C24A1" w:rsidRPr="007C488A">
        <w:t xml:space="preserve"> extrapolated out to 10 years before OS reached 0% compared to ~2 years in the base</w:t>
      </w:r>
      <w:r w:rsidR="00473F8F" w:rsidRPr="007C488A">
        <w:t xml:space="preserve"> </w:t>
      </w:r>
      <w:r w:rsidR="001C24A1" w:rsidRPr="007C488A">
        <w:t>case</w:t>
      </w:r>
      <w:r w:rsidR="00473F8F" w:rsidRPr="007C488A">
        <w:t xml:space="preserve"> </w:t>
      </w:r>
      <w:r w:rsidR="00583E95" w:rsidRPr="007C488A">
        <w:t>analysis</w:t>
      </w:r>
      <w:r w:rsidR="001C24A1" w:rsidRPr="007C488A">
        <w:t xml:space="preserve"> </w:t>
      </w:r>
      <w:r w:rsidR="00337B15" w:rsidRPr="007C488A">
        <w:t>(</w:t>
      </w:r>
      <w:r w:rsidR="001C24A1" w:rsidRPr="007C488A">
        <w:t>using OMM data from the REMATCH study</w:t>
      </w:r>
      <w:r w:rsidR="00337B15" w:rsidRPr="007C488A">
        <w:t>)</w:t>
      </w:r>
      <w:r w:rsidR="001C24A1" w:rsidRPr="007C488A">
        <w:t xml:space="preserve">. </w:t>
      </w:r>
    </w:p>
    <w:p w14:paraId="728A840D" w14:textId="6485D138" w:rsidR="003B6308" w:rsidRPr="007C488A" w:rsidRDefault="00473F8F" w:rsidP="00DC74C9">
      <w:pPr>
        <w:pStyle w:val="ListParagraph"/>
        <w:numPr>
          <w:ilvl w:val="0"/>
          <w:numId w:val="32"/>
        </w:numPr>
        <w:jc w:val="both"/>
      </w:pPr>
      <w:r w:rsidRPr="007C488A">
        <w:t>T</w:t>
      </w:r>
      <w:r w:rsidR="00677194" w:rsidRPr="007C488A">
        <w:t xml:space="preserve">he disease related event costs in </w:t>
      </w:r>
      <w:r w:rsidR="00EF4B6D" w:rsidRPr="007C488A">
        <w:t xml:space="preserve">the </w:t>
      </w:r>
      <w:r w:rsidR="00677194" w:rsidRPr="007C488A">
        <w:t>OMM arm</w:t>
      </w:r>
      <w:r w:rsidR="00EF4B6D" w:rsidRPr="007C488A">
        <w:t xml:space="preserve"> </w:t>
      </w:r>
      <w:proofErr w:type="gramStart"/>
      <w:r w:rsidR="00583E95" w:rsidRPr="007C488A">
        <w:t>was</w:t>
      </w:r>
      <w:proofErr w:type="gramEnd"/>
      <w:r w:rsidR="00583E95" w:rsidRPr="007C488A">
        <w:t xml:space="preserve"> </w:t>
      </w:r>
      <w:r w:rsidR="00C95F86" w:rsidRPr="007C488A">
        <w:t xml:space="preserve">$102,356 </w:t>
      </w:r>
      <w:r w:rsidR="00583E95" w:rsidRPr="007C488A">
        <w:t xml:space="preserve">compared to </w:t>
      </w:r>
      <w:r w:rsidR="006E64A3" w:rsidRPr="007C488A">
        <w:t>$62</w:t>
      </w:r>
      <w:r w:rsidR="004447A8" w:rsidRPr="007C488A">
        <w:t xml:space="preserve">,895 </w:t>
      </w:r>
      <w:r w:rsidR="002B7A5D" w:rsidRPr="007C488A">
        <w:t xml:space="preserve">in the base case analysis </w:t>
      </w:r>
      <w:r w:rsidR="00F65137" w:rsidRPr="007C488A">
        <w:t>(</w:t>
      </w:r>
      <w:r w:rsidR="002B7A5D" w:rsidRPr="007C488A">
        <w:t>using OMM data from the REMATCH study</w:t>
      </w:r>
      <w:r w:rsidR="00F65137" w:rsidRPr="007C488A">
        <w:t>)</w:t>
      </w:r>
      <w:r w:rsidR="002B7A5D" w:rsidRPr="007C488A">
        <w:t>.</w:t>
      </w:r>
    </w:p>
    <w:p w14:paraId="67A7DAA5" w14:textId="104A57E2" w:rsidR="00666DB8" w:rsidRPr="007C488A" w:rsidRDefault="00666DB8" w:rsidP="00666DB8">
      <w:pPr>
        <w:jc w:val="both"/>
      </w:pPr>
      <w:r w:rsidRPr="007C488A">
        <w:t xml:space="preserve">The ADAR claimed that this scenario analysis </w:t>
      </w:r>
      <w:r w:rsidR="00C41366" w:rsidRPr="007C488A">
        <w:t>would be</w:t>
      </w:r>
      <w:r w:rsidRPr="007C488A">
        <w:t xml:space="preserve"> informative to MSAC, suggesting that LVAD </w:t>
      </w:r>
      <w:r w:rsidR="00997C5B" w:rsidRPr="007C488A">
        <w:t>was</w:t>
      </w:r>
      <w:r w:rsidRPr="007C488A">
        <w:t xml:space="preserve"> cost-effective </w:t>
      </w:r>
      <w:r w:rsidR="00EC7FEC" w:rsidRPr="007C488A">
        <w:t>in this scenario too</w:t>
      </w:r>
      <w:r w:rsidRPr="007C488A">
        <w:t>. However, the commentary noted that the uncertainties identified in the base case analysis, such as model structure, time horizon</w:t>
      </w:r>
      <w:r w:rsidR="00F917BE" w:rsidRPr="007C488A">
        <w:t xml:space="preserve"> extrapolation of OS</w:t>
      </w:r>
      <w:r w:rsidRPr="007C488A">
        <w:t xml:space="preserve"> and </w:t>
      </w:r>
      <w:r w:rsidR="003547EE" w:rsidRPr="007C488A">
        <w:t xml:space="preserve">other </w:t>
      </w:r>
      <w:r w:rsidRPr="007C488A">
        <w:t>model input parameters, are also applicable to the scenario analyses</w:t>
      </w:r>
      <w:proofErr w:type="gramStart"/>
      <w:r w:rsidR="00975319" w:rsidRPr="007C488A">
        <w:t>, in particular</w:t>
      </w:r>
      <w:r w:rsidR="00997C5B" w:rsidRPr="007C488A">
        <w:t xml:space="preserve">, </w:t>
      </w:r>
      <w:r w:rsidR="003547EE" w:rsidRPr="007C488A">
        <w:t>relying</w:t>
      </w:r>
      <w:proofErr w:type="gramEnd"/>
      <w:r w:rsidR="003547EE" w:rsidRPr="007C488A">
        <w:t xml:space="preserve"> on </w:t>
      </w:r>
      <w:r w:rsidR="00470B80" w:rsidRPr="007C488A">
        <w:t xml:space="preserve">two OS curves </w:t>
      </w:r>
      <w:r w:rsidR="00BE52FD" w:rsidRPr="007C488A">
        <w:t>from a naïve comparison</w:t>
      </w:r>
      <w:r w:rsidR="00470B80" w:rsidRPr="007C488A">
        <w:t>.</w:t>
      </w:r>
    </w:p>
    <w:p w14:paraId="1D2D6303" w14:textId="158F3097" w:rsidR="000710A4" w:rsidRPr="007C488A" w:rsidRDefault="000710A4" w:rsidP="007D1A1F">
      <w:pPr>
        <w:pStyle w:val="Caption"/>
      </w:pPr>
      <w:bookmarkStart w:id="65" w:name="_Ref155619256"/>
      <w:r w:rsidRPr="007C488A">
        <w:t xml:space="preserve">Table </w:t>
      </w:r>
      <w:r w:rsidRPr="007C488A">
        <w:fldChar w:fldCharType="begin"/>
      </w:r>
      <w:r w:rsidRPr="007C488A">
        <w:instrText>SEQ Table \* ARABIC</w:instrText>
      </w:r>
      <w:r w:rsidRPr="007C488A">
        <w:fldChar w:fldCharType="separate"/>
      </w:r>
      <w:r w:rsidR="00406484" w:rsidRPr="007C488A">
        <w:rPr>
          <w:noProof/>
        </w:rPr>
        <w:t>14</w:t>
      </w:r>
      <w:r w:rsidRPr="007C488A">
        <w:fldChar w:fldCharType="end"/>
      </w:r>
      <w:bookmarkEnd w:id="65"/>
      <w:r w:rsidRPr="007C488A">
        <w:t xml:space="preserve">: </w:t>
      </w:r>
      <w:r w:rsidRPr="007C488A">
        <w:rPr>
          <w:rFonts w:asciiTheme="minorHAnsi" w:hAnsiTheme="minorHAnsi" w:cstheme="minorHAnsi"/>
        </w:rPr>
        <w:t>Results for the</w:t>
      </w:r>
      <w:r w:rsidR="00243E69" w:rsidRPr="007C488A">
        <w:rPr>
          <w:rFonts w:asciiTheme="minorHAnsi" w:hAnsiTheme="minorHAnsi" w:cstheme="minorHAnsi"/>
        </w:rPr>
        <w:t xml:space="preserve"> </w:t>
      </w:r>
      <w:r w:rsidRPr="007C488A">
        <w:rPr>
          <w:rFonts w:asciiTheme="minorHAnsi" w:hAnsiTheme="minorHAnsi" w:cstheme="minorHAnsi"/>
        </w:rPr>
        <w:t>scenario analysis</w:t>
      </w:r>
      <w:r w:rsidR="003232C3" w:rsidRPr="007C488A">
        <w:rPr>
          <w:rFonts w:asciiTheme="minorHAnsi" w:hAnsiTheme="minorHAnsi" w:cstheme="minorHAnsi"/>
        </w:rPr>
        <w:t xml:space="preserve"> </w:t>
      </w:r>
      <w:r w:rsidR="006235B5" w:rsidRPr="007C488A">
        <w:rPr>
          <w:rFonts w:asciiTheme="minorHAnsi" w:hAnsiTheme="minorHAnsi" w:cstheme="minorHAnsi"/>
        </w:rPr>
        <w:t xml:space="preserve">using OMM data from ROADMAP </w:t>
      </w:r>
      <w:r w:rsidR="003232C3" w:rsidRPr="007C488A">
        <w:rPr>
          <w:rFonts w:asciiTheme="minorHAnsi" w:hAnsiTheme="minorHAnsi" w:cstheme="minorHAnsi"/>
        </w:rPr>
        <w:t>(</w:t>
      </w:r>
      <w:r w:rsidR="006235B5" w:rsidRPr="007C488A">
        <w:rPr>
          <w:rFonts w:asciiTheme="minorHAnsi" w:hAnsiTheme="minorHAnsi" w:cstheme="minorHAnsi"/>
        </w:rPr>
        <w:t>instead of REMATCH</w:t>
      </w:r>
      <w:r w:rsidR="003232C3" w:rsidRPr="007C488A">
        <w:rPr>
          <w:rFonts w:asciiTheme="minorHAnsi" w:hAnsiTheme="minorHAnsi" w:cstheme="minorHAnsi"/>
        </w:rPr>
        <w:t>)</w:t>
      </w:r>
    </w:p>
    <w:tbl>
      <w:tblPr>
        <w:tblStyle w:val="TableGrid"/>
        <w:tblW w:w="5000" w:type="pct"/>
        <w:tblLook w:val="04A0" w:firstRow="1" w:lastRow="0" w:firstColumn="1" w:lastColumn="0" w:noHBand="0" w:noVBand="1"/>
      </w:tblPr>
      <w:tblGrid>
        <w:gridCol w:w="1165"/>
        <w:gridCol w:w="3426"/>
        <w:gridCol w:w="1500"/>
        <w:gridCol w:w="1410"/>
        <w:gridCol w:w="1515"/>
      </w:tblGrid>
      <w:tr w:rsidR="003B6308" w:rsidRPr="007C488A" w14:paraId="29B28BE9" w14:textId="77777777" w:rsidTr="007D1A1F">
        <w:trPr>
          <w:trHeight w:val="288"/>
        </w:trPr>
        <w:tc>
          <w:tcPr>
            <w:tcW w:w="646" w:type="pct"/>
            <w:shd w:val="clear" w:color="auto" w:fill="auto"/>
            <w:noWrap/>
            <w:hideMark/>
          </w:tcPr>
          <w:p w14:paraId="353D3CDC" w14:textId="77777777" w:rsidR="003B6308" w:rsidRPr="007C488A" w:rsidRDefault="003B6308" w:rsidP="003B6308">
            <w:pPr>
              <w:keepNext/>
              <w:spacing w:before="40" w:after="40"/>
              <w:rPr>
                <w:rFonts w:ascii="Arial Narrow" w:hAnsi="Arial Narrow"/>
                <w:b/>
                <w:bCs/>
                <w:sz w:val="20"/>
              </w:rPr>
            </w:pPr>
            <w:r w:rsidRPr="007C488A">
              <w:rPr>
                <w:rFonts w:ascii="Arial Narrow" w:hAnsi="Arial Narrow"/>
                <w:b/>
                <w:bCs/>
                <w:sz w:val="20"/>
              </w:rPr>
              <w:t>Category</w:t>
            </w:r>
          </w:p>
        </w:tc>
        <w:tc>
          <w:tcPr>
            <w:tcW w:w="1900" w:type="pct"/>
            <w:shd w:val="clear" w:color="auto" w:fill="auto"/>
            <w:noWrap/>
            <w:hideMark/>
          </w:tcPr>
          <w:p w14:paraId="09549F30" w14:textId="77777777" w:rsidR="003B6308" w:rsidRPr="007C488A" w:rsidRDefault="003B6308" w:rsidP="003B6308">
            <w:pPr>
              <w:keepNext/>
              <w:spacing w:before="40" w:after="40"/>
              <w:rPr>
                <w:rFonts w:ascii="Arial Narrow" w:hAnsi="Arial Narrow"/>
                <w:b/>
                <w:bCs/>
                <w:sz w:val="20"/>
              </w:rPr>
            </w:pPr>
            <w:r w:rsidRPr="007C488A">
              <w:rPr>
                <w:rFonts w:ascii="Arial Narrow" w:hAnsi="Arial Narrow"/>
                <w:b/>
                <w:bCs/>
                <w:sz w:val="20"/>
              </w:rPr>
              <w:t>Variable</w:t>
            </w:r>
          </w:p>
        </w:tc>
        <w:tc>
          <w:tcPr>
            <w:tcW w:w="832" w:type="pct"/>
            <w:shd w:val="clear" w:color="auto" w:fill="auto"/>
            <w:noWrap/>
            <w:hideMark/>
          </w:tcPr>
          <w:p w14:paraId="0E6BB10F" w14:textId="06916511" w:rsidR="003B6308" w:rsidRPr="007C488A" w:rsidRDefault="003B6308" w:rsidP="003B6308">
            <w:pPr>
              <w:keepNext/>
              <w:spacing w:before="40" w:after="40"/>
              <w:rPr>
                <w:rFonts w:ascii="Arial Narrow" w:hAnsi="Arial Narrow"/>
                <w:b/>
                <w:bCs/>
                <w:sz w:val="20"/>
              </w:rPr>
            </w:pPr>
            <w:r w:rsidRPr="007C488A">
              <w:rPr>
                <w:rFonts w:ascii="Arial Narrow" w:hAnsi="Arial Narrow"/>
                <w:b/>
                <w:bCs/>
                <w:sz w:val="20"/>
              </w:rPr>
              <w:t>LVAD</w:t>
            </w:r>
          </w:p>
        </w:tc>
        <w:tc>
          <w:tcPr>
            <w:tcW w:w="782" w:type="pct"/>
            <w:shd w:val="clear" w:color="auto" w:fill="auto"/>
            <w:noWrap/>
            <w:hideMark/>
          </w:tcPr>
          <w:p w14:paraId="54743DE7" w14:textId="77777777" w:rsidR="003B6308" w:rsidRPr="007C488A" w:rsidRDefault="003B6308" w:rsidP="003B6308">
            <w:pPr>
              <w:keepNext/>
              <w:spacing w:before="40" w:after="40"/>
              <w:rPr>
                <w:rFonts w:ascii="Arial Narrow" w:hAnsi="Arial Narrow"/>
                <w:b/>
                <w:bCs/>
                <w:sz w:val="20"/>
              </w:rPr>
            </w:pPr>
            <w:r w:rsidRPr="007C488A">
              <w:rPr>
                <w:rFonts w:ascii="Arial Narrow" w:hAnsi="Arial Narrow"/>
                <w:b/>
                <w:bCs/>
                <w:sz w:val="20"/>
              </w:rPr>
              <w:t>OMM</w:t>
            </w:r>
          </w:p>
        </w:tc>
        <w:tc>
          <w:tcPr>
            <w:tcW w:w="840" w:type="pct"/>
            <w:shd w:val="clear" w:color="auto" w:fill="auto"/>
            <w:noWrap/>
            <w:hideMark/>
          </w:tcPr>
          <w:p w14:paraId="0A779C44" w14:textId="77777777" w:rsidR="003B6308" w:rsidRPr="007C488A" w:rsidRDefault="003B6308" w:rsidP="003B6308">
            <w:pPr>
              <w:keepNext/>
              <w:spacing w:before="40" w:after="40"/>
              <w:rPr>
                <w:rFonts w:ascii="Arial Narrow" w:hAnsi="Arial Narrow"/>
                <w:b/>
                <w:bCs/>
                <w:sz w:val="20"/>
              </w:rPr>
            </w:pPr>
            <w:r w:rsidRPr="007C488A">
              <w:rPr>
                <w:rFonts w:ascii="Arial Narrow" w:hAnsi="Arial Narrow"/>
                <w:b/>
                <w:bCs/>
                <w:sz w:val="20"/>
              </w:rPr>
              <w:t>Incremental</w:t>
            </w:r>
          </w:p>
        </w:tc>
      </w:tr>
      <w:tr w:rsidR="00BA7051" w:rsidRPr="007C488A" w14:paraId="7BAFB401" w14:textId="77777777" w:rsidTr="007D1A1F">
        <w:trPr>
          <w:trHeight w:val="288"/>
        </w:trPr>
        <w:tc>
          <w:tcPr>
            <w:tcW w:w="646" w:type="pct"/>
            <w:vMerge w:val="restart"/>
            <w:noWrap/>
            <w:hideMark/>
          </w:tcPr>
          <w:p w14:paraId="41AE2DC1" w14:textId="596707D9" w:rsidR="00BA7051" w:rsidRPr="007C488A" w:rsidRDefault="008A0A11" w:rsidP="003B6308">
            <w:pPr>
              <w:keepNext/>
              <w:spacing w:before="40" w:after="40"/>
              <w:rPr>
                <w:rFonts w:ascii="Arial Narrow" w:hAnsi="Arial Narrow"/>
                <w:sz w:val="20"/>
              </w:rPr>
            </w:pPr>
            <w:r w:rsidRPr="007C488A">
              <w:rPr>
                <w:rFonts w:ascii="Arial Narrow" w:hAnsi="Arial Narrow"/>
                <w:sz w:val="20"/>
              </w:rPr>
              <w:t>Outcomes</w:t>
            </w:r>
          </w:p>
        </w:tc>
        <w:tc>
          <w:tcPr>
            <w:tcW w:w="1900" w:type="pct"/>
            <w:noWrap/>
            <w:hideMark/>
          </w:tcPr>
          <w:p w14:paraId="521E2339"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Life years</w:t>
            </w:r>
          </w:p>
        </w:tc>
        <w:tc>
          <w:tcPr>
            <w:tcW w:w="832" w:type="pct"/>
            <w:noWrap/>
            <w:hideMark/>
          </w:tcPr>
          <w:p w14:paraId="693A20F0"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6.258</w:t>
            </w:r>
          </w:p>
        </w:tc>
        <w:tc>
          <w:tcPr>
            <w:tcW w:w="782" w:type="pct"/>
            <w:noWrap/>
            <w:hideMark/>
          </w:tcPr>
          <w:p w14:paraId="760E9237"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1.478</w:t>
            </w:r>
          </w:p>
        </w:tc>
        <w:tc>
          <w:tcPr>
            <w:tcW w:w="840" w:type="pct"/>
            <w:noWrap/>
            <w:hideMark/>
          </w:tcPr>
          <w:p w14:paraId="280C51ED"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4.779</w:t>
            </w:r>
          </w:p>
        </w:tc>
      </w:tr>
      <w:tr w:rsidR="00BA7051" w:rsidRPr="007C488A" w14:paraId="24C32A6C" w14:textId="77777777" w:rsidTr="007D1A1F">
        <w:trPr>
          <w:trHeight w:val="288"/>
        </w:trPr>
        <w:tc>
          <w:tcPr>
            <w:tcW w:w="646" w:type="pct"/>
            <w:vMerge/>
            <w:noWrap/>
            <w:hideMark/>
          </w:tcPr>
          <w:p w14:paraId="1E99926F" w14:textId="53EC29FC" w:rsidR="00BA7051" w:rsidRPr="007C488A" w:rsidRDefault="00BA7051" w:rsidP="003B6308">
            <w:pPr>
              <w:keepNext/>
              <w:spacing w:before="40" w:after="40"/>
              <w:rPr>
                <w:rFonts w:ascii="Arial Narrow" w:hAnsi="Arial Narrow"/>
                <w:sz w:val="20"/>
              </w:rPr>
            </w:pPr>
          </w:p>
        </w:tc>
        <w:tc>
          <w:tcPr>
            <w:tcW w:w="1900" w:type="pct"/>
            <w:noWrap/>
            <w:hideMark/>
          </w:tcPr>
          <w:p w14:paraId="049380C6" w14:textId="77777777" w:rsidR="00BA7051" w:rsidRPr="007C488A" w:rsidRDefault="00BA7051" w:rsidP="003B6308">
            <w:pPr>
              <w:keepNext/>
              <w:spacing w:before="40" w:after="40"/>
              <w:rPr>
                <w:rFonts w:ascii="Arial Narrow" w:hAnsi="Arial Narrow"/>
                <w:b/>
                <w:bCs/>
                <w:sz w:val="20"/>
              </w:rPr>
            </w:pPr>
            <w:r w:rsidRPr="007C488A">
              <w:rPr>
                <w:rFonts w:ascii="Arial Narrow" w:hAnsi="Arial Narrow"/>
                <w:b/>
                <w:bCs/>
                <w:sz w:val="20"/>
              </w:rPr>
              <w:t>QALYS</w:t>
            </w:r>
          </w:p>
        </w:tc>
        <w:tc>
          <w:tcPr>
            <w:tcW w:w="832" w:type="pct"/>
            <w:noWrap/>
            <w:hideMark/>
          </w:tcPr>
          <w:p w14:paraId="29BFD43E" w14:textId="77777777"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4.929</w:t>
            </w:r>
          </w:p>
        </w:tc>
        <w:tc>
          <w:tcPr>
            <w:tcW w:w="782" w:type="pct"/>
            <w:noWrap/>
            <w:hideMark/>
          </w:tcPr>
          <w:p w14:paraId="3F3E1DB9" w14:textId="77777777"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0.650</w:t>
            </w:r>
          </w:p>
        </w:tc>
        <w:tc>
          <w:tcPr>
            <w:tcW w:w="840" w:type="pct"/>
            <w:noWrap/>
            <w:hideMark/>
          </w:tcPr>
          <w:p w14:paraId="4D071BD2" w14:textId="77777777"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4.279</w:t>
            </w:r>
          </w:p>
        </w:tc>
      </w:tr>
      <w:tr w:rsidR="00BA7051" w:rsidRPr="007C488A" w14:paraId="714A77D2" w14:textId="77777777" w:rsidTr="007D1A1F">
        <w:trPr>
          <w:trHeight w:val="288"/>
        </w:trPr>
        <w:tc>
          <w:tcPr>
            <w:tcW w:w="646" w:type="pct"/>
            <w:vMerge/>
            <w:noWrap/>
            <w:hideMark/>
          </w:tcPr>
          <w:p w14:paraId="6E3F309F" w14:textId="6DFABCA4" w:rsidR="00BA7051" w:rsidRPr="007C488A" w:rsidRDefault="00BA7051" w:rsidP="003B6308">
            <w:pPr>
              <w:keepNext/>
              <w:spacing w:before="40" w:after="40"/>
              <w:rPr>
                <w:rFonts w:ascii="Arial Narrow" w:hAnsi="Arial Narrow"/>
                <w:sz w:val="20"/>
              </w:rPr>
            </w:pPr>
          </w:p>
        </w:tc>
        <w:tc>
          <w:tcPr>
            <w:tcW w:w="1900" w:type="pct"/>
            <w:noWrap/>
            <w:hideMark/>
          </w:tcPr>
          <w:p w14:paraId="0939373B"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Health State QALYs</w:t>
            </w:r>
          </w:p>
        </w:tc>
        <w:tc>
          <w:tcPr>
            <w:tcW w:w="832" w:type="pct"/>
            <w:noWrap/>
            <w:hideMark/>
          </w:tcPr>
          <w:p w14:paraId="73088276"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4.929</w:t>
            </w:r>
          </w:p>
        </w:tc>
        <w:tc>
          <w:tcPr>
            <w:tcW w:w="782" w:type="pct"/>
            <w:noWrap/>
            <w:hideMark/>
          </w:tcPr>
          <w:p w14:paraId="2881D344"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0.650</w:t>
            </w:r>
          </w:p>
        </w:tc>
        <w:tc>
          <w:tcPr>
            <w:tcW w:w="840" w:type="pct"/>
            <w:noWrap/>
            <w:hideMark/>
          </w:tcPr>
          <w:p w14:paraId="1792AED9"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4.279</w:t>
            </w:r>
          </w:p>
        </w:tc>
      </w:tr>
      <w:tr w:rsidR="00BA7051" w:rsidRPr="007C488A" w14:paraId="0EB208D2" w14:textId="77777777" w:rsidTr="007D1A1F">
        <w:trPr>
          <w:trHeight w:val="288"/>
        </w:trPr>
        <w:tc>
          <w:tcPr>
            <w:tcW w:w="646" w:type="pct"/>
            <w:vMerge w:val="restart"/>
            <w:noWrap/>
            <w:hideMark/>
          </w:tcPr>
          <w:p w14:paraId="50E3ADF2" w14:textId="115222A1" w:rsidR="00BA7051" w:rsidRPr="007C488A" w:rsidRDefault="008A0A11" w:rsidP="003B6308">
            <w:pPr>
              <w:keepNext/>
              <w:spacing w:before="40" w:after="40"/>
              <w:rPr>
                <w:rFonts w:ascii="Arial Narrow" w:hAnsi="Arial Narrow"/>
                <w:sz w:val="20"/>
              </w:rPr>
            </w:pPr>
            <w:r w:rsidRPr="007C488A">
              <w:rPr>
                <w:rFonts w:ascii="Arial Narrow" w:hAnsi="Arial Narrow"/>
                <w:sz w:val="20"/>
              </w:rPr>
              <w:t>Costs</w:t>
            </w:r>
          </w:p>
        </w:tc>
        <w:tc>
          <w:tcPr>
            <w:tcW w:w="1900" w:type="pct"/>
            <w:noWrap/>
            <w:hideMark/>
          </w:tcPr>
          <w:p w14:paraId="49950417" w14:textId="77777777" w:rsidR="00BA7051" w:rsidRPr="007C488A" w:rsidRDefault="00BA7051" w:rsidP="003B6308">
            <w:pPr>
              <w:keepNext/>
              <w:spacing w:before="40" w:after="40"/>
              <w:rPr>
                <w:rFonts w:ascii="Arial Narrow" w:hAnsi="Arial Narrow"/>
                <w:b/>
                <w:bCs/>
                <w:sz w:val="20"/>
              </w:rPr>
            </w:pPr>
            <w:r w:rsidRPr="007C488A">
              <w:rPr>
                <w:rFonts w:ascii="Arial Narrow" w:hAnsi="Arial Narrow"/>
                <w:b/>
                <w:bCs/>
                <w:sz w:val="20"/>
              </w:rPr>
              <w:t>Total Costs</w:t>
            </w:r>
          </w:p>
        </w:tc>
        <w:tc>
          <w:tcPr>
            <w:tcW w:w="832" w:type="pct"/>
            <w:noWrap/>
            <w:hideMark/>
          </w:tcPr>
          <w:p w14:paraId="74CAC4C3" w14:textId="41495E29"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w:t>
            </w:r>
            <w:r w:rsidR="00857682" w:rsidRPr="007C488A">
              <w:rPr>
                <w:rFonts w:ascii="Arial Narrow" w:hAnsi="Arial Narrow"/>
                <w:b/>
                <w:bCs/>
                <w:sz w:val="20"/>
              </w:rPr>
              <w:t>redacted</w:t>
            </w:r>
          </w:p>
        </w:tc>
        <w:tc>
          <w:tcPr>
            <w:tcW w:w="782" w:type="pct"/>
            <w:noWrap/>
            <w:hideMark/>
          </w:tcPr>
          <w:p w14:paraId="21EB67F3" w14:textId="77777777"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$104,925</w:t>
            </w:r>
          </w:p>
        </w:tc>
        <w:tc>
          <w:tcPr>
            <w:tcW w:w="840" w:type="pct"/>
            <w:noWrap/>
            <w:hideMark/>
          </w:tcPr>
          <w:p w14:paraId="5EFF9989" w14:textId="60767A9D"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w:t>
            </w:r>
            <w:r w:rsidR="00857682" w:rsidRPr="007C488A">
              <w:rPr>
                <w:rFonts w:ascii="Arial Narrow" w:hAnsi="Arial Narrow"/>
                <w:b/>
                <w:bCs/>
                <w:sz w:val="20"/>
              </w:rPr>
              <w:t>redacted</w:t>
            </w:r>
          </w:p>
        </w:tc>
      </w:tr>
      <w:tr w:rsidR="00BA7051" w:rsidRPr="007C488A" w14:paraId="6597ACE7" w14:textId="77777777" w:rsidTr="007D1A1F">
        <w:trPr>
          <w:trHeight w:val="288"/>
        </w:trPr>
        <w:tc>
          <w:tcPr>
            <w:tcW w:w="646" w:type="pct"/>
            <w:vMerge/>
            <w:noWrap/>
            <w:hideMark/>
          </w:tcPr>
          <w:p w14:paraId="5F0910EA" w14:textId="1FE2EA04" w:rsidR="00BA7051" w:rsidRPr="007C488A" w:rsidRDefault="00BA7051" w:rsidP="003B6308">
            <w:pPr>
              <w:keepNext/>
              <w:spacing w:before="40" w:after="40"/>
              <w:rPr>
                <w:rFonts w:ascii="Arial Narrow" w:hAnsi="Arial Narrow"/>
                <w:sz w:val="20"/>
              </w:rPr>
            </w:pPr>
          </w:p>
        </w:tc>
        <w:tc>
          <w:tcPr>
            <w:tcW w:w="1900" w:type="pct"/>
            <w:noWrap/>
            <w:hideMark/>
          </w:tcPr>
          <w:p w14:paraId="79DADCC9"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Pre-Implant procedural costs</w:t>
            </w:r>
          </w:p>
        </w:tc>
        <w:tc>
          <w:tcPr>
            <w:tcW w:w="832" w:type="pct"/>
            <w:noWrap/>
            <w:hideMark/>
          </w:tcPr>
          <w:p w14:paraId="5C550DEB"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$21,997</w:t>
            </w:r>
          </w:p>
        </w:tc>
        <w:tc>
          <w:tcPr>
            <w:tcW w:w="782" w:type="pct"/>
            <w:noWrap/>
            <w:hideMark/>
          </w:tcPr>
          <w:p w14:paraId="4603D6CC"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c>
          <w:tcPr>
            <w:tcW w:w="840" w:type="pct"/>
            <w:noWrap/>
            <w:hideMark/>
          </w:tcPr>
          <w:p w14:paraId="1C543591"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$21,997</w:t>
            </w:r>
          </w:p>
        </w:tc>
      </w:tr>
      <w:tr w:rsidR="00BA7051" w:rsidRPr="007C488A" w14:paraId="7CC74E6B" w14:textId="77777777" w:rsidTr="007D1A1F">
        <w:trPr>
          <w:trHeight w:val="288"/>
        </w:trPr>
        <w:tc>
          <w:tcPr>
            <w:tcW w:w="646" w:type="pct"/>
            <w:vMerge/>
            <w:noWrap/>
            <w:hideMark/>
          </w:tcPr>
          <w:p w14:paraId="06D100B9" w14:textId="3117FA09" w:rsidR="00BA7051" w:rsidRPr="007C488A" w:rsidRDefault="00BA7051" w:rsidP="003B6308">
            <w:pPr>
              <w:keepNext/>
              <w:spacing w:before="40" w:after="40"/>
              <w:rPr>
                <w:rFonts w:ascii="Arial Narrow" w:hAnsi="Arial Narrow"/>
                <w:sz w:val="20"/>
              </w:rPr>
            </w:pPr>
          </w:p>
        </w:tc>
        <w:tc>
          <w:tcPr>
            <w:tcW w:w="1900" w:type="pct"/>
            <w:noWrap/>
            <w:hideMark/>
          </w:tcPr>
          <w:p w14:paraId="1B1574C7"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LVAD procedural costs</w:t>
            </w:r>
          </w:p>
        </w:tc>
        <w:tc>
          <w:tcPr>
            <w:tcW w:w="832" w:type="pct"/>
            <w:noWrap/>
            <w:hideMark/>
          </w:tcPr>
          <w:p w14:paraId="212DB948" w14:textId="4439BFC2" w:rsidR="00BA7051" w:rsidRPr="007C488A" w:rsidRDefault="00BA7051" w:rsidP="003B6308">
            <w:pPr>
              <w:keepNext/>
              <w:spacing w:before="40" w:after="40"/>
              <w:rPr>
                <w:rFonts w:ascii="Arial Narrow" w:hAnsi="Arial Narrow"/>
                <w:sz w:val="20"/>
              </w:rPr>
            </w:pPr>
            <w:r w:rsidRPr="007C488A">
              <w:rPr>
                <w:rFonts w:ascii="Arial Narrow" w:hAnsi="Arial Narrow"/>
                <w:sz w:val="20"/>
              </w:rPr>
              <w:t>$</w:t>
            </w:r>
            <w:r w:rsidR="00857682" w:rsidRPr="007C488A">
              <w:rPr>
                <w:rFonts w:ascii="Arial Narrow" w:hAnsi="Arial Narrow"/>
                <w:b/>
                <w:bCs/>
                <w:sz w:val="20"/>
              </w:rPr>
              <w:t>redacted</w:t>
            </w:r>
          </w:p>
        </w:tc>
        <w:tc>
          <w:tcPr>
            <w:tcW w:w="782" w:type="pct"/>
            <w:noWrap/>
            <w:hideMark/>
          </w:tcPr>
          <w:p w14:paraId="7229C177"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$85</w:t>
            </w:r>
          </w:p>
        </w:tc>
        <w:tc>
          <w:tcPr>
            <w:tcW w:w="840" w:type="pct"/>
            <w:noWrap/>
            <w:hideMark/>
          </w:tcPr>
          <w:p w14:paraId="46EFE8EB" w14:textId="5C9B2F2C" w:rsidR="00BA7051" w:rsidRPr="007C488A" w:rsidRDefault="00BA7051" w:rsidP="003B6308">
            <w:pPr>
              <w:keepNext/>
              <w:spacing w:before="40" w:after="40"/>
              <w:rPr>
                <w:rFonts w:ascii="Arial Narrow" w:hAnsi="Arial Narrow"/>
                <w:sz w:val="20"/>
              </w:rPr>
            </w:pPr>
            <w:r w:rsidRPr="007C488A">
              <w:rPr>
                <w:rFonts w:ascii="Arial Narrow" w:hAnsi="Arial Narrow"/>
                <w:sz w:val="20"/>
              </w:rPr>
              <w:t>$</w:t>
            </w:r>
            <w:r w:rsidR="00857682" w:rsidRPr="007C488A">
              <w:rPr>
                <w:rFonts w:ascii="Arial Narrow" w:hAnsi="Arial Narrow"/>
                <w:b/>
                <w:bCs/>
                <w:sz w:val="20"/>
              </w:rPr>
              <w:t>redacted</w:t>
            </w:r>
          </w:p>
        </w:tc>
      </w:tr>
      <w:tr w:rsidR="00BA7051" w:rsidRPr="007C488A" w14:paraId="066A3705" w14:textId="77777777" w:rsidTr="007D1A1F">
        <w:trPr>
          <w:trHeight w:val="288"/>
        </w:trPr>
        <w:tc>
          <w:tcPr>
            <w:tcW w:w="646" w:type="pct"/>
            <w:vMerge/>
            <w:noWrap/>
            <w:hideMark/>
          </w:tcPr>
          <w:p w14:paraId="051850EA" w14:textId="2A019E6B" w:rsidR="00BA7051" w:rsidRPr="007C488A" w:rsidRDefault="00BA7051" w:rsidP="003B6308">
            <w:pPr>
              <w:keepNext/>
              <w:spacing w:before="40" w:after="40"/>
              <w:rPr>
                <w:rFonts w:ascii="Arial Narrow" w:hAnsi="Arial Narrow"/>
                <w:sz w:val="20"/>
              </w:rPr>
            </w:pPr>
          </w:p>
        </w:tc>
        <w:tc>
          <w:tcPr>
            <w:tcW w:w="1900" w:type="pct"/>
            <w:noWrap/>
            <w:hideMark/>
          </w:tcPr>
          <w:p w14:paraId="10E4E62B" w14:textId="77777777" w:rsidR="00BA7051" w:rsidRPr="007C488A" w:rsidRDefault="00BA7051" w:rsidP="003B6308">
            <w:pPr>
              <w:keepNext/>
              <w:spacing w:before="40" w:after="40"/>
              <w:ind w:left="173"/>
              <w:rPr>
                <w:rFonts w:ascii="Arial Narrow" w:hAnsi="Arial Narrow"/>
                <w:sz w:val="20"/>
              </w:rPr>
            </w:pPr>
            <w:r w:rsidRPr="007C488A">
              <w:rPr>
                <w:rFonts w:ascii="Arial Narrow" w:hAnsi="Arial Narrow"/>
                <w:sz w:val="20"/>
              </w:rPr>
              <w:t>Device Costs</w:t>
            </w:r>
          </w:p>
        </w:tc>
        <w:tc>
          <w:tcPr>
            <w:tcW w:w="832" w:type="pct"/>
            <w:noWrap/>
            <w:hideMark/>
          </w:tcPr>
          <w:p w14:paraId="385ECC33" w14:textId="11C98364" w:rsidR="00BA7051" w:rsidRPr="007C488A" w:rsidRDefault="00BA7051" w:rsidP="003B6308">
            <w:pPr>
              <w:keepNext/>
              <w:spacing w:before="40" w:after="40"/>
              <w:rPr>
                <w:rFonts w:ascii="Arial Narrow" w:hAnsi="Arial Narrow"/>
                <w:sz w:val="20"/>
              </w:rPr>
            </w:pPr>
            <w:r w:rsidRPr="007C488A">
              <w:rPr>
                <w:rFonts w:ascii="Arial Narrow" w:hAnsi="Arial Narrow"/>
                <w:sz w:val="20"/>
              </w:rPr>
              <w:t>$</w:t>
            </w:r>
            <w:r w:rsidR="00857682" w:rsidRPr="007C488A">
              <w:rPr>
                <w:rFonts w:ascii="Arial Narrow" w:hAnsi="Arial Narrow"/>
                <w:b/>
                <w:bCs/>
                <w:sz w:val="20"/>
              </w:rPr>
              <w:t>redacted</w:t>
            </w:r>
            <w:r w:rsidR="00857682" w:rsidRPr="007C488A" w:rsidDel="00857682">
              <w:rPr>
                <w:rFonts w:ascii="Arial Narrow" w:hAnsi="Arial Narrow"/>
                <w:sz w:val="20"/>
              </w:rPr>
              <w:t xml:space="preserve"> </w:t>
            </w:r>
          </w:p>
        </w:tc>
        <w:tc>
          <w:tcPr>
            <w:tcW w:w="782" w:type="pct"/>
            <w:noWrap/>
            <w:hideMark/>
          </w:tcPr>
          <w:p w14:paraId="27CC8C6E"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c>
          <w:tcPr>
            <w:tcW w:w="840" w:type="pct"/>
            <w:noWrap/>
            <w:hideMark/>
          </w:tcPr>
          <w:p w14:paraId="6D3431DF" w14:textId="1BFAD897" w:rsidR="00BA7051" w:rsidRPr="007C488A" w:rsidRDefault="00BA7051" w:rsidP="003B6308">
            <w:pPr>
              <w:keepNext/>
              <w:spacing w:before="40" w:after="40"/>
              <w:rPr>
                <w:rFonts w:ascii="Arial Narrow" w:hAnsi="Arial Narrow"/>
                <w:sz w:val="20"/>
              </w:rPr>
            </w:pPr>
            <w:r w:rsidRPr="007C488A">
              <w:rPr>
                <w:rFonts w:ascii="Arial Narrow" w:hAnsi="Arial Narrow"/>
                <w:sz w:val="20"/>
              </w:rPr>
              <w:t>$</w:t>
            </w:r>
            <w:r w:rsidR="00857682" w:rsidRPr="007C488A">
              <w:rPr>
                <w:rFonts w:ascii="Arial Narrow" w:hAnsi="Arial Narrow"/>
                <w:b/>
                <w:bCs/>
                <w:sz w:val="20"/>
              </w:rPr>
              <w:t>redacted</w:t>
            </w:r>
          </w:p>
        </w:tc>
      </w:tr>
      <w:tr w:rsidR="00BA7051" w:rsidRPr="007C488A" w14:paraId="398C7621" w14:textId="77777777" w:rsidTr="007D1A1F">
        <w:trPr>
          <w:trHeight w:val="288"/>
        </w:trPr>
        <w:tc>
          <w:tcPr>
            <w:tcW w:w="646" w:type="pct"/>
            <w:vMerge/>
            <w:noWrap/>
            <w:hideMark/>
          </w:tcPr>
          <w:p w14:paraId="33CD69CC" w14:textId="52C0C6CC" w:rsidR="00BA7051" w:rsidRPr="007C488A" w:rsidRDefault="00BA7051" w:rsidP="003B6308">
            <w:pPr>
              <w:keepNext/>
              <w:spacing w:before="40" w:after="40"/>
              <w:rPr>
                <w:rFonts w:ascii="Arial Narrow" w:hAnsi="Arial Narrow"/>
                <w:sz w:val="20"/>
              </w:rPr>
            </w:pPr>
          </w:p>
        </w:tc>
        <w:tc>
          <w:tcPr>
            <w:tcW w:w="1900" w:type="pct"/>
            <w:noWrap/>
            <w:hideMark/>
          </w:tcPr>
          <w:p w14:paraId="6A608CAD" w14:textId="77777777" w:rsidR="00BA7051" w:rsidRPr="007C488A" w:rsidRDefault="00BA7051" w:rsidP="003B6308">
            <w:pPr>
              <w:keepNext/>
              <w:spacing w:before="40" w:after="40"/>
              <w:ind w:left="173"/>
              <w:rPr>
                <w:rFonts w:ascii="Arial Narrow" w:hAnsi="Arial Narrow"/>
                <w:sz w:val="20"/>
              </w:rPr>
            </w:pPr>
            <w:r w:rsidRPr="007C488A">
              <w:rPr>
                <w:rFonts w:ascii="Arial Narrow" w:hAnsi="Arial Narrow"/>
                <w:sz w:val="20"/>
              </w:rPr>
              <w:t>Implant and post implant procedural costs</w:t>
            </w:r>
          </w:p>
        </w:tc>
        <w:tc>
          <w:tcPr>
            <w:tcW w:w="832" w:type="pct"/>
            <w:noWrap/>
            <w:hideMark/>
          </w:tcPr>
          <w:p w14:paraId="1501B353"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$75,010</w:t>
            </w:r>
          </w:p>
        </w:tc>
        <w:tc>
          <w:tcPr>
            <w:tcW w:w="782" w:type="pct"/>
            <w:noWrap/>
            <w:hideMark/>
          </w:tcPr>
          <w:p w14:paraId="7D492EE5"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c>
          <w:tcPr>
            <w:tcW w:w="840" w:type="pct"/>
            <w:noWrap/>
            <w:hideMark/>
          </w:tcPr>
          <w:p w14:paraId="7B990CC9"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$75,010</w:t>
            </w:r>
          </w:p>
        </w:tc>
      </w:tr>
      <w:tr w:rsidR="00BA7051" w:rsidRPr="007C488A" w14:paraId="6470117E" w14:textId="77777777" w:rsidTr="007D1A1F">
        <w:trPr>
          <w:trHeight w:val="288"/>
        </w:trPr>
        <w:tc>
          <w:tcPr>
            <w:tcW w:w="646" w:type="pct"/>
            <w:vMerge/>
            <w:noWrap/>
            <w:hideMark/>
          </w:tcPr>
          <w:p w14:paraId="5C9C943F" w14:textId="5F3E603F" w:rsidR="00BA7051" w:rsidRPr="007C488A" w:rsidRDefault="00BA7051" w:rsidP="003B6308">
            <w:pPr>
              <w:keepNext/>
              <w:spacing w:before="40" w:after="40"/>
              <w:rPr>
                <w:rFonts w:ascii="Arial Narrow" w:hAnsi="Arial Narrow"/>
                <w:sz w:val="20"/>
              </w:rPr>
            </w:pPr>
          </w:p>
        </w:tc>
        <w:tc>
          <w:tcPr>
            <w:tcW w:w="1900" w:type="pct"/>
            <w:noWrap/>
            <w:hideMark/>
          </w:tcPr>
          <w:p w14:paraId="7DF020EE"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Ongoing management</w:t>
            </w:r>
          </w:p>
        </w:tc>
        <w:tc>
          <w:tcPr>
            <w:tcW w:w="832" w:type="pct"/>
            <w:noWrap/>
            <w:hideMark/>
          </w:tcPr>
          <w:p w14:paraId="002C47D2"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$10,751</w:t>
            </w:r>
          </w:p>
        </w:tc>
        <w:tc>
          <w:tcPr>
            <w:tcW w:w="782" w:type="pct"/>
            <w:noWrap/>
            <w:hideMark/>
          </w:tcPr>
          <w:p w14:paraId="3DCBF26B"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$2,485</w:t>
            </w:r>
          </w:p>
        </w:tc>
        <w:tc>
          <w:tcPr>
            <w:tcW w:w="840" w:type="pct"/>
            <w:noWrap/>
            <w:hideMark/>
          </w:tcPr>
          <w:p w14:paraId="541FD660"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$8,266</w:t>
            </w:r>
          </w:p>
        </w:tc>
      </w:tr>
      <w:tr w:rsidR="00BA7051" w:rsidRPr="007C488A" w14:paraId="343142F1" w14:textId="77777777" w:rsidTr="007D1A1F">
        <w:trPr>
          <w:trHeight w:val="288"/>
        </w:trPr>
        <w:tc>
          <w:tcPr>
            <w:tcW w:w="646" w:type="pct"/>
            <w:vMerge/>
            <w:noWrap/>
            <w:hideMark/>
          </w:tcPr>
          <w:p w14:paraId="3A5BE8D7" w14:textId="1D928C1A" w:rsidR="00BA7051" w:rsidRPr="007C488A" w:rsidRDefault="00BA7051" w:rsidP="003B6308">
            <w:pPr>
              <w:keepNext/>
              <w:spacing w:before="40" w:after="40"/>
              <w:rPr>
                <w:rFonts w:ascii="Arial Narrow" w:hAnsi="Arial Narrow"/>
                <w:sz w:val="20"/>
              </w:rPr>
            </w:pPr>
          </w:p>
        </w:tc>
        <w:tc>
          <w:tcPr>
            <w:tcW w:w="1900" w:type="pct"/>
            <w:noWrap/>
            <w:hideMark/>
          </w:tcPr>
          <w:p w14:paraId="73004051"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Device related event costs</w:t>
            </w:r>
          </w:p>
        </w:tc>
        <w:tc>
          <w:tcPr>
            <w:tcW w:w="832" w:type="pct"/>
            <w:noWrap/>
            <w:hideMark/>
          </w:tcPr>
          <w:p w14:paraId="6BB056D0" w14:textId="0CD9AE17" w:rsidR="00BA7051" w:rsidRPr="007C488A" w:rsidRDefault="00BA7051" w:rsidP="003B6308">
            <w:pPr>
              <w:keepNext/>
              <w:spacing w:before="40" w:after="40"/>
              <w:rPr>
                <w:rFonts w:ascii="Arial Narrow" w:hAnsi="Arial Narrow"/>
                <w:sz w:val="20"/>
              </w:rPr>
            </w:pPr>
            <w:r w:rsidRPr="007C488A">
              <w:rPr>
                <w:rFonts w:ascii="Arial Narrow" w:hAnsi="Arial Narrow"/>
                <w:sz w:val="20"/>
              </w:rPr>
              <w:t>$</w:t>
            </w:r>
            <w:r w:rsidR="001A0DF1" w:rsidRPr="007C488A">
              <w:rPr>
                <w:rFonts w:ascii="Arial Narrow" w:hAnsi="Arial Narrow"/>
                <w:b/>
                <w:bCs/>
                <w:sz w:val="20"/>
              </w:rPr>
              <w:t>redacted</w:t>
            </w:r>
            <w:r w:rsidR="001A0DF1" w:rsidRPr="007C488A" w:rsidDel="001A0DF1">
              <w:rPr>
                <w:rFonts w:ascii="Arial Narrow" w:hAnsi="Arial Narrow"/>
                <w:sz w:val="20"/>
              </w:rPr>
              <w:t xml:space="preserve"> </w:t>
            </w:r>
          </w:p>
        </w:tc>
        <w:tc>
          <w:tcPr>
            <w:tcW w:w="782" w:type="pct"/>
            <w:noWrap/>
            <w:hideMark/>
          </w:tcPr>
          <w:p w14:paraId="66FF5F46"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c>
          <w:tcPr>
            <w:tcW w:w="840" w:type="pct"/>
            <w:noWrap/>
            <w:hideMark/>
          </w:tcPr>
          <w:p w14:paraId="6DF6E80E" w14:textId="39F3C849" w:rsidR="00BA7051" w:rsidRPr="007C488A" w:rsidRDefault="00BA7051" w:rsidP="003B6308">
            <w:pPr>
              <w:keepNext/>
              <w:spacing w:before="40" w:after="40"/>
              <w:rPr>
                <w:rFonts w:ascii="Arial Narrow" w:hAnsi="Arial Narrow"/>
                <w:sz w:val="20"/>
              </w:rPr>
            </w:pPr>
            <w:r w:rsidRPr="007C488A">
              <w:rPr>
                <w:rFonts w:ascii="Arial Narrow" w:hAnsi="Arial Narrow"/>
                <w:sz w:val="20"/>
              </w:rPr>
              <w:t>$</w:t>
            </w:r>
            <w:r w:rsidR="001A0DF1" w:rsidRPr="007C488A">
              <w:rPr>
                <w:rFonts w:ascii="Arial Narrow" w:hAnsi="Arial Narrow"/>
                <w:b/>
                <w:bCs/>
                <w:sz w:val="20"/>
              </w:rPr>
              <w:t>redacted</w:t>
            </w:r>
            <w:r w:rsidR="001A0DF1" w:rsidRPr="007C488A" w:rsidDel="001A0DF1">
              <w:rPr>
                <w:rFonts w:ascii="Arial Narrow" w:hAnsi="Arial Narrow"/>
                <w:sz w:val="20"/>
              </w:rPr>
              <w:t xml:space="preserve"> </w:t>
            </w:r>
          </w:p>
        </w:tc>
      </w:tr>
      <w:tr w:rsidR="00BA7051" w:rsidRPr="007C488A" w14:paraId="401C2FBB" w14:textId="77777777" w:rsidTr="007D1A1F">
        <w:trPr>
          <w:trHeight w:val="288"/>
        </w:trPr>
        <w:tc>
          <w:tcPr>
            <w:tcW w:w="646" w:type="pct"/>
            <w:vMerge/>
            <w:noWrap/>
            <w:hideMark/>
          </w:tcPr>
          <w:p w14:paraId="60E1FA14" w14:textId="6276BE3F" w:rsidR="00BA7051" w:rsidRPr="007C488A" w:rsidRDefault="00BA7051" w:rsidP="003B6308">
            <w:pPr>
              <w:keepNext/>
              <w:spacing w:before="40" w:after="40"/>
              <w:rPr>
                <w:rFonts w:ascii="Arial Narrow" w:hAnsi="Arial Narrow"/>
                <w:sz w:val="20"/>
              </w:rPr>
            </w:pPr>
          </w:p>
        </w:tc>
        <w:tc>
          <w:tcPr>
            <w:tcW w:w="1900" w:type="pct"/>
            <w:noWrap/>
            <w:hideMark/>
          </w:tcPr>
          <w:p w14:paraId="5843CBFF"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Disease related event costs</w:t>
            </w:r>
          </w:p>
        </w:tc>
        <w:tc>
          <w:tcPr>
            <w:tcW w:w="832" w:type="pct"/>
            <w:noWrap/>
            <w:hideMark/>
          </w:tcPr>
          <w:p w14:paraId="3BF5E3B5"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$37,608</w:t>
            </w:r>
          </w:p>
        </w:tc>
        <w:tc>
          <w:tcPr>
            <w:tcW w:w="782" w:type="pct"/>
            <w:noWrap/>
            <w:hideMark/>
          </w:tcPr>
          <w:p w14:paraId="632D6A13"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$102,356</w:t>
            </w:r>
          </w:p>
        </w:tc>
        <w:tc>
          <w:tcPr>
            <w:tcW w:w="840" w:type="pct"/>
            <w:noWrap/>
            <w:hideMark/>
          </w:tcPr>
          <w:p w14:paraId="604B3424"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-$64,748</w:t>
            </w:r>
          </w:p>
        </w:tc>
      </w:tr>
      <w:tr w:rsidR="00BA7051" w:rsidRPr="007C488A" w14:paraId="69E4BB9B" w14:textId="77777777" w:rsidTr="007D1A1F">
        <w:trPr>
          <w:trHeight w:val="288"/>
        </w:trPr>
        <w:tc>
          <w:tcPr>
            <w:tcW w:w="646" w:type="pct"/>
            <w:vMerge/>
            <w:noWrap/>
            <w:hideMark/>
          </w:tcPr>
          <w:p w14:paraId="145FECEE" w14:textId="53B768A3" w:rsidR="00BA7051" w:rsidRPr="007C488A" w:rsidRDefault="00BA7051" w:rsidP="003B6308">
            <w:pPr>
              <w:keepNext/>
              <w:spacing w:before="40" w:after="40"/>
              <w:rPr>
                <w:rFonts w:ascii="Arial Narrow" w:hAnsi="Arial Narrow"/>
                <w:sz w:val="20"/>
              </w:rPr>
            </w:pPr>
          </w:p>
        </w:tc>
        <w:tc>
          <w:tcPr>
            <w:tcW w:w="1900" w:type="pct"/>
            <w:noWrap/>
            <w:hideMark/>
          </w:tcPr>
          <w:p w14:paraId="3F1131B0"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Transplant Costs</w:t>
            </w:r>
          </w:p>
        </w:tc>
        <w:tc>
          <w:tcPr>
            <w:tcW w:w="832" w:type="pct"/>
            <w:noWrap/>
            <w:hideMark/>
          </w:tcPr>
          <w:p w14:paraId="11AC14DE"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c>
          <w:tcPr>
            <w:tcW w:w="782" w:type="pct"/>
            <w:noWrap/>
            <w:hideMark/>
          </w:tcPr>
          <w:p w14:paraId="11A939A8"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c>
          <w:tcPr>
            <w:tcW w:w="840" w:type="pct"/>
            <w:noWrap/>
            <w:hideMark/>
          </w:tcPr>
          <w:p w14:paraId="24158D91" w14:textId="77777777" w:rsidR="00BA7051" w:rsidRPr="007C488A" w:rsidRDefault="00BA7051" w:rsidP="003B6308">
            <w:pPr>
              <w:keepNext/>
              <w:spacing w:before="40" w:after="40"/>
              <w:rPr>
                <w:rFonts w:ascii="Arial Narrow" w:hAnsi="Arial Narrow"/>
                <w:sz w:val="20"/>
              </w:rPr>
            </w:pPr>
            <w:r w:rsidRPr="007C488A">
              <w:rPr>
                <w:rFonts w:ascii="Arial Narrow" w:hAnsi="Arial Narrow"/>
                <w:sz w:val="20"/>
              </w:rPr>
              <w:t>$0</w:t>
            </w:r>
          </w:p>
        </w:tc>
      </w:tr>
      <w:tr w:rsidR="00BA7051" w:rsidRPr="007C488A" w14:paraId="775AF538" w14:textId="77777777" w:rsidTr="007D1A1F">
        <w:trPr>
          <w:trHeight w:val="288"/>
        </w:trPr>
        <w:tc>
          <w:tcPr>
            <w:tcW w:w="4160" w:type="pct"/>
            <w:gridSpan w:val="4"/>
            <w:noWrap/>
            <w:hideMark/>
          </w:tcPr>
          <w:p w14:paraId="45272246" w14:textId="54012E07" w:rsidR="00BA7051" w:rsidRPr="007C488A" w:rsidRDefault="00BA7051" w:rsidP="003B6308">
            <w:pPr>
              <w:keepNext/>
              <w:spacing w:before="40" w:after="40"/>
              <w:rPr>
                <w:rFonts w:ascii="Arial Narrow" w:hAnsi="Arial Narrow"/>
                <w:b/>
                <w:bCs/>
                <w:sz w:val="20"/>
              </w:rPr>
            </w:pPr>
            <w:r w:rsidRPr="007C488A">
              <w:rPr>
                <w:rFonts w:ascii="Arial Narrow" w:hAnsi="Arial Narrow"/>
                <w:b/>
                <w:bCs/>
                <w:sz w:val="20"/>
              </w:rPr>
              <w:t>IC/LY</w:t>
            </w:r>
          </w:p>
        </w:tc>
        <w:tc>
          <w:tcPr>
            <w:tcW w:w="840" w:type="pct"/>
            <w:noWrap/>
            <w:hideMark/>
          </w:tcPr>
          <w:p w14:paraId="095AB192" w14:textId="3FFE49EF"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w:t>
            </w:r>
            <w:r w:rsidR="00857682" w:rsidRPr="007C488A">
              <w:rPr>
                <w:rFonts w:ascii="Arial Narrow" w:hAnsi="Arial Narrow"/>
                <w:b/>
                <w:bCs/>
                <w:sz w:val="20"/>
              </w:rPr>
              <w:t>redacted</w:t>
            </w:r>
          </w:p>
        </w:tc>
      </w:tr>
      <w:tr w:rsidR="00BA7051" w:rsidRPr="007C488A" w14:paraId="00C0DE56" w14:textId="77777777" w:rsidTr="007D1A1F">
        <w:trPr>
          <w:trHeight w:val="288"/>
        </w:trPr>
        <w:tc>
          <w:tcPr>
            <w:tcW w:w="4160" w:type="pct"/>
            <w:gridSpan w:val="4"/>
            <w:shd w:val="clear" w:color="auto" w:fill="auto"/>
            <w:noWrap/>
            <w:hideMark/>
          </w:tcPr>
          <w:p w14:paraId="32491346" w14:textId="241B39B1" w:rsidR="00BA7051" w:rsidRPr="007C488A" w:rsidRDefault="00BA7051" w:rsidP="003B6308">
            <w:pPr>
              <w:keepNext/>
              <w:spacing w:before="40" w:after="40"/>
              <w:rPr>
                <w:rFonts w:ascii="Arial Narrow" w:hAnsi="Arial Narrow"/>
                <w:b/>
                <w:bCs/>
                <w:sz w:val="20"/>
              </w:rPr>
            </w:pPr>
            <w:r w:rsidRPr="007C488A">
              <w:rPr>
                <w:rFonts w:ascii="Arial Narrow" w:hAnsi="Arial Narrow"/>
                <w:b/>
                <w:bCs/>
                <w:sz w:val="20"/>
              </w:rPr>
              <w:t>IC/QALY</w:t>
            </w:r>
          </w:p>
        </w:tc>
        <w:tc>
          <w:tcPr>
            <w:tcW w:w="840" w:type="pct"/>
            <w:shd w:val="clear" w:color="auto" w:fill="auto"/>
            <w:noWrap/>
            <w:hideMark/>
          </w:tcPr>
          <w:p w14:paraId="387522B2" w14:textId="6128EEBD" w:rsidR="00BA7051" w:rsidRPr="007C488A" w:rsidRDefault="00BA7051" w:rsidP="003B6308">
            <w:pPr>
              <w:keepNext/>
              <w:spacing w:before="40" w:after="40"/>
              <w:rPr>
                <w:rFonts w:ascii="Arial Narrow" w:hAnsi="Arial Narrow"/>
                <w:b/>
                <w:bCs/>
                <w:sz w:val="20"/>
              </w:rPr>
            </w:pPr>
            <w:r w:rsidRPr="007C488A">
              <w:rPr>
                <w:rFonts w:ascii="Arial Narrow" w:hAnsi="Arial Narrow"/>
                <w:sz w:val="20"/>
              </w:rPr>
              <w:t>$</w:t>
            </w:r>
            <w:r w:rsidR="00857682" w:rsidRPr="007C488A">
              <w:rPr>
                <w:rFonts w:ascii="Arial Narrow" w:hAnsi="Arial Narrow"/>
                <w:b/>
                <w:bCs/>
                <w:sz w:val="20"/>
              </w:rPr>
              <w:t>redacted</w:t>
            </w:r>
          </w:p>
        </w:tc>
      </w:tr>
    </w:tbl>
    <w:p w14:paraId="7F2598B5" w14:textId="75FCB318" w:rsidR="003B6308" w:rsidRPr="007C488A" w:rsidRDefault="003B6308" w:rsidP="003B6308">
      <w:pPr>
        <w:pStyle w:val="Tablenotes0"/>
        <w:rPr>
          <w:snapToGrid w:val="0"/>
        </w:rPr>
      </w:pPr>
      <w:r w:rsidRPr="007C488A">
        <w:rPr>
          <w:snapToGrid w:val="0"/>
        </w:rPr>
        <w:t>Source: Table 75, p2</w:t>
      </w:r>
      <w:r w:rsidR="007E48E2" w:rsidRPr="007C488A">
        <w:rPr>
          <w:snapToGrid w:val="0"/>
        </w:rPr>
        <w:t>43</w:t>
      </w:r>
      <w:r w:rsidRPr="007C488A">
        <w:rPr>
          <w:snapToGrid w:val="0"/>
        </w:rPr>
        <w:t xml:space="preserve"> of MSAC 1749 ADAR+ in-line commentary</w:t>
      </w:r>
    </w:p>
    <w:p w14:paraId="60604C91" w14:textId="54B0E1B2" w:rsidR="003B6308" w:rsidRPr="007C488A" w:rsidRDefault="003B6308" w:rsidP="003B6308">
      <w:pPr>
        <w:pStyle w:val="Tablenotes0"/>
        <w:rPr>
          <w:snapToGrid w:val="0"/>
        </w:rPr>
      </w:pPr>
      <w:r w:rsidRPr="007C488A">
        <w:rPr>
          <w:snapToGrid w:val="0"/>
        </w:rPr>
        <w:t>Abbreviations:</w:t>
      </w:r>
      <w:r w:rsidRPr="007C488A">
        <w:rPr>
          <w:rFonts w:eastAsia="Times New Roman"/>
          <w:snapToGrid w:val="0"/>
        </w:rPr>
        <w:t xml:space="preserve"> </w:t>
      </w:r>
      <w:r w:rsidR="007E48E2" w:rsidRPr="007C488A">
        <w:rPr>
          <w:rFonts w:eastAsia="Times New Roman"/>
          <w:snapToGrid w:val="0"/>
        </w:rPr>
        <w:t xml:space="preserve">IC=incremental cost; </w:t>
      </w:r>
      <w:r w:rsidRPr="007C488A">
        <w:rPr>
          <w:rFonts w:eastAsia="Times New Roman"/>
          <w:snapToGrid w:val="0"/>
        </w:rPr>
        <w:t xml:space="preserve">LY=life years; </w:t>
      </w:r>
      <w:r w:rsidRPr="007C488A">
        <w:rPr>
          <w:snapToGrid w:val="0"/>
        </w:rPr>
        <w:t xml:space="preserve">LVAD = left ventricular assist device; OMM = optimal medical management; QALY = quality adjusted life year. </w:t>
      </w:r>
    </w:p>
    <w:p w14:paraId="1D730B56" w14:textId="629797C4" w:rsidR="00EB2081" w:rsidRPr="007C488A" w:rsidRDefault="00EB2081" w:rsidP="00EB2081">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66" w:name="_Toc69491426"/>
      <w:bookmarkEnd w:id="60"/>
      <w:r w:rsidRPr="007C488A">
        <w:rPr>
          <w:rFonts w:ascii="Franklin Gothic Medium" w:eastAsiaTheme="majorEastAsia" w:hAnsi="Franklin Gothic Medium" w:cstheme="majorBidi"/>
          <w:color w:val="000000" w:themeColor="text1"/>
          <w:sz w:val="32"/>
          <w:szCs w:val="26"/>
        </w:rPr>
        <w:t>1</w:t>
      </w:r>
      <w:r w:rsidR="00D92D23" w:rsidRPr="007C488A">
        <w:rPr>
          <w:rFonts w:ascii="Franklin Gothic Medium" w:eastAsiaTheme="majorEastAsia" w:hAnsi="Franklin Gothic Medium" w:cstheme="majorBidi"/>
          <w:color w:val="000000" w:themeColor="text1"/>
          <w:sz w:val="32"/>
          <w:szCs w:val="26"/>
        </w:rPr>
        <w:t>4</w:t>
      </w:r>
      <w:r w:rsidRPr="007C488A">
        <w:rPr>
          <w:rFonts w:ascii="Franklin Gothic Medium" w:eastAsiaTheme="majorEastAsia" w:hAnsi="Franklin Gothic Medium" w:cstheme="majorBidi"/>
          <w:color w:val="000000" w:themeColor="text1"/>
          <w:sz w:val="32"/>
          <w:szCs w:val="26"/>
        </w:rPr>
        <w:t>.</w:t>
      </w:r>
      <w:r w:rsidRPr="007C488A">
        <w:rPr>
          <w:rFonts w:ascii="Franklin Gothic Medium" w:eastAsiaTheme="majorEastAsia" w:hAnsi="Franklin Gothic Medium" w:cstheme="majorBidi"/>
          <w:color w:val="000000" w:themeColor="text1"/>
          <w:sz w:val="32"/>
          <w:szCs w:val="26"/>
        </w:rPr>
        <w:tab/>
        <w:t>Financial/budgetary impacts</w:t>
      </w:r>
      <w:bookmarkEnd w:id="66"/>
    </w:p>
    <w:p w14:paraId="71296AE2" w14:textId="12CD421C" w:rsidR="00405E75" w:rsidRPr="007C488A" w:rsidRDefault="000710A4" w:rsidP="00405E75">
      <w:pPr>
        <w:jc w:val="both"/>
      </w:pPr>
      <w:r w:rsidRPr="007C488A">
        <w:rPr>
          <w:rStyle w:val="cf01"/>
          <w:rFonts w:ascii="Franklin Gothic Book" w:hAnsi="Franklin Gothic Book"/>
          <w:sz w:val="22"/>
          <w:szCs w:val="22"/>
        </w:rPr>
        <w:t>The ADAR estimate</w:t>
      </w:r>
      <w:r w:rsidR="00984F28" w:rsidRPr="007C488A">
        <w:rPr>
          <w:rStyle w:val="cf01"/>
          <w:rFonts w:ascii="Franklin Gothic Book" w:hAnsi="Franklin Gothic Book"/>
          <w:sz w:val="22"/>
          <w:szCs w:val="22"/>
        </w:rPr>
        <w:t>d</w:t>
      </w:r>
      <w:r w:rsidRPr="007C488A">
        <w:rPr>
          <w:rStyle w:val="cf01"/>
          <w:rFonts w:ascii="Franklin Gothic Book" w:hAnsi="Franklin Gothic Book"/>
          <w:sz w:val="22"/>
          <w:szCs w:val="22"/>
        </w:rPr>
        <w:t xml:space="preserve"> the potential financial impact for the proposed MBS listing of LVAD as DT using two approaches:</w:t>
      </w:r>
      <w:r w:rsidR="003547EE" w:rsidRPr="007C488A">
        <w:rPr>
          <w:rStyle w:val="cf01"/>
          <w:rFonts w:ascii="Franklin Gothic Book" w:hAnsi="Franklin Gothic Book"/>
          <w:sz w:val="22"/>
          <w:szCs w:val="22"/>
        </w:rPr>
        <w:t xml:space="preserve"> </w:t>
      </w:r>
      <w:r w:rsidRPr="007C488A">
        <w:rPr>
          <w:rStyle w:val="cf01"/>
          <w:rFonts w:ascii="Franklin Gothic Book" w:hAnsi="Franklin Gothic Book"/>
          <w:sz w:val="22"/>
          <w:szCs w:val="22"/>
        </w:rPr>
        <w:t xml:space="preserve">1) </w:t>
      </w:r>
      <w:r w:rsidR="00405E75" w:rsidRPr="007C488A">
        <w:rPr>
          <w:rStyle w:val="cf01"/>
          <w:rFonts w:ascii="Franklin Gothic Book" w:hAnsi="Franklin Gothic Book"/>
          <w:sz w:val="22"/>
          <w:szCs w:val="22"/>
        </w:rPr>
        <w:t>Expected number of LVAD procedures when accounting for capacity constraints in the Australian healthcare system</w:t>
      </w:r>
      <w:r w:rsidR="00984F28" w:rsidRPr="007C488A">
        <w:rPr>
          <w:rStyle w:val="cf01"/>
          <w:rFonts w:ascii="Franklin Gothic Book" w:hAnsi="Franklin Gothic Book"/>
          <w:sz w:val="22"/>
          <w:szCs w:val="22"/>
        </w:rPr>
        <w:t xml:space="preserve">, </w:t>
      </w:r>
      <w:r w:rsidRPr="007C488A">
        <w:rPr>
          <w:rStyle w:val="cf01"/>
          <w:rFonts w:ascii="Franklin Gothic Book" w:hAnsi="Franklin Gothic Book"/>
          <w:sz w:val="22"/>
          <w:szCs w:val="22"/>
        </w:rPr>
        <w:t xml:space="preserve">2) </w:t>
      </w:r>
      <w:r w:rsidR="00405E75" w:rsidRPr="007C488A">
        <w:rPr>
          <w:rStyle w:val="cf01"/>
          <w:rFonts w:ascii="Franklin Gothic Book" w:hAnsi="Franklin Gothic Book"/>
          <w:sz w:val="22"/>
          <w:szCs w:val="22"/>
        </w:rPr>
        <w:t xml:space="preserve">Expected number of LVAD procedures without capacity constraints in the Australian healthcare system. </w:t>
      </w:r>
      <w:r w:rsidR="00405E75" w:rsidRPr="007C488A">
        <w:t>The ADAR presented this approach as sensitivity analysis.</w:t>
      </w:r>
    </w:p>
    <w:p w14:paraId="08235967" w14:textId="77777777" w:rsidR="00405E75" w:rsidRPr="007C488A" w:rsidRDefault="00405E75" w:rsidP="00275263">
      <w:pPr>
        <w:keepNext/>
        <w:keepLines/>
        <w:jc w:val="both"/>
        <w:rPr>
          <w:rStyle w:val="cf01"/>
          <w:rFonts w:ascii="Franklin Gothic Book" w:hAnsi="Franklin Gothic Book"/>
          <w:b/>
          <w:bCs/>
          <w:sz w:val="22"/>
          <w:szCs w:val="22"/>
        </w:rPr>
      </w:pPr>
      <w:r w:rsidRPr="007C488A">
        <w:rPr>
          <w:rStyle w:val="cf01"/>
          <w:rFonts w:ascii="Franklin Gothic Book" w:hAnsi="Franklin Gothic Book"/>
          <w:b/>
          <w:bCs/>
          <w:sz w:val="22"/>
          <w:szCs w:val="22"/>
        </w:rPr>
        <w:lastRenderedPageBreak/>
        <w:t>1) Expected number of LVAD procedures when accounting for capacity constraints in the Australian healthcare system</w:t>
      </w:r>
    </w:p>
    <w:p w14:paraId="1A665E28" w14:textId="3B8D33B5" w:rsidR="00405E75" w:rsidRPr="007C488A" w:rsidRDefault="00405E75" w:rsidP="00275263">
      <w:pPr>
        <w:keepNext/>
        <w:keepLines/>
        <w:jc w:val="both"/>
        <w:rPr>
          <w:rFonts w:cs="Arial"/>
        </w:rPr>
      </w:pPr>
      <w:r w:rsidRPr="007C488A">
        <w:rPr>
          <w:rStyle w:val="cf01"/>
          <w:rFonts w:ascii="Franklin Gothic Book" w:hAnsi="Franklin Gothic Book"/>
          <w:sz w:val="22"/>
          <w:szCs w:val="22"/>
        </w:rPr>
        <w:t>This was based on the estimated capacity of the Australian healthcare system to deliver LVAD as DT. The rational for this approach was that t</w:t>
      </w:r>
      <w:r w:rsidRPr="007C488A">
        <w:t xml:space="preserve">he LVAD procedures can be performed only in specialised quaternary centres, hence, the capacity constraints would have a large effect on expected number of LVAD procedures. </w:t>
      </w:r>
    </w:p>
    <w:p w14:paraId="28A0178A" w14:textId="77777777" w:rsidR="00EB2081" w:rsidRPr="007C488A" w:rsidRDefault="00EB2081" w:rsidP="007D2C8E">
      <w:pPr>
        <w:keepNext/>
        <w:jc w:val="both"/>
        <w:rPr>
          <w:b/>
          <w:bCs/>
        </w:rPr>
      </w:pPr>
      <w:bookmarkStart w:id="67" w:name="_Toc147323359"/>
      <w:r w:rsidRPr="007C488A">
        <w:rPr>
          <w:b/>
          <w:bCs/>
        </w:rPr>
        <w:t>Estimated extent of use and financial implications</w:t>
      </w:r>
      <w:bookmarkEnd w:id="67"/>
    </w:p>
    <w:p w14:paraId="20B3CB12" w14:textId="1063823E" w:rsidR="00EB2081" w:rsidRPr="007C488A" w:rsidRDefault="00E17863" w:rsidP="007D2C8E">
      <w:pPr>
        <w:keepNext/>
        <w:jc w:val="both"/>
      </w:pPr>
      <w:r w:rsidRPr="007C488A">
        <w:fldChar w:fldCharType="begin"/>
      </w:r>
      <w:r w:rsidRPr="007C488A">
        <w:instrText xml:space="preserve"> REF _Ref155619282 \h </w:instrText>
      </w:r>
      <w:r w:rsidR="007C488A">
        <w:instrText xml:space="preserve"> \* MERGEFORMAT </w:instrText>
      </w:r>
      <w:r w:rsidRPr="007C488A">
        <w:fldChar w:fldCharType="separate"/>
      </w:r>
      <w:r w:rsidR="00406484" w:rsidRPr="007C488A">
        <w:t xml:space="preserve">Table </w:t>
      </w:r>
      <w:r w:rsidR="00406484" w:rsidRPr="007C488A">
        <w:rPr>
          <w:noProof/>
        </w:rPr>
        <w:t>15</w:t>
      </w:r>
      <w:r w:rsidRPr="007C488A">
        <w:fldChar w:fldCharType="end"/>
      </w:r>
      <w:r w:rsidRPr="007C488A">
        <w:t xml:space="preserve"> </w:t>
      </w:r>
      <w:r w:rsidR="00EB2081" w:rsidRPr="007C488A">
        <w:t xml:space="preserve">describes the expected number of LVAD procedures when accounting for current and projected capacity constraints in the Australian healthcare system. </w:t>
      </w:r>
    </w:p>
    <w:p w14:paraId="2C824563" w14:textId="33678EE9" w:rsidR="00EB2081" w:rsidRPr="007C488A" w:rsidRDefault="00EB2081" w:rsidP="00FE6DA8">
      <w:pPr>
        <w:pStyle w:val="Caption"/>
      </w:pPr>
      <w:bookmarkStart w:id="68" w:name="_Ref155619282"/>
      <w:r w:rsidRPr="007C488A">
        <w:t xml:space="preserve">Table </w:t>
      </w:r>
      <w:r w:rsidRPr="007C488A">
        <w:fldChar w:fldCharType="begin"/>
      </w:r>
      <w:r w:rsidRPr="007C488A">
        <w:instrText>SEQ Table \* ARABIC</w:instrText>
      </w:r>
      <w:r w:rsidRPr="007C488A">
        <w:fldChar w:fldCharType="separate"/>
      </w:r>
      <w:r w:rsidR="00406484" w:rsidRPr="007C488A">
        <w:rPr>
          <w:noProof/>
        </w:rPr>
        <w:t>15</w:t>
      </w:r>
      <w:r w:rsidRPr="007C488A">
        <w:fldChar w:fldCharType="end"/>
      </w:r>
      <w:bookmarkEnd w:id="68"/>
      <w:r w:rsidRPr="007C488A">
        <w:t>: Expected number of LVAD procedures when accounting for capacity constraints in the Australian healthcare system</w:t>
      </w:r>
    </w:p>
    <w:tbl>
      <w:tblPr>
        <w:tblStyle w:val="TableGrid"/>
        <w:tblW w:w="5000" w:type="pct"/>
        <w:tblLook w:val="04A0" w:firstRow="1" w:lastRow="0" w:firstColumn="1" w:lastColumn="0" w:noHBand="0" w:noVBand="1"/>
      </w:tblPr>
      <w:tblGrid>
        <w:gridCol w:w="2040"/>
        <w:gridCol w:w="900"/>
        <w:gridCol w:w="900"/>
        <w:gridCol w:w="900"/>
        <w:gridCol w:w="900"/>
        <w:gridCol w:w="900"/>
        <w:gridCol w:w="900"/>
        <w:gridCol w:w="1576"/>
      </w:tblGrid>
      <w:tr w:rsidR="00EB2081" w:rsidRPr="007C488A" w14:paraId="5F003EE5" w14:textId="77777777" w:rsidTr="007D1A1F">
        <w:trPr>
          <w:trHeight w:val="288"/>
        </w:trPr>
        <w:tc>
          <w:tcPr>
            <w:tcW w:w="1662" w:type="pct"/>
            <w:hideMark/>
          </w:tcPr>
          <w:p w14:paraId="1CACA442" w14:textId="77777777" w:rsidR="00EB2081" w:rsidRPr="007C488A" w:rsidRDefault="00EB2081" w:rsidP="00EA4FE5">
            <w:pPr>
              <w:keepNext/>
              <w:spacing w:before="40" w:after="40"/>
              <w:rPr>
                <w:rFonts w:ascii="Arial Narrow" w:hAnsi="Arial Narrow"/>
                <w:b/>
                <w:bCs/>
                <w:sz w:val="20"/>
              </w:rPr>
            </w:pPr>
          </w:p>
        </w:tc>
        <w:tc>
          <w:tcPr>
            <w:tcW w:w="322" w:type="pct"/>
            <w:noWrap/>
            <w:hideMark/>
          </w:tcPr>
          <w:p w14:paraId="262641C8" w14:textId="77777777" w:rsidR="00EB2081" w:rsidRPr="007C488A" w:rsidRDefault="00EB2081" w:rsidP="00EA4FE5">
            <w:pPr>
              <w:keepNext/>
              <w:spacing w:before="40" w:after="40"/>
              <w:rPr>
                <w:rFonts w:ascii="Arial Narrow" w:hAnsi="Arial Narrow"/>
                <w:b/>
                <w:bCs/>
                <w:sz w:val="20"/>
              </w:rPr>
            </w:pPr>
            <w:r w:rsidRPr="007C488A">
              <w:rPr>
                <w:rFonts w:ascii="Arial Narrow" w:hAnsi="Arial Narrow"/>
                <w:b/>
                <w:bCs/>
                <w:sz w:val="20"/>
              </w:rPr>
              <w:t>2024</w:t>
            </w:r>
          </w:p>
        </w:tc>
        <w:tc>
          <w:tcPr>
            <w:tcW w:w="322" w:type="pct"/>
            <w:noWrap/>
            <w:hideMark/>
          </w:tcPr>
          <w:p w14:paraId="24B66C46" w14:textId="77777777" w:rsidR="00EB2081" w:rsidRPr="007C488A" w:rsidRDefault="00EB2081" w:rsidP="00EA4FE5">
            <w:pPr>
              <w:keepNext/>
              <w:spacing w:before="40" w:after="40"/>
              <w:rPr>
                <w:rFonts w:ascii="Arial Narrow" w:hAnsi="Arial Narrow"/>
                <w:b/>
                <w:bCs/>
                <w:sz w:val="20"/>
              </w:rPr>
            </w:pPr>
            <w:r w:rsidRPr="007C488A">
              <w:rPr>
                <w:rFonts w:ascii="Arial Narrow" w:hAnsi="Arial Narrow"/>
                <w:b/>
                <w:bCs/>
                <w:sz w:val="20"/>
              </w:rPr>
              <w:t>2025</w:t>
            </w:r>
          </w:p>
        </w:tc>
        <w:tc>
          <w:tcPr>
            <w:tcW w:w="322" w:type="pct"/>
            <w:noWrap/>
            <w:hideMark/>
          </w:tcPr>
          <w:p w14:paraId="05649260" w14:textId="77777777" w:rsidR="00EB2081" w:rsidRPr="007C488A" w:rsidRDefault="00EB2081" w:rsidP="00EA4FE5">
            <w:pPr>
              <w:keepNext/>
              <w:spacing w:before="40" w:after="40"/>
              <w:rPr>
                <w:rFonts w:ascii="Arial Narrow" w:hAnsi="Arial Narrow"/>
                <w:b/>
                <w:bCs/>
                <w:sz w:val="20"/>
              </w:rPr>
            </w:pPr>
            <w:r w:rsidRPr="007C488A">
              <w:rPr>
                <w:rFonts w:ascii="Arial Narrow" w:hAnsi="Arial Narrow"/>
                <w:b/>
                <w:bCs/>
                <w:sz w:val="20"/>
              </w:rPr>
              <w:t>2026</w:t>
            </w:r>
          </w:p>
        </w:tc>
        <w:tc>
          <w:tcPr>
            <w:tcW w:w="322" w:type="pct"/>
            <w:noWrap/>
            <w:hideMark/>
          </w:tcPr>
          <w:p w14:paraId="7E501149" w14:textId="77777777" w:rsidR="00EB2081" w:rsidRPr="007C488A" w:rsidRDefault="00EB2081" w:rsidP="00EA4FE5">
            <w:pPr>
              <w:keepNext/>
              <w:spacing w:before="40" w:after="40"/>
              <w:rPr>
                <w:rFonts w:ascii="Arial Narrow" w:hAnsi="Arial Narrow"/>
                <w:b/>
                <w:bCs/>
                <w:sz w:val="20"/>
              </w:rPr>
            </w:pPr>
            <w:r w:rsidRPr="007C488A">
              <w:rPr>
                <w:rFonts w:ascii="Arial Narrow" w:hAnsi="Arial Narrow"/>
                <w:b/>
                <w:bCs/>
                <w:sz w:val="20"/>
              </w:rPr>
              <w:t>2027</w:t>
            </w:r>
          </w:p>
        </w:tc>
        <w:tc>
          <w:tcPr>
            <w:tcW w:w="322" w:type="pct"/>
            <w:noWrap/>
            <w:hideMark/>
          </w:tcPr>
          <w:p w14:paraId="60B4285C" w14:textId="77777777" w:rsidR="00EB2081" w:rsidRPr="007C488A" w:rsidRDefault="00EB2081" w:rsidP="00EA4FE5">
            <w:pPr>
              <w:keepNext/>
              <w:spacing w:before="40" w:after="40"/>
              <w:rPr>
                <w:rFonts w:ascii="Arial Narrow" w:hAnsi="Arial Narrow"/>
                <w:b/>
                <w:bCs/>
                <w:sz w:val="20"/>
              </w:rPr>
            </w:pPr>
            <w:r w:rsidRPr="007C488A">
              <w:rPr>
                <w:rFonts w:ascii="Arial Narrow" w:hAnsi="Arial Narrow"/>
                <w:b/>
                <w:bCs/>
                <w:sz w:val="20"/>
              </w:rPr>
              <w:t>2028</w:t>
            </w:r>
          </w:p>
        </w:tc>
        <w:tc>
          <w:tcPr>
            <w:tcW w:w="322" w:type="pct"/>
            <w:noWrap/>
            <w:hideMark/>
          </w:tcPr>
          <w:p w14:paraId="7A7D4196" w14:textId="77777777" w:rsidR="00EB2081" w:rsidRPr="007C488A" w:rsidRDefault="00EB2081" w:rsidP="00EA4FE5">
            <w:pPr>
              <w:keepNext/>
              <w:spacing w:before="40" w:after="40"/>
              <w:rPr>
                <w:rFonts w:ascii="Arial Narrow" w:hAnsi="Arial Narrow"/>
                <w:b/>
                <w:bCs/>
                <w:sz w:val="20"/>
              </w:rPr>
            </w:pPr>
            <w:r w:rsidRPr="007C488A">
              <w:rPr>
                <w:rFonts w:ascii="Arial Narrow" w:hAnsi="Arial Narrow"/>
                <w:b/>
                <w:bCs/>
                <w:sz w:val="20"/>
              </w:rPr>
              <w:t>2029</w:t>
            </w:r>
          </w:p>
        </w:tc>
        <w:tc>
          <w:tcPr>
            <w:tcW w:w="1405" w:type="pct"/>
          </w:tcPr>
          <w:p w14:paraId="324A1479" w14:textId="38867D5C" w:rsidR="00EB2081" w:rsidRPr="007C488A" w:rsidRDefault="00825638" w:rsidP="00EA4FE5">
            <w:pPr>
              <w:keepNext/>
              <w:spacing w:before="40" w:after="40"/>
              <w:rPr>
                <w:rFonts w:ascii="Arial Narrow" w:hAnsi="Arial Narrow"/>
                <w:b/>
                <w:bCs/>
                <w:sz w:val="20"/>
              </w:rPr>
            </w:pPr>
            <w:r w:rsidRPr="007C488A">
              <w:rPr>
                <w:rFonts w:ascii="Arial Narrow" w:hAnsi="Arial Narrow"/>
                <w:b/>
                <w:bCs/>
                <w:sz w:val="20"/>
              </w:rPr>
              <w:t>Source</w:t>
            </w:r>
          </w:p>
        </w:tc>
      </w:tr>
      <w:tr w:rsidR="00EB2081" w:rsidRPr="007C488A" w14:paraId="122DA5FD" w14:textId="77777777" w:rsidTr="007D1A1F">
        <w:trPr>
          <w:trHeight w:val="517"/>
        </w:trPr>
        <w:tc>
          <w:tcPr>
            <w:tcW w:w="1662" w:type="pct"/>
            <w:vAlign w:val="bottom"/>
            <w:hideMark/>
          </w:tcPr>
          <w:p w14:paraId="2779C856"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Number of quaternary centres in Australia able to conduct LVAD procedures</w:t>
            </w:r>
          </w:p>
        </w:tc>
        <w:tc>
          <w:tcPr>
            <w:tcW w:w="322" w:type="pct"/>
            <w:noWrap/>
            <w:vAlign w:val="center"/>
            <w:hideMark/>
          </w:tcPr>
          <w:p w14:paraId="0607495D" w14:textId="77777777" w:rsidR="00EB2081" w:rsidRPr="007C488A" w:rsidRDefault="00EB2081" w:rsidP="007D1A1F">
            <w:pPr>
              <w:keepNext/>
              <w:spacing w:before="40" w:after="40"/>
              <w:jc w:val="center"/>
              <w:rPr>
                <w:rFonts w:ascii="Arial Narrow" w:hAnsi="Arial Narrow"/>
                <w:sz w:val="20"/>
              </w:rPr>
            </w:pPr>
            <w:r w:rsidRPr="007C488A">
              <w:rPr>
                <w:rFonts w:ascii="Arial Narrow" w:hAnsi="Arial Narrow"/>
                <w:sz w:val="20"/>
              </w:rPr>
              <w:t>4</w:t>
            </w:r>
          </w:p>
        </w:tc>
        <w:tc>
          <w:tcPr>
            <w:tcW w:w="322" w:type="pct"/>
            <w:noWrap/>
            <w:vAlign w:val="center"/>
            <w:hideMark/>
          </w:tcPr>
          <w:p w14:paraId="60961826" w14:textId="77777777" w:rsidR="00EB2081" w:rsidRPr="007C488A" w:rsidRDefault="00EB2081" w:rsidP="007D1A1F">
            <w:pPr>
              <w:keepNext/>
              <w:spacing w:before="40" w:after="40"/>
              <w:jc w:val="center"/>
              <w:rPr>
                <w:rFonts w:ascii="Arial Narrow" w:hAnsi="Arial Narrow"/>
                <w:sz w:val="20"/>
              </w:rPr>
            </w:pPr>
            <w:r w:rsidRPr="007C488A">
              <w:rPr>
                <w:rFonts w:ascii="Arial Narrow" w:hAnsi="Arial Narrow"/>
                <w:sz w:val="20"/>
              </w:rPr>
              <w:t>4</w:t>
            </w:r>
          </w:p>
        </w:tc>
        <w:tc>
          <w:tcPr>
            <w:tcW w:w="322" w:type="pct"/>
            <w:noWrap/>
            <w:vAlign w:val="center"/>
            <w:hideMark/>
          </w:tcPr>
          <w:p w14:paraId="79295FD0" w14:textId="77777777" w:rsidR="00EB2081" w:rsidRPr="007C488A" w:rsidRDefault="00EB2081" w:rsidP="007D1A1F">
            <w:pPr>
              <w:keepNext/>
              <w:spacing w:before="40" w:after="40"/>
              <w:jc w:val="center"/>
              <w:rPr>
                <w:rFonts w:ascii="Arial Narrow" w:hAnsi="Arial Narrow"/>
                <w:sz w:val="20"/>
              </w:rPr>
            </w:pPr>
            <w:r w:rsidRPr="007C488A">
              <w:rPr>
                <w:rFonts w:ascii="Arial Narrow" w:hAnsi="Arial Narrow"/>
                <w:sz w:val="20"/>
              </w:rPr>
              <w:t>4</w:t>
            </w:r>
          </w:p>
        </w:tc>
        <w:tc>
          <w:tcPr>
            <w:tcW w:w="322" w:type="pct"/>
            <w:noWrap/>
            <w:vAlign w:val="center"/>
            <w:hideMark/>
          </w:tcPr>
          <w:p w14:paraId="434DB1FD" w14:textId="77777777" w:rsidR="00EB2081" w:rsidRPr="007C488A" w:rsidRDefault="00EB2081" w:rsidP="007D1A1F">
            <w:pPr>
              <w:keepNext/>
              <w:spacing w:before="40" w:after="40"/>
              <w:jc w:val="center"/>
              <w:rPr>
                <w:rFonts w:ascii="Arial Narrow" w:hAnsi="Arial Narrow"/>
                <w:sz w:val="20"/>
              </w:rPr>
            </w:pPr>
            <w:r w:rsidRPr="007C488A">
              <w:rPr>
                <w:rFonts w:ascii="Arial Narrow" w:hAnsi="Arial Narrow"/>
                <w:sz w:val="20"/>
              </w:rPr>
              <w:t>4</w:t>
            </w:r>
          </w:p>
        </w:tc>
        <w:tc>
          <w:tcPr>
            <w:tcW w:w="322" w:type="pct"/>
            <w:noWrap/>
            <w:vAlign w:val="center"/>
            <w:hideMark/>
          </w:tcPr>
          <w:p w14:paraId="16B20177" w14:textId="77777777" w:rsidR="00EB2081" w:rsidRPr="007C488A" w:rsidRDefault="00EB2081" w:rsidP="007D1A1F">
            <w:pPr>
              <w:keepNext/>
              <w:spacing w:before="40" w:after="40"/>
              <w:jc w:val="center"/>
              <w:rPr>
                <w:rFonts w:ascii="Arial Narrow" w:hAnsi="Arial Narrow"/>
                <w:sz w:val="20"/>
              </w:rPr>
            </w:pPr>
            <w:r w:rsidRPr="007C488A">
              <w:rPr>
                <w:rFonts w:ascii="Arial Narrow" w:hAnsi="Arial Narrow"/>
                <w:sz w:val="20"/>
              </w:rPr>
              <w:t>4</w:t>
            </w:r>
          </w:p>
        </w:tc>
        <w:tc>
          <w:tcPr>
            <w:tcW w:w="322" w:type="pct"/>
            <w:noWrap/>
            <w:vAlign w:val="center"/>
            <w:hideMark/>
          </w:tcPr>
          <w:p w14:paraId="45EF01CE" w14:textId="77777777" w:rsidR="00EB2081" w:rsidRPr="007C488A" w:rsidRDefault="00EB2081" w:rsidP="007D1A1F">
            <w:pPr>
              <w:keepNext/>
              <w:spacing w:before="40" w:after="40"/>
              <w:jc w:val="center"/>
              <w:rPr>
                <w:rFonts w:ascii="Arial Narrow" w:hAnsi="Arial Narrow"/>
                <w:sz w:val="20"/>
              </w:rPr>
            </w:pPr>
            <w:r w:rsidRPr="007C488A">
              <w:rPr>
                <w:rFonts w:ascii="Arial Narrow" w:hAnsi="Arial Narrow"/>
                <w:sz w:val="20"/>
              </w:rPr>
              <w:t>4</w:t>
            </w:r>
          </w:p>
        </w:tc>
        <w:tc>
          <w:tcPr>
            <w:tcW w:w="1405" w:type="pct"/>
            <w:vAlign w:val="bottom"/>
          </w:tcPr>
          <w:p w14:paraId="7D2511ED" w14:textId="046EB45A" w:rsidR="00EB2081" w:rsidRPr="007C488A" w:rsidRDefault="00EB2081" w:rsidP="00EA4FE5">
            <w:pPr>
              <w:keepNext/>
              <w:spacing w:before="40" w:after="40"/>
              <w:rPr>
                <w:rFonts w:ascii="Arial Narrow" w:hAnsi="Arial Narrow"/>
                <w:sz w:val="20"/>
              </w:rPr>
            </w:pPr>
            <w:r w:rsidRPr="007C488A">
              <w:rPr>
                <w:rFonts w:ascii="Arial Narrow" w:hAnsi="Arial Narrow"/>
                <w:sz w:val="20"/>
              </w:rPr>
              <w:t>Based on input from advisory board</w:t>
            </w:r>
          </w:p>
        </w:tc>
      </w:tr>
      <w:tr w:rsidR="00EB2081" w:rsidRPr="007C488A" w14:paraId="2DDC1DC3" w14:textId="77777777" w:rsidTr="007D1A1F">
        <w:trPr>
          <w:trHeight w:val="576"/>
        </w:trPr>
        <w:tc>
          <w:tcPr>
            <w:tcW w:w="1662" w:type="pct"/>
            <w:vAlign w:val="bottom"/>
            <w:hideMark/>
          </w:tcPr>
          <w:p w14:paraId="7C459C2B" w14:textId="1EECDE16" w:rsidR="00EB2081" w:rsidRPr="007C488A" w:rsidRDefault="00EB2081" w:rsidP="00EA4FE5">
            <w:pPr>
              <w:keepNext/>
              <w:spacing w:before="40" w:after="40"/>
              <w:rPr>
                <w:rFonts w:ascii="Arial Narrow" w:hAnsi="Arial Narrow"/>
                <w:sz w:val="20"/>
              </w:rPr>
            </w:pPr>
            <w:r w:rsidRPr="007C488A">
              <w:rPr>
                <w:rFonts w:ascii="Arial Narrow" w:hAnsi="Arial Narrow"/>
                <w:sz w:val="20"/>
              </w:rPr>
              <w:t>Number of additional procedures able to be conducted</w:t>
            </w:r>
            <w:r w:rsidR="005F7DDD" w:rsidRPr="007C488A">
              <w:rPr>
                <w:rFonts w:ascii="Arial Narrow" w:hAnsi="Arial Narrow"/>
                <w:sz w:val="20"/>
              </w:rPr>
              <w:t xml:space="preserve"> per year</w:t>
            </w:r>
            <w:r w:rsidRPr="007C488A">
              <w:rPr>
                <w:rFonts w:ascii="Arial Narrow" w:hAnsi="Arial Narrow"/>
                <w:sz w:val="20"/>
              </w:rPr>
              <w:t xml:space="preserve"> per quaternary centre</w:t>
            </w:r>
          </w:p>
        </w:tc>
        <w:tc>
          <w:tcPr>
            <w:tcW w:w="322" w:type="pct"/>
            <w:noWrap/>
            <w:vAlign w:val="center"/>
            <w:hideMark/>
          </w:tcPr>
          <w:p w14:paraId="158525D8" w14:textId="670DFB82"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30098BA3" w14:textId="19A4DA7B"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793EC095" w14:textId="2A855F09"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776F0232" w14:textId="6E1B8279"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78B431EB" w14:textId="03A086B7"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33EC0B05" w14:textId="7D225A0B"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1405" w:type="pct"/>
            <w:vAlign w:val="bottom"/>
          </w:tcPr>
          <w:p w14:paraId="016F8208"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Based on input from advisory board</w:t>
            </w:r>
          </w:p>
        </w:tc>
      </w:tr>
      <w:tr w:rsidR="00EB2081" w:rsidRPr="007C488A" w14:paraId="5DEDEFA9" w14:textId="77777777" w:rsidTr="007D1A1F">
        <w:trPr>
          <w:trHeight w:val="546"/>
        </w:trPr>
        <w:tc>
          <w:tcPr>
            <w:tcW w:w="1662" w:type="pct"/>
            <w:vAlign w:val="bottom"/>
            <w:hideMark/>
          </w:tcPr>
          <w:p w14:paraId="706E85CC"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Expected number of DT procedures when accounting for capacity constraints</w:t>
            </w:r>
          </w:p>
        </w:tc>
        <w:tc>
          <w:tcPr>
            <w:tcW w:w="322" w:type="pct"/>
            <w:noWrap/>
            <w:vAlign w:val="center"/>
            <w:hideMark/>
          </w:tcPr>
          <w:p w14:paraId="5B0FE525" w14:textId="263CBAC2"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0BD6B29B" w14:textId="46B9507E"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468EA8F1" w14:textId="5ED6569B"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69F40E13" w14:textId="09B5C0FA"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52CCD7A7" w14:textId="4F50E5F5"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hideMark/>
          </w:tcPr>
          <w:p w14:paraId="1779F8F6" w14:textId="239AF4D9"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1405" w:type="pct"/>
            <w:vAlign w:val="bottom"/>
          </w:tcPr>
          <w:p w14:paraId="3D50C04C"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Calculated</w:t>
            </w:r>
          </w:p>
        </w:tc>
      </w:tr>
      <w:tr w:rsidR="00EB2081" w:rsidRPr="007C488A" w14:paraId="2F9E06C2" w14:textId="77777777" w:rsidTr="007D1A1F">
        <w:trPr>
          <w:trHeight w:val="393"/>
        </w:trPr>
        <w:tc>
          <w:tcPr>
            <w:tcW w:w="1662" w:type="pct"/>
          </w:tcPr>
          <w:p w14:paraId="0C100E40" w14:textId="6B06097D" w:rsidR="00EB2081" w:rsidRPr="007C488A" w:rsidRDefault="00EB2081" w:rsidP="00EA4FE5">
            <w:pPr>
              <w:keepNext/>
              <w:spacing w:before="40" w:after="40"/>
              <w:rPr>
                <w:rFonts w:ascii="Arial Narrow" w:hAnsi="Arial Narrow"/>
                <w:sz w:val="20"/>
              </w:rPr>
            </w:pPr>
            <w:r w:rsidRPr="007C488A">
              <w:rPr>
                <w:rFonts w:ascii="Arial Narrow" w:hAnsi="Arial Narrow"/>
                <w:sz w:val="20"/>
              </w:rPr>
              <w:t>Additional increase in capacity over time</w:t>
            </w:r>
          </w:p>
        </w:tc>
        <w:tc>
          <w:tcPr>
            <w:tcW w:w="322" w:type="pct"/>
            <w:noWrap/>
            <w:vAlign w:val="center"/>
          </w:tcPr>
          <w:p w14:paraId="5EFF5749" w14:textId="43F49E2C"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04C4618B" w14:textId="3BB6738D"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7CDEB2B0" w14:textId="3830E1AE"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0679F5B0" w14:textId="1F61D737"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0FD31C36" w14:textId="6C31B86F"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30EDEABB" w14:textId="1AFC73AA"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1405" w:type="pct"/>
          </w:tcPr>
          <w:p w14:paraId="3252DABB"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Assumption</w:t>
            </w:r>
          </w:p>
        </w:tc>
      </w:tr>
      <w:tr w:rsidR="00EB2081" w:rsidRPr="007C488A" w14:paraId="62F278AC" w14:textId="77777777" w:rsidTr="007D1A1F">
        <w:trPr>
          <w:trHeight w:val="576"/>
        </w:trPr>
        <w:tc>
          <w:tcPr>
            <w:tcW w:w="1662" w:type="pct"/>
          </w:tcPr>
          <w:p w14:paraId="5C761D9C"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Expected number of DT procedures when accounting for capacity constraints over time</w:t>
            </w:r>
          </w:p>
        </w:tc>
        <w:tc>
          <w:tcPr>
            <w:tcW w:w="322" w:type="pct"/>
            <w:noWrap/>
            <w:vAlign w:val="center"/>
          </w:tcPr>
          <w:p w14:paraId="3A5AE168" w14:textId="3B157CF8"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4B8636A9" w14:textId="36E268BA"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76EBD01A" w14:textId="5BD5E6BA"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4F9B6610" w14:textId="38B7DA2B"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17A74DF4" w14:textId="5BFD89F0"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322" w:type="pct"/>
            <w:noWrap/>
            <w:vAlign w:val="center"/>
          </w:tcPr>
          <w:p w14:paraId="086650D4" w14:textId="3D76E0FB" w:rsidR="00EB2081" w:rsidRPr="007C488A" w:rsidRDefault="00B363AE"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1405" w:type="pct"/>
          </w:tcPr>
          <w:p w14:paraId="5837778E" w14:textId="77777777" w:rsidR="00EB2081" w:rsidRPr="007C488A" w:rsidRDefault="00EB2081" w:rsidP="00EA4FE5">
            <w:pPr>
              <w:keepNext/>
              <w:spacing w:before="40" w:after="40"/>
              <w:rPr>
                <w:rFonts w:ascii="Arial Narrow" w:hAnsi="Arial Narrow"/>
                <w:sz w:val="20"/>
              </w:rPr>
            </w:pPr>
            <w:r w:rsidRPr="007C488A">
              <w:rPr>
                <w:rFonts w:ascii="Arial Narrow" w:hAnsi="Arial Narrow"/>
                <w:sz w:val="20"/>
              </w:rPr>
              <w:t>Calculated</w:t>
            </w:r>
          </w:p>
        </w:tc>
      </w:tr>
    </w:tbl>
    <w:p w14:paraId="0B0C4284" w14:textId="1AE2102C" w:rsidR="00EB2081" w:rsidRPr="007C488A" w:rsidRDefault="00EB2081" w:rsidP="00EA4FE5">
      <w:pPr>
        <w:pStyle w:val="Tablenotes0"/>
        <w:rPr>
          <w:snapToGrid w:val="0"/>
        </w:rPr>
      </w:pPr>
      <w:r w:rsidRPr="007C488A">
        <w:rPr>
          <w:snapToGrid w:val="0"/>
        </w:rPr>
        <w:t xml:space="preserve">Source: Table 82, </w:t>
      </w:r>
      <w:r w:rsidR="00886AD7" w:rsidRPr="007C488A">
        <w:rPr>
          <w:snapToGrid w:val="0"/>
        </w:rPr>
        <w:t xml:space="preserve">p266 </w:t>
      </w:r>
      <w:r w:rsidRPr="007C488A">
        <w:rPr>
          <w:snapToGrid w:val="0"/>
        </w:rPr>
        <w:t xml:space="preserve">of the </w:t>
      </w:r>
      <w:r w:rsidR="00FF43D6" w:rsidRPr="007C488A">
        <w:rPr>
          <w:snapToGrid w:val="0"/>
        </w:rPr>
        <w:t>MSAC 1749 ADAR+ in-line commentary</w:t>
      </w:r>
    </w:p>
    <w:p w14:paraId="7060883C" w14:textId="77777777" w:rsidR="00EB2081" w:rsidRPr="007C488A" w:rsidRDefault="00EB2081" w:rsidP="00EA4FE5">
      <w:pPr>
        <w:pStyle w:val="Tablenotes0"/>
        <w:rPr>
          <w:rFonts w:eastAsia="Calibri"/>
          <w:snapToGrid w:val="0"/>
        </w:rPr>
      </w:pPr>
      <w:r w:rsidRPr="007C488A">
        <w:rPr>
          <w:rFonts w:eastAsia="Calibri"/>
          <w:snapToGrid w:val="0"/>
        </w:rPr>
        <w:t xml:space="preserve">Abbreviations: DT = Destination therapy; LVAD = left ventricular assist device. </w:t>
      </w:r>
    </w:p>
    <w:p w14:paraId="1BCFB0ED" w14:textId="54883F57" w:rsidR="00A624E3" w:rsidRPr="007C488A" w:rsidRDefault="00E17863" w:rsidP="00EB2081">
      <w:pPr>
        <w:jc w:val="both"/>
      </w:pPr>
      <w:r w:rsidRPr="007C488A">
        <w:fldChar w:fldCharType="begin"/>
      </w:r>
      <w:r w:rsidRPr="007C488A">
        <w:instrText xml:space="preserve"> REF _Ref155619297 \h </w:instrText>
      </w:r>
      <w:r w:rsidR="007C488A">
        <w:instrText xml:space="preserve"> \* MERGEFORMAT </w:instrText>
      </w:r>
      <w:r w:rsidRPr="007C488A">
        <w:fldChar w:fldCharType="separate"/>
      </w:r>
      <w:r w:rsidR="00406484" w:rsidRPr="007C488A">
        <w:t xml:space="preserve">Table </w:t>
      </w:r>
      <w:r w:rsidR="00406484" w:rsidRPr="007C488A">
        <w:rPr>
          <w:noProof/>
        </w:rPr>
        <w:t>16</w:t>
      </w:r>
      <w:r w:rsidRPr="007C488A">
        <w:fldChar w:fldCharType="end"/>
      </w:r>
      <w:r w:rsidRPr="007C488A">
        <w:t xml:space="preserve"> </w:t>
      </w:r>
      <w:r w:rsidR="0021451F" w:rsidRPr="007C488A">
        <w:t>summarises the parameter values applied in the financial estimates.</w:t>
      </w:r>
    </w:p>
    <w:p w14:paraId="13B45F8D" w14:textId="0BDF7769" w:rsidR="00A624E3" w:rsidRPr="007C488A" w:rsidRDefault="00A624E3" w:rsidP="007D1A1F">
      <w:pPr>
        <w:pStyle w:val="Caption"/>
      </w:pPr>
      <w:bookmarkStart w:id="69" w:name="_Ref155619297"/>
      <w:r w:rsidRPr="007C488A">
        <w:lastRenderedPageBreak/>
        <w:t xml:space="preserve">Table </w:t>
      </w:r>
      <w:r w:rsidRPr="007C488A">
        <w:fldChar w:fldCharType="begin"/>
      </w:r>
      <w:r w:rsidRPr="007C488A">
        <w:instrText>SEQ Table \* ARABIC</w:instrText>
      </w:r>
      <w:r w:rsidRPr="007C488A">
        <w:fldChar w:fldCharType="separate"/>
      </w:r>
      <w:r w:rsidR="00406484" w:rsidRPr="007C488A">
        <w:rPr>
          <w:noProof/>
        </w:rPr>
        <w:t>16</w:t>
      </w:r>
      <w:r w:rsidRPr="007C488A">
        <w:fldChar w:fldCharType="end"/>
      </w:r>
      <w:bookmarkEnd w:id="69"/>
      <w:r w:rsidRPr="007C488A">
        <w:t>:</w:t>
      </w:r>
      <w:r w:rsidRPr="007C488A">
        <w:rPr>
          <w:rFonts w:asciiTheme="minorHAnsi" w:hAnsiTheme="minorHAnsi" w:cstheme="minorHAnsi"/>
        </w:rPr>
        <w:t xml:space="preserve"> Data sources and parameter values applied in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5238"/>
        <w:gridCol w:w="2038"/>
      </w:tblGrid>
      <w:tr w:rsidR="0021451F" w:rsidRPr="007C488A" w14:paraId="5205F29A" w14:textId="77777777" w:rsidTr="007D1A1F">
        <w:trPr>
          <w:trHeight w:val="485"/>
          <w:tblHeader/>
        </w:trPr>
        <w:tc>
          <w:tcPr>
            <w:tcW w:w="965" w:type="pct"/>
            <w:shd w:val="clear" w:color="auto" w:fill="auto"/>
          </w:tcPr>
          <w:p w14:paraId="709927D2" w14:textId="77777777" w:rsidR="0021451F" w:rsidRPr="007C488A" w:rsidRDefault="0021451F" w:rsidP="00F54EE3">
            <w:pPr>
              <w:keepNext/>
              <w:spacing w:before="40" w:after="40" w:line="240" w:lineRule="auto"/>
              <w:rPr>
                <w:rFonts w:ascii="Arial Narrow" w:hAnsi="Arial Narrow"/>
                <w:b/>
                <w:bCs/>
                <w:sz w:val="20"/>
              </w:rPr>
            </w:pPr>
            <w:r w:rsidRPr="007C488A">
              <w:rPr>
                <w:rFonts w:ascii="Arial Narrow" w:hAnsi="Arial Narrow"/>
                <w:b/>
                <w:bCs/>
                <w:sz w:val="20"/>
              </w:rPr>
              <w:t>Relevant payer</w:t>
            </w:r>
          </w:p>
        </w:tc>
        <w:tc>
          <w:tcPr>
            <w:tcW w:w="2905" w:type="pct"/>
            <w:shd w:val="clear" w:color="auto" w:fill="auto"/>
          </w:tcPr>
          <w:p w14:paraId="3E998452" w14:textId="77777777" w:rsidR="0021451F" w:rsidRPr="007C488A" w:rsidRDefault="0021451F" w:rsidP="00F54EE3">
            <w:pPr>
              <w:keepNext/>
              <w:spacing w:before="40" w:after="40" w:line="240" w:lineRule="auto"/>
              <w:rPr>
                <w:rFonts w:ascii="Arial Narrow" w:hAnsi="Arial Narrow"/>
                <w:b/>
                <w:bCs/>
                <w:sz w:val="20"/>
              </w:rPr>
            </w:pPr>
            <w:r w:rsidRPr="007C488A">
              <w:rPr>
                <w:rFonts w:ascii="Arial Narrow" w:hAnsi="Arial Narrow"/>
                <w:b/>
                <w:bCs/>
                <w:sz w:val="20"/>
              </w:rPr>
              <w:t>Cost components</w:t>
            </w:r>
          </w:p>
        </w:tc>
        <w:tc>
          <w:tcPr>
            <w:tcW w:w="1130" w:type="pct"/>
            <w:shd w:val="clear" w:color="auto" w:fill="auto"/>
          </w:tcPr>
          <w:p w14:paraId="22762052" w14:textId="77777777" w:rsidR="0021451F" w:rsidRPr="007C488A" w:rsidRDefault="0021451F" w:rsidP="00F54EE3">
            <w:pPr>
              <w:keepNext/>
              <w:spacing w:before="40" w:after="40" w:line="240" w:lineRule="auto"/>
              <w:rPr>
                <w:rFonts w:ascii="Arial Narrow" w:hAnsi="Arial Narrow"/>
                <w:b/>
                <w:bCs/>
                <w:sz w:val="20"/>
              </w:rPr>
            </w:pPr>
            <w:r w:rsidRPr="007C488A">
              <w:rPr>
                <w:rFonts w:ascii="Arial Narrow" w:hAnsi="Arial Narrow"/>
                <w:b/>
                <w:bCs/>
                <w:sz w:val="20"/>
              </w:rPr>
              <w:t>Value</w:t>
            </w:r>
          </w:p>
        </w:tc>
      </w:tr>
      <w:tr w:rsidR="0081519D" w:rsidRPr="007C488A" w14:paraId="3B8527B2" w14:textId="77777777" w:rsidTr="007D1A1F">
        <w:trPr>
          <w:trHeight w:val="474"/>
          <w:tblHeader/>
        </w:trPr>
        <w:tc>
          <w:tcPr>
            <w:tcW w:w="965" w:type="pct"/>
            <w:vMerge w:val="restart"/>
          </w:tcPr>
          <w:p w14:paraId="4938D144"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MBS</w:t>
            </w:r>
          </w:p>
        </w:tc>
        <w:tc>
          <w:tcPr>
            <w:tcW w:w="2905" w:type="pct"/>
          </w:tcPr>
          <w:p w14:paraId="23C0F6F2"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LVAD procedure</w:t>
            </w:r>
          </w:p>
        </w:tc>
        <w:tc>
          <w:tcPr>
            <w:tcW w:w="1130" w:type="pct"/>
          </w:tcPr>
          <w:p w14:paraId="3CCE6234"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$2,846.06 (cost per procedure)</w:t>
            </w:r>
          </w:p>
        </w:tc>
      </w:tr>
      <w:tr w:rsidR="0081519D" w:rsidRPr="007C488A" w14:paraId="393F4030" w14:textId="77777777" w:rsidTr="007D1A1F">
        <w:trPr>
          <w:trHeight w:val="474"/>
          <w:tblHeader/>
        </w:trPr>
        <w:tc>
          <w:tcPr>
            <w:tcW w:w="965" w:type="pct"/>
            <w:vMerge/>
          </w:tcPr>
          <w:p w14:paraId="7E509939" w14:textId="77777777" w:rsidR="0081519D" w:rsidRPr="007C488A" w:rsidRDefault="0081519D" w:rsidP="00F54EE3">
            <w:pPr>
              <w:keepNext/>
              <w:spacing w:before="40" w:after="40" w:line="240" w:lineRule="auto"/>
              <w:rPr>
                <w:rFonts w:ascii="Arial Narrow" w:hAnsi="Arial Narrow"/>
                <w:sz w:val="20"/>
              </w:rPr>
            </w:pPr>
          </w:p>
        </w:tc>
        <w:tc>
          <w:tcPr>
            <w:tcW w:w="2905" w:type="pct"/>
          </w:tcPr>
          <w:p w14:paraId="75131D6F"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Incremental costs of ongoing management in LVAD patients versus OMM patients</w:t>
            </w:r>
          </w:p>
        </w:tc>
        <w:tc>
          <w:tcPr>
            <w:tcW w:w="1130" w:type="pct"/>
          </w:tcPr>
          <w:p w14:paraId="795D23BB"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$3,290.91</w:t>
            </w:r>
          </w:p>
        </w:tc>
      </w:tr>
      <w:tr w:rsidR="0081519D" w:rsidRPr="007C488A" w14:paraId="36A02B8A" w14:textId="77777777" w:rsidTr="007D1A1F">
        <w:trPr>
          <w:trHeight w:val="167"/>
          <w:tblHeader/>
        </w:trPr>
        <w:tc>
          <w:tcPr>
            <w:tcW w:w="965" w:type="pct"/>
            <w:vMerge/>
          </w:tcPr>
          <w:p w14:paraId="4A8E41E9" w14:textId="77777777" w:rsidR="0081519D" w:rsidRPr="007C488A" w:rsidRDefault="0081519D" w:rsidP="00F54EE3">
            <w:pPr>
              <w:keepNext/>
              <w:spacing w:before="40" w:after="40" w:line="240" w:lineRule="auto"/>
              <w:rPr>
                <w:rFonts w:ascii="Arial Narrow" w:hAnsi="Arial Narrow"/>
                <w:sz w:val="20"/>
              </w:rPr>
            </w:pPr>
          </w:p>
        </w:tc>
        <w:tc>
          <w:tcPr>
            <w:tcW w:w="2905" w:type="pct"/>
          </w:tcPr>
          <w:p w14:paraId="4E8364A1"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Total</w:t>
            </w:r>
          </w:p>
        </w:tc>
        <w:tc>
          <w:tcPr>
            <w:tcW w:w="1130" w:type="pct"/>
          </w:tcPr>
          <w:p w14:paraId="21B85E4A" w14:textId="77777777" w:rsidR="0081519D" w:rsidRPr="007C488A" w:rsidRDefault="0081519D" w:rsidP="00F54EE3">
            <w:pPr>
              <w:keepNext/>
              <w:spacing w:before="40" w:after="40" w:line="240" w:lineRule="auto"/>
              <w:rPr>
                <w:rFonts w:ascii="Arial Narrow" w:hAnsi="Arial Narrow"/>
                <w:sz w:val="20"/>
              </w:rPr>
            </w:pPr>
            <w:r w:rsidRPr="007C488A">
              <w:rPr>
                <w:rFonts w:ascii="Arial Narrow" w:hAnsi="Arial Narrow"/>
                <w:sz w:val="20"/>
              </w:rPr>
              <w:t>$6,136.96</w:t>
            </w:r>
          </w:p>
        </w:tc>
      </w:tr>
      <w:tr w:rsidR="0021451F" w:rsidRPr="007C488A" w14:paraId="104566EC" w14:textId="77777777" w:rsidTr="007D1A1F">
        <w:trPr>
          <w:trHeight w:val="474"/>
          <w:tblHeader/>
        </w:trPr>
        <w:tc>
          <w:tcPr>
            <w:tcW w:w="965" w:type="pct"/>
          </w:tcPr>
          <w:p w14:paraId="39B31E6E" w14:textId="77777777" w:rsidR="0021451F" w:rsidRPr="007C488A" w:rsidRDefault="0021451F" w:rsidP="00F54EE3">
            <w:pPr>
              <w:keepNext/>
              <w:spacing w:before="40" w:after="40" w:line="240" w:lineRule="auto"/>
              <w:rPr>
                <w:rFonts w:ascii="Arial Narrow" w:hAnsi="Arial Narrow"/>
                <w:sz w:val="20"/>
              </w:rPr>
            </w:pPr>
            <w:r w:rsidRPr="007C488A">
              <w:rPr>
                <w:rFonts w:ascii="Arial Narrow" w:hAnsi="Arial Narrow"/>
                <w:sz w:val="20"/>
              </w:rPr>
              <w:t>PBS</w:t>
            </w:r>
          </w:p>
        </w:tc>
        <w:tc>
          <w:tcPr>
            <w:tcW w:w="2905" w:type="pct"/>
          </w:tcPr>
          <w:p w14:paraId="27A33EE0" w14:textId="77777777" w:rsidR="0021451F" w:rsidRPr="007C488A" w:rsidRDefault="0021451F" w:rsidP="00F54EE3">
            <w:pPr>
              <w:keepNext/>
              <w:spacing w:before="40" w:after="40" w:line="240" w:lineRule="auto"/>
              <w:rPr>
                <w:rFonts w:ascii="Arial Narrow" w:hAnsi="Arial Narrow"/>
                <w:sz w:val="20"/>
              </w:rPr>
            </w:pPr>
            <w:r w:rsidRPr="007C488A">
              <w:rPr>
                <w:rFonts w:ascii="Arial Narrow" w:hAnsi="Arial Narrow"/>
                <w:sz w:val="20"/>
              </w:rPr>
              <w:t>Incremental costs of ongoing management in LVAD patients versus OMM patients</w:t>
            </w:r>
          </w:p>
        </w:tc>
        <w:tc>
          <w:tcPr>
            <w:tcW w:w="1130" w:type="pct"/>
          </w:tcPr>
          <w:p w14:paraId="3CAFD3D8" w14:textId="77777777" w:rsidR="0021451F" w:rsidRPr="007C488A" w:rsidRDefault="0021451F" w:rsidP="00F54EE3">
            <w:pPr>
              <w:keepNext/>
              <w:spacing w:before="40" w:after="40" w:line="240" w:lineRule="auto"/>
              <w:rPr>
                <w:rFonts w:ascii="Arial Narrow" w:hAnsi="Arial Narrow"/>
                <w:sz w:val="20"/>
              </w:rPr>
            </w:pPr>
            <w:r w:rsidRPr="007C488A">
              <w:rPr>
                <w:rFonts w:ascii="Arial Narrow" w:hAnsi="Arial Narrow"/>
                <w:sz w:val="20"/>
              </w:rPr>
              <w:t>$2,085.52</w:t>
            </w:r>
          </w:p>
        </w:tc>
      </w:tr>
      <w:tr w:rsidR="00687CEB" w:rsidRPr="007C488A" w14:paraId="1A4E2610" w14:textId="77777777" w:rsidTr="007D1A1F">
        <w:trPr>
          <w:trHeight w:val="68"/>
          <w:tblHeader/>
        </w:trPr>
        <w:tc>
          <w:tcPr>
            <w:tcW w:w="965" w:type="pct"/>
            <w:vMerge w:val="restart"/>
          </w:tcPr>
          <w:p w14:paraId="518A1A30" w14:textId="77777777"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Private health funds</w:t>
            </w:r>
          </w:p>
        </w:tc>
        <w:tc>
          <w:tcPr>
            <w:tcW w:w="2905" w:type="pct"/>
          </w:tcPr>
          <w:p w14:paraId="3A1B94F4" w14:textId="000B0BB8" w:rsidR="00687CEB" w:rsidRPr="007C488A" w:rsidRDefault="00687CEB" w:rsidP="00F54EE3">
            <w:pPr>
              <w:keepNext/>
              <w:spacing w:before="40" w:after="40" w:line="240" w:lineRule="auto"/>
              <w:rPr>
                <w:rFonts w:ascii="Arial Narrow" w:hAnsi="Arial Narrow"/>
                <w:sz w:val="20"/>
                <w:vertAlign w:val="superscript"/>
              </w:rPr>
            </w:pPr>
            <w:r w:rsidRPr="007C488A">
              <w:rPr>
                <w:rFonts w:ascii="Arial Narrow" w:hAnsi="Arial Narrow"/>
                <w:sz w:val="20"/>
              </w:rPr>
              <w:t>Device and Total LVAD system cost</w:t>
            </w:r>
            <w:r w:rsidR="00D94472" w:rsidRPr="007C488A">
              <w:rPr>
                <w:rFonts w:ascii="Arial Narrow" w:hAnsi="Arial Narrow"/>
                <w:sz w:val="20"/>
                <w:vertAlign w:val="superscript"/>
              </w:rPr>
              <w:t>a</w:t>
            </w:r>
          </w:p>
        </w:tc>
        <w:tc>
          <w:tcPr>
            <w:tcW w:w="1130" w:type="pct"/>
          </w:tcPr>
          <w:p w14:paraId="4F2E3599" w14:textId="14A1DE85"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w:t>
            </w:r>
            <w:r w:rsidR="00501624" w:rsidRPr="007C488A">
              <w:rPr>
                <w:rFonts w:ascii="Arial Narrow" w:hAnsi="Arial Narrow"/>
                <w:b/>
                <w:bCs/>
                <w:sz w:val="20"/>
              </w:rPr>
              <w:t>redacted</w:t>
            </w:r>
          </w:p>
        </w:tc>
      </w:tr>
      <w:tr w:rsidR="00687CEB" w:rsidRPr="007C488A" w14:paraId="64631E30" w14:textId="77777777" w:rsidTr="007D1A1F">
        <w:trPr>
          <w:trHeight w:val="247"/>
          <w:tblHeader/>
        </w:trPr>
        <w:tc>
          <w:tcPr>
            <w:tcW w:w="965" w:type="pct"/>
            <w:vMerge/>
          </w:tcPr>
          <w:p w14:paraId="4316FF44" w14:textId="77777777" w:rsidR="00687CEB" w:rsidRPr="007C488A" w:rsidRDefault="00687CEB" w:rsidP="00F54EE3">
            <w:pPr>
              <w:keepNext/>
              <w:spacing w:before="40" w:after="40" w:line="240" w:lineRule="auto"/>
              <w:rPr>
                <w:rFonts w:ascii="Arial Narrow" w:hAnsi="Arial Narrow"/>
                <w:sz w:val="20"/>
              </w:rPr>
            </w:pPr>
          </w:p>
        </w:tc>
        <w:tc>
          <w:tcPr>
            <w:tcW w:w="2905" w:type="pct"/>
          </w:tcPr>
          <w:p w14:paraId="644BAA2B" w14:textId="594D9C6D"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 xml:space="preserve">Implant procedure and post-recovery costs (less cost of </w:t>
            </w:r>
            <w:proofErr w:type="spellStart"/>
            <w:r w:rsidRPr="007C488A">
              <w:rPr>
                <w:rFonts w:ascii="Arial Narrow" w:hAnsi="Arial Narrow"/>
                <w:sz w:val="20"/>
              </w:rPr>
              <w:t>device</w:t>
            </w:r>
            <w:r w:rsidR="00716425" w:rsidRPr="007C488A">
              <w:rPr>
                <w:rFonts w:ascii="Arial Narrow" w:hAnsi="Arial Narrow"/>
                <w:sz w:val="20"/>
                <w:vertAlign w:val="superscript"/>
              </w:rPr>
              <w:t>a</w:t>
            </w:r>
            <w:proofErr w:type="spellEnd"/>
            <w:r w:rsidRPr="007C488A">
              <w:rPr>
                <w:rFonts w:ascii="Arial Narrow" w:hAnsi="Arial Narrow"/>
                <w:sz w:val="20"/>
              </w:rPr>
              <w:t>)</w:t>
            </w:r>
          </w:p>
        </w:tc>
        <w:tc>
          <w:tcPr>
            <w:tcW w:w="1130" w:type="pct"/>
          </w:tcPr>
          <w:p w14:paraId="45CC24FD" w14:textId="77777777"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$72,163.79</w:t>
            </w:r>
          </w:p>
        </w:tc>
      </w:tr>
      <w:tr w:rsidR="00687CEB" w:rsidRPr="007C488A" w14:paraId="3E0ECBF1" w14:textId="77777777" w:rsidTr="00876052">
        <w:trPr>
          <w:trHeight w:val="56"/>
          <w:tblHeader/>
        </w:trPr>
        <w:tc>
          <w:tcPr>
            <w:tcW w:w="965" w:type="pct"/>
            <w:vMerge/>
          </w:tcPr>
          <w:p w14:paraId="498A0E93" w14:textId="77777777" w:rsidR="00687CEB" w:rsidRPr="007C488A" w:rsidRDefault="00687CEB" w:rsidP="00F54EE3">
            <w:pPr>
              <w:keepNext/>
              <w:spacing w:before="40" w:after="40" w:line="240" w:lineRule="auto"/>
              <w:rPr>
                <w:rFonts w:ascii="Arial Narrow" w:hAnsi="Arial Narrow"/>
                <w:sz w:val="20"/>
              </w:rPr>
            </w:pPr>
          </w:p>
        </w:tc>
        <w:tc>
          <w:tcPr>
            <w:tcW w:w="2905" w:type="pct"/>
          </w:tcPr>
          <w:p w14:paraId="505DEFE6" w14:textId="77777777"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Battery replacement</w:t>
            </w:r>
          </w:p>
        </w:tc>
        <w:tc>
          <w:tcPr>
            <w:tcW w:w="1130" w:type="pct"/>
          </w:tcPr>
          <w:p w14:paraId="3EC923DF" w14:textId="77777777"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$4,592.00</w:t>
            </w:r>
          </w:p>
        </w:tc>
      </w:tr>
      <w:tr w:rsidR="00687CEB" w:rsidRPr="007C488A" w14:paraId="384137F8" w14:textId="77777777" w:rsidTr="007D1A1F">
        <w:trPr>
          <w:trHeight w:val="195"/>
          <w:tblHeader/>
        </w:trPr>
        <w:tc>
          <w:tcPr>
            <w:tcW w:w="965" w:type="pct"/>
            <w:vMerge/>
          </w:tcPr>
          <w:p w14:paraId="68331FF4" w14:textId="77777777" w:rsidR="00687CEB" w:rsidRPr="007C488A" w:rsidRDefault="00687CEB" w:rsidP="00F54EE3">
            <w:pPr>
              <w:keepNext/>
              <w:spacing w:before="40" w:after="40" w:line="240" w:lineRule="auto"/>
              <w:rPr>
                <w:rFonts w:ascii="Arial Narrow" w:hAnsi="Arial Narrow"/>
                <w:sz w:val="20"/>
              </w:rPr>
            </w:pPr>
          </w:p>
        </w:tc>
        <w:tc>
          <w:tcPr>
            <w:tcW w:w="2905" w:type="pct"/>
          </w:tcPr>
          <w:p w14:paraId="0C5DD2DF" w14:textId="2124663A"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Total</w:t>
            </w:r>
          </w:p>
        </w:tc>
        <w:tc>
          <w:tcPr>
            <w:tcW w:w="1130" w:type="pct"/>
          </w:tcPr>
          <w:p w14:paraId="066F78D3" w14:textId="276E3183" w:rsidR="00687CEB" w:rsidRPr="007C488A" w:rsidRDefault="00687CEB" w:rsidP="00F54EE3">
            <w:pPr>
              <w:keepNext/>
              <w:spacing w:before="40" w:after="40" w:line="240" w:lineRule="auto"/>
              <w:rPr>
                <w:rFonts w:ascii="Arial Narrow" w:hAnsi="Arial Narrow"/>
                <w:sz w:val="20"/>
              </w:rPr>
            </w:pPr>
            <w:r w:rsidRPr="007C488A">
              <w:rPr>
                <w:rFonts w:ascii="Arial Narrow" w:hAnsi="Arial Narrow"/>
                <w:sz w:val="20"/>
              </w:rPr>
              <w:t>$</w:t>
            </w:r>
            <w:r w:rsidR="00501624" w:rsidRPr="007C488A">
              <w:rPr>
                <w:rFonts w:ascii="Arial Narrow" w:hAnsi="Arial Narrow"/>
                <w:b/>
                <w:bCs/>
                <w:sz w:val="20"/>
              </w:rPr>
              <w:t>redacted</w:t>
            </w:r>
          </w:p>
        </w:tc>
      </w:tr>
    </w:tbl>
    <w:p w14:paraId="6221CA7C" w14:textId="77777777" w:rsidR="0021451F" w:rsidRPr="007C488A" w:rsidRDefault="0021451F" w:rsidP="0021451F">
      <w:pPr>
        <w:pStyle w:val="Tablenotes0"/>
        <w:rPr>
          <w:snapToGrid w:val="0"/>
        </w:rPr>
      </w:pPr>
      <w:r w:rsidRPr="007C488A">
        <w:t xml:space="preserve">Source: </w:t>
      </w:r>
      <w:r w:rsidRPr="007C488A">
        <w:rPr>
          <w:snapToGrid w:val="0"/>
        </w:rPr>
        <w:t>Table 81, p265 of the MSAC 1749 ADAR+ in-line commentary</w:t>
      </w:r>
    </w:p>
    <w:p w14:paraId="5E5C6D52" w14:textId="1E4AD7CC" w:rsidR="0021451F" w:rsidRPr="007C488A" w:rsidRDefault="0021451F" w:rsidP="0021451F">
      <w:pPr>
        <w:pStyle w:val="Tablenotes0"/>
      </w:pPr>
      <w:r w:rsidRPr="007C488A">
        <w:t>Abbreviations: LVAD = left ventricular assist device; OMM=Optimum medical management; MBS = Medicare benefit schedule; PBS = Pharmaceutical benefit schedule</w:t>
      </w:r>
    </w:p>
    <w:p w14:paraId="4D4C7F75" w14:textId="787DAA58" w:rsidR="00A624E3" w:rsidRPr="007C488A" w:rsidRDefault="00A624E3" w:rsidP="007D1A1F">
      <w:pPr>
        <w:pStyle w:val="Tablenotes0"/>
      </w:pPr>
      <w:r w:rsidRPr="007C488A">
        <w:t>Notes:</w:t>
      </w:r>
      <w:r w:rsidR="009E37D6" w:rsidRPr="007C488A">
        <w:t xml:space="preserve"> </w:t>
      </w:r>
      <w:proofErr w:type="gramStart"/>
      <w:r w:rsidR="009E37D6" w:rsidRPr="007C488A">
        <w:rPr>
          <w:vertAlign w:val="superscript"/>
        </w:rPr>
        <w:t>a</w:t>
      </w:r>
      <w:proofErr w:type="gramEnd"/>
      <w:r w:rsidR="009E37D6" w:rsidRPr="007C488A">
        <w:rPr>
          <w:vertAlign w:val="superscript"/>
        </w:rPr>
        <w:t xml:space="preserve"> </w:t>
      </w:r>
      <w:r w:rsidR="009E37D6" w:rsidRPr="007C488A">
        <w:t xml:space="preserve">This cost includes </w:t>
      </w:r>
      <w:r w:rsidR="00D94472" w:rsidRPr="007C488A">
        <w:t>the LVAD device cost</w:t>
      </w:r>
      <w:r w:rsidR="00245544" w:rsidRPr="007C488A">
        <w:t xml:space="preserve"> and the </w:t>
      </w:r>
      <w:r w:rsidR="009E37D6" w:rsidRPr="007C488A">
        <w:t xml:space="preserve">‘consumables’ component </w:t>
      </w:r>
      <w:r w:rsidR="00245544" w:rsidRPr="007C488A">
        <w:t xml:space="preserve">itemised </w:t>
      </w:r>
      <w:r w:rsidR="009E37D6" w:rsidRPr="007C488A">
        <w:t>in Prichard.</w:t>
      </w:r>
    </w:p>
    <w:p w14:paraId="42574E2C" w14:textId="09F2DD00" w:rsidR="00EB2081" w:rsidRPr="007C488A" w:rsidRDefault="00EB2081" w:rsidP="00EB2081">
      <w:pPr>
        <w:jc w:val="both"/>
        <w:rPr>
          <w:rFonts w:cstheme="minorHAnsi"/>
        </w:rPr>
      </w:pPr>
      <w:r w:rsidRPr="007C488A">
        <w:t xml:space="preserve">The financial implications to the MBS resulting from the proposed listing of LVAD are summarised in </w:t>
      </w:r>
      <w:r w:rsidR="00E17863" w:rsidRPr="007C488A">
        <w:fldChar w:fldCharType="begin"/>
      </w:r>
      <w:r w:rsidR="00E17863" w:rsidRPr="007C488A">
        <w:instrText xml:space="preserve"> REF _Ref155364788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17</w:t>
      </w:r>
      <w:r w:rsidR="00E17863" w:rsidRPr="007C488A">
        <w:fldChar w:fldCharType="end"/>
      </w:r>
      <w:r w:rsidRPr="007C488A">
        <w:t>. The estimated total cost of LVAD as DT to MBS is $</w:t>
      </w:r>
      <w:r w:rsidR="003D7087" w:rsidRPr="007C488A">
        <w:rPr>
          <w:b/>
          <w:bCs/>
        </w:rPr>
        <w:t>redacted</w:t>
      </w:r>
      <w:r w:rsidRPr="007C488A">
        <w:t xml:space="preserve"> and to private health insurers is $</w:t>
      </w:r>
      <w:r w:rsidR="001C5283" w:rsidRPr="007C488A">
        <w:rPr>
          <w:b/>
          <w:bCs/>
        </w:rPr>
        <w:t>redacted</w:t>
      </w:r>
      <w:r w:rsidRPr="007C488A">
        <w:t xml:space="preserve"> in year 6 after listing.</w:t>
      </w:r>
    </w:p>
    <w:p w14:paraId="2A5EC8E0" w14:textId="389A3C0E" w:rsidR="00EB2081" w:rsidRPr="007C488A" w:rsidRDefault="00EB2081" w:rsidP="00FE6DA8">
      <w:pPr>
        <w:pStyle w:val="Caption"/>
      </w:pPr>
      <w:bookmarkStart w:id="70" w:name="_Ref155364788"/>
      <w:r w:rsidRPr="007C488A">
        <w:t xml:space="preserve">Table </w:t>
      </w:r>
      <w:r w:rsidRPr="007C488A">
        <w:fldChar w:fldCharType="begin"/>
      </w:r>
      <w:r w:rsidRPr="007C488A">
        <w:instrText>SEQ Table \* ARABIC</w:instrText>
      </w:r>
      <w:r w:rsidRPr="007C488A">
        <w:fldChar w:fldCharType="separate"/>
      </w:r>
      <w:r w:rsidR="00406484" w:rsidRPr="007C488A">
        <w:rPr>
          <w:noProof/>
        </w:rPr>
        <w:t>17</w:t>
      </w:r>
      <w:r w:rsidRPr="007C488A">
        <w:fldChar w:fldCharType="end"/>
      </w:r>
      <w:bookmarkEnd w:id="70"/>
      <w:r w:rsidR="00886AD7" w:rsidRPr="007C488A">
        <w:rPr>
          <w:noProof/>
        </w:rPr>
        <w:t xml:space="preserve">: </w:t>
      </w:r>
      <w:bookmarkStart w:id="71" w:name="_Hlk152174810"/>
      <w:r w:rsidRPr="007C488A">
        <w:t>Financial implications for the government health budget of LVAD as DT</w:t>
      </w:r>
      <w:bookmarkEnd w:id="7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86"/>
        <w:gridCol w:w="1087"/>
        <w:gridCol w:w="1087"/>
        <w:gridCol w:w="1086"/>
        <w:gridCol w:w="1087"/>
        <w:gridCol w:w="1087"/>
      </w:tblGrid>
      <w:tr w:rsidR="00EB2081" w:rsidRPr="007C488A" w14:paraId="69FC597F" w14:textId="77777777" w:rsidTr="007D1A1F">
        <w:trPr>
          <w:trHeight w:val="512"/>
        </w:trPr>
        <w:tc>
          <w:tcPr>
            <w:tcW w:w="2547" w:type="dxa"/>
            <w:hideMark/>
          </w:tcPr>
          <w:p w14:paraId="114CF984" w14:textId="77777777" w:rsidR="00EB2081" w:rsidRPr="007C488A" w:rsidRDefault="00EB2081" w:rsidP="00EB2081">
            <w:pPr>
              <w:spacing w:before="40" w:after="40" w:line="240" w:lineRule="auto"/>
              <w:rPr>
                <w:rFonts w:ascii="Arial Narrow" w:hAnsi="Arial Narrow"/>
                <w:b/>
                <w:bCs/>
                <w:sz w:val="20"/>
              </w:rPr>
            </w:pPr>
            <w:r w:rsidRPr="007C488A">
              <w:rPr>
                <w:rFonts w:ascii="Arial Narrow" w:hAnsi="Arial Narrow"/>
                <w:b/>
                <w:bCs/>
                <w:sz w:val="20"/>
              </w:rPr>
              <w:t>Parameter</w:t>
            </w:r>
          </w:p>
        </w:tc>
        <w:tc>
          <w:tcPr>
            <w:tcW w:w="1086" w:type="dxa"/>
            <w:hideMark/>
          </w:tcPr>
          <w:p w14:paraId="510D0303" w14:textId="77777777" w:rsidR="00EB2081" w:rsidRPr="007C488A" w:rsidRDefault="00EB2081" w:rsidP="007D1A1F">
            <w:pPr>
              <w:spacing w:before="40" w:after="40" w:line="240" w:lineRule="auto"/>
              <w:jc w:val="center"/>
              <w:rPr>
                <w:rFonts w:ascii="Arial Narrow" w:hAnsi="Arial Narrow"/>
                <w:b/>
                <w:bCs/>
                <w:sz w:val="20"/>
              </w:rPr>
            </w:pPr>
            <w:r w:rsidRPr="007C488A">
              <w:rPr>
                <w:rFonts w:ascii="Arial Narrow" w:hAnsi="Arial Narrow"/>
                <w:b/>
                <w:bCs/>
                <w:sz w:val="20"/>
              </w:rPr>
              <w:t>Year 1 (2024)</w:t>
            </w:r>
          </w:p>
        </w:tc>
        <w:tc>
          <w:tcPr>
            <w:tcW w:w="1087" w:type="dxa"/>
            <w:hideMark/>
          </w:tcPr>
          <w:p w14:paraId="7B395D8F" w14:textId="77777777" w:rsidR="00EB2081" w:rsidRPr="007C488A" w:rsidRDefault="00EB2081" w:rsidP="007D1A1F">
            <w:pPr>
              <w:spacing w:before="40" w:after="40" w:line="240" w:lineRule="auto"/>
              <w:jc w:val="center"/>
              <w:rPr>
                <w:rFonts w:ascii="Arial Narrow" w:hAnsi="Arial Narrow"/>
                <w:b/>
                <w:bCs/>
                <w:sz w:val="20"/>
              </w:rPr>
            </w:pPr>
            <w:r w:rsidRPr="007C488A">
              <w:rPr>
                <w:rFonts w:ascii="Arial Narrow" w:hAnsi="Arial Narrow"/>
                <w:b/>
                <w:bCs/>
                <w:sz w:val="20"/>
              </w:rPr>
              <w:t>Year 2 (2025)</w:t>
            </w:r>
          </w:p>
        </w:tc>
        <w:tc>
          <w:tcPr>
            <w:tcW w:w="1087" w:type="dxa"/>
            <w:hideMark/>
          </w:tcPr>
          <w:p w14:paraId="62C71E20" w14:textId="77777777" w:rsidR="00EB2081" w:rsidRPr="007C488A" w:rsidRDefault="00EB2081" w:rsidP="007D1A1F">
            <w:pPr>
              <w:spacing w:before="40" w:after="40" w:line="240" w:lineRule="auto"/>
              <w:jc w:val="center"/>
              <w:rPr>
                <w:rFonts w:ascii="Arial Narrow" w:hAnsi="Arial Narrow"/>
                <w:b/>
                <w:bCs/>
                <w:sz w:val="20"/>
              </w:rPr>
            </w:pPr>
            <w:r w:rsidRPr="007C488A">
              <w:rPr>
                <w:rFonts w:ascii="Arial Narrow" w:hAnsi="Arial Narrow"/>
                <w:b/>
                <w:bCs/>
                <w:sz w:val="20"/>
              </w:rPr>
              <w:t>Year 3 (2026)</w:t>
            </w:r>
          </w:p>
        </w:tc>
        <w:tc>
          <w:tcPr>
            <w:tcW w:w="1086" w:type="dxa"/>
            <w:hideMark/>
          </w:tcPr>
          <w:p w14:paraId="0BDB901D" w14:textId="77777777" w:rsidR="00EB2081" w:rsidRPr="007C488A" w:rsidRDefault="00EB2081" w:rsidP="007D1A1F">
            <w:pPr>
              <w:spacing w:before="40" w:after="40" w:line="240" w:lineRule="auto"/>
              <w:jc w:val="center"/>
              <w:rPr>
                <w:rFonts w:ascii="Arial Narrow" w:hAnsi="Arial Narrow"/>
                <w:b/>
                <w:bCs/>
                <w:sz w:val="20"/>
              </w:rPr>
            </w:pPr>
            <w:r w:rsidRPr="007C488A">
              <w:rPr>
                <w:rFonts w:ascii="Arial Narrow" w:hAnsi="Arial Narrow"/>
                <w:b/>
                <w:bCs/>
                <w:sz w:val="20"/>
              </w:rPr>
              <w:t>Year 4 (2027)</w:t>
            </w:r>
          </w:p>
        </w:tc>
        <w:tc>
          <w:tcPr>
            <w:tcW w:w="1087" w:type="dxa"/>
            <w:hideMark/>
          </w:tcPr>
          <w:p w14:paraId="01345DE3" w14:textId="77777777" w:rsidR="00EB2081" w:rsidRPr="007C488A" w:rsidRDefault="00EB2081" w:rsidP="007D1A1F">
            <w:pPr>
              <w:spacing w:before="40" w:after="40" w:line="240" w:lineRule="auto"/>
              <w:jc w:val="center"/>
              <w:rPr>
                <w:rFonts w:ascii="Arial Narrow" w:hAnsi="Arial Narrow"/>
                <w:b/>
                <w:bCs/>
                <w:sz w:val="20"/>
              </w:rPr>
            </w:pPr>
            <w:r w:rsidRPr="007C488A">
              <w:rPr>
                <w:rFonts w:ascii="Arial Narrow" w:hAnsi="Arial Narrow"/>
                <w:b/>
                <w:bCs/>
                <w:sz w:val="20"/>
              </w:rPr>
              <w:t>Year 5 (2028)</w:t>
            </w:r>
          </w:p>
        </w:tc>
        <w:tc>
          <w:tcPr>
            <w:tcW w:w="1087" w:type="dxa"/>
            <w:hideMark/>
          </w:tcPr>
          <w:p w14:paraId="51028D87" w14:textId="77777777" w:rsidR="00EB2081" w:rsidRPr="007C488A" w:rsidRDefault="00EB2081" w:rsidP="007D1A1F">
            <w:pPr>
              <w:spacing w:before="40" w:after="40" w:line="240" w:lineRule="auto"/>
              <w:jc w:val="center"/>
              <w:rPr>
                <w:rFonts w:ascii="Arial Narrow" w:hAnsi="Arial Narrow"/>
                <w:b/>
                <w:bCs/>
                <w:sz w:val="20"/>
              </w:rPr>
            </w:pPr>
            <w:r w:rsidRPr="007C488A">
              <w:rPr>
                <w:rFonts w:ascii="Arial Narrow" w:hAnsi="Arial Narrow"/>
                <w:b/>
                <w:bCs/>
                <w:sz w:val="20"/>
              </w:rPr>
              <w:t>Year 6 (2029)</w:t>
            </w:r>
          </w:p>
        </w:tc>
      </w:tr>
      <w:tr w:rsidR="00EB2081" w:rsidRPr="007C488A" w14:paraId="059DEB76" w14:textId="77777777" w:rsidTr="007D1A1F">
        <w:trPr>
          <w:trHeight w:val="301"/>
        </w:trPr>
        <w:tc>
          <w:tcPr>
            <w:tcW w:w="2547" w:type="dxa"/>
            <w:vAlign w:val="center"/>
            <w:hideMark/>
          </w:tcPr>
          <w:p w14:paraId="11024032" w14:textId="77777777" w:rsidR="00EB2081" w:rsidRPr="007C488A" w:rsidRDefault="00EB2081" w:rsidP="00EB2081">
            <w:pPr>
              <w:spacing w:before="40" w:after="40" w:line="240" w:lineRule="auto"/>
              <w:rPr>
                <w:rFonts w:ascii="Arial Narrow" w:hAnsi="Arial Narrow"/>
                <w:sz w:val="20"/>
              </w:rPr>
            </w:pPr>
            <w:r w:rsidRPr="007C488A">
              <w:rPr>
                <w:rFonts w:ascii="Arial Narrow" w:hAnsi="Arial Narrow"/>
                <w:sz w:val="20"/>
              </w:rPr>
              <w:t xml:space="preserve">Number of LVAD procedures reimbursed on the MBS for DT </w:t>
            </w:r>
          </w:p>
        </w:tc>
        <w:tc>
          <w:tcPr>
            <w:tcW w:w="1086" w:type="dxa"/>
          </w:tcPr>
          <w:p w14:paraId="1E657696" w14:textId="003E91C3" w:rsidR="00EB2081" w:rsidRPr="007C488A" w:rsidRDefault="00A575A8" w:rsidP="007D1A1F">
            <w:pPr>
              <w:spacing w:before="40" w:after="40" w:line="240" w:lineRule="auto"/>
              <w:jc w:val="center"/>
              <w:rPr>
                <w:rFonts w:ascii="Arial Narrow" w:hAnsi="Arial Narrow"/>
                <w:sz w:val="20"/>
              </w:rPr>
            </w:pPr>
            <w:r w:rsidRPr="007C488A">
              <w:rPr>
                <w:rFonts w:ascii="Arial Narrow" w:hAnsi="Arial Narrow"/>
                <w:b/>
                <w:bCs/>
                <w:sz w:val="20"/>
              </w:rPr>
              <w:t>redacted</w:t>
            </w:r>
          </w:p>
        </w:tc>
        <w:tc>
          <w:tcPr>
            <w:tcW w:w="1087" w:type="dxa"/>
          </w:tcPr>
          <w:p w14:paraId="358329B7" w14:textId="15315763" w:rsidR="00EB2081" w:rsidRPr="007C488A" w:rsidRDefault="00A575A8" w:rsidP="007D1A1F">
            <w:pPr>
              <w:spacing w:before="40" w:after="40" w:line="240" w:lineRule="auto"/>
              <w:jc w:val="center"/>
              <w:rPr>
                <w:rFonts w:ascii="Arial Narrow" w:hAnsi="Arial Narrow"/>
                <w:sz w:val="20"/>
              </w:rPr>
            </w:pPr>
            <w:r w:rsidRPr="007C488A">
              <w:rPr>
                <w:rFonts w:ascii="Arial Narrow" w:hAnsi="Arial Narrow"/>
                <w:b/>
                <w:bCs/>
                <w:sz w:val="20"/>
              </w:rPr>
              <w:t>redacted</w:t>
            </w:r>
          </w:p>
        </w:tc>
        <w:tc>
          <w:tcPr>
            <w:tcW w:w="1087" w:type="dxa"/>
          </w:tcPr>
          <w:p w14:paraId="03E4276D" w14:textId="7A895489" w:rsidR="00EB2081" w:rsidRPr="007C488A" w:rsidRDefault="00A575A8" w:rsidP="007D1A1F">
            <w:pPr>
              <w:spacing w:before="40" w:after="40" w:line="240" w:lineRule="auto"/>
              <w:jc w:val="center"/>
              <w:rPr>
                <w:rFonts w:ascii="Arial Narrow" w:hAnsi="Arial Narrow"/>
                <w:sz w:val="20"/>
              </w:rPr>
            </w:pPr>
            <w:r w:rsidRPr="007C488A">
              <w:rPr>
                <w:rFonts w:ascii="Arial Narrow" w:hAnsi="Arial Narrow"/>
                <w:b/>
                <w:bCs/>
                <w:sz w:val="20"/>
              </w:rPr>
              <w:t>redacted</w:t>
            </w:r>
          </w:p>
        </w:tc>
        <w:tc>
          <w:tcPr>
            <w:tcW w:w="1086" w:type="dxa"/>
          </w:tcPr>
          <w:p w14:paraId="62C9412F" w14:textId="383CB5E9" w:rsidR="00EB2081" w:rsidRPr="007C488A" w:rsidRDefault="00A575A8" w:rsidP="007D1A1F">
            <w:pPr>
              <w:spacing w:before="40" w:after="40" w:line="240" w:lineRule="auto"/>
              <w:jc w:val="center"/>
              <w:rPr>
                <w:rFonts w:ascii="Arial Narrow" w:hAnsi="Arial Narrow"/>
                <w:sz w:val="20"/>
              </w:rPr>
            </w:pPr>
            <w:r w:rsidRPr="007C488A">
              <w:rPr>
                <w:rFonts w:ascii="Arial Narrow" w:hAnsi="Arial Narrow"/>
                <w:b/>
                <w:bCs/>
                <w:sz w:val="20"/>
              </w:rPr>
              <w:t>redacted</w:t>
            </w:r>
          </w:p>
        </w:tc>
        <w:tc>
          <w:tcPr>
            <w:tcW w:w="1087" w:type="dxa"/>
          </w:tcPr>
          <w:p w14:paraId="5DD697F1" w14:textId="34A826D3" w:rsidR="00EB2081" w:rsidRPr="007C488A" w:rsidRDefault="00A575A8" w:rsidP="007D1A1F">
            <w:pPr>
              <w:spacing w:before="40" w:after="40" w:line="240" w:lineRule="auto"/>
              <w:jc w:val="center"/>
              <w:rPr>
                <w:rFonts w:ascii="Arial Narrow" w:hAnsi="Arial Narrow"/>
                <w:sz w:val="20"/>
              </w:rPr>
            </w:pPr>
            <w:r w:rsidRPr="007C488A">
              <w:rPr>
                <w:rFonts w:ascii="Arial Narrow" w:hAnsi="Arial Narrow"/>
                <w:b/>
                <w:bCs/>
                <w:sz w:val="20"/>
              </w:rPr>
              <w:t>redacted</w:t>
            </w:r>
          </w:p>
        </w:tc>
        <w:tc>
          <w:tcPr>
            <w:tcW w:w="1087" w:type="dxa"/>
          </w:tcPr>
          <w:p w14:paraId="0C8FD9A9" w14:textId="0EA44F7F" w:rsidR="00EB2081" w:rsidRPr="007C488A" w:rsidRDefault="00A575A8" w:rsidP="007D1A1F">
            <w:pPr>
              <w:spacing w:before="40" w:after="40" w:line="240" w:lineRule="auto"/>
              <w:jc w:val="center"/>
              <w:rPr>
                <w:rFonts w:ascii="Arial Narrow" w:hAnsi="Arial Narrow"/>
                <w:sz w:val="20"/>
              </w:rPr>
            </w:pPr>
            <w:r w:rsidRPr="007C488A">
              <w:rPr>
                <w:rFonts w:ascii="Arial Narrow" w:hAnsi="Arial Narrow"/>
                <w:b/>
                <w:bCs/>
                <w:sz w:val="20"/>
              </w:rPr>
              <w:t>redacted</w:t>
            </w:r>
          </w:p>
        </w:tc>
      </w:tr>
      <w:tr w:rsidR="00EB2081" w:rsidRPr="007C488A" w14:paraId="4164BD66" w14:textId="77777777" w:rsidTr="007D1A1F">
        <w:trPr>
          <w:trHeight w:val="301"/>
        </w:trPr>
        <w:tc>
          <w:tcPr>
            <w:tcW w:w="2547" w:type="dxa"/>
            <w:vAlign w:val="center"/>
            <w:hideMark/>
          </w:tcPr>
          <w:p w14:paraId="165EB0C9" w14:textId="77777777" w:rsidR="00EB2081" w:rsidRPr="007C488A" w:rsidRDefault="00EB2081" w:rsidP="00EB2081">
            <w:pPr>
              <w:spacing w:before="40" w:after="40" w:line="240" w:lineRule="auto"/>
              <w:rPr>
                <w:rFonts w:ascii="Arial Narrow" w:hAnsi="Arial Narrow"/>
                <w:sz w:val="20"/>
              </w:rPr>
            </w:pPr>
            <w:r w:rsidRPr="007C488A">
              <w:rPr>
                <w:rFonts w:ascii="Arial Narrow" w:hAnsi="Arial Narrow"/>
                <w:sz w:val="20"/>
              </w:rPr>
              <w:t>Total cost to the MBS</w:t>
            </w:r>
          </w:p>
        </w:tc>
        <w:tc>
          <w:tcPr>
            <w:tcW w:w="1086" w:type="dxa"/>
            <w:hideMark/>
          </w:tcPr>
          <w:p w14:paraId="49B0DB39" w14:textId="52818997"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20D6E922" w14:textId="1CC54298"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6FBA8581" w14:textId="03AB5198"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6" w:type="dxa"/>
            <w:hideMark/>
          </w:tcPr>
          <w:p w14:paraId="61A0A2FE" w14:textId="49C6D885"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6A99D14C" w14:textId="5CFA925E"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29FF4773" w14:textId="3C6343A7"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r>
      <w:tr w:rsidR="00EB2081" w:rsidRPr="007C488A" w14:paraId="2A6172D0" w14:textId="77777777" w:rsidTr="007D1A1F">
        <w:trPr>
          <w:trHeight w:val="301"/>
        </w:trPr>
        <w:tc>
          <w:tcPr>
            <w:tcW w:w="2547" w:type="dxa"/>
            <w:vAlign w:val="center"/>
          </w:tcPr>
          <w:p w14:paraId="50C2DBDA" w14:textId="77777777" w:rsidR="00EB2081" w:rsidRPr="007C488A" w:rsidRDefault="00EB2081" w:rsidP="00EB2081">
            <w:pPr>
              <w:spacing w:before="40" w:after="40" w:line="240" w:lineRule="auto"/>
              <w:rPr>
                <w:rFonts w:ascii="Arial Narrow" w:hAnsi="Arial Narrow"/>
                <w:sz w:val="20"/>
              </w:rPr>
            </w:pPr>
            <w:r w:rsidRPr="007C488A">
              <w:rPr>
                <w:rFonts w:ascii="Arial Narrow" w:hAnsi="Arial Narrow"/>
                <w:sz w:val="20"/>
              </w:rPr>
              <w:t>Total cost to the PBS</w:t>
            </w:r>
          </w:p>
        </w:tc>
        <w:tc>
          <w:tcPr>
            <w:tcW w:w="1086" w:type="dxa"/>
          </w:tcPr>
          <w:p w14:paraId="5E792651" w14:textId="4285E4FC"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tcPr>
          <w:p w14:paraId="68BFCF62" w14:textId="30CCFC65"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tcPr>
          <w:p w14:paraId="2183DA44" w14:textId="504CDE25"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6" w:type="dxa"/>
          </w:tcPr>
          <w:p w14:paraId="5A591940" w14:textId="502F6449"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tcPr>
          <w:p w14:paraId="272A8F15" w14:textId="54BB36E3"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tcPr>
          <w:p w14:paraId="26BFE283" w14:textId="6B65FEFC"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r>
      <w:tr w:rsidR="00EB2081" w:rsidRPr="007C488A" w14:paraId="017C1AEB" w14:textId="77777777" w:rsidTr="007D1A1F">
        <w:trPr>
          <w:trHeight w:val="301"/>
        </w:trPr>
        <w:tc>
          <w:tcPr>
            <w:tcW w:w="2547" w:type="dxa"/>
            <w:vAlign w:val="center"/>
            <w:hideMark/>
          </w:tcPr>
          <w:p w14:paraId="777E6A61" w14:textId="77777777" w:rsidR="00EB2081" w:rsidRPr="007C488A" w:rsidRDefault="00EB2081" w:rsidP="00EB2081">
            <w:pPr>
              <w:spacing w:before="40" w:after="40" w:line="240" w:lineRule="auto"/>
              <w:rPr>
                <w:rFonts w:ascii="Arial Narrow" w:hAnsi="Arial Narrow"/>
                <w:sz w:val="20"/>
                <w:szCs w:val="20"/>
              </w:rPr>
            </w:pPr>
            <w:r w:rsidRPr="007C488A">
              <w:rPr>
                <w:rFonts w:ascii="Arial Narrow" w:hAnsi="Arial Narrow"/>
                <w:sz w:val="20"/>
                <w:szCs w:val="20"/>
              </w:rPr>
              <w:t>Total cost to private health funds</w:t>
            </w:r>
          </w:p>
        </w:tc>
        <w:tc>
          <w:tcPr>
            <w:tcW w:w="1086" w:type="dxa"/>
            <w:hideMark/>
          </w:tcPr>
          <w:p w14:paraId="47C3FCC1" w14:textId="742239F5"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44C45925" w14:textId="6D54CCE4"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3B9CC2E6" w14:textId="4AD42823"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6" w:type="dxa"/>
            <w:hideMark/>
          </w:tcPr>
          <w:p w14:paraId="07EDBEF6" w14:textId="71254AD6"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46C388D5" w14:textId="68908BBD" w:rsidR="00EB2081" w:rsidRPr="007C488A" w:rsidRDefault="00EB2081" w:rsidP="007D1A1F">
            <w:pPr>
              <w:spacing w:before="40" w:after="40" w:line="240" w:lineRule="auto"/>
              <w:jc w:val="center"/>
              <w:rPr>
                <w:rFonts w:ascii="Arial Narrow" w:hAnsi="Arial Narrow"/>
                <w:sz w:val="20"/>
              </w:rPr>
            </w:pPr>
            <w:r w:rsidRPr="007C488A">
              <w:rPr>
                <w:rFonts w:ascii="Arial Narrow" w:hAnsi="Arial Narrow"/>
                <w:sz w:val="20"/>
              </w:rPr>
              <w:t>$</w:t>
            </w:r>
            <w:r w:rsidR="00A575A8" w:rsidRPr="007C488A">
              <w:rPr>
                <w:rFonts w:ascii="Arial Narrow" w:hAnsi="Arial Narrow"/>
                <w:b/>
                <w:bCs/>
                <w:sz w:val="20"/>
              </w:rPr>
              <w:t>redacted</w:t>
            </w:r>
          </w:p>
        </w:tc>
        <w:tc>
          <w:tcPr>
            <w:tcW w:w="1087" w:type="dxa"/>
            <w:hideMark/>
          </w:tcPr>
          <w:p w14:paraId="56652653" w14:textId="6E30F92B" w:rsidR="00EB2081" w:rsidRPr="007C488A" w:rsidRDefault="00EB2081" w:rsidP="007D1A1F">
            <w:pPr>
              <w:spacing w:before="40" w:after="40" w:line="240" w:lineRule="auto"/>
              <w:jc w:val="center"/>
              <w:rPr>
                <w:rFonts w:ascii="Arial Narrow" w:hAnsi="Arial Narrow"/>
                <w:sz w:val="20"/>
                <w:szCs w:val="20"/>
              </w:rPr>
            </w:pPr>
            <w:r w:rsidRPr="007C488A">
              <w:rPr>
                <w:rFonts w:ascii="Arial Narrow" w:hAnsi="Arial Narrow"/>
                <w:sz w:val="20"/>
                <w:szCs w:val="20"/>
              </w:rPr>
              <w:t>$</w:t>
            </w:r>
            <w:r w:rsidR="00A575A8" w:rsidRPr="007C488A">
              <w:rPr>
                <w:rFonts w:ascii="Arial Narrow" w:hAnsi="Arial Narrow"/>
                <w:b/>
                <w:bCs/>
                <w:sz w:val="20"/>
              </w:rPr>
              <w:t>redacted</w:t>
            </w:r>
          </w:p>
        </w:tc>
      </w:tr>
    </w:tbl>
    <w:p w14:paraId="1A840347" w14:textId="02C0DE44" w:rsidR="00405E75" w:rsidRPr="007C488A" w:rsidRDefault="00EB2081" w:rsidP="007D1A1F">
      <w:pPr>
        <w:pStyle w:val="Tablenotes0"/>
      </w:pPr>
      <w:bookmarkStart w:id="72" w:name="_Hlk155365881"/>
      <w:r w:rsidRPr="007C488A">
        <w:rPr>
          <w:snapToGrid w:val="0"/>
        </w:rPr>
        <w:t xml:space="preserve">Source: Table 83, </w:t>
      </w:r>
      <w:r w:rsidR="00886AD7" w:rsidRPr="007C488A">
        <w:rPr>
          <w:snapToGrid w:val="0"/>
        </w:rPr>
        <w:t xml:space="preserve">p267 </w:t>
      </w:r>
      <w:r w:rsidRPr="007C488A">
        <w:rPr>
          <w:snapToGrid w:val="0"/>
        </w:rPr>
        <w:t xml:space="preserve">of </w:t>
      </w:r>
      <w:r w:rsidR="00FF43D6" w:rsidRPr="007C488A">
        <w:rPr>
          <w:snapToGrid w:val="0"/>
        </w:rPr>
        <w:t>MSAC 1749 ADAR+ in-line commentary</w:t>
      </w:r>
      <w:r w:rsidR="00886AD7" w:rsidRPr="007C488A">
        <w:rPr>
          <w:snapToGrid w:val="0"/>
        </w:rPr>
        <w:t xml:space="preserve"> </w:t>
      </w:r>
      <w:r w:rsidRPr="007C488A">
        <w:rPr>
          <w:rFonts w:eastAsia="Calibri"/>
          <w:snapToGrid w:val="0"/>
        </w:rPr>
        <w:t>Abbreviations: DT = Destination therapy; LVAD = left ventricular assist device</w:t>
      </w:r>
      <w:r w:rsidR="0021451F" w:rsidRPr="007C488A">
        <w:rPr>
          <w:rFonts w:eastAsia="Calibri"/>
          <w:snapToGrid w:val="0"/>
        </w:rPr>
        <w:t>;</w:t>
      </w:r>
      <w:r w:rsidRPr="007C488A">
        <w:rPr>
          <w:rFonts w:eastAsia="Calibri"/>
          <w:snapToGrid w:val="0"/>
        </w:rPr>
        <w:t xml:space="preserve"> MBS = Medicare benefit schedule; PBS = Pharmaceutical benefit schedule</w:t>
      </w:r>
      <w:bookmarkEnd w:id="72"/>
    </w:p>
    <w:p w14:paraId="36C3AD5E" w14:textId="45E45F67" w:rsidR="00405E75" w:rsidRPr="007C488A" w:rsidRDefault="00405E75" w:rsidP="00EB2081">
      <w:pPr>
        <w:jc w:val="both"/>
        <w:rPr>
          <w:rStyle w:val="cf01"/>
          <w:rFonts w:ascii="Franklin Gothic Book" w:hAnsi="Franklin Gothic Book"/>
          <w:b/>
          <w:bCs/>
          <w:sz w:val="22"/>
          <w:szCs w:val="22"/>
        </w:rPr>
      </w:pPr>
      <w:r w:rsidRPr="007C488A">
        <w:rPr>
          <w:rStyle w:val="cf01"/>
          <w:rFonts w:ascii="Franklin Gothic Book" w:hAnsi="Franklin Gothic Book"/>
          <w:b/>
          <w:bCs/>
          <w:sz w:val="22"/>
          <w:szCs w:val="22"/>
        </w:rPr>
        <w:t>2) Expected number of LVAD procedures without capacity constraints in the Australian healthcare system.</w:t>
      </w:r>
    </w:p>
    <w:p w14:paraId="15078817" w14:textId="6244BE04" w:rsidR="00971E01" w:rsidRPr="007C488A" w:rsidRDefault="00821182">
      <w:pPr>
        <w:jc w:val="both"/>
      </w:pPr>
      <w:r w:rsidRPr="007C488A">
        <w:rPr>
          <w:rStyle w:val="cf01"/>
          <w:rFonts w:ascii="Franklin Gothic Book" w:hAnsi="Franklin Gothic Book"/>
          <w:sz w:val="22"/>
          <w:szCs w:val="22"/>
        </w:rPr>
        <w:t>The expected number of LVAD procedures without capacity constraints was inferred from the current MBS utilisation of LVAD as BTT/BTC</w:t>
      </w:r>
      <w:r w:rsidRPr="007C488A">
        <w:t xml:space="preserve"> between 2010 and 2022.</w:t>
      </w:r>
      <w:r w:rsidRPr="007C488A">
        <w:rPr>
          <w:rStyle w:val="cf01"/>
          <w:rFonts w:ascii="Franklin Gothic Book" w:hAnsi="Franklin Gothic Book"/>
          <w:sz w:val="22"/>
          <w:szCs w:val="22"/>
        </w:rPr>
        <w:t xml:space="preserve"> The rationale for this approach was that</w:t>
      </w:r>
      <w:r w:rsidRPr="007C488A">
        <w:t xml:space="preserve"> the LVAD is already in use and included in MBS data as BTT/BTC in the patients with advanced HF in Australia. </w:t>
      </w:r>
      <w:r w:rsidR="003629E5" w:rsidRPr="007C488A">
        <w:t>The ADAR</w:t>
      </w:r>
      <w:r w:rsidR="00405E75" w:rsidRPr="007C488A">
        <w:t xml:space="preserve"> assumed that all these procedures were LVAD rather than RVAD procedures for simplicity and given the low rates of RVAD implantation in the INTERMACS registry</w:t>
      </w:r>
      <w:r w:rsidRPr="007C488A">
        <w:t>.</w:t>
      </w:r>
      <w:r w:rsidR="00405E75" w:rsidRPr="007C488A">
        <w:t xml:space="preserve"> The rates of LVAD for BTT and BTC indications have remained relatively constant over the past 12 years with a moving average of 15 in the last 4 years. Thus, it </w:t>
      </w:r>
      <w:r w:rsidR="003629E5" w:rsidRPr="007C488A">
        <w:t xml:space="preserve">was </w:t>
      </w:r>
      <w:r w:rsidR="00405E75" w:rsidRPr="007C488A">
        <w:t>estimated that there are on average 15 patients receive an LVAD as BTT or BTC in Australia each year.</w:t>
      </w:r>
      <w:r w:rsidR="00971E01" w:rsidRPr="007C488A">
        <w:t xml:space="preserve"> The ADAR </w:t>
      </w:r>
      <w:r w:rsidR="00F42480" w:rsidRPr="007C488A">
        <w:t xml:space="preserve">assumed a </w:t>
      </w:r>
      <w:r w:rsidR="00A575A8" w:rsidRPr="007C488A">
        <w:rPr>
          <w:b/>
          <w:bCs/>
        </w:rPr>
        <w:t>redacted</w:t>
      </w:r>
      <w:r w:rsidR="00971E01" w:rsidRPr="007C488A">
        <w:t xml:space="preserve"> expected ratio of DT procedures relative to BTT and BTC procedures if there were no capacity constraints based on utilisation by device strategy in the INTERMACS registry (i.e., </w:t>
      </w:r>
      <w:r w:rsidR="00A575A8" w:rsidRPr="007C488A">
        <w:rPr>
          <w:b/>
          <w:bCs/>
        </w:rPr>
        <w:t>redacted</w:t>
      </w:r>
      <w:r w:rsidR="00971E01" w:rsidRPr="007C488A">
        <w:t xml:space="preserve">% DT, </w:t>
      </w:r>
      <w:r w:rsidR="00A575A8" w:rsidRPr="007C488A">
        <w:rPr>
          <w:b/>
          <w:bCs/>
        </w:rPr>
        <w:t>redacted</w:t>
      </w:r>
      <w:r w:rsidR="00971E01" w:rsidRPr="007C488A">
        <w:t xml:space="preserve">% BTT/BTC </w:t>
      </w:r>
      <w:r w:rsidR="006B758C" w:rsidRPr="007C488A">
        <w:t>during 2017</w:t>
      </w:r>
      <w:r w:rsidR="00971E01" w:rsidRPr="007C488A">
        <w:t xml:space="preserve">-2021). </w:t>
      </w:r>
    </w:p>
    <w:p w14:paraId="4FBB3CA9" w14:textId="7BA478DB" w:rsidR="00821182" w:rsidRPr="007C488A" w:rsidRDefault="00E17863">
      <w:pPr>
        <w:jc w:val="both"/>
      </w:pPr>
      <w:r w:rsidRPr="007C488A">
        <w:lastRenderedPageBreak/>
        <w:fldChar w:fldCharType="begin"/>
      </w:r>
      <w:r w:rsidRPr="007C488A">
        <w:instrText xml:space="preserve"> REF _Ref155365278 \h </w:instrText>
      </w:r>
      <w:r w:rsidR="007C488A">
        <w:instrText xml:space="preserve"> \* MERGEFORMAT </w:instrText>
      </w:r>
      <w:r w:rsidRPr="007C488A">
        <w:fldChar w:fldCharType="separate"/>
      </w:r>
      <w:r w:rsidR="00406484" w:rsidRPr="007C488A">
        <w:t xml:space="preserve">Table </w:t>
      </w:r>
      <w:r w:rsidR="00406484" w:rsidRPr="007C488A">
        <w:rPr>
          <w:noProof/>
        </w:rPr>
        <w:t>18</w:t>
      </w:r>
      <w:r w:rsidRPr="007C488A">
        <w:fldChar w:fldCharType="end"/>
      </w:r>
      <w:r w:rsidR="00821182" w:rsidRPr="007C488A">
        <w:t xml:space="preserve"> describes the expected number of LVAD procedures without accounting for capacity constraints in the Australian healthcare system. The ADAR did not apply gradual uptake as the sensitivity analysis is intended to reflect an upper estimate of utilisation.</w:t>
      </w:r>
      <w:r w:rsidR="00971E01" w:rsidRPr="007C488A">
        <w:t xml:space="preserve"> Of note, </w:t>
      </w:r>
      <w:r w:rsidR="00041FE8" w:rsidRPr="007C488A">
        <w:fldChar w:fldCharType="begin"/>
      </w:r>
      <w:r w:rsidR="00041FE8" w:rsidRPr="007C488A">
        <w:instrText xml:space="preserve"> REF _Ref155619297 \h </w:instrText>
      </w:r>
      <w:r w:rsidR="007C488A">
        <w:instrText xml:space="preserve"> \* MERGEFORMAT </w:instrText>
      </w:r>
      <w:r w:rsidR="00041FE8" w:rsidRPr="007C488A">
        <w:fldChar w:fldCharType="separate"/>
      </w:r>
      <w:r w:rsidR="00041FE8" w:rsidRPr="007C488A">
        <w:t xml:space="preserve">Table </w:t>
      </w:r>
      <w:r w:rsidR="00041FE8" w:rsidRPr="007C488A">
        <w:rPr>
          <w:noProof/>
        </w:rPr>
        <w:t>16</w:t>
      </w:r>
      <w:r w:rsidR="00041FE8" w:rsidRPr="007C488A">
        <w:fldChar w:fldCharType="end"/>
      </w:r>
      <w:r w:rsidR="00E21467" w:rsidRPr="007C488A">
        <w:t xml:space="preserve"> </w:t>
      </w:r>
      <w:r w:rsidR="00971E01" w:rsidRPr="007C488A">
        <w:t xml:space="preserve">cost applied in the financial estimates are similar to the cost applied </w:t>
      </w:r>
      <w:r w:rsidR="00BC0494" w:rsidRPr="007C488A">
        <w:t xml:space="preserve">to </w:t>
      </w:r>
      <w:r w:rsidR="00971E01" w:rsidRPr="007C488A">
        <w:t>calculate the financial estimates based on capacity constraints approach (</w:t>
      </w:r>
      <w:r w:rsidRPr="007C488A">
        <w:fldChar w:fldCharType="begin"/>
      </w:r>
      <w:r w:rsidRPr="007C488A">
        <w:instrText xml:space="preserve"> REF _Ref155619297 \h </w:instrText>
      </w:r>
      <w:r w:rsidR="007C488A">
        <w:instrText xml:space="preserve"> \* MERGEFORMAT </w:instrText>
      </w:r>
      <w:r w:rsidRPr="007C488A">
        <w:fldChar w:fldCharType="separate"/>
      </w:r>
      <w:r w:rsidR="00406484" w:rsidRPr="007C488A">
        <w:t xml:space="preserve">Table </w:t>
      </w:r>
      <w:r w:rsidR="00406484" w:rsidRPr="007C488A">
        <w:rPr>
          <w:noProof/>
        </w:rPr>
        <w:t>16</w:t>
      </w:r>
      <w:r w:rsidRPr="007C488A">
        <w:fldChar w:fldCharType="end"/>
      </w:r>
      <w:r w:rsidR="00971E01" w:rsidRPr="007C488A">
        <w:t>).</w:t>
      </w:r>
    </w:p>
    <w:p w14:paraId="1EE6886D" w14:textId="2A707041" w:rsidR="00821182" w:rsidRPr="007C488A" w:rsidRDefault="00821182" w:rsidP="007D1A1F">
      <w:pPr>
        <w:pStyle w:val="Caption"/>
      </w:pPr>
      <w:bookmarkStart w:id="73" w:name="_Ref155365278"/>
      <w:r w:rsidRPr="007C488A">
        <w:t xml:space="preserve">Table </w:t>
      </w:r>
      <w:r w:rsidRPr="007C488A">
        <w:fldChar w:fldCharType="begin"/>
      </w:r>
      <w:r w:rsidRPr="007C488A">
        <w:instrText>SEQ Table \* ARABIC</w:instrText>
      </w:r>
      <w:r w:rsidRPr="007C488A">
        <w:fldChar w:fldCharType="separate"/>
      </w:r>
      <w:r w:rsidR="00406484" w:rsidRPr="007C488A">
        <w:rPr>
          <w:noProof/>
        </w:rPr>
        <w:t>18</w:t>
      </w:r>
      <w:r w:rsidRPr="007C488A">
        <w:fldChar w:fldCharType="end"/>
      </w:r>
      <w:bookmarkEnd w:id="73"/>
      <w:r w:rsidRPr="007C488A">
        <w:t>:</w:t>
      </w:r>
      <w:r w:rsidRPr="007C488A">
        <w:rPr>
          <w:rFonts w:asciiTheme="minorHAnsi" w:hAnsiTheme="minorHAnsi" w:cstheme="minorHAnsi"/>
        </w:rPr>
        <w:t xml:space="preserve"> Expected number of LVAD procedures without accounting for capacity constraints in the Australian healthcare system</w:t>
      </w:r>
    </w:p>
    <w:tbl>
      <w:tblPr>
        <w:tblStyle w:val="TableGrid"/>
        <w:tblW w:w="0" w:type="auto"/>
        <w:tblLook w:val="04A0" w:firstRow="1" w:lastRow="0" w:firstColumn="1" w:lastColumn="0" w:noHBand="0" w:noVBand="1"/>
      </w:tblPr>
      <w:tblGrid>
        <w:gridCol w:w="2075"/>
        <w:gridCol w:w="900"/>
        <w:gridCol w:w="900"/>
        <w:gridCol w:w="900"/>
        <w:gridCol w:w="900"/>
        <w:gridCol w:w="900"/>
        <w:gridCol w:w="900"/>
        <w:gridCol w:w="1541"/>
      </w:tblGrid>
      <w:tr w:rsidR="00CD193B" w:rsidRPr="007C488A" w14:paraId="4022498F" w14:textId="77777777" w:rsidTr="007D1A1F">
        <w:trPr>
          <w:trHeight w:val="288"/>
        </w:trPr>
        <w:tc>
          <w:tcPr>
            <w:tcW w:w="0" w:type="auto"/>
            <w:vMerge w:val="restart"/>
            <w:shd w:val="clear" w:color="auto" w:fill="auto"/>
            <w:hideMark/>
          </w:tcPr>
          <w:p w14:paraId="3E4EC92E" w14:textId="77777777" w:rsidR="00821182" w:rsidRPr="007C488A" w:rsidRDefault="00821182" w:rsidP="00821182">
            <w:pPr>
              <w:keepNext/>
              <w:spacing w:before="40" w:after="40"/>
              <w:rPr>
                <w:rFonts w:ascii="Arial Narrow" w:hAnsi="Arial Narrow"/>
                <w:b/>
                <w:bCs/>
                <w:sz w:val="20"/>
              </w:rPr>
            </w:pPr>
            <w:r w:rsidRPr="007C488A">
              <w:rPr>
                <w:rFonts w:ascii="Arial Narrow" w:hAnsi="Arial Narrow"/>
                <w:b/>
                <w:bCs/>
                <w:sz w:val="20"/>
              </w:rPr>
              <w:t>Parameter</w:t>
            </w:r>
          </w:p>
        </w:tc>
        <w:tc>
          <w:tcPr>
            <w:tcW w:w="0" w:type="auto"/>
            <w:shd w:val="clear" w:color="auto" w:fill="auto"/>
            <w:noWrap/>
            <w:hideMark/>
          </w:tcPr>
          <w:p w14:paraId="6F88CFE9"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Year 1</w:t>
            </w:r>
          </w:p>
        </w:tc>
        <w:tc>
          <w:tcPr>
            <w:tcW w:w="0" w:type="auto"/>
            <w:shd w:val="clear" w:color="auto" w:fill="auto"/>
            <w:noWrap/>
            <w:hideMark/>
          </w:tcPr>
          <w:p w14:paraId="6E9D148E"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Year 2</w:t>
            </w:r>
          </w:p>
        </w:tc>
        <w:tc>
          <w:tcPr>
            <w:tcW w:w="0" w:type="auto"/>
            <w:shd w:val="clear" w:color="auto" w:fill="auto"/>
            <w:noWrap/>
            <w:hideMark/>
          </w:tcPr>
          <w:p w14:paraId="1B2A6F9E"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Year 3</w:t>
            </w:r>
          </w:p>
        </w:tc>
        <w:tc>
          <w:tcPr>
            <w:tcW w:w="0" w:type="auto"/>
            <w:shd w:val="clear" w:color="auto" w:fill="auto"/>
            <w:noWrap/>
            <w:hideMark/>
          </w:tcPr>
          <w:p w14:paraId="4608C6C2"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Year 4</w:t>
            </w:r>
          </w:p>
        </w:tc>
        <w:tc>
          <w:tcPr>
            <w:tcW w:w="0" w:type="auto"/>
            <w:shd w:val="clear" w:color="auto" w:fill="auto"/>
            <w:noWrap/>
            <w:hideMark/>
          </w:tcPr>
          <w:p w14:paraId="59BDC975"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Year 5</w:t>
            </w:r>
          </w:p>
        </w:tc>
        <w:tc>
          <w:tcPr>
            <w:tcW w:w="0" w:type="auto"/>
            <w:shd w:val="clear" w:color="auto" w:fill="auto"/>
            <w:noWrap/>
            <w:hideMark/>
          </w:tcPr>
          <w:p w14:paraId="60E66432"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Year 6</w:t>
            </w:r>
          </w:p>
        </w:tc>
        <w:tc>
          <w:tcPr>
            <w:tcW w:w="0" w:type="auto"/>
            <w:vMerge w:val="restart"/>
            <w:shd w:val="clear" w:color="auto" w:fill="auto"/>
            <w:hideMark/>
          </w:tcPr>
          <w:p w14:paraId="019EB214" w14:textId="77777777" w:rsidR="00821182" w:rsidRPr="007C488A" w:rsidRDefault="00821182" w:rsidP="00821182">
            <w:pPr>
              <w:keepNext/>
              <w:spacing w:before="40" w:after="40"/>
              <w:rPr>
                <w:rFonts w:ascii="Arial Narrow" w:hAnsi="Arial Narrow"/>
                <w:b/>
                <w:bCs/>
                <w:sz w:val="20"/>
              </w:rPr>
            </w:pPr>
            <w:r w:rsidRPr="007C488A">
              <w:rPr>
                <w:rFonts w:ascii="Arial Narrow" w:hAnsi="Arial Narrow"/>
                <w:b/>
                <w:bCs/>
                <w:sz w:val="20"/>
              </w:rPr>
              <w:t>Source</w:t>
            </w:r>
          </w:p>
        </w:tc>
      </w:tr>
      <w:tr w:rsidR="00CD193B" w:rsidRPr="007C488A" w14:paraId="429D7C07" w14:textId="77777777" w:rsidTr="007D1A1F">
        <w:trPr>
          <w:trHeight w:val="288"/>
        </w:trPr>
        <w:tc>
          <w:tcPr>
            <w:tcW w:w="0" w:type="auto"/>
            <w:vMerge/>
            <w:hideMark/>
          </w:tcPr>
          <w:p w14:paraId="7E6CD7CD" w14:textId="77777777" w:rsidR="00821182" w:rsidRPr="007C488A" w:rsidRDefault="00821182" w:rsidP="00821182">
            <w:pPr>
              <w:keepNext/>
              <w:spacing w:before="40" w:after="40"/>
              <w:rPr>
                <w:rFonts w:ascii="Arial Narrow" w:hAnsi="Arial Narrow"/>
                <w:b/>
                <w:bCs/>
                <w:sz w:val="20"/>
              </w:rPr>
            </w:pPr>
          </w:p>
        </w:tc>
        <w:tc>
          <w:tcPr>
            <w:tcW w:w="0" w:type="auto"/>
            <w:shd w:val="clear" w:color="auto" w:fill="auto"/>
            <w:noWrap/>
            <w:hideMark/>
          </w:tcPr>
          <w:p w14:paraId="309FCB82"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2024</w:t>
            </w:r>
          </w:p>
        </w:tc>
        <w:tc>
          <w:tcPr>
            <w:tcW w:w="0" w:type="auto"/>
            <w:shd w:val="clear" w:color="auto" w:fill="auto"/>
            <w:noWrap/>
            <w:hideMark/>
          </w:tcPr>
          <w:p w14:paraId="7D4F13C3"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2025</w:t>
            </w:r>
          </w:p>
        </w:tc>
        <w:tc>
          <w:tcPr>
            <w:tcW w:w="0" w:type="auto"/>
            <w:shd w:val="clear" w:color="auto" w:fill="auto"/>
            <w:noWrap/>
            <w:hideMark/>
          </w:tcPr>
          <w:p w14:paraId="5DB6225D"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2026</w:t>
            </w:r>
          </w:p>
        </w:tc>
        <w:tc>
          <w:tcPr>
            <w:tcW w:w="0" w:type="auto"/>
            <w:shd w:val="clear" w:color="auto" w:fill="auto"/>
            <w:noWrap/>
            <w:hideMark/>
          </w:tcPr>
          <w:p w14:paraId="2F5133CF"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2027</w:t>
            </w:r>
          </w:p>
        </w:tc>
        <w:tc>
          <w:tcPr>
            <w:tcW w:w="0" w:type="auto"/>
            <w:shd w:val="clear" w:color="auto" w:fill="auto"/>
            <w:noWrap/>
            <w:hideMark/>
          </w:tcPr>
          <w:p w14:paraId="593D66DC"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2028</w:t>
            </w:r>
          </w:p>
        </w:tc>
        <w:tc>
          <w:tcPr>
            <w:tcW w:w="0" w:type="auto"/>
            <w:shd w:val="clear" w:color="auto" w:fill="auto"/>
            <w:noWrap/>
            <w:hideMark/>
          </w:tcPr>
          <w:p w14:paraId="239FFDE2" w14:textId="77777777" w:rsidR="00821182" w:rsidRPr="007C488A" w:rsidRDefault="00821182" w:rsidP="007D1A1F">
            <w:pPr>
              <w:keepNext/>
              <w:spacing w:before="40" w:after="40"/>
              <w:jc w:val="center"/>
              <w:rPr>
                <w:rFonts w:ascii="Arial Narrow" w:hAnsi="Arial Narrow"/>
                <w:b/>
                <w:bCs/>
                <w:sz w:val="20"/>
              </w:rPr>
            </w:pPr>
            <w:r w:rsidRPr="007C488A">
              <w:rPr>
                <w:rFonts w:ascii="Arial Narrow" w:hAnsi="Arial Narrow"/>
                <w:b/>
                <w:bCs/>
                <w:sz w:val="20"/>
              </w:rPr>
              <w:t>2029</w:t>
            </w:r>
          </w:p>
        </w:tc>
        <w:tc>
          <w:tcPr>
            <w:tcW w:w="0" w:type="auto"/>
            <w:vMerge/>
            <w:hideMark/>
          </w:tcPr>
          <w:p w14:paraId="4BDB9986" w14:textId="77777777" w:rsidR="00821182" w:rsidRPr="007C488A" w:rsidRDefault="00821182" w:rsidP="00821182">
            <w:pPr>
              <w:keepNext/>
              <w:spacing w:before="40" w:after="40"/>
              <w:rPr>
                <w:rFonts w:ascii="Arial Narrow" w:hAnsi="Arial Narrow"/>
                <w:b/>
                <w:bCs/>
                <w:sz w:val="20"/>
              </w:rPr>
            </w:pPr>
          </w:p>
        </w:tc>
      </w:tr>
      <w:tr w:rsidR="00CD193B" w:rsidRPr="007C488A" w14:paraId="2752457C" w14:textId="77777777" w:rsidTr="00F54EE3">
        <w:trPr>
          <w:trHeight w:val="864"/>
        </w:trPr>
        <w:tc>
          <w:tcPr>
            <w:tcW w:w="0" w:type="auto"/>
            <w:hideMark/>
          </w:tcPr>
          <w:p w14:paraId="2EABE3EC" w14:textId="6926BCE9" w:rsidR="00821182" w:rsidRPr="007C488A" w:rsidRDefault="00821182" w:rsidP="00821182">
            <w:pPr>
              <w:keepNext/>
              <w:spacing w:before="40" w:after="40"/>
              <w:rPr>
                <w:rFonts w:ascii="Arial Narrow" w:hAnsi="Arial Narrow"/>
                <w:sz w:val="20"/>
              </w:rPr>
            </w:pPr>
            <w:r w:rsidRPr="007C488A">
              <w:rPr>
                <w:rFonts w:ascii="Arial Narrow" w:hAnsi="Arial Narrow"/>
                <w:sz w:val="20"/>
              </w:rPr>
              <w:t xml:space="preserve">Projected utilisation of </w:t>
            </w:r>
            <w:r w:rsidR="00A236B5" w:rsidRPr="007C488A">
              <w:rPr>
                <w:rFonts w:ascii="Arial Narrow" w:hAnsi="Arial Narrow"/>
                <w:sz w:val="20"/>
              </w:rPr>
              <w:t>LVAD</w:t>
            </w:r>
            <w:r w:rsidRPr="007C488A">
              <w:rPr>
                <w:rFonts w:ascii="Arial Narrow" w:hAnsi="Arial Narrow"/>
                <w:sz w:val="20"/>
              </w:rPr>
              <w:t xml:space="preserve"> or </w:t>
            </w:r>
            <w:r w:rsidR="00A236B5" w:rsidRPr="007C488A">
              <w:rPr>
                <w:rFonts w:ascii="Arial Narrow" w:hAnsi="Arial Narrow"/>
                <w:sz w:val="20"/>
              </w:rPr>
              <w:t>R</w:t>
            </w:r>
            <w:r w:rsidRPr="007C488A">
              <w:rPr>
                <w:rFonts w:ascii="Arial Narrow" w:hAnsi="Arial Narrow"/>
                <w:sz w:val="20"/>
              </w:rPr>
              <w:t>VAD procedures funded on the MBS for BTT and BTC patients</w:t>
            </w:r>
          </w:p>
        </w:tc>
        <w:tc>
          <w:tcPr>
            <w:tcW w:w="0" w:type="auto"/>
            <w:noWrap/>
            <w:hideMark/>
          </w:tcPr>
          <w:p w14:paraId="1353A43D"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0AD060ED"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77231061"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1738407E"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640EE0F0"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29D835C0"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hideMark/>
          </w:tcPr>
          <w:p w14:paraId="6692C311" w14:textId="37C82FD6" w:rsidR="00821182" w:rsidRPr="007C488A" w:rsidRDefault="008A0A11" w:rsidP="00821182">
            <w:pPr>
              <w:keepNext/>
              <w:spacing w:before="40" w:after="40"/>
              <w:rPr>
                <w:rFonts w:ascii="Arial Narrow" w:hAnsi="Arial Narrow"/>
                <w:sz w:val="20"/>
              </w:rPr>
            </w:pPr>
            <w:r w:rsidRPr="007C488A">
              <w:rPr>
                <w:rFonts w:ascii="Arial Narrow" w:hAnsi="Arial Narrow"/>
                <w:sz w:val="20"/>
              </w:rPr>
              <w:t xml:space="preserve">Inferred from current MBS utilisation data </w:t>
            </w:r>
            <w:r w:rsidR="006B758C" w:rsidRPr="007C488A">
              <w:rPr>
                <w:rFonts w:ascii="Arial Narrow" w:hAnsi="Arial Narrow"/>
                <w:sz w:val="20"/>
              </w:rPr>
              <w:t>for BTT</w:t>
            </w:r>
            <w:r w:rsidRPr="007C488A">
              <w:rPr>
                <w:rFonts w:ascii="Arial Narrow" w:hAnsi="Arial Narrow"/>
                <w:sz w:val="20"/>
              </w:rPr>
              <w:t xml:space="preserve">/BTC </w:t>
            </w:r>
          </w:p>
        </w:tc>
      </w:tr>
      <w:tr w:rsidR="00CD193B" w:rsidRPr="007C488A" w14:paraId="4FB1C15A" w14:textId="77777777" w:rsidTr="00F54EE3">
        <w:trPr>
          <w:trHeight w:val="576"/>
        </w:trPr>
        <w:tc>
          <w:tcPr>
            <w:tcW w:w="0" w:type="auto"/>
            <w:hideMark/>
          </w:tcPr>
          <w:p w14:paraId="1A406584" w14:textId="15FD3666" w:rsidR="00821182" w:rsidRPr="007C488A" w:rsidRDefault="00821182" w:rsidP="00821182">
            <w:pPr>
              <w:keepNext/>
              <w:spacing w:before="40" w:after="40"/>
              <w:rPr>
                <w:rFonts w:ascii="Arial Narrow" w:hAnsi="Arial Narrow"/>
                <w:sz w:val="20"/>
              </w:rPr>
            </w:pPr>
            <w:r w:rsidRPr="007C488A">
              <w:rPr>
                <w:rFonts w:ascii="Arial Narrow" w:hAnsi="Arial Narrow"/>
                <w:sz w:val="20"/>
              </w:rPr>
              <w:t xml:space="preserve">Projected utilisation of </w:t>
            </w:r>
            <w:r w:rsidR="00A236B5" w:rsidRPr="007C488A">
              <w:rPr>
                <w:rFonts w:ascii="Arial Narrow" w:hAnsi="Arial Narrow"/>
                <w:sz w:val="20"/>
              </w:rPr>
              <w:t>L</w:t>
            </w:r>
            <w:r w:rsidRPr="007C488A">
              <w:rPr>
                <w:rFonts w:ascii="Arial Narrow" w:hAnsi="Arial Narrow"/>
                <w:sz w:val="20"/>
              </w:rPr>
              <w:t>VAD procedures funded on the MBS for BTT and BTC patients</w:t>
            </w:r>
          </w:p>
        </w:tc>
        <w:tc>
          <w:tcPr>
            <w:tcW w:w="0" w:type="auto"/>
            <w:noWrap/>
            <w:hideMark/>
          </w:tcPr>
          <w:p w14:paraId="338326A9"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496EF397"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4083CBA9"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1B28EA23"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0BAB0F18"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noWrap/>
            <w:hideMark/>
          </w:tcPr>
          <w:p w14:paraId="3C6EBF0C" w14:textId="77777777" w:rsidR="00821182" w:rsidRPr="007C488A" w:rsidRDefault="00821182" w:rsidP="007D1A1F">
            <w:pPr>
              <w:keepNext/>
              <w:spacing w:before="40" w:after="40"/>
              <w:jc w:val="center"/>
              <w:rPr>
                <w:rFonts w:ascii="Arial Narrow" w:hAnsi="Arial Narrow"/>
                <w:sz w:val="20"/>
              </w:rPr>
            </w:pPr>
            <w:r w:rsidRPr="007C488A">
              <w:rPr>
                <w:rFonts w:ascii="Arial Narrow" w:hAnsi="Arial Narrow"/>
                <w:sz w:val="20"/>
              </w:rPr>
              <w:t>15</w:t>
            </w:r>
          </w:p>
        </w:tc>
        <w:tc>
          <w:tcPr>
            <w:tcW w:w="0" w:type="auto"/>
            <w:hideMark/>
          </w:tcPr>
          <w:p w14:paraId="7FA3F317" w14:textId="2E1C9F8D" w:rsidR="00821182" w:rsidRPr="007C488A" w:rsidRDefault="00821182" w:rsidP="00821182">
            <w:pPr>
              <w:keepNext/>
              <w:spacing w:before="40" w:after="40"/>
              <w:rPr>
                <w:rFonts w:ascii="Arial Narrow" w:hAnsi="Arial Narrow"/>
                <w:sz w:val="20"/>
              </w:rPr>
            </w:pPr>
            <w:r w:rsidRPr="007C488A">
              <w:rPr>
                <w:rFonts w:ascii="Arial Narrow" w:hAnsi="Arial Narrow"/>
                <w:sz w:val="20"/>
              </w:rPr>
              <w:t xml:space="preserve">Assumption that majority of procedures involve </w:t>
            </w:r>
            <w:r w:rsidR="00A236B5" w:rsidRPr="007C488A">
              <w:rPr>
                <w:rFonts w:ascii="Arial Narrow" w:hAnsi="Arial Narrow"/>
                <w:sz w:val="20"/>
              </w:rPr>
              <w:t>L</w:t>
            </w:r>
            <w:r w:rsidRPr="007C488A">
              <w:rPr>
                <w:rFonts w:ascii="Arial Narrow" w:hAnsi="Arial Narrow"/>
                <w:sz w:val="20"/>
              </w:rPr>
              <w:t>VAD</w:t>
            </w:r>
          </w:p>
        </w:tc>
      </w:tr>
      <w:tr w:rsidR="00CD193B" w:rsidRPr="007C488A" w14:paraId="39494F33" w14:textId="77777777" w:rsidTr="008E7E82">
        <w:trPr>
          <w:trHeight w:val="864"/>
        </w:trPr>
        <w:tc>
          <w:tcPr>
            <w:tcW w:w="0" w:type="auto"/>
            <w:hideMark/>
          </w:tcPr>
          <w:p w14:paraId="7153673E" w14:textId="77777777" w:rsidR="00821182" w:rsidRPr="007C488A" w:rsidRDefault="00821182" w:rsidP="00821182">
            <w:pPr>
              <w:keepNext/>
              <w:spacing w:before="40" w:after="40"/>
              <w:rPr>
                <w:rFonts w:ascii="Arial Narrow" w:hAnsi="Arial Narrow"/>
                <w:sz w:val="20"/>
              </w:rPr>
            </w:pPr>
            <w:r w:rsidRPr="007C488A">
              <w:rPr>
                <w:rFonts w:ascii="Arial Narrow" w:hAnsi="Arial Narrow"/>
                <w:sz w:val="20"/>
              </w:rPr>
              <w:t>Expected ratio of DT procedures relative to BTT and BTC procedures if there were no capacity constraints</w:t>
            </w:r>
          </w:p>
        </w:tc>
        <w:tc>
          <w:tcPr>
            <w:tcW w:w="0" w:type="auto"/>
            <w:shd w:val="clear" w:color="auto" w:fill="auto"/>
            <w:noWrap/>
            <w:hideMark/>
          </w:tcPr>
          <w:p w14:paraId="27ACB5A7" w14:textId="780A0194"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shd w:val="clear" w:color="auto" w:fill="auto"/>
            <w:noWrap/>
            <w:hideMark/>
          </w:tcPr>
          <w:p w14:paraId="27C19286" w14:textId="007ABCF9"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shd w:val="clear" w:color="auto" w:fill="auto"/>
            <w:noWrap/>
            <w:hideMark/>
          </w:tcPr>
          <w:p w14:paraId="481EE3C3" w14:textId="5EB36D33"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shd w:val="clear" w:color="auto" w:fill="auto"/>
            <w:noWrap/>
            <w:hideMark/>
          </w:tcPr>
          <w:p w14:paraId="64149BCF" w14:textId="712BE871"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shd w:val="clear" w:color="auto" w:fill="auto"/>
            <w:noWrap/>
            <w:hideMark/>
          </w:tcPr>
          <w:p w14:paraId="05AA4A97" w14:textId="301EBC39"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shd w:val="clear" w:color="auto" w:fill="auto"/>
            <w:noWrap/>
            <w:hideMark/>
          </w:tcPr>
          <w:p w14:paraId="70FC3607" w14:textId="53324374"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shd w:val="clear" w:color="auto" w:fill="auto"/>
            <w:hideMark/>
          </w:tcPr>
          <w:p w14:paraId="16B1AD12" w14:textId="32C75D0E" w:rsidR="00821182" w:rsidRPr="007C488A" w:rsidRDefault="00CD193B" w:rsidP="00821182">
            <w:pPr>
              <w:keepNext/>
              <w:spacing w:before="40" w:after="40"/>
              <w:rPr>
                <w:rFonts w:ascii="Arial Narrow" w:hAnsi="Arial Narrow"/>
                <w:sz w:val="20"/>
              </w:rPr>
            </w:pPr>
            <w:r w:rsidRPr="007C488A">
              <w:rPr>
                <w:rFonts w:ascii="Arial Narrow" w:hAnsi="Arial Narrow"/>
                <w:b/>
                <w:bCs/>
                <w:sz w:val="20"/>
              </w:rPr>
              <w:t>redacted</w:t>
            </w:r>
          </w:p>
        </w:tc>
      </w:tr>
      <w:tr w:rsidR="00CD193B" w:rsidRPr="007C488A" w14:paraId="41ED0051" w14:textId="77777777" w:rsidTr="00F54EE3">
        <w:trPr>
          <w:trHeight w:val="576"/>
        </w:trPr>
        <w:tc>
          <w:tcPr>
            <w:tcW w:w="0" w:type="auto"/>
            <w:hideMark/>
          </w:tcPr>
          <w:p w14:paraId="4C703231" w14:textId="77777777" w:rsidR="00821182" w:rsidRPr="007C488A" w:rsidRDefault="00821182" w:rsidP="00821182">
            <w:pPr>
              <w:keepNext/>
              <w:spacing w:before="40" w:after="40"/>
              <w:rPr>
                <w:rFonts w:ascii="Arial Narrow" w:hAnsi="Arial Narrow"/>
                <w:sz w:val="20"/>
              </w:rPr>
            </w:pPr>
            <w:r w:rsidRPr="007C488A">
              <w:rPr>
                <w:rFonts w:ascii="Arial Narrow" w:hAnsi="Arial Narrow"/>
                <w:sz w:val="20"/>
              </w:rPr>
              <w:t>Expected number of DT procedures if there were no capacity constraints</w:t>
            </w:r>
          </w:p>
        </w:tc>
        <w:tc>
          <w:tcPr>
            <w:tcW w:w="0" w:type="auto"/>
            <w:noWrap/>
            <w:hideMark/>
          </w:tcPr>
          <w:p w14:paraId="07425367" w14:textId="4AA355BC"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noWrap/>
            <w:hideMark/>
          </w:tcPr>
          <w:p w14:paraId="1686427B" w14:textId="09C72836"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noWrap/>
            <w:hideMark/>
          </w:tcPr>
          <w:p w14:paraId="37B114AB" w14:textId="77B89EBA"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noWrap/>
            <w:hideMark/>
          </w:tcPr>
          <w:p w14:paraId="1F72AF80" w14:textId="10C68328"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noWrap/>
            <w:hideMark/>
          </w:tcPr>
          <w:p w14:paraId="0DC39101" w14:textId="221D090A"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noWrap/>
            <w:hideMark/>
          </w:tcPr>
          <w:p w14:paraId="229E7C20" w14:textId="021C5C74" w:rsidR="00821182" w:rsidRPr="007C488A" w:rsidRDefault="00A575A8" w:rsidP="007D1A1F">
            <w:pPr>
              <w:keepNext/>
              <w:spacing w:before="40" w:after="40"/>
              <w:jc w:val="center"/>
              <w:rPr>
                <w:rFonts w:ascii="Arial Narrow" w:hAnsi="Arial Narrow"/>
                <w:sz w:val="20"/>
              </w:rPr>
            </w:pPr>
            <w:r w:rsidRPr="007C488A">
              <w:rPr>
                <w:rFonts w:ascii="Arial Narrow" w:hAnsi="Arial Narrow"/>
                <w:b/>
                <w:bCs/>
                <w:sz w:val="20"/>
              </w:rPr>
              <w:t>redacted</w:t>
            </w:r>
          </w:p>
        </w:tc>
        <w:tc>
          <w:tcPr>
            <w:tcW w:w="0" w:type="auto"/>
            <w:hideMark/>
          </w:tcPr>
          <w:p w14:paraId="350CAA46" w14:textId="77777777" w:rsidR="00821182" w:rsidRPr="007C488A" w:rsidRDefault="00821182" w:rsidP="00821182">
            <w:pPr>
              <w:keepNext/>
              <w:spacing w:before="40" w:after="40"/>
              <w:rPr>
                <w:rFonts w:ascii="Arial Narrow" w:hAnsi="Arial Narrow"/>
                <w:sz w:val="20"/>
              </w:rPr>
            </w:pPr>
            <w:r w:rsidRPr="007C488A">
              <w:rPr>
                <w:rFonts w:ascii="Arial Narrow" w:hAnsi="Arial Narrow"/>
                <w:sz w:val="20"/>
              </w:rPr>
              <w:t>Calculated</w:t>
            </w:r>
          </w:p>
        </w:tc>
      </w:tr>
    </w:tbl>
    <w:p w14:paraId="23CC2BA4" w14:textId="083B968E" w:rsidR="006967B7" w:rsidRPr="007C488A" w:rsidRDefault="006967B7" w:rsidP="006967B7">
      <w:pPr>
        <w:pStyle w:val="Tablenotes0"/>
        <w:rPr>
          <w:snapToGrid w:val="0"/>
        </w:rPr>
      </w:pPr>
      <w:bookmarkStart w:id="74" w:name="_Toc147323534"/>
      <w:r w:rsidRPr="007C488A">
        <w:rPr>
          <w:snapToGrid w:val="0"/>
        </w:rPr>
        <w:t>Source: Table 84, p268 of the MSAC 1749 ADAR+ in-line commentary</w:t>
      </w:r>
    </w:p>
    <w:p w14:paraId="6AB30872" w14:textId="0915A187" w:rsidR="006967B7" w:rsidRPr="007C488A" w:rsidRDefault="006967B7" w:rsidP="006967B7">
      <w:pPr>
        <w:pStyle w:val="Tablenotes0"/>
        <w:rPr>
          <w:rFonts w:eastAsia="Calibri"/>
          <w:snapToGrid w:val="0"/>
        </w:rPr>
      </w:pPr>
      <w:r w:rsidRPr="007C488A">
        <w:rPr>
          <w:rFonts w:eastAsia="Calibri"/>
          <w:snapToGrid w:val="0"/>
        </w:rPr>
        <w:t xml:space="preserve">Abbreviations: </w:t>
      </w:r>
      <w:r w:rsidR="00D84695" w:rsidRPr="007C488A">
        <w:rPr>
          <w:rFonts w:eastAsia="Calibri"/>
          <w:snapToGrid w:val="0"/>
        </w:rPr>
        <w:t xml:space="preserve">BTT=bridge to transplant; BTC=bridge to candidacy; </w:t>
      </w:r>
      <w:r w:rsidRPr="007C488A">
        <w:rPr>
          <w:rFonts w:eastAsia="Calibri"/>
          <w:snapToGrid w:val="0"/>
        </w:rPr>
        <w:t xml:space="preserve">DT = Destination therapy; </w:t>
      </w:r>
      <w:r w:rsidR="00D84695" w:rsidRPr="007C488A">
        <w:rPr>
          <w:rFonts w:eastAsia="Calibri"/>
          <w:snapToGrid w:val="0"/>
        </w:rPr>
        <w:t xml:space="preserve">MBS = Medicare benefit schedule; </w:t>
      </w:r>
      <w:r w:rsidR="00A236B5" w:rsidRPr="007C488A">
        <w:rPr>
          <w:rFonts w:eastAsia="Calibri"/>
          <w:snapToGrid w:val="0"/>
        </w:rPr>
        <w:t>L</w:t>
      </w:r>
      <w:r w:rsidRPr="007C488A">
        <w:rPr>
          <w:rFonts w:eastAsia="Calibri"/>
          <w:snapToGrid w:val="0"/>
        </w:rPr>
        <w:t xml:space="preserve">VAD = </w:t>
      </w:r>
      <w:r w:rsidR="00A236B5" w:rsidRPr="007C488A">
        <w:rPr>
          <w:rFonts w:eastAsia="Calibri"/>
          <w:snapToGrid w:val="0"/>
        </w:rPr>
        <w:t xml:space="preserve">left </w:t>
      </w:r>
      <w:r w:rsidRPr="007C488A">
        <w:rPr>
          <w:rFonts w:eastAsia="Calibri"/>
          <w:snapToGrid w:val="0"/>
        </w:rPr>
        <w:t>ventricular assist device</w:t>
      </w:r>
      <w:r w:rsidR="00A236B5" w:rsidRPr="007C488A">
        <w:rPr>
          <w:rFonts w:eastAsia="Calibri"/>
          <w:snapToGrid w:val="0"/>
        </w:rPr>
        <w:t>; RVAD = right ventricular assist device</w:t>
      </w:r>
      <w:r w:rsidRPr="007C488A">
        <w:rPr>
          <w:rFonts w:eastAsia="Calibri"/>
          <w:snapToGrid w:val="0"/>
        </w:rPr>
        <w:t xml:space="preserve">. </w:t>
      </w:r>
    </w:p>
    <w:p w14:paraId="3FA2DC59" w14:textId="6FBD69D5" w:rsidR="00386BF6" w:rsidRPr="007C488A" w:rsidRDefault="006967B7" w:rsidP="006967B7">
      <w:pPr>
        <w:jc w:val="both"/>
      </w:pPr>
      <w:r w:rsidRPr="007C488A">
        <w:t xml:space="preserve">The financial implications to the MBS resulting from the proposed listing of LVAD are summarised in </w:t>
      </w:r>
      <w:r w:rsidR="00E17863" w:rsidRPr="007C488A">
        <w:fldChar w:fldCharType="begin"/>
      </w:r>
      <w:r w:rsidR="00E17863" w:rsidRPr="007C488A">
        <w:instrText xml:space="preserve"> REF _Ref155619361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19</w:t>
      </w:r>
      <w:r w:rsidR="00E17863" w:rsidRPr="007C488A">
        <w:fldChar w:fldCharType="end"/>
      </w:r>
      <w:r w:rsidRPr="007C488A">
        <w:t>. The estimated total cost of LVAD as DT to MBS is $</w:t>
      </w:r>
      <w:r w:rsidR="00102416" w:rsidRPr="007C488A">
        <w:rPr>
          <w:b/>
          <w:bCs/>
        </w:rPr>
        <w:t>redacted</w:t>
      </w:r>
      <w:r w:rsidRPr="007C488A">
        <w:t xml:space="preserve"> and to private health insurers is $</w:t>
      </w:r>
      <w:r w:rsidR="00102416" w:rsidRPr="007C488A">
        <w:rPr>
          <w:b/>
          <w:bCs/>
        </w:rPr>
        <w:t>redacted</w:t>
      </w:r>
      <w:r w:rsidRPr="007C488A">
        <w:t xml:space="preserve"> in year 6 after listing</w:t>
      </w:r>
      <w:r w:rsidR="0059665E" w:rsidRPr="007C488A">
        <w:t>. The cost to private health insurers</w:t>
      </w:r>
      <w:r w:rsidR="00000753" w:rsidRPr="007C488A">
        <w:t xml:space="preserve"> was estimated to be approximately $</w:t>
      </w:r>
      <w:r w:rsidR="006735D8" w:rsidRPr="007C488A">
        <w:rPr>
          <w:b/>
          <w:bCs/>
        </w:rPr>
        <w:t>redacted</w:t>
      </w:r>
      <w:r w:rsidR="00000753" w:rsidRPr="007C488A">
        <w:t xml:space="preserve"> per LVAD for DT </w:t>
      </w:r>
      <w:r w:rsidR="00EA53AE" w:rsidRPr="007C488A">
        <w:t>procedure</w:t>
      </w:r>
      <w:r w:rsidR="007F3747" w:rsidRPr="007C488A">
        <w:t>. This cost</w:t>
      </w:r>
      <w:r w:rsidR="00000753" w:rsidRPr="007C488A">
        <w:t xml:space="preserve"> </w:t>
      </w:r>
      <w:r w:rsidR="005D53B4" w:rsidRPr="007C488A">
        <w:t>incorporat</w:t>
      </w:r>
      <w:r w:rsidR="007F3747" w:rsidRPr="007C488A">
        <w:t>e</w:t>
      </w:r>
      <w:r w:rsidR="00F86B63" w:rsidRPr="007C488A">
        <w:t>d</w:t>
      </w:r>
      <w:r w:rsidR="005D53B4" w:rsidRPr="007C488A">
        <w:t xml:space="preserve"> the</w:t>
      </w:r>
      <w:r w:rsidR="00386BF6" w:rsidRPr="007C488A">
        <w:t xml:space="preserve"> costs for:</w:t>
      </w:r>
    </w:p>
    <w:p w14:paraId="3794508A" w14:textId="7299EAFE" w:rsidR="003201C1" w:rsidRPr="007C488A" w:rsidRDefault="005D53B4" w:rsidP="00EE5E5C">
      <w:pPr>
        <w:pStyle w:val="ListParagraph"/>
        <w:numPr>
          <w:ilvl w:val="0"/>
          <w:numId w:val="38"/>
        </w:numPr>
        <w:jc w:val="both"/>
      </w:pPr>
      <w:r w:rsidRPr="007C488A">
        <w:t>the</w:t>
      </w:r>
      <w:r w:rsidR="006D2064" w:rsidRPr="007C488A">
        <w:t xml:space="preserve"> LVAD</w:t>
      </w:r>
      <w:r w:rsidRPr="007C488A">
        <w:t xml:space="preserve"> device </w:t>
      </w:r>
      <w:r w:rsidR="00826ADA" w:rsidRPr="007C488A">
        <w:t>and system</w:t>
      </w:r>
      <w:r w:rsidR="00386BF6" w:rsidRPr="007C488A">
        <w:t xml:space="preserve"> ($</w:t>
      </w:r>
      <w:r w:rsidR="006735D8" w:rsidRPr="007C488A">
        <w:rPr>
          <w:b/>
          <w:bCs/>
        </w:rPr>
        <w:t>redacted</w:t>
      </w:r>
      <w:r w:rsidR="003201C1" w:rsidRPr="007C488A">
        <w:t>)</w:t>
      </w:r>
    </w:p>
    <w:p w14:paraId="30D1E062" w14:textId="0D4395CD" w:rsidR="003201C1" w:rsidRPr="007C488A" w:rsidRDefault="003201C1" w:rsidP="00EE5E5C">
      <w:pPr>
        <w:pStyle w:val="ListParagraph"/>
        <w:numPr>
          <w:ilvl w:val="0"/>
          <w:numId w:val="38"/>
        </w:numPr>
        <w:jc w:val="both"/>
      </w:pPr>
      <w:r w:rsidRPr="007C488A">
        <w:t>battery replacement</w:t>
      </w:r>
      <w:r w:rsidR="00554500" w:rsidRPr="007C488A">
        <w:t>s</w:t>
      </w:r>
      <w:r w:rsidRPr="007C488A">
        <w:t xml:space="preserve"> ($4,592)</w:t>
      </w:r>
    </w:p>
    <w:p w14:paraId="2DB14159" w14:textId="653D5165" w:rsidR="006967B7" w:rsidRPr="007C488A" w:rsidRDefault="003201C1" w:rsidP="00EE5E5C">
      <w:pPr>
        <w:pStyle w:val="ListParagraph"/>
        <w:numPr>
          <w:ilvl w:val="0"/>
          <w:numId w:val="38"/>
        </w:numPr>
        <w:jc w:val="both"/>
      </w:pPr>
      <w:r w:rsidRPr="007C488A">
        <w:t xml:space="preserve">hospital procedure/post recovery costs </w:t>
      </w:r>
      <w:r w:rsidR="00F86B63" w:rsidRPr="007C488A">
        <w:t>(</w:t>
      </w:r>
      <w:r w:rsidRPr="007C488A">
        <w:t>$72</w:t>
      </w:r>
      <w:r w:rsidR="00F86B63" w:rsidRPr="007C488A">
        <w:t>,</w:t>
      </w:r>
      <w:r w:rsidRPr="007C488A">
        <w:t>163)</w:t>
      </w:r>
      <w:r w:rsidR="006967B7" w:rsidRPr="007C488A">
        <w:t>.</w:t>
      </w:r>
    </w:p>
    <w:p w14:paraId="51B592A2" w14:textId="0AA4AAF7" w:rsidR="006967B7" w:rsidRPr="007C488A" w:rsidRDefault="006967B7" w:rsidP="00275263">
      <w:pPr>
        <w:pStyle w:val="Caption"/>
        <w:spacing w:after="0"/>
      </w:pPr>
      <w:bookmarkStart w:id="75" w:name="_Ref155619361"/>
      <w:bookmarkEnd w:id="74"/>
      <w:r w:rsidRPr="007C488A">
        <w:t xml:space="preserve">Table </w:t>
      </w:r>
      <w:r w:rsidRPr="007C488A">
        <w:fldChar w:fldCharType="begin"/>
      </w:r>
      <w:r w:rsidRPr="007C488A">
        <w:instrText>SEQ Table \* ARABIC</w:instrText>
      </w:r>
      <w:r w:rsidRPr="007C488A">
        <w:fldChar w:fldCharType="separate"/>
      </w:r>
      <w:r w:rsidR="00406484" w:rsidRPr="007C488A">
        <w:rPr>
          <w:noProof/>
        </w:rPr>
        <w:t>19</w:t>
      </w:r>
      <w:r w:rsidRPr="007C488A">
        <w:fldChar w:fldCharType="end"/>
      </w:r>
      <w:bookmarkEnd w:id="75"/>
      <w:r w:rsidRPr="007C488A">
        <w:t>: Financial implications for the government health budget of LVAD as DT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178"/>
        <w:gridCol w:w="1082"/>
        <w:gridCol w:w="1082"/>
        <w:gridCol w:w="1277"/>
        <w:gridCol w:w="1183"/>
        <w:gridCol w:w="1082"/>
      </w:tblGrid>
      <w:tr w:rsidR="003E2881" w:rsidRPr="007C488A" w14:paraId="523319F3" w14:textId="77777777" w:rsidTr="007D1A1F">
        <w:trPr>
          <w:trHeight w:val="512"/>
        </w:trPr>
        <w:tc>
          <w:tcPr>
            <w:tcW w:w="1182" w:type="pct"/>
            <w:shd w:val="clear" w:color="auto" w:fill="auto"/>
            <w:hideMark/>
          </w:tcPr>
          <w:p w14:paraId="531274C7" w14:textId="77777777" w:rsidR="006967B7" w:rsidRPr="007C488A" w:rsidRDefault="006967B7" w:rsidP="00275263">
            <w:pPr>
              <w:pStyle w:val="TableText"/>
              <w:keepNext/>
              <w:spacing w:before="0" w:after="0"/>
              <w:rPr>
                <w:b/>
                <w:bCs/>
              </w:rPr>
            </w:pPr>
            <w:r w:rsidRPr="007C488A">
              <w:rPr>
                <w:b/>
                <w:bCs/>
              </w:rPr>
              <w:t>Parameter</w:t>
            </w:r>
          </w:p>
        </w:tc>
        <w:tc>
          <w:tcPr>
            <w:tcW w:w="653" w:type="pct"/>
            <w:shd w:val="clear" w:color="auto" w:fill="auto"/>
            <w:vAlign w:val="center"/>
            <w:hideMark/>
          </w:tcPr>
          <w:p w14:paraId="0616E09F" w14:textId="77777777" w:rsidR="006967B7" w:rsidRPr="007C488A" w:rsidRDefault="006967B7" w:rsidP="00275263">
            <w:pPr>
              <w:pStyle w:val="TableText"/>
              <w:keepNext/>
              <w:spacing w:before="0" w:after="0"/>
              <w:jc w:val="center"/>
              <w:rPr>
                <w:b/>
                <w:bCs/>
              </w:rPr>
            </w:pPr>
            <w:r w:rsidRPr="007C488A">
              <w:rPr>
                <w:b/>
                <w:bCs/>
              </w:rPr>
              <w:t>Year 1 (2024)</w:t>
            </w:r>
          </w:p>
        </w:tc>
        <w:tc>
          <w:tcPr>
            <w:tcW w:w="600" w:type="pct"/>
            <w:shd w:val="clear" w:color="auto" w:fill="auto"/>
            <w:vAlign w:val="center"/>
            <w:hideMark/>
          </w:tcPr>
          <w:p w14:paraId="36B3DD93" w14:textId="77777777" w:rsidR="006967B7" w:rsidRPr="007C488A" w:rsidRDefault="006967B7" w:rsidP="00275263">
            <w:pPr>
              <w:pStyle w:val="TableText"/>
              <w:keepNext/>
              <w:spacing w:before="0" w:after="0"/>
              <w:jc w:val="center"/>
              <w:rPr>
                <w:b/>
                <w:bCs/>
              </w:rPr>
            </w:pPr>
            <w:r w:rsidRPr="007C488A">
              <w:rPr>
                <w:b/>
                <w:bCs/>
              </w:rPr>
              <w:t>Year 2 (2025)</w:t>
            </w:r>
          </w:p>
        </w:tc>
        <w:tc>
          <w:tcPr>
            <w:tcW w:w="600" w:type="pct"/>
            <w:shd w:val="clear" w:color="auto" w:fill="auto"/>
            <w:vAlign w:val="center"/>
            <w:hideMark/>
          </w:tcPr>
          <w:p w14:paraId="2D481184" w14:textId="77777777" w:rsidR="006967B7" w:rsidRPr="007C488A" w:rsidRDefault="006967B7" w:rsidP="00275263">
            <w:pPr>
              <w:pStyle w:val="TableText"/>
              <w:keepNext/>
              <w:spacing w:before="0" w:after="0"/>
              <w:jc w:val="center"/>
              <w:rPr>
                <w:b/>
                <w:bCs/>
              </w:rPr>
            </w:pPr>
            <w:r w:rsidRPr="007C488A">
              <w:rPr>
                <w:b/>
                <w:bCs/>
              </w:rPr>
              <w:t>Year 3 (2026)</w:t>
            </w:r>
          </w:p>
        </w:tc>
        <w:tc>
          <w:tcPr>
            <w:tcW w:w="708" w:type="pct"/>
            <w:shd w:val="clear" w:color="auto" w:fill="auto"/>
            <w:vAlign w:val="center"/>
            <w:hideMark/>
          </w:tcPr>
          <w:p w14:paraId="2ADE2BAC" w14:textId="585E483A" w:rsidR="0081519D" w:rsidRPr="007C488A" w:rsidRDefault="006967B7" w:rsidP="00275263">
            <w:pPr>
              <w:pStyle w:val="TableText"/>
              <w:keepNext/>
              <w:spacing w:before="0" w:after="0"/>
              <w:jc w:val="center"/>
              <w:rPr>
                <w:b/>
                <w:bCs/>
              </w:rPr>
            </w:pPr>
            <w:r w:rsidRPr="007C488A">
              <w:rPr>
                <w:b/>
                <w:bCs/>
              </w:rPr>
              <w:t>Year 4</w:t>
            </w:r>
          </w:p>
          <w:p w14:paraId="40D4C8E0" w14:textId="3ED5CB1F" w:rsidR="006967B7" w:rsidRPr="007C488A" w:rsidRDefault="006967B7" w:rsidP="00275263">
            <w:pPr>
              <w:pStyle w:val="TableText"/>
              <w:keepNext/>
              <w:spacing w:before="0" w:after="0"/>
              <w:jc w:val="center"/>
              <w:rPr>
                <w:b/>
                <w:bCs/>
              </w:rPr>
            </w:pPr>
            <w:r w:rsidRPr="007C488A">
              <w:rPr>
                <w:b/>
                <w:bCs/>
              </w:rPr>
              <w:t>(2027)</w:t>
            </w:r>
          </w:p>
        </w:tc>
        <w:tc>
          <w:tcPr>
            <w:tcW w:w="656" w:type="pct"/>
            <w:shd w:val="clear" w:color="auto" w:fill="auto"/>
            <w:vAlign w:val="center"/>
            <w:hideMark/>
          </w:tcPr>
          <w:p w14:paraId="3E2AFDA3" w14:textId="77777777" w:rsidR="006967B7" w:rsidRPr="007C488A" w:rsidRDefault="006967B7" w:rsidP="00275263">
            <w:pPr>
              <w:pStyle w:val="TableText"/>
              <w:keepNext/>
              <w:spacing w:before="0" w:after="0"/>
              <w:jc w:val="center"/>
              <w:rPr>
                <w:b/>
                <w:bCs/>
              </w:rPr>
            </w:pPr>
            <w:r w:rsidRPr="007C488A">
              <w:rPr>
                <w:b/>
                <w:bCs/>
              </w:rPr>
              <w:t>Year 5 (2028)</w:t>
            </w:r>
          </w:p>
        </w:tc>
        <w:tc>
          <w:tcPr>
            <w:tcW w:w="600" w:type="pct"/>
            <w:shd w:val="clear" w:color="auto" w:fill="auto"/>
            <w:vAlign w:val="center"/>
            <w:hideMark/>
          </w:tcPr>
          <w:p w14:paraId="12511BE7" w14:textId="77777777" w:rsidR="006967B7" w:rsidRPr="007C488A" w:rsidRDefault="006967B7" w:rsidP="00275263">
            <w:pPr>
              <w:pStyle w:val="TableText"/>
              <w:keepNext/>
              <w:spacing w:before="0" w:after="0"/>
              <w:jc w:val="center"/>
              <w:rPr>
                <w:b/>
                <w:bCs/>
              </w:rPr>
            </w:pPr>
            <w:r w:rsidRPr="007C488A">
              <w:rPr>
                <w:b/>
                <w:bCs/>
              </w:rPr>
              <w:t>Year 6 (2029)</w:t>
            </w:r>
          </w:p>
        </w:tc>
      </w:tr>
      <w:tr w:rsidR="003E2881" w:rsidRPr="007C488A" w14:paraId="77DABD7C" w14:textId="77777777" w:rsidTr="007D1A1F">
        <w:trPr>
          <w:trHeight w:val="301"/>
        </w:trPr>
        <w:tc>
          <w:tcPr>
            <w:tcW w:w="1182" w:type="pct"/>
            <w:vAlign w:val="center"/>
            <w:hideMark/>
          </w:tcPr>
          <w:p w14:paraId="6BA7D554" w14:textId="77777777" w:rsidR="006967B7" w:rsidRPr="007C488A" w:rsidRDefault="006967B7" w:rsidP="00275263">
            <w:pPr>
              <w:pStyle w:val="TableText"/>
              <w:keepNext/>
              <w:spacing w:before="0" w:after="0"/>
            </w:pPr>
            <w:r w:rsidRPr="007C488A">
              <w:t xml:space="preserve">Number of LVAD procedures reimbursed on the MBS for DT </w:t>
            </w:r>
          </w:p>
        </w:tc>
        <w:tc>
          <w:tcPr>
            <w:tcW w:w="653" w:type="pct"/>
            <w:vAlign w:val="center"/>
          </w:tcPr>
          <w:p w14:paraId="20AFDDDF" w14:textId="6CE107A3" w:rsidR="006967B7" w:rsidRPr="007C488A" w:rsidRDefault="003E2881" w:rsidP="00275263">
            <w:pPr>
              <w:pStyle w:val="TableText"/>
              <w:keepNext/>
              <w:spacing w:before="0" w:after="0"/>
              <w:jc w:val="center"/>
            </w:pPr>
            <w:r w:rsidRPr="007C488A">
              <w:rPr>
                <w:b/>
                <w:bCs/>
              </w:rPr>
              <w:t>redacted</w:t>
            </w:r>
          </w:p>
        </w:tc>
        <w:tc>
          <w:tcPr>
            <w:tcW w:w="600" w:type="pct"/>
            <w:vAlign w:val="center"/>
          </w:tcPr>
          <w:p w14:paraId="15DF6C49" w14:textId="2B97519A" w:rsidR="006967B7" w:rsidRPr="007C488A" w:rsidRDefault="003E2881" w:rsidP="00275263">
            <w:pPr>
              <w:pStyle w:val="TableText"/>
              <w:keepNext/>
              <w:spacing w:before="0" w:after="0"/>
              <w:jc w:val="center"/>
            </w:pPr>
            <w:r w:rsidRPr="007C488A">
              <w:rPr>
                <w:b/>
                <w:bCs/>
              </w:rPr>
              <w:t>redacted</w:t>
            </w:r>
          </w:p>
        </w:tc>
        <w:tc>
          <w:tcPr>
            <w:tcW w:w="600" w:type="pct"/>
            <w:vAlign w:val="center"/>
          </w:tcPr>
          <w:p w14:paraId="3749EFCE" w14:textId="4A1D47B6" w:rsidR="006967B7" w:rsidRPr="007C488A" w:rsidRDefault="003E2881" w:rsidP="00275263">
            <w:pPr>
              <w:pStyle w:val="TableText"/>
              <w:keepNext/>
              <w:spacing w:before="0" w:after="0"/>
              <w:jc w:val="center"/>
            </w:pPr>
            <w:r w:rsidRPr="007C488A">
              <w:rPr>
                <w:b/>
                <w:bCs/>
              </w:rPr>
              <w:t>redacted</w:t>
            </w:r>
          </w:p>
        </w:tc>
        <w:tc>
          <w:tcPr>
            <w:tcW w:w="708" w:type="pct"/>
            <w:vAlign w:val="center"/>
          </w:tcPr>
          <w:p w14:paraId="2A819006" w14:textId="7A5F5C80" w:rsidR="006967B7" w:rsidRPr="007C488A" w:rsidRDefault="003E2881" w:rsidP="00275263">
            <w:pPr>
              <w:pStyle w:val="TableText"/>
              <w:keepNext/>
              <w:spacing w:before="0" w:after="0"/>
              <w:jc w:val="center"/>
            </w:pPr>
            <w:r w:rsidRPr="007C488A">
              <w:rPr>
                <w:b/>
                <w:bCs/>
              </w:rPr>
              <w:t>redacted</w:t>
            </w:r>
          </w:p>
        </w:tc>
        <w:tc>
          <w:tcPr>
            <w:tcW w:w="656" w:type="pct"/>
            <w:vAlign w:val="center"/>
          </w:tcPr>
          <w:p w14:paraId="477EF605" w14:textId="17474161" w:rsidR="006967B7" w:rsidRPr="007C488A" w:rsidRDefault="003E2881" w:rsidP="00275263">
            <w:pPr>
              <w:pStyle w:val="TableText"/>
              <w:keepNext/>
              <w:spacing w:before="0" w:after="0"/>
              <w:jc w:val="center"/>
            </w:pPr>
            <w:r w:rsidRPr="007C488A">
              <w:rPr>
                <w:b/>
                <w:bCs/>
              </w:rPr>
              <w:t>redacted</w:t>
            </w:r>
          </w:p>
        </w:tc>
        <w:tc>
          <w:tcPr>
            <w:tcW w:w="600" w:type="pct"/>
            <w:vAlign w:val="center"/>
          </w:tcPr>
          <w:p w14:paraId="6CB0EE5D" w14:textId="065318FF" w:rsidR="006967B7" w:rsidRPr="007C488A" w:rsidRDefault="003E2881" w:rsidP="00275263">
            <w:pPr>
              <w:pStyle w:val="TableText"/>
              <w:keepNext/>
              <w:spacing w:before="0" w:after="0"/>
              <w:jc w:val="center"/>
            </w:pPr>
            <w:r w:rsidRPr="007C488A">
              <w:rPr>
                <w:b/>
                <w:bCs/>
              </w:rPr>
              <w:t>redacted</w:t>
            </w:r>
          </w:p>
        </w:tc>
      </w:tr>
      <w:tr w:rsidR="003E2881" w:rsidRPr="007C488A" w14:paraId="30A404EB" w14:textId="77777777" w:rsidTr="007D1A1F">
        <w:trPr>
          <w:trHeight w:val="301"/>
        </w:trPr>
        <w:tc>
          <w:tcPr>
            <w:tcW w:w="1182" w:type="pct"/>
            <w:vAlign w:val="center"/>
            <w:hideMark/>
          </w:tcPr>
          <w:p w14:paraId="1DA4387B" w14:textId="77777777" w:rsidR="006967B7" w:rsidRPr="007C488A" w:rsidRDefault="006967B7" w:rsidP="00275263">
            <w:pPr>
              <w:pStyle w:val="TableText"/>
              <w:keepNext/>
              <w:spacing w:before="0" w:after="0"/>
            </w:pPr>
            <w:r w:rsidRPr="007C488A">
              <w:t>Total cost to the MBS</w:t>
            </w:r>
          </w:p>
        </w:tc>
        <w:tc>
          <w:tcPr>
            <w:tcW w:w="653" w:type="pct"/>
            <w:vAlign w:val="center"/>
            <w:hideMark/>
          </w:tcPr>
          <w:p w14:paraId="40179908" w14:textId="447727AC"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hideMark/>
          </w:tcPr>
          <w:p w14:paraId="64569348" w14:textId="41B5CD7B"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hideMark/>
          </w:tcPr>
          <w:p w14:paraId="685D2704" w14:textId="1B0C68F3" w:rsidR="006967B7" w:rsidRPr="007C488A" w:rsidRDefault="006967B7" w:rsidP="00275263">
            <w:pPr>
              <w:pStyle w:val="TableText"/>
              <w:keepNext/>
              <w:spacing w:before="0" w:after="0"/>
              <w:jc w:val="center"/>
            </w:pPr>
            <w:r w:rsidRPr="007C488A">
              <w:t>$</w:t>
            </w:r>
            <w:r w:rsidR="003E2881" w:rsidRPr="007C488A">
              <w:rPr>
                <w:b/>
                <w:bCs/>
              </w:rPr>
              <w:t>redacted</w:t>
            </w:r>
          </w:p>
        </w:tc>
        <w:tc>
          <w:tcPr>
            <w:tcW w:w="708" w:type="pct"/>
            <w:vAlign w:val="center"/>
            <w:hideMark/>
          </w:tcPr>
          <w:p w14:paraId="58AEB9F1" w14:textId="04B01851" w:rsidR="006967B7" w:rsidRPr="007C488A" w:rsidRDefault="006967B7" w:rsidP="00275263">
            <w:pPr>
              <w:pStyle w:val="TableText"/>
              <w:keepNext/>
              <w:spacing w:before="0" w:after="0"/>
              <w:jc w:val="center"/>
            </w:pPr>
            <w:r w:rsidRPr="007C488A">
              <w:t>$</w:t>
            </w:r>
            <w:r w:rsidR="003E2881" w:rsidRPr="007C488A">
              <w:rPr>
                <w:b/>
                <w:bCs/>
              </w:rPr>
              <w:t>redacted</w:t>
            </w:r>
          </w:p>
        </w:tc>
        <w:tc>
          <w:tcPr>
            <w:tcW w:w="656" w:type="pct"/>
            <w:vAlign w:val="center"/>
            <w:hideMark/>
          </w:tcPr>
          <w:p w14:paraId="42202532" w14:textId="37F1128C"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hideMark/>
          </w:tcPr>
          <w:p w14:paraId="663FD66A" w14:textId="07A6EEED" w:rsidR="006967B7" w:rsidRPr="007C488A" w:rsidRDefault="006967B7" w:rsidP="00275263">
            <w:pPr>
              <w:pStyle w:val="TableText"/>
              <w:keepNext/>
              <w:spacing w:before="0" w:after="0"/>
              <w:jc w:val="center"/>
            </w:pPr>
            <w:r w:rsidRPr="007C488A">
              <w:t>$</w:t>
            </w:r>
            <w:r w:rsidR="003E2881" w:rsidRPr="007C488A">
              <w:rPr>
                <w:b/>
                <w:bCs/>
              </w:rPr>
              <w:t>redacted</w:t>
            </w:r>
          </w:p>
        </w:tc>
      </w:tr>
      <w:tr w:rsidR="003E2881" w:rsidRPr="007C488A" w14:paraId="6388C199" w14:textId="77777777" w:rsidTr="007D1A1F">
        <w:trPr>
          <w:trHeight w:val="301"/>
        </w:trPr>
        <w:tc>
          <w:tcPr>
            <w:tcW w:w="1182" w:type="pct"/>
            <w:vAlign w:val="center"/>
          </w:tcPr>
          <w:p w14:paraId="1F5D6691" w14:textId="77777777" w:rsidR="006967B7" w:rsidRPr="007C488A" w:rsidRDefault="006967B7" w:rsidP="00275263">
            <w:pPr>
              <w:pStyle w:val="TableText"/>
              <w:keepNext/>
              <w:spacing w:before="0" w:after="0"/>
            </w:pPr>
            <w:r w:rsidRPr="007C488A">
              <w:t>Total cost to the PBS</w:t>
            </w:r>
          </w:p>
        </w:tc>
        <w:tc>
          <w:tcPr>
            <w:tcW w:w="653" w:type="pct"/>
            <w:vAlign w:val="center"/>
          </w:tcPr>
          <w:p w14:paraId="5D348F2F" w14:textId="73E9DA17"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tcPr>
          <w:p w14:paraId="4465D4FE" w14:textId="6DC1A6FB"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tcPr>
          <w:p w14:paraId="11A8E2BA" w14:textId="22C1DC1D" w:rsidR="006967B7" w:rsidRPr="007C488A" w:rsidRDefault="006967B7" w:rsidP="00275263">
            <w:pPr>
              <w:pStyle w:val="TableText"/>
              <w:keepNext/>
              <w:spacing w:before="0" w:after="0"/>
              <w:jc w:val="center"/>
            </w:pPr>
            <w:r w:rsidRPr="007C488A">
              <w:t>$</w:t>
            </w:r>
            <w:r w:rsidR="003E2881" w:rsidRPr="007C488A">
              <w:rPr>
                <w:b/>
                <w:bCs/>
              </w:rPr>
              <w:t>redacted</w:t>
            </w:r>
          </w:p>
        </w:tc>
        <w:tc>
          <w:tcPr>
            <w:tcW w:w="708" w:type="pct"/>
            <w:vAlign w:val="center"/>
          </w:tcPr>
          <w:p w14:paraId="170EB3DE" w14:textId="720C2E5F" w:rsidR="006967B7" w:rsidRPr="007C488A" w:rsidRDefault="006967B7" w:rsidP="00275263">
            <w:pPr>
              <w:pStyle w:val="TableText"/>
              <w:keepNext/>
              <w:spacing w:before="0" w:after="0"/>
              <w:jc w:val="center"/>
            </w:pPr>
            <w:r w:rsidRPr="007C488A">
              <w:t>$</w:t>
            </w:r>
            <w:r w:rsidR="003E2881" w:rsidRPr="007C488A">
              <w:rPr>
                <w:b/>
                <w:bCs/>
              </w:rPr>
              <w:t>redacted</w:t>
            </w:r>
          </w:p>
        </w:tc>
        <w:tc>
          <w:tcPr>
            <w:tcW w:w="656" w:type="pct"/>
            <w:vAlign w:val="center"/>
          </w:tcPr>
          <w:p w14:paraId="2A170B44" w14:textId="0614288A"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tcPr>
          <w:p w14:paraId="5117EB58" w14:textId="5A83F796" w:rsidR="006967B7" w:rsidRPr="007C488A" w:rsidRDefault="006967B7" w:rsidP="00275263">
            <w:pPr>
              <w:pStyle w:val="TableText"/>
              <w:keepNext/>
              <w:spacing w:before="0" w:after="0"/>
              <w:jc w:val="center"/>
            </w:pPr>
            <w:r w:rsidRPr="007C488A">
              <w:t>$</w:t>
            </w:r>
            <w:r w:rsidR="003E2881" w:rsidRPr="007C488A">
              <w:rPr>
                <w:b/>
                <w:bCs/>
              </w:rPr>
              <w:t>redacted</w:t>
            </w:r>
          </w:p>
        </w:tc>
      </w:tr>
      <w:tr w:rsidR="003E2881" w:rsidRPr="007C488A" w14:paraId="14919740" w14:textId="77777777" w:rsidTr="007D1A1F">
        <w:trPr>
          <w:trHeight w:val="301"/>
        </w:trPr>
        <w:tc>
          <w:tcPr>
            <w:tcW w:w="1182" w:type="pct"/>
            <w:vAlign w:val="center"/>
            <w:hideMark/>
          </w:tcPr>
          <w:p w14:paraId="1077FC8D" w14:textId="77777777" w:rsidR="006967B7" w:rsidRPr="007C488A" w:rsidRDefault="006967B7" w:rsidP="00275263">
            <w:pPr>
              <w:pStyle w:val="TableText"/>
              <w:keepNext/>
              <w:spacing w:before="0" w:after="0"/>
            </w:pPr>
            <w:r w:rsidRPr="007C488A">
              <w:t>Total cost to private health funds</w:t>
            </w:r>
          </w:p>
        </w:tc>
        <w:tc>
          <w:tcPr>
            <w:tcW w:w="653" w:type="pct"/>
            <w:vAlign w:val="center"/>
            <w:hideMark/>
          </w:tcPr>
          <w:p w14:paraId="66206B43" w14:textId="5161CEBE"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hideMark/>
          </w:tcPr>
          <w:p w14:paraId="04BFD278" w14:textId="2F91A339"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hideMark/>
          </w:tcPr>
          <w:p w14:paraId="4DF9F300" w14:textId="32E0AAD2" w:rsidR="006967B7" w:rsidRPr="007C488A" w:rsidRDefault="006967B7" w:rsidP="00275263">
            <w:pPr>
              <w:pStyle w:val="TableText"/>
              <w:keepNext/>
              <w:spacing w:before="0" w:after="0"/>
              <w:jc w:val="center"/>
            </w:pPr>
            <w:r w:rsidRPr="007C488A">
              <w:t>$</w:t>
            </w:r>
            <w:r w:rsidR="003E2881" w:rsidRPr="007C488A">
              <w:rPr>
                <w:b/>
                <w:bCs/>
              </w:rPr>
              <w:t>redacted</w:t>
            </w:r>
          </w:p>
        </w:tc>
        <w:tc>
          <w:tcPr>
            <w:tcW w:w="708" w:type="pct"/>
            <w:vAlign w:val="center"/>
            <w:hideMark/>
          </w:tcPr>
          <w:p w14:paraId="08EC23B1" w14:textId="0BBA1942" w:rsidR="006967B7" w:rsidRPr="007C488A" w:rsidRDefault="006967B7" w:rsidP="00275263">
            <w:pPr>
              <w:pStyle w:val="TableText"/>
              <w:keepNext/>
              <w:spacing w:before="0" w:after="0"/>
              <w:jc w:val="center"/>
            </w:pPr>
            <w:r w:rsidRPr="007C488A">
              <w:t>$</w:t>
            </w:r>
            <w:r w:rsidR="003E2881" w:rsidRPr="007C488A">
              <w:rPr>
                <w:b/>
                <w:bCs/>
              </w:rPr>
              <w:t>redacted</w:t>
            </w:r>
          </w:p>
        </w:tc>
        <w:tc>
          <w:tcPr>
            <w:tcW w:w="656" w:type="pct"/>
            <w:vAlign w:val="center"/>
            <w:hideMark/>
          </w:tcPr>
          <w:p w14:paraId="6621E4DC" w14:textId="6EF5F8F0" w:rsidR="006967B7" w:rsidRPr="007C488A" w:rsidRDefault="006967B7" w:rsidP="00275263">
            <w:pPr>
              <w:pStyle w:val="TableText"/>
              <w:keepNext/>
              <w:spacing w:before="0" w:after="0"/>
              <w:jc w:val="center"/>
            </w:pPr>
            <w:r w:rsidRPr="007C488A">
              <w:t>$</w:t>
            </w:r>
            <w:r w:rsidR="003E2881" w:rsidRPr="007C488A">
              <w:rPr>
                <w:b/>
                <w:bCs/>
              </w:rPr>
              <w:t>redacted</w:t>
            </w:r>
          </w:p>
        </w:tc>
        <w:tc>
          <w:tcPr>
            <w:tcW w:w="600" w:type="pct"/>
            <w:vAlign w:val="center"/>
            <w:hideMark/>
          </w:tcPr>
          <w:p w14:paraId="3D55C887" w14:textId="12F7D9B3" w:rsidR="006967B7" w:rsidRPr="007C488A" w:rsidRDefault="006967B7" w:rsidP="00275263">
            <w:pPr>
              <w:pStyle w:val="TableText"/>
              <w:keepNext/>
              <w:spacing w:before="0" w:after="0"/>
              <w:jc w:val="center"/>
            </w:pPr>
            <w:r w:rsidRPr="007C488A">
              <w:t>$</w:t>
            </w:r>
            <w:r w:rsidR="003E2881" w:rsidRPr="007C488A">
              <w:rPr>
                <w:b/>
                <w:bCs/>
              </w:rPr>
              <w:t>redacted</w:t>
            </w:r>
          </w:p>
        </w:tc>
      </w:tr>
    </w:tbl>
    <w:p w14:paraId="1CEE5269" w14:textId="77777777" w:rsidR="00D84695" w:rsidRPr="007C488A" w:rsidRDefault="006967B7" w:rsidP="00275263">
      <w:pPr>
        <w:pStyle w:val="Tablenotes"/>
        <w:spacing w:before="0"/>
      </w:pPr>
      <w:r w:rsidRPr="007C488A">
        <w:t xml:space="preserve">Source: Table 85, p268 of MSAC 1749 ADAR+ in-line commentary </w:t>
      </w:r>
    </w:p>
    <w:p w14:paraId="18015F93" w14:textId="3C763382" w:rsidR="00405E75" w:rsidRPr="007C488A" w:rsidRDefault="006967B7" w:rsidP="007D1A1F">
      <w:pPr>
        <w:pStyle w:val="Tablenotes"/>
      </w:pPr>
      <w:r w:rsidRPr="007C488A">
        <w:rPr>
          <w:rFonts w:eastAsia="Calibri"/>
        </w:rPr>
        <w:t xml:space="preserve">Abbreviations: DT = Destination therapy; LVAD = left ventricular assist device. </w:t>
      </w:r>
      <w:bookmarkStart w:id="76" w:name="_Hlk155366094"/>
      <w:r w:rsidRPr="007C488A">
        <w:rPr>
          <w:rFonts w:eastAsia="Calibri"/>
        </w:rPr>
        <w:t>MBS = Medicare benefit schedule</w:t>
      </w:r>
      <w:bookmarkEnd w:id="76"/>
      <w:r w:rsidRPr="007C488A">
        <w:rPr>
          <w:rFonts w:eastAsia="Calibri"/>
        </w:rPr>
        <w:t>; PBS = Pharmaceutical benefit schedule</w:t>
      </w:r>
    </w:p>
    <w:p w14:paraId="4917E18A" w14:textId="23C2FF9B" w:rsidR="00314C36" w:rsidRPr="007C488A" w:rsidRDefault="00CC6953" w:rsidP="00405E75">
      <w:pPr>
        <w:jc w:val="both"/>
      </w:pPr>
      <w:r w:rsidRPr="007C488A">
        <w:lastRenderedPageBreak/>
        <w:t>T</w:t>
      </w:r>
      <w:r w:rsidR="00EB2081" w:rsidRPr="007C488A">
        <w:t>he commentary consider</w:t>
      </w:r>
      <w:r w:rsidR="00DF05A4" w:rsidRPr="007C488A">
        <w:t>ed</w:t>
      </w:r>
      <w:r w:rsidR="00EB2081" w:rsidRPr="007C488A">
        <w:t xml:space="preserve"> that the financial estimates </w:t>
      </w:r>
      <w:r w:rsidR="00832AAA" w:rsidRPr="007C488A">
        <w:t xml:space="preserve">were </w:t>
      </w:r>
      <w:r w:rsidR="00EB2081" w:rsidRPr="007C488A">
        <w:t xml:space="preserve">appropriate. </w:t>
      </w:r>
      <w:r w:rsidR="00314C36" w:rsidRPr="007C488A">
        <w:t xml:space="preserve">The insertion of </w:t>
      </w:r>
      <w:r w:rsidR="00C747D9" w:rsidRPr="007C488A">
        <w:t>ventricular assist devices</w:t>
      </w:r>
      <w:r w:rsidR="00314C36" w:rsidRPr="007C488A">
        <w:t xml:space="preserve"> is currently limited to specialised quaternary centres, which may place capability constraints to deliver the service in Australia. </w:t>
      </w:r>
      <w:r w:rsidR="00405E75" w:rsidRPr="007C488A">
        <w:t xml:space="preserve">Therefore, the </w:t>
      </w:r>
      <w:r w:rsidR="00314C36" w:rsidRPr="007C488A">
        <w:t xml:space="preserve">commentary considered the </w:t>
      </w:r>
      <w:r w:rsidR="00405E75" w:rsidRPr="007C488A">
        <w:t>financial analysis based on capacity constraints</w:t>
      </w:r>
      <w:r w:rsidR="00832AAA" w:rsidRPr="007C488A">
        <w:t xml:space="preserve"> was</w:t>
      </w:r>
      <w:r w:rsidR="00405E75" w:rsidRPr="007C488A">
        <w:t xml:space="preserve"> more appropriate. </w:t>
      </w:r>
      <w:r w:rsidR="00314C36" w:rsidRPr="007C488A">
        <w:t xml:space="preserve">However, the number of additional procedures able to be conducted per year per quaternary centre </w:t>
      </w:r>
      <w:r w:rsidR="00832AAA" w:rsidRPr="007C488A">
        <w:t xml:space="preserve">was </w:t>
      </w:r>
      <w:r w:rsidR="00314C36" w:rsidRPr="007C488A">
        <w:t>uncertain as it was based on expert opinion</w:t>
      </w:r>
      <w:r w:rsidR="0024722F" w:rsidRPr="007C488A">
        <w:t xml:space="preserve"> and therefore cannot be verified</w:t>
      </w:r>
      <w:r w:rsidR="00314C36" w:rsidRPr="007C488A">
        <w:t>.</w:t>
      </w:r>
    </w:p>
    <w:p w14:paraId="270843F4" w14:textId="18CEBAEA" w:rsidR="00405E75" w:rsidRPr="007C488A" w:rsidRDefault="00314C36" w:rsidP="00EB2081">
      <w:pPr>
        <w:jc w:val="both"/>
      </w:pPr>
      <w:r w:rsidRPr="007C488A">
        <w:t>The ADAR also provided sensitivity analysis of financial estimates based on expected number of procedures inferred from relative number of patients receiving LVAD as BTT or BTC using MBS utilisation data</w:t>
      </w:r>
      <w:r w:rsidR="00971E01" w:rsidRPr="007C488A">
        <w:t xml:space="preserve"> (i.e., </w:t>
      </w:r>
      <w:r w:rsidR="003E2881" w:rsidRPr="007C488A">
        <w:rPr>
          <w:b/>
          <w:bCs/>
        </w:rPr>
        <w:t>redacted</w:t>
      </w:r>
      <w:r w:rsidR="00971E01" w:rsidRPr="007C488A">
        <w:t xml:space="preserve"> expected ratio of DT procedures relative to BTT and BTC procedures based on utilisation by device strategy in the INTERMACS registry during 2017-2021). However, the commentary noted that, the uptake/utilisation of LVAD for BTT/BTC vs DT may be different due to the differences in the population</w:t>
      </w:r>
      <w:r w:rsidR="00074529" w:rsidRPr="007C488A">
        <w:t xml:space="preserve"> and treatment options available</w:t>
      </w:r>
      <w:r w:rsidR="00971E01" w:rsidRPr="007C488A">
        <w:t>.</w:t>
      </w:r>
      <w:r w:rsidR="00BC3D07" w:rsidRPr="007C488A">
        <w:t xml:space="preserve"> Furthermore, the</w:t>
      </w:r>
      <w:r w:rsidR="00C87AB6" w:rsidRPr="007C488A">
        <w:t xml:space="preserve"> </w:t>
      </w:r>
      <w:r w:rsidR="00E64375" w:rsidRPr="007C488A">
        <w:t>2022</w:t>
      </w:r>
      <w:r w:rsidR="00FA5BA0" w:rsidRPr="007C488A">
        <w:t xml:space="preserve"> </w:t>
      </w:r>
      <w:r w:rsidR="00C87AB6" w:rsidRPr="007C488A">
        <w:t>annual report f</w:t>
      </w:r>
      <w:r w:rsidR="00F13D8A" w:rsidRPr="007C488A">
        <w:t>ro</w:t>
      </w:r>
      <w:r w:rsidR="00C87AB6" w:rsidRPr="007C488A">
        <w:t>m the</w:t>
      </w:r>
      <w:r w:rsidR="00BC3D07" w:rsidRPr="007C488A">
        <w:t xml:space="preserve"> INTERMACS registry reported that </w:t>
      </w:r>
      <w:r w:rsidR="00C87AB6" w:rsidRPr="007C488A">
        <w:t xml:space="preserve">the </w:t>
      </w:r>
      <w:r w:rsidR="00CC6953" w:rsidRPr="007C488A">
        <w:t xml:space="preserve">proportion of patients </w:t>
      </w:r>
      <w:r w:rsidR="00F13D8A" w:rsidRPr="007C488A">
        <w:t xml:space="preserve">that </w:t>
      </w:r>
      <w:r w:rsidR="00CC6953" w:rsidRPr="007C488A">
        <w:t xml:space="preserve">received LVAD for DT </w:t>
      </w:r>
      <w:r w:rsidR="00F13D8A" w:rsidRPr="007C488A">
        <w:t xml:space="preserve">had </w:t>
      </w:r>
      <w:r w:rsidR="00CC6953" w:rsidRPr="007C488A">
        <w:t>increased to</w:t>
      </w:r>
      <w:r w:rsidR="00BC3D07" w:rsidRPr="007C488A">
        <w:t xml:space="preserve"> 81.1%</w:t>
      </w:r>
      <w:r w:rsidR="00FA5BA0" w:rsidRPr="007C488A">
        <w:rPr>
          <w:rStyle w:val="FootnoteReference"/>
        </w:rPr>
        <w:footnoteReference w:id="24"/>
      </w:r>
      <w:r w:rsidR="00BC3D07" w:rsidRPr="007C488A">
        <w:t xml:space="preserve"> </w:t>
      </w:r>
      <w:r w:rsidR="00CC6953" w:rsidRPr="007C488A">
        <w:t xml:space="preserve">(versus the </w:t>
      </w:r>
      <w:r w:rsidR="003E2881" w:rsidRPr="007C488A">
        <w:rPr>
          <w:b/>
          <w:bCs/>
        </w:rPr>
        <w:t>redacted</w:t>
      </w:r>
      <w:r w:rsidR="00CC6953" w:rsidRPr="007C488A">
        <w:t>% reported in the ADAR)</w:t>
      </w:r>
      <w:r w:rsidR="00BC3D07" w:rsidRPr="007C488A">
        <w:t>. Hence,</w:t>
      </w:r>
      <w:r w:rsidR="00CC6953" w:rsidRPr="007C488A">
        <w:t xml:space="preserve"> overall,</w:t>
      </w:r>
      <w:r w:rsidR="00BC3D07" w:rsidRPr="007C488A">
        <w:t xml:space="preserve"> the </w:t>
      </w:r>
      <w:r w:rsidR="00CC6953" w:rsidRPr="007C488A">
        <w:t xml:space="preserve">commentary considered the </w:t>
      </w:r>
      <w:r w:rsidR="00BC3D07" w:rsidRPr="007C488A">
        <w:t xml:space="preserve">finance estimates </w:t>
      </w:r>
      <w:r w:rsidR="00CC6953" w:rsidRPr="007C488A">
        <w:t xml:space="preserve">were </w:t>
      </w:r>
      <w:r w:rsidR="00BC3D07" w:rsidRPr="007C488A">
        <w:t>uncertain. </w:t>
      </w:r>
    </w:p>
    <w:p w14:paraId="174522A5" w14:textId="3AB1F7CA" w:rsidR="00EB2081" w:rsidRPr="007C488A" w:rsidRDefault="00EB2081" w:rsidP="00EB2081">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77" w:name="_Toc69491427"/>
      <w:r w:rsidRPr="007C488A">
        <w:rPr>
          <w:rFonts w:ascii="Franklin Gothic Medium" w:eastAsiaTheme="majorEastAsia" w:hAnsi="Franklin Gothic Medium" w:cstheme="majorBidi"/>
          <w:color w:val="000000" w:themeColor="text1"/>
          <w:sz w:val="32"/>
          <w:szCs w:val="26"/>
        </w:rPr>
        <w:t>1</w:t>
      </w:r>
      <w:r w:rsidR="00D92D23" w:rsidRPr="007C488A">
        <w:rPr>
          <w:rFonts w:ascii="Franklin Gothic Medium" w:eastAsiaTheme="majorEastAsia" w:hAnsi="Franklin Gothic Medium" w:cstheme="majorBidi"/>
          <w:color w:val="000000" w:themeColor="text1"/>
          <w:sz w:val="32"/>
          <w:szCs w:val="26"/>
        </w:rPr>
        <w:t>5</w:t>
      </w:r>
      <w:r w:rsidRPr="007C488A">
        <w:rPr>
          <w:rFonts w:ascii="Franklin Gothic Medium" w:eastAsiaTheme="majorEastAsia" w:hAnsi="Franklin Gothic Medium" w:cstheme="majorBidi"/>
          <w:color w:val="000000" w:themeColor="text1"/>
          <w:sz w:val="32"/>
          <w:szCs w:val="26"/>
        </w:rPr>
        <w:t>.</w:t>
      </w:r>
      <w:r w:rsidRPr="007C488A">
        <w:rPr>
          <w:rFonts w:ascii="Franklin Gothic Medium" w:eastAsiaTheme="majorEastAsia" w:hAnsi="Franklin Gothic Medium" w:cstheme="majorBidi"/>
          <w:color w:val="000000" w:themeColor="text1"/>
          <w:sz w:val="32"/>
          <w:szCs w:val="26"/>
        </w:rPr>
        <w:tab/>
        <w:t xml:space="preserve">Other relevant </w:t>
      </w:r>
      <w:bookmarkEnd w:id="77"/>
      <w:r w:rsidRPr="007C488A">
        <w:rPr>
          <w:rFonts w:ascii="Franklin Gothic Medium" w:eastAsiaTheme="majorEastAsia" w:hAnsi="Franklin Gothic Medium" w:cstheme="majorBidi"/>
          <w:color w:val="000000" w:themeColor="text1"/>
          <w:sz w:val="32"/>
          <w:szCs w:val="26"/>
        </w:rPr>
        <w:t>information</w:t>
      </w:r>
    </w:p>
    <w:p w14:paraId="524ED2CE" w14:textId="77777777" w:rsidR="00EB2081" w:rsidRPr="007C488A" w:rsidRDefault="00EB2081" w:rsidP="00EB2081">
      <w:pPr>
        <w:jc w:val="both"/>
      </w:pPr>
      <w:bookmarkStart w:id="78" w:name="_Hlk147310452"/>
      <w:r w:rsidRPr="007C488A">
        <w:t xml:space="preserve">As other relevant information, the ADAR presented patient experience and ‘Rule of Rescue’ circumstances. </w:t>
      </w:r>
    </w:p>
    <w:bookmarkEnd w:id="78"/>
    <w:p w14:paraId="54035782" w14:textId="5812FBF2" w:rsidR="00EB2081" w:rsidRPr="007C488A" w:rsidRDefault="00EB2081" w:rsidP="00EB2081">
      <w:pPr>
        <w:jc w:val="both"/>
      </w:pPr>
      <w:proofErr w:type="gramStart"/>
      <w:r w:rsidRPr="007C488A">
        <w:t>With regard to</w:t>
      </w:r>
      <w:proofErr w:type="gramEnd"/>
      <w:r w:rsidRPr="007C488A">
        <w:t xml:space="preserve"> the patient perspective, the </w:t>
      </w:r>
      <w:r w:rsidR="009659B5" w:rsidRPr="007C488A">
        <w:t xml:space="preserve">ADAR </w:t>
      </w:r>
      <w:r w:rsidRPr="007C488A">
        <w:t xml:space="preserve">quoted the findings from </w:t>
      </w:r>
      <w:proofErr w:type="spellStart"/>
      <w:r w:rsidRPr="007C488A">
        <w:t>Silbert</w:t>
      </w:r>
      <w:proofErr w:type="spellEnd"/>
      <w:r w:rsidRPr="007C488A">
        <w:t xml:space="preserve"> et al (2023) study. In the retrospective analysis of LVAD recipients in the Western Australian LVAD programme</w:t>
      </w:r>
      <w:r w:rsidR="00133695" w:rsidRPr="007C488A">
        <w:t>,</w:t>
      </w:r>
      <w:r w:rsidRPr="007C488A">
        <w:t xml:space="preserve"> </w:t>
      </w:r>
      <w:r w:rsidR="006E111F" w:rsidRPr="007C488A">
        <w:t>4% of</w:t>
      </w:r>
      <w:r w:rsidRPr="007C488A">
        <w:t xml:space="preserve"> patients</w:t>
      </w:r>
      <w:r w:rsidR="006E111F" w:rsidRPr="007C488A">
        <w:t xml:space="preserve"> received LVAD as DT, </w:t>
      </w:r>
      <w:r w:rsidRPr="007C488A">
        <w:t xml:space="preserve">spending almost </w:t>
      </w:r>
      <w:proofErr w:type="gramStart"/>
      <w:r w:rsidRPr="007C488A">
        <w:t>all of</w:t>
      </w:r>
      <w:proofErr w:type="gramEnd"/>
      <w:r w:rsidRPr="007C488A">
        <w:t xml:space="preserve"> their days (97%) with an LVAD as an outpatient. </w:t>
      </w:r>
      <w:r w:rsidR="00560198" w:rsidRPr="007C488A">
        <w:t>The ADAR reported that</w:t>
      </w:r>
      <w:r w:rsidRPr="007C488A">
        <w:t xml:space="preserve"> the two longest surviving patients </w:t>
      </w:r>
      <w:r w:rsidR="00180DC6" w:rsidRPr="007C488A">
        <w:t xml:space="preserve">with LVAD as DT </w:t>
      </w:r>
      <w:r w:rsidRPr="007C488A">
        <w:t xml:space="preserve">worldwide (11.3 and 10.5 years) are amongst this group. In terms of what </w:t>
      </w:r>
      <w:r w:rsidR="00847408" w:rsidRPr="007C488A">
        <w:t xml:space="preserve">LVAD as </w:t>
      </w:r>
      <w:r w:rsidRPr="007C488A">
        <w:t xml:space="preserve">DT means for patients, for their lives and the things they enjoy, </w:t>
      </w:r>
      <w:proofErr w:type="spellStart"/>
      <w:r w:rsidRPr="007C488A">
        <w:t>Silbert</w:t>
      </w:r>
      <w:proofErr w:type="spellEnd"/>
      <w:r w:rsidRPr="007C488A">
        <w:t xml:space="preserve"> et al (2023) noted:</w:t>
      </w:r>
    </w:p>
    <w:p w14:paraId="1F410A25" w14:textId="77777777" w:rsidR="00EB2081" w:rsidRPr="007C488A" w:rsidRDefault="00EB2081" w:rsidP="00EB2081">
      <w:pPr>
        <w:jc w:val="both"/>
        <w:rPr>
          <w:i/>
          <w:iCs/>
        </w:rPr>
      </w:pPr>
      <w:r w:rsidRPr="007C488A">
        <w:rPr>
          <w:i/>
          <w:iCs/>
        </w:rPr>
        <w:t>“DT patients have lived remotely in WA and enjoyed interstate and international travel. They have been able to continue many of their previous activities, such as competitive lawn bowls, animal conservation work, gardening, winemaking and running their businesses”.</w:t>
      </w:r>
    </w:p>
    <w:p w14:paraId="1D2EE0D8" w14:textId="3D843E44" w:rsidR="00EB2081" w:rsidRPr="007C488A" w:rsidRDefault="006E111F" w:rsidP="00EB2081">
      <w:pPr>
        <w:jc w:val="both"/>
      </w:pPr>
      <w:r w:rsidRPr="007C488A">
        <w:t xml:space="preserve">The ADAR claimed </w:t>
      </w:r>
      <w:r w:rsidR="00EB2081" w:rsidRPr="007C488A">
        <w:t xml:space="preserve">from this that </w:t>
      </w:r>
      <w:r w:rsidR="00BF5B43" w:rsidRPr="007C488A">
        <w:t>LVAD as</w:t>
      </w:r>
      <w:r w:rsidR="00EB2081" w:rsidRPr="007C488A">
        <w:t xml:space="preserve"> DT doesn’t just improve survival without improving </w:t>
      </w:r>
      <w:r w:rsidR="00133695" w:rsidRPr="007C488A">
        <w:t>QoL</w:t>
      </w:r>
      <w:r w:rsidR="00EB2081" w:rsidRPr="007C488A">
        <w:t xml:space="preserve"> – patients can live longer and enjoy what is important to them. </w:t>
      </w:r>
    </w:p>
    <w:p w14:paraId="2A74892D" w14:textId="2402908A" w:rsidR="00EB2081" w:rsidRPr="007C488A" w:rsidRDefault="00EB2081" w:rsidP="00EB2081">
      <w:pPr>
        <w:jc w:val="both"/>
      </w:pPr>
      <w:r w:rsidRPr="007C488A">
        <w:t xml:space="preserve">The </w:t>
      </w:r>
      <w:r w:rsidR="005022BE" w:rsidRPr="007C488A">
        <w:t>ADAR also highlighted that</w:t>
      </w:r>
      <w:r w:rsidRPr="007C488A">
        <w:t xml:space="preserve"> benefits of </w:t>
      </w:r>
      <w:r w:rsidR="00BF5B43" w:rsidRPr="007C488A">
        <w:t xml:space="preserve">LVAD </w:t>
      </w:r>
      <w:r w:rsidR="009E059D" w:rsidRPr="007C488A">
        <w:t>as</w:t>
      </w:r>
      <w:r w:rsidRPr="007C488A">
        <w:t xml:space="preserve"> DT are also described in patient experiences provided in the response to PICO consultation from hearts4heart, the national charity which provides support, education and advocacy for Australians living with heart disease. </w:t>
      </w:r>
    </w:p>
    <w:p w14:paraId="53BF3A7E" w14:textId="77777777" w:rsidR="00EB2081" w:rsidRPr="007C488A" w:rsidRDefault="00EB2081" w:rsidP="00EB2081">
      <w:pPr>
        <w:spacing w:after="120" w:line="240" w:lineRule="auto"/>
        <w:rPr>
          <w:b/>
          <w:bCs/>
          <w:u w:val="single"/>
        </w:rPr>
      </w:pPr>
      <w:r w:rsidRPr="007C488A">
        <w:rPr>
          <w:b/>
          <w:bCs/>
          <w:u w:val="single"/>
        </w:rPr>
        <w:t>‘Rule of Rescue’ circumstances</w:t>
      </w:r>
    </w:p>
    <w:p w14:paraId="6A33E7FC" w14:textId="50920F62" w:rsidR="00EB2081" w:rsidRPr="007C488A" w:rsidRDefault="00EB2081" w:rsidP="00EB2081">
      <w:pPr>
        <w:jc w:val="both"/>
      </w:pPr>
      <w:r w:rsidRPr="007C488A">
        <w:t xml:space="preserve">The ADAR claimed that the survival of most severely ill patients </w:t>
      </w:r>
      <w:r w:rsidR="00476B1D" w:rsidRPr="007C488A">
        <w:t xml:space="preserve">with HF who are </w:t>
      </w:r>
      <w:r w:rsidRPr="007C488A">
        <w:t>ineligible for heart transplant is very poor if the only option is OMM. The ADAR propose</w:t>
      </w:r>
      <w:r w:rsidR="00D52D3D" w:rsidRPr="007C488A">
        <w:t>d</w:t>
      </w:r>
      <w:r w:rsidRPr="007C488A">
        <w:t xml:space="preserve"> that the use of a</w:t>
      </w:r>
      <w:r w:rsidR="006E73E1" w:rsidRPr="007C488A">
        <w:t>n</w:t>
      </w:r>
      <w:r w:rsidRPr="007C488A">
        <w:t xml:space="preserve"> LVAD as DT meets the four factors that all apply in ‘rule of rescue’ circumstances (</w:t>
      </w:r>
      <w:r w:rsidR="00E17863" w:rsidRPr="007C488A">
        <w:fldChar w:fldCharType="begin"/>
      </w:r>
      <w:r w:rsidR="00E17863" w:rsidRPr="007C488A">
        <w:instrText xml:space="preserve"> REF _Ref155619376 \h </w:instrText>
      </w:r>
      <w:r w:rsidR="007C488A">
        <w:instrText xml:space="preserve"> \* MERGEFORMAT </w:instrText>
      </w:r>
      <w:r w:rsidR="00E17863" w:rsidRPr="007C488A">
        <w:fldChar w:fldCharType="separate"/>
      </w:r>
      <w:r w:rsidR="00406484" w:rsidRPr="007C488A">
        <w:t xml:space="preserve">Table </w:t>
      </w:r>
      <w:r w:rsidR="00406484" w:rsidRPr="007C488A">
        <w:rPr>
          <w:noProof/>
        </w:rPr>
        <w:t>20</w:t>
      </w:r>
      <w:r w:rsidR="00E17863" w:rsidRPr="007C488A">
        <w:fldChar w:fldCharType="end"/>
      </w:r>
      <w:r w:rsidRPr="007C488A">
        <w:t>).</w:t>
      </w:r>
    </w:p>
    <w:p w14:paraId="6457A42F" w14:textId="50370E9C" w:rsidR="00EB2081" w:rsidRPr="007C488A" w:rsidRDefault="00EB2081" w:rsidP="00FE6DA8">
      <w:pPr>
        <w:pStyle w:val="Caption"/>
      </w:pPr>
      <w:bookmarkStart w:id="79" w:name="_Ref155619376"/>
      <w:r w:rsidRPr="007C488A">
        <w:lastRenderedPageBreak/>
        <w:t xml:space="preserve">Table </w:t>
      </w:r>
      <w:r w:rsidRPr="007C488A">
        <w:fldChar w:fldCharType="begin"/>
      </w:r>
      <w:r w:rsidRPr="007C488A">
        <w:instrText>SEQ Table \* ARABIC</w:instrText>
      </w:r>
      <w:r w:rsidRPr="007C488A">
        <w:fldChar w:fldCharType="separate"/>
      </w:r>
      <w:r w:rsidR="00406484" w:rsidRPr="007C488A">
        <w:rPr>
          <w:noProof/>
        </w:rPr>
        <w:t>20</w:t>
      </w:r>
      <w:r w:rsidRPr="007C488A">
        <w:fldChar w:fldCharType="end"/>
      </w:r>
      <w:bookmarkEnd w:id="79"/>
      <w:r w:rsidRPr="007C488A">
        <w:t>: Rule of rescue circumstances</w:t>
      </w:r>
    </w:p>
    <w:tbl>
      <w:tblPr>
        <w:tblStyle w:val="TableGrid"/>
        <w:tblW w:w="0" w:type="auto"/>
        <w:tblLook w:val="04A0" w:firstRow="1" w:lastRow="0" w:firstColumn="1" w:lastColumn="0" w:noHBand="0" w:noVBand="1"/>
      </w:tblPr>
      <w:tblGrid>
        <w:gridCol w:w="3823"/>
        <w:gridCol w:w="5193"/>
      </w:tblGrid>
      <w:tr w:rsidR="00EB2081" w:rsidRPr="007C488A" w14:paraId="03A178C4" w14:textId="77777777" w:rsidTr="008F6CAA">
        <w:trPr>
          <w:tblHeader/>
        </w:trPr>
        <w:tc>
          <w:tcPr>
            <w:tcW w:w="3823" w:type="dxa"/>
          </w:tcPr>
          <w:p w14:paraId="11427FA9" w14:textId="77777777" w:rsidR="00EB2081" w:rsidRPr="007C488A" w:rsidRDefault="00EB2081" w:rsidP="00EB2081">
            <w:pPr>
              <w:keepNext/>
              <w:spacing w:before="40" w:after="40"/>
              <w:rPr>
                <w:rFonts w:ascii="Arial Narrow" w:hAnsi="Arial Narrow"/>
                <w:b/>
                <w:sz w:val="20"/>
                <w:u w:val="single"/>
              </w:rPr>
            </w:pPr>
            <w:r w:rsidRPr="007C488A">
              <w:rPr>
                <w:rFonts w:ascii="Arial Narrow" w:hAnsi="Arial Narrow"/>
                <w:b/>
                <w:sz w:val="20"/>
                <w:u w:val="single"/>
              </w:rPr>
              <w:t>Rule of Rescue Factor</w:t>
            </w:r>
          </w:p>
        </w:tc>
        <w:tc>
          <w:tcPr>
            <w:tcW w:w="5193" w:type="dxa"/>
          </w:tcPr>
          <w:p w14:paraId="3F282F0A" w14:textId="5C803394" w:rsidR="00EB2081" w:rsidRPr="007C488A" w:rsidRDefault="00CF5AA2" w:rsidP="00EB2081">
            <w:pPr>
              <w:keepNext/>
              <w:spacing w:before="40" w:after="40"/>
              <w:rPr>
                <w:rFonts w:ascii="Arial Narrow" w:hAnsi="Arial Narrow"/>
                <w:b/>
                <w:sz w:val="20"/>
                <w:u w:val="single"/>
              </w:rPr>
            </w:pPr>
            <w:r w:rsidRPr="007C488A">
              <w:rPr>
                <w:rFonts w:ascii="Arial Narrow" w:hAnsi="Arial Narrow"/>
                <w:b/>
                <w:sz w:val="20"/>
                <w:u w:val="single"/>
              </w:rPr>
              <w:t xml:space="preserve">ADAR </w:t>
            </w:r>
            <w:r w:rsidR="00EB2081" w:rsidRPr="007C488A">
              <w:rPr>
                <w:rFonts w:ascii="Arial Narrow" w:hAnsi="Arial Narrow"/>
                <w:b/>
                <w:sz w:val="20"/>
                <w:u w:val="single"/>
              </w:rPr>
              <w:t>Comment</w:t>
            </w:r>
          </w:p>
        </w:tc>
      </w:tr>
      <w:tr w:rsidR="00EB2081" w:rsidRPr="007C488A" w14:paraId="6C6C84FF" w14:textId="77777777" w:rsidTr="008F6CAA">
        <w:tc>
          <w:tcPr>
            <w:tcW w:w="3823" w:type="dxa"/>
          </w:tcPr>
          <w:p w14:paraId="64A29A6B"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No alternative treatment available in Australia</w:t>
            </w:r>
          </w:p>
        </w:tc>
        <w:tc>
          <w:tcPr>
            <w:tcW w:w="5193" w:type="dxa"/>
          </w:tcPr>
          <w:p w14:paraId="4D0AE2F2"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 xml:space="preserve">Yes </w:t>
            </w:r>
          </w:p>
          <w:p w14:paraId="35B14338" w14:textId="0D38DF94" w:rsidR="00EB2081" w:rsidRPr="007C488A" w:rsidRDefault="00EB2081" w:rsidP="00EB2081">
            <w:pPr>
              <w:keepNext/>
              <w:spacing w:before="40" w:after="40"/>
              <w:rPr>
                <w:rFonts w:ascii="Arial Narrow" w:hAnsi="Arial Narrow"/>
                <w:sz w:val="20"/>
              </w:rPr>
            </w:pPr>
            <w:r w:rsidRPr="007C488A">
              <w:rPr>
                <w:rFonts w:ascii="Arial Narrow" w:hAnsi="Arial Narrow"/>
                <w:sz w:val="20"/>
              </w:rPr>
              <w:t xml:space="preserve">There is no effective alternative treatment. </w:t>
            </w:r>
          </w:p>
        </w:tc>
      </w:tr>
      <w:tr w:rsidR="00EB2081" w:rsidRPr="007C488A" w14:paraId="3F371F26" w14:textId="77777777" w:rsidTr="008F6CAA">
        <w:tc>
          <w:tcPr>
            <w:tcW w:w="3823" w:type="dxa"/>
          </w:tcPr>
          <w:p w14:paraId="1A3719AF"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Medical condition is severe, progressive, and expected to lead to premature death</w:t>
            </w:r>
          </w:p>
        </w:tc>
        <w:tc>
          <w:tcPr>
            <w:tcW w:w="5193" w:type="dxa"/>
          </w:tcPr>
          <w:p w14:paraId="4EE1098B"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 xml:space="preserve">Yes </w:t>
            </w:r>
          </w:p>
          <w:p w14:paraId="2A37F177" w14:textId="59E5EAAF" w:rsidR="00EB2081" w:rsidRPr="007C488A" w:rsidRDefault="00EB2081" w:rsidP="00EB2081">
            <w:pPr>
              <w:keepNext/>
              <w:spacing w:before="40" w:after="40"/>
              <w:rPr>
                <w:rFonts w:ascii="Arial Narrow" w:hAnsi="Arial Narrow"/>
                <w:sz w:val="20"/>
              </w:rPr>
            </w:pPr>
            <w:r w:rsidRPr="007C488A">
              <w:rPr>
                <w:rFonts w:ascii="Arial Narrow" w:hAnsi="Arial Narrow"/>
                <w:sz w:val="20"/>
              </w:rPr>
              <w:t xml:space="preserve">Without DT, the prognosis for patients is very poor </w:t>
            </w:r>
          </w:p>
        </w:tc>
      </w:tr>
      <w:tr w:rsidR="00EB2081" w:rsidRPr="007C488A" w14:paraId="3252DAF6" w14:textId="77777777" w:rsidTr="008F6CAA">
        <w:tc>
          <w:tcPr>
            <w:tcW w:w="3823" w:type="dxa"/>
          </w:tcPr>
          <w:p w14:paraId="40B2C222" w14:textId="1F9E5428" w:rsidR="00EB2081" w:rsidRPr="007C488A" w:rsidRDefault="00EB2081" w:rsidP="00EB2081">
            <w:pPr>
              <w:keepNext/>
              <w:spacing w:before="40" w:after="40"/>
              <w:rPr>
                <w:rFonts w:ascii="Arial Narrow" w:hAnsi="Arial Narrow"/>
                <w:sz w:val="20"/>
              </w:rPr>
            </w:pPr>
            <w:r w:rsidRPr="007C488A">
              <w:rPr>
                <w:rFonts w:ascii="Arial Narrow" w:hAnsi="Arial Narrow"/>
                <w:sz w:val="20"/>
              </w:rPr>
              <w:t xml:space="preserve">Medical condition applies only </w:t>
            </w:r>
            <w:r w:rsidR="008F6CAA" w:rsidRPr="007C488A">
              <w:rPr>
                <w:rFonts w:ascii="Arial Narrow" w:hAnsi="Arial Narrow"/>
                <w:sz w:val="20"/>
              </w:rPr>
              <w:t>to</w:t>
            </w:r>
            <w:r w:rsidRPr="007C488A">
              <w:rPr>
                <w:rFonts w:ascii="Arial Narrow" w:hAnsi="Arial Narrow"/>
                <w:sz w:val="20"/>
              </w:rPr>
              <w:t xml:space="preserve"> a small group of patients</w:t>
            </w:r>
          </w:p>
        </w:tc>
        <w:tc>
          <w:tcPr>
            <w:tcW w:w="5193" w:type="dxa"/>
          </w:tcPr>
          <w:p w14:paraId="24CE5736"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 xml:space="preserve">Yes </w:t>
            </w:r>
          </w:p>
          <w:p w14:paraId="1AF489B0" w14:textId="296657CA" w:rsidR="00EB2081" w:rsidRPr="007C488A" w:rsidRDefault="00EB2081" w:rsidP="00EB2081">
            <w:pPr>
              <w:keepNext/>
              <w:spacing w:before="40" w:after="40"/>
              <w:rPr>
                <w:rFonts w:ascii="Arial Narrow" w:hAnsi="Arial Narrow"/>
                <w:sz w:val="20"/>
              </w:rPr>
            </w:pPr>
            <w:r w:rsidRPr="007C488A">
              <w:rPr>
                <w:rFonts w:ascii="Arial Narrow" w:hAnsi="Arial Narrow"/>
                <w:sz w:val="20"/>
              </w:rPr>
              <w:t>LVAD therapy is highly specialised, and are currently performed in 4 quaternary centres, which results in a very small number of procedures that are possible each year</w:t>
            </w:r>
          </w:p>
        </w:tc>
      </w:tr>
      <w:tr w:rsidR="00EB2081" w:rsidRPr="007C488A" w14:paraId="1EA63DC9" w14:textId="77777777" w:rsidTr="008F6CAA">
        <w:tc>
          <w:tcPr>
            <w:tcW w:w="3823" w:type="dxa"/>
          </w:tcPr>
          <w:p w14:paraId="2FA6E7C9"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Proposed technology provides a clinical improvement sufficient to qualify as a rescue from the medical condition</w:t>
            </w:r>
          </w:p>
        </w:tc>
        <w:tc>
          <w:tcPr>
            <w:tcW w:w="5193" w:type="dxa"/>
          </w:tcPr>
          <w:p w14:paraId="3116CA62" w14:textId="77777777" w:rsidR="00EB2081" w:rsidRPr="007C488A" w:rsidRDefault="00EB2081" w:rsidP="00EB2081">
            <w:pPr>
              <w:keepNext/>
              <w:spacing w:before="40" w:after="40"/>
              <w:rPr>
                <w:rFonts w:ascii="Arial Narrow" w:hAnsi="Arial Narrow"/>
                <w:sz w:val="20"/>
              </w:rPr>
            </w:pPr>
            <w:r w:rsidRPr="007C488A">
              <w:rPr>
                <w:rFonts w:ascii="Arial Narrow" w:hAnsi="Arial Narrow"/>
                <w:sz w:val="20"/>
              </w:rPr>
              <w:t>Yes</w:t>
            </w:r>
          </w:p>
          <w:p w14:paraId="525EEC90" w14:textId="30C01A27" w:rsidR="00EB2081" w:rsidRPr="007C488A" w:rsidRDefault="00EB2081" w:rsidP="00EB2081">
            <w:pPr>
              <w:keepNext/>
              <w:spacing w:before="40" w:after="40"/>
              <w:rPr>
                <w:rFonts w:ascii="Arial Narrow" w:hAnsi="Arial Narrow"/>
                <w:sz w:val="20"/>
              </w:rPr>
            </w:pPr>
            <w:r w:rsidRPr="007C488A">
              <w:rPr>
                <w:rFonts w:ascii="Arial Narrow" w:hAnsi="Arial Narrow"/>
                <w:sz w:val="20"/>
              </w:rPr>
              <w:t>Evident from the survival and QoL benefits presented in th</w:t>
            </w:r>
            <w:r w:rsidR="00133695" w:rsidRPr="007C488A">
              <w:rPr>
                <w:rFonts w:ascii="Arial Narrow" w:hAnsi="Arial Narrow"/>
                <w:sz w:val="20"/>
              </w:rPr>
              <w:t>e</w:t>
            </w:r>
            <w:r w:rsidRPr="007C488A">
              <w:rPr>
                <w:rFonts w:ascii="Arial Narrow" w:hAnsi="Arial Narrow"/>
                <w:sz w:val="20"/>
              </w:rPr>
              <w:t xml:space="preserve"> ADAR </w:t>
            </w:r>
          </w:p>
        </w:tc>
      </w:tr>
    </w:tbl>
    <w:p w14:paraId="6A9D09F4" w14:textId="11E73F96" w:rsidR="00EB2081" w:rsidRPr="007C488A" w:rsidRDefault="00EB2081" w:rsidP="00EA4FE5">
      <w:pPr>
        <w:pStyle w:val="Tablenotes0"/>
        <w:rPr>
          <w:snapToGrid w:val="0"/>
        </w:rPr>
      </w:pPr>
      <w:r w:rsidRPr="007C488A">
        <w:rPr>
          <w:snapToGrid w:val="0"/>
        </w:rPr>
        <w:t xml:space="preserve">Source: </w:t>
      </w:r>
      <w:r w:rsidR="00886AD7" w:rsidRPr="007C488A">
        <w:rPr>
          <w:snapToGrid w:val="0"/>
        </w:rPr>
        <w:t>p</w:t>
      </w:r>
      <w:r w:rsidR="00A907AF" w:rsidRPr="007C488A">
        <w:rPr>
          <w:snapToGrid w:val="0"/>
        </w:rPr>
        <w:t xml:space="preserve">270 </w:t>
      </w:r>
      <w:r w:rsidRPr="007C488A">
        <w:rPr>
          <w:snapToGrid w:val="0"/>
        </w:rPr>
        <w:t xml:space="preserve">of </w:t>
      </w:r>
      <w:r w:rsidR="00FF43D6" w:rsidRPr="007C488A">
        <w:rPr>
          <w:snapToGrid w:val="0"/>
        </w:rPr>
        <w:t>MSAC 1749 ADAR+ in-line commentary</w:t>
      </w:r>
    </w:p>
    <w:p w14:paraId="4D0C2EB6" w14:textId="6F7F1FE0" w:rsidR="005569A8" w:rsidRPr="007C488A" w:rsidRDefault="005569A8" w:rsidP="00EA4FE5">
      <w:pPr>
        <w:pStyle w:val="Tablenotes0"/>
        <w:rPr>
          <w:snapToGrid w:val="0"/>
        </w:rPr>
      </w:pPr>
      <w:r w:rsidRPr="007C488A">
        <w:rPr>
          <w:snapToGrid w:val="0"/>
        </w:rPr>
        <w:t>Abbreviations: Abbreviations: DT = Destination therapy; HM3 = HeartM</w:t>
      </w:r>
      <w:r w:rsidR="006B758C" w:rsidRPr="007C488A">
        <w:rPr>
          <w:snapToGrid w:val="0"/>
        </w:rPr>
        <w:t>a</w:t>
      </w:r>
      <w:r w:rsidRPr="007C488A">
        <w:rPr>
          <w:snapToGrid w:val="0"/>
        </w:rPr>
        <w:t>te 3; LVAD = left ventricular assist device; INTERMACS: Interagency Registry for Mechanically Assisted Circulatory Support; OMM = optimal medical management; NNT = number needed to treat; QoL = quality of life</w:t>
      </w:r>
    </w:p>
    <w:p w14:paraId="1C8E36A7" w14:textId="278479B4" w:rsidR="008F6CAA" w:rsidRPr="007C488A" w:rsidRDefault="00905F98" w:rsidP="008F6CAA">
      <w:pPr>
        <w:jc w:val="both"/>
      </w:pPr>
      <w:bookmarkStart w:id="80" w:name="_Hlk155800433"/>
      <w:bookmarkStart w:id="81" w:name="_Toc69491428"/>
      <w:r w:rsidRPr="007C488A">
        <w:t>The</w:t>
      </w:r>
      <w:r w:rsidR="00133695" w:rsidRPr="007C488A">
        <w:t xml:space="preserve"> commentary considered the</w:t>
      </w:r>
      <w:r w:rsidR="00EB2081" w:rsidRPr="007C488A">
        <w:t xml:space="preserve"> rules of rescue appropriate for </w:t>
      </w:r>
      <w:r w:rsidR="009314AE" w:rsidRPr="007C488A">
        <w:t>patients eligible for LVAD as DT</w:t>
      </w:r>
      <w:r w:rsidR="009314AE" w:rsidRPr="007C488A" w:rsidDel="009314AE">
        <w:t xml:space="preserve"> </w:t>
      </w:r>
      <w:r w:rsidR="00EB2081" w:rsidRPr="007C488A">
        <w:t xml:space="preserve">as it </w:t>
      </w:r>
      <w:r w:rsidR="00133695" w:rsidRPr="007C488A">
        <w:t>i</w:t>
      </w:r>
      <w:r w:rsidR="00EB2081" w:rsidRPr="007C488A">
        <w:t>s the only option for patients who are ineligible for transplantation, the condition is severe, progressive, and expected to lead to premature death</w:t>
      </w:r>
      <w:r w:rsidR="006E111F" w:rsidRPr="007C488A">
        <w:t>.</w:t>
      </w:r>
      <w:r w:rsidR="00EB2081" w:rsidRPr="007C488A">
        <w:t xml:space="preserve"> </w:t>
      </w:r>
      <w:r w:rsidR="006E111F" w:rsidRPr="007C488A">
        <w:t>However, the commentary considered the medical condition applies only to a small group of patients denotes rare disease rather than the limitations due to capacity constraints. Hence, it is not applicable in this population.</w:t>
      </w:r>
      <w:bookmarkEnd w:id="80"/>
      <w:bookmarkEnd w:id="81"/>
    </w:p>
    <w:p w14:paraId="21169DE6" w14:textId="77777777" w:rsidR="00D92D23" w:rsidRPr="007C488A" w:rsidRDefault="00D92D23" w:rsidP="00D92D23">
      <w:pPr>
        <w:pStyle w:val="Heading2"/>
        <w:numPr>
          <w:ilvl w:val="0"/>
          <w:numId w:val="0"/>
        </w:numPr>
      </w:pPr>
      <w:r w:rsidRPr="007C488A">
        <w:t>16.</w:t>
      </w:r>
      <w:r w:rsidRPr="007C488A">
        <w:tab/>
        <w:t>Key issues from ESC to MSAC</w:t>
      </w:r>
    </w:p>
    <w:p w14:paraId="78C2D834" w14:textId="77777777" w:rsidR="00A832A7" w:rsidRPr="007C488A" w:rsidRDefault="00A832A7" w:rsidP="00A832A7">
      <w:pPr>
        <w:pStyle w:val="BoxName0"/>
        <w:pBdr>
          <w:top w:val="single" w:sz="4" w:space="0" w:color="000000"/>
        </w:pBdr>
      </w:pPr>
      <w:r w:rsidRPr="007C488A">
        <w:t>Main issues for MSAC consideration</w:t>
      </w:r>
    </w:p>
    <w:p w14:paraId="65ED4903" w14:textId="77777777" w:rsidR="00A832A7" w:rsidRPr="007C488A" w:rsidRDefault="00A832A7" w:rsidP="00A832A7">
      <w:pPr>
        <w:pStyle w:val="BoxName0"/>
        <w:pBdr>
          <w:top w:val="single" w:sz="4" w:space="0" w:color="000000"/>
        </w:pBdr>
      </w:pPr>
      <w:r w:rsidRPr="007C488A">
        <w:t>Clinical issues:</w:t>
      </w:r>
    </w:p>
    <w:p w14:paraId="5B16D753" w14:textId="77777777" w:rsidR="00A832A7" w:rsidRPr="007C488A" w:rsidRDefault="00A832A7" w:rsidP="00A832A7">
      <w:pPr>
        <w:pStyle w:val="BoxBullet"/>
        <w:pBdr>
          <w:top w:val="single" w:sz="4" w:space="0" w:color="000000"/>
        </w:pBdr>
        <w:rPr>
          <w:b/>
          <w:bCs/>
        </w:rPr>
      </w:pPr>
      <w:r w:rsidRPr="007C488A">
        <w:t xml:space="preserve">The intervention is proposed for use in a small and seriously ill patient population. </w:t>
      </w:r>
    </w:p>
    <w:p w14:paraId="164F5FD3" w14:textId="77777777" w:rsidR="00A832A7" w:rsidRPr="007C488A" w:rsidRDefault="00A832A7" w:rsidP="00A832A7">
      <w:pPr>
        <w:pStyle w:val="BoxBullet"/>
        <w:pBdr>
          <w:top w:val="single" w:sz="4" w:space="0" w:color="000000"/>
        </w:pBdr>
      </w:pPr>
      <w:r w:rsidRPr="007C488A">
        <w:t>The HeartMate 3 (HM3) is the only left ventricular assist device (LVAD) included on the Australian Register of Therapeutic Goods for use as destination therapy (DT). There are no randomised controlled trials (RCTs) directly comparing the HM3 against the nominated comparator optimal medical management (OMM).</w:t>
      </w:r>
    </w:p>
    <w:p w14:paraId="7E1BDEDE" w14:textId="77777777" w:rsidR="00A832A7" w:rsidRPr="007C488A" w:rsidRDefault="00A832A7" w:rsidP="00A832A7">
      <w:pPr>
        <w:pStyle w:val="BoxBullet"/>
        <w:pBdr>
          <w:top w:val="single" w:sz="4" w:space="0" w:color="000000"/>
        </w:pBdr>
      </w:pPr>
      <w:r w:rsidRPr="007C488A">
        <w:t>There are RCTs comparing earlier generation LVADs and OMM within the proposed population. Therefore, the comparative evidence for the intervention is based on indirect treatment comparisons (ITC) and naïve comparison of HM3 versus OMM.</w:t>
      </w:r>
    </w:p>
    <w:p w14:paraId="0E41D3DA" w14:textId="77777777" w:rsidR="00A832A7" w:rsidRPr="007C488A" w:rsidRDefault="00A832A7" w:rsidP="00A832A7">
      <w:pPr>
        <w:pStyle w:val="BoxHeading"/>
        <w:pBdr>
          <w:top w:val="single" w:sz="4" w:space="0" w:color="000000"/>
        </w:pBdr>
      </w:pPr>
      <w:r w:rsidRPr="007C488A">
        <w:t>Economic issues:</w:t>
      </w:r>
    </w:p>
    <w:p w14:paraId="0E690693" w14:textId="77777777" w:rsidR="00A832A7" w:rsidRPr="007C488A" w:rsidRDefault="00A832A7" w:rsidP="00A832A7">
      <w:pPr>
        <w:pStyle w:val="BoxBullet"/>
        <w:pBdr>
          <w:top w:val="single" w:sz="4" w:space="0" w:color="000000"/>
        </w:pBdr>
      </w:pPr>
      <w:r w:rsidRPr="007C488A">
        <w:t>The use of a partitioned survival model instead of a state transition model was not adequately justified. ESC considered that a state transition model (</w:t>
      </w:r>
      <w:proofErr w:type="gramStart"/>
      <w:r w:rsidRPr="007C488A">
        <w:t>e.g.</w:t>
      </w:r>
      <w:proofErr w:type="gramEnd"/>
      <w:r w:rsidRPr="007C488A">
        <w:t xml:space="preserve"> Markov model), similar to published cost-effectiveness studies on this intervention, would have been appropriate.</w:t>
      </w:r>
    </w:p>
    <w:p w14:paraId="6E2DE79A" w14:textId="1CB7987A" w:rsidR="00A832A7" w:rsidRPr="007C488A" w:rsidRDefault="00A832A7" w:rsidP="00A832A7">
      <w:pPr>
        <w:pStyle w:val="BoxBullet"/>
        <w:pBdr>
          <w:top w:val="single" w:sz="4" w:space="0" w:color="000000"/>
        </w:pBdr>
      </w:pPr>
      <w:r w:rsidRPr="007C488A">
        <w:t>The lifetime time horizon of 40 years, with a baseline age of 65 years, extends beyond the average life expectancy (</w:t>
      </w:r>
      <w:r w:rsidR="003E2881" w:rsidRPr="007C488A">
        <w:rPr>
          <w:b/>
          <w:bCs/>
        </w:rPr>
        <w:t>redacted</w:t>
      </w:r>
      <w:r w:rsidRPr="007C488A">
        <w:t>) and is therefore unreasonable. A time horizon of 10 years is more appropriate.</w:t>
      </w:r>
    </w:p>
    <w:p w14:paraId="721AF39B" w14:textId="77777777" w:rsidR="00A832A7" w:rsidRPr="007C488A" w:rsidRDefault="00A832A7" w:rsidP="00A832A7">
      <w:pPr>
        <w:pStyle w:val="BoxBullet"/>
        <w:pBdr>
          <w:top w:val="single" w:sz="4" w:space="0" w:color="000000"/>
        </w:pBdr>
      </w:pPr>
      <w:r w:rsidRPr="007C488A">
        <w:t xml:space="preserve">The base case model was informed by the results of the naïve comparison (very low-quality evidence) of the HM3 arm from the MOMENTUM 3 versus the OMM arm from the REMATCH </w:t>
      </w:r>
      <w:r w:rsidRPr="007C488A">
        <w:lastRenderedPageBreak/>
        <w:t>study. Although a scenario analysis using a hazard ratio approach to extrapolate survival also has some limitations, this analysis highlighted uncertainty in the model and ICER.</w:t>
      </w:r>
    </w:p>
    <w:p w14:paraId="0F007A79" w14:textId="77777777" w:rsidR="00A832A7" w:rsidRPr="007C488A" w:rsidRDefault="00A832A7" w:rsidP="00A832A7">
      <w:pPr>
        <w:pStyle w:val="BoxBullet"/>
        <w:pBdr>
          <w:top w:val="single" w:sz="4" w:space="0" w:color="000000"/>
        </w:pBdr>
      </w:pPr>
      <w:r w:rsidRPr="007C488A">
        <w:t xml:space="preserve">The REMATCH study was conducted prior to 2001, as such OMM in the REMATCH study differs from contemporary OMM treatment options for advanced heart failure (HF), which may underestimate the OMM effectiveness. More recent studies (ROADMAP and Hashim 2015) demonstrate a better overall survival in OMM compared to that of the REMATCH study. Although the ADAR claimed the ROADMAP patients were ‘less sick’, ESC considered this issue had not been adequately explored through sensitivity or scenario analyses. </w:t>
      </w:r>
    </w:p>
    <w:p w14:paraId="20671C7F" w14:textId="77777777" w:rsidR="00A832A7" w:rsidRPr="007C488A" w:rsidRDefault="00A832A7" w:rsidP="00A832A7">
      <w:pPr>
        <w:pStyle w:val="BoxBullet"/>
        <w:pBdr>
          <w:top w:val="single" w:sz="4" w:space="0" w:color="000000"/>
        </w:pBdr>
      </w:pPr>
      <w:r w:rsidRPr="007C488A">
        <w:t xml:space="preserve">The data sources for the baseline utility values were not well justified. There is a discrepancy in the populations used to inform the utility values for the OMM arm and the baseline in the HM3 arm. The utility value of the OMM arm was informed by an Australian study (Prichard 2021) with NYHA class 3 or 4 patients while the utility value of the subsequent cycles of the LVAD arm was based on a Japanese study (Sato 2022) with bridge to transplant patients. </w:t>
      </w:r>
    </w:p>
    <w:p w14:paraId="2EBCF1E1" w14:textId="50AC7D28" w:rsidR="00A832A7" w:rsidRPr="007C488A" w:rsidRDefault="00A832A7" w:rsidP="00A832A7">
      <w:pPr>
        <w:pStyle w:val="BoxBullet"/>
        <w:pBdr>
          <w:top w:val="single" w:sz="4" w:space="0" w:color="000000"/>
        </w:pBdr>
      </w:pPr>
      <w:r w:rsidRPr="007C488A">
        <w:t>A multivariate analysis by the commentary that attempted to correct model input issues (</w:t>
      </w:r>
      <w:proofErr w:type="gramStart"/>
      <w:r w:rsidRPr="007C488A">
        <w:t>e.g.</w:t>
      </w:r>
      <w:proofErr w:type="gramEnd"/>
      <w:r w:rsidRPr="007C488A">
        <w:t xml:space="preserve"> assume 10 year time horizon, adjust health state utility score for LVAD, device cost $</w:t>
      </w:r>
      <w:r w:rsidR="006735D8" w:rsidRPr="007C488A">
        <w:rPr>
          <w:b/>
          <w:bCs/>
        </w:rPr>
        <w:t>redacted</w:t>
      </w:r>
      <w:r w:rsidRPr="007C488A">
        <w:t>, apply trial-based hazard ratios and $0 OMM disease-related costs in first cycle) resulted in an ICER of $</w:t>
      </w:r>
      <w:r w:rsidR="006735D8" w:rsidRPr="007C488A">
        <w:rPr>
          <w:b/>
          <w:bCs/>
        </w:rPr>
        <w:t>redacted</w:t>
      </w:r>
      <w:r w:rsidRPr="007C488A">
        <w:t xml:space="preserve">. Although this analysis highlights the base case model and ICER is highly uncertain, this multivariate analysis is also subject to uncertainty and still uses the unjustified partitioned survival model. </w:t>
      </w:r>
    </w:p>
    <w:p w14:paraId="219811FE" w14:textId="77777777" w:rsidR="00A832A7" w:rsidRPr="007C488A" w:rsidRDefault="00A832A7" w:rsidP="00A832A7">
      <w:pPr>
        <w:pStyle w:val="BoxBullet"/>
        <w:pBdr>
          <w:top w:val="single" w:sz="4" w:space="0" w:color="000000"/>
        </w:pBdr>
      </w:pPr>
      <w:r w:rsidRPr="007C488A">
        <w:t>The approaches to including event and deterioration costs are very different in the two arms. It is difficult to reconcile the different approaches used for each arm, and this adds to the level of uncertainty in the economic results.</w:t>
      </w:r>
    </w:p>
    <w:p w14:paraId="61F6FB2A" w14:textId="77777777" w:rsidR="00A832A7" w:rsidRPr="007C488A" w:rsidRDefault="00A832A7" w:rsidP="00A832A7">
      <w:pPr>
        <w:pStyle w:val="BoxHeading"/>
        <w:pBdr>
          <w:top w:val="single" w:sz="4" w:space="0" w:color="000000"/>
        </w:pBdr>
      </w:pPr>
      <w:r w:rsidRPr="007C488A">
        <w:t>Financial issues:</w:t>
      </w:r>
    </w:p>
    <w:p w14:paraId="5B0E5572" w14:textId="25536BE1" w:rsidR="00A832A7" w:rsidRPr="007C488A" w:rsidRDefault="00A832A7" w:rsidP="00A832A7">
      <w:pPr>
        <w:pStyle w:val="BoxBullet"/>
        <w:pBdr>
          <w:top w:val="single" w:sz="4" w:space="0" w:color="000000"/>
        </w:pBdr>
      </w:pPr>
      <w:r w:rsidRPr="007C488A">
        <w:t>The estimated usage, based on unverifiable expert opinion is uncertain and may be underestimated. While the estimated total cost to the MBS is modest ($</w:t>
      </w:r>
      <w:r w:rsidR="003E2881" w:rsidRPr="007C488A">
        <w:rPr>
          <w:b/>
          <w:bCs/>
        </w:rPr>
        <w:t>redacted</w:t>
      </w:r>
      <w:r w:rsidRPr="007C488A">
        <w:t xml:space="preserve"> to $</w:t>
      </w:r>
      <w:r w:rsidR="003E2881" w:rsidRPr="007C488A">
        <w:rPr>
          <w:b/>
          <w:bCs/>
        </w:rPr>
        <w:t>redacted</w:t>
      </w:r>
      <w:r w:rsidRPr="007C488A">
        <w:t xml:space="preserve"> per year), it would have a large budget impact on private health insurers. That is, the total cost to private health funds is approximately $</w:t>
      </w:r>
      <w:r w:rsidR="003E2881" w:rsidRPr="007C488A">
        <w:rPr>
          <w:b/>
          <w:bCs/>
        </w:rPr>
        <w:t>redacted</w:t>
      </w:r>
      <w:r w:rsidRPr="007C488A">
        <w:t xml:space="preserve"> million per year for reimbursing </w:t>
      </w:r>
      <w:r w:rsidR="003E2881" w:rsidRPr="007C488A">
        <w:rPr>
          <w:b/>
          <w:bCs/>
        </w:rPr>
        <w:t>redacted</w:t>
      </w:r>
      <w:r w:rsidRPr="007C488A">
        <w:t xml:space="preserve"> LVAD for DT services per year.</w:t>
      </w:r>
    </w:p>
    <w:p w14:paraId="4FF0D26D" w14:textId="77777777" w:rsidR="00A832A7" w:rsidRPr="007C488A" w:rsidRDefault="00A832A7" w:rsidP="00A832A7">
      <w:pPr>
        <w:pStyle w:val="BoxBullet"/>
        <w:pBdr>
          <w:top w:val="single" w:sz="4" w:space="0" w:color="000000"/>
        </w:pBdr>
      </w:pPr>
      <w:r w:rsidRPr="007C488A">
        <w:t>The most significant component of the cost is the cost of the device which for private patients including those in public hospitals, will be borne by the private health insurers.</w:t>
      </w:r>
    </w:p>
    <w:p w14:paraId="64C57B88" w14:textId="77777777" w:rsidR="00A832A7" w:rsidRPr="007C488A" w:rsidRDefault="00A832A7" w:rsidP="00A832A7">
      <w:pPr>
        <w:pStyle w:val="BoxHeading"/>
        <w:pBdr>
          <w:top w:val="single" w:sz="4" w:space="0" w:color="000000"/>
        </w:pBdr>
      </w:pPr>
      <w:r w:rsidRPr="007C488A">
        <w:t>Other relevant information:</w:t>
      </w:r>
    </w:p>
    <w:p w14:paraId="07210BBE" w14:textId="77777777" w:rsidR="00A832A7" w:rsidRPr="007C488A" w:rsidRDefault="00A832A7" w:rsidP="00A832A7">
      <w:pPr>
        <w:pStyle w:val="BoxBullet"/>
        <w:pBdr>
          <w:top w:val="single" w:sz="4" w:space="0" w:color="000000"/>
        </w:pBdr>
      </w:pPr>
      <w:r w:rsidRPr="007C488A">
        <w:t>Heart failure treated with OMM is associated with significant frailty in some patients, so excluding people from an alternative treatment based on frailty may not be appropriate. However, it may be worthwhile asking the applicant and advisory groups whether there should be restrictions based on frailty index and/or comorbidities (e.g. kidney failure on dialysis). It may also be beneficial to clarify whether the intervention may be used in a paediatric population in the future as devices become smaller.</w:t>
      </w:r>
    </w:p>
    <w:p w14:paraId="19CC2AC1" w14:textId="77777777" w:rsidR="00A832A7" w:rsidRPr="007C488A" w:rsidRDefault="00A832A7" w:rsidP="00A832A7">
      <w:pPr>
        <w:pStyle w:val="BoxBullet"/>
        <w:pBdr>
          <w:top w:val="single" w:sz="4" w:space="0" w:color="000000"/>
        </w:pBdr>
      </w:pPr>
      <w:r w:rsidRPr="007C488A">
        <w:t>An additional item may be required to cover replacement of the device. The proposed service could then be restricted to once per lifetime.</w:t>
      </w:r>
    </w:p>
    <w:p w14:paraId="4890E077" w14:textId="77777777" w:rsidR="00A832A7" w:rsidRPr="007C488A" w:rsidRDefault="00A832A7" w:rsidP="00A832A7">
      <w:pPr>
        <w:pStyle w:val="BoxBullet"/>
        <w:pBdr>
          <w:top w:val="single" w:sz="4" w:space="0" w:color="000000"/>
        </w:pBdr>
      </w:pPr>
      <w:r w:rsidRPr="007C488A">
        <w:t>There is a requirement for access to specialist care, including for ongoing specialist follow-up. In Australia, this specialist care is currently only offered at one paediatric and four adult quaternary hospitals, which introduces access issues.</w:t>
      </w:r>
    </w:p>
    <w:p w14:paraId="79001177" w14:textId="77777777" w:rsidR="00A832A7" w:rsidRPr="007C488A" w:rsidRDefault="00A832A7" w:rsidP="00A832A7">
      <w:pPr>
        <w:keepNext/>
        <w:spacing w:before="240"/>
        <w:outlineLvl w:val="1"/>
        <w:rPr>
          <w:rFonts w:cs="Arial"/>
          <w:b/>
          <w:bCs/>
          <w:iCs/>
          <w:sz w:val="24"/>
          <w:szCs w:val="28"/>
          <w:lang w:eastAsia="en-AU"/>
        </w:rPr>
      </w:pPr>
      <w:r w:rsidRPr="007C488A">
        <w:rPr>
          <w:rFonts w:cs="Arial"/>
          <w:b/>
          <w:bCs/>
          <w:iCs/>
          <w:sz w:val="24"/>
          <w:szCs w:val="28"/>
          <w:lang w:eastAsia="en-AU"/>
        </w:rPr>
        <w:t>ESC discussion</w:t>
      </w:r>
    </w:p>
    <w:p w14:paraId="12AAF313" w14:textId="77777777" w:rsidR="00A832A7" w:rsidRPr="007C488A" w:rsidRDefault="00A832A7" w:rsidP="00A832A7">
      <w:r w:rsidRPr="007C488A">
        <w:t xml:space="preserve">ESC noted that this application from Abbott Medical Australia Pty Ltd requested Medicare Benefits Schedule (MBS) listing for the insertion of a durable left-ventricular assist device (LVAD) for use as destination therapy (DT) for patients with refractory heart failure (HF), despite optimal medical management (OMM), who are ineligible for cardiac transplantation. ESC noted that </w:t>
      </w:r>
      <w:r w:rsidRPr="007C488A">
        <w:lastRenderedPageBreak/>
        <w:t>refractory HF is defined as the presence of persistent or progressive symptoms alongside ventricular dysfunction despite OMM. ESC noted that the prognosis for patients with this condition is poor, with observed 2-year survival rates of 8%</w:t>
      </w:r>
      <w:r w:rsidRPr="007C488A">
        <w:rPr>
          <w:rStyle w:val="FootnoteReference"/>
        </w:rPr>
        <w:footnoteReference w:id="25"/>
      </w:r>
      <w:r w:rsidRPr="007C488A">
        <w:t xml:space="preserve">. </w:t>
      </w:r>
    </w:p>
    <w:p w14:paraId="433BE8A8" w14:textId="77777777" w:rsidR="00A832A7" w:rsidRPr="007C488A" w:rsidRDefault="00A832A7" w:rsidP="00A832A7">
      <w:r w:rsidRPr="007C488A">
        <w:t>ESC noted that ventricular assist device implantation is listed on the MBS for other populations, including as a bridge to transplant (BTT) and bridge to (transplant) candidacy (BTC) since 1992 (MBS items 38615 and 38618).</w:t>
      </w:r>
    </w:p>
    <w:p w14:paraId="6C595D2E" w14:textId="77777777" w:rsidR="00A832A7" w:rsidRPr="007C488A" w:rsidRDefault="00A832A7" w:rsidP="00A832A7">
      <w:r w:rsidRPr="007C488A">
        <w:t>ESC noted that the LVAD in this application, HeartMate 3 (HM3), is a fully magnetic levitation centrifugal pump that provides mechanical circulatory support (MCS) by assuming some or all the workload of the ventricle. Insertion is an open procedure performed by a cardiothoracic surgeon. As per current clinical management in Australia, patients eligible for LVAD would be implanted in one of four adult quaternary hospitals or one paediatric hospital.</w:t>
      </w:r>
    </w:p>
    <w:p w14:paraId="3B5899FC" w14:textId="77777777" w:rsidR="00A832A7" w:rsidRPr="007C488A" w:rsidRDefault="00A832A7" w:rsidP="00A832A7">
      <w:r w:rsidRPr="007C488A">
        <w:rPr>
          <w:rFonts w:cs="Calibri"/>
        </w:rPr>
        <w:t xml:space="preserve">ESC noted and welcomed consultation input from 4 professional organisations, 1 consumer organisation and 3 individuals, all of whom were medical specialists. </w:t>
      </w:r>
      <w:r w:rsidRPr="007C488A">
        <w:t>ESC noted from consumer feedback that the device not only prolongs life, but also improves the quality of life. Other consultation feedback identified access issues, especially for people not living close to one of the few sites performing the service, and that patients and general practitioners are required to self-advocate to hospitals for this kind of therapy. Feedback also identified the need for multidisciplinary team (MDT) care, and ESC noted that it was important that patients had flexible options for accessing MDT care so that they could get the support and rehabilitation they required. ESC also noted the importance of ensuring that the eligibility criteria did not exclude patients based on assumptions that they are unable to do or understand the aftercare required. Finally, feedback from one organisation suggested that an MBS listing for LVAD as DT could lead to cost shifting to private health insurers, which could have negative implications for people paying private health premiums. ESC considered that there were other benefits that were difficult to capture, such as the value of small increases in functional capacity when OMM is applied with enough resources. ESC also considered that many patients may not want an external cardiac device as a first-line option and would likely prefer to try OMM first. ESC considered that it may be beneficial to seek qualitative data from people with severe HF.</w:t>
      </w:r>
    </w:p>
    <w:p w14:paraId="51181E28" w14:textId="77777777" w:rsidR="00A832A7" w:rsidRPr="007C488A" w:rsidRDefault="00A832A7" w:rsidP="00A832A7">
      <w:r w:rsidRPr="007C488A">
        <w:t xml:space="preserve">ESC noted that the proposed item descriptor is device agnostic, although HM3 is the only LVAD for DT listed on the Australian Register of Therapeutic Goods (ARTG). ESC advised that the use of the acronym “VAD” (short for ventricular assist device) should be avoided as this acronym can also mean “voluntary assisted dying” in clinical practice. ESC noted that PASC had considered that the MDT explanatory note should be amended to include an intensive care clinician. ESC noted that the MDT as described in the proposed explanatory note does not stipulate the specialty of the second and third participating specialist or consultant physicians, meaning that an intensive care clinician can already form part of the MDT. ESC considered that one of the participating specialists or consultants should be specified in the case conference explanatory note as a transplant physician given their significant involvement in determinations of transplant eligibility (i.e. confirming that the patient under consideration for LVAD is not transplant eligible) and in transplant aftercare. Additionally, ESC considered that the case conference in the explanatory note should specify the inclusion of a fourth participant who should be the transplant coordinator. ESC noted that the proposed MBS item fee was $1,677.85 (75% benefit 1,258.40). ESC advised that the fee should cover all imaging required during implantation, so the descriptor should specify “all associated intra-operative imaging”. However, this should not include workup </w:t>
      </w:r>
      <w:r w:rsidRPr="007C488A">
        <w:lastRenderedPageBreak/>
        <w:t xml:space="preserve">imaging to determine suitability and approaches for the procedure nor any post-operative imaging required to monitor for any complications. </w:t>
      </w:r>
    </w:p>
    <w:p w14:paraId="2549B48E" w14:textId="77777777" w:rsidR="00A832A7" w:rsidRPr="007C488A" w:rsidRDefault="00A832A7" w:rsidP="00A832A7">
      <w:r w:rsidRPr="007C488A">
        <w:t xml:space="preserve">ESC advised that there should not be a 6-month claiming restriction even though the proposed item states ‘capable of providing mechanical circulatory support for at least six </w:t>
      </w:r>
      <w:proofErr w:type="gramStart"/>
      <w:r w:rsidRPr="007C488A">
        <w:t>months’</w:t>
      </w:r>
      <w:proofErr w:type="gramEnd"/>
      <w:r w:rsidRPr="007C488A">
        <w:t>. Rather, ESC considered that the MBS item should be restricted to once per lifetime, with a separate MBS item designated for re-implantation, if required by the patient. ESC considered whether there should be a restriction based on age or frailty index. ESC noted that OMM is intolerable for many patients, causing them to become frail very quickly, so it may not be appropriate to exclude people from alternative treatment based on frailty. It was also noted that small gains in functional capacity can translate to large improvements in quality of life. However, ESC considered that there should be further consultation with the applicant and advisory groups regarding whether there should be restrictions based on frailty index and/or comorbidities. ESC also queried whether this intervention may be used in a paediatric population in the future as devices get smaller, and noted this may be something MSAC would like clarification on.</w:t>
      </w:r>
    </w:p>
    <w:p w14:paraId="17A08521" w14:textId="77777777" w:rsidR="00A832A7" w:rsidRPr="007C488A" w:rsidRDefault="00A832A7" w:rsidP="00A832A7">
      <w:r w:rsidRPr="007C488A" w:rsidDel="004C729B">
        <w:t xml:space="preserve">ESC noted that patients </w:t>
      </w:r>
      <w:r w:rsidRPr="007C488A">
        <w:t xml:space="preserve">with advanced HF </w:t>
      </w:r>
      <w:r w:rsidRPr="007C488A" w:rsidDel="004C729B">
        <w:t>are classified according to Interagency Registry for Mechanically Assisted Circulatory Support (INTERMACS) profiles, which classif</w:t>
      </w:r>
      <w:r w:rsidRPr="007C488A">
        <w:t>ies</w:t>
      </w:r>
      <w:r w:rsidRPr="007C488A" w:rsidDel="004C729B">
        <w:t xml:space="preserve"> patients requiring advanced therapies such as long-term MCS devices into one of seven profiles (with profile 1 being the most severe). </w:t>
      </w:r>
      <w:r w:rsidRPr="007C488A">
        <w:t xml:space="preserve">ESC noted the </w:t>
      </w:r>
      <w:r w:rsidRPr="007C488A" w:rsidDel="004C729B">
        <w:t xml:space="preserve">proposed </w:t>
      </w:r>
      <w:r w:rsidRPr="007C488A">
        <w:t xml:space="preserve">population is </w:t>
      </w:r>
      <w:r w:rsidRPr="007C488A" w:rsidDel="004C729B">
        <w:t xml:space="preserve">patients </w:t>
      </w:r>
      <w:r w:rsidRPr="007C488A">
        <w:t xml:space="preserve">with advanced HF despite OMM with INTERMACS </w:t>
      </w:r>
      <w:r w:rsidRPr="007C488A" w:rsidDel="004C729B">
        <w:t xml:space="preserve">profiles 1–4 </w:t>
      </w:r>
      <w:r w:rsidRPr="007C488A">
        <w:t xml:space="preserve">(i.e. </w:t>
      </w:r>
      <w:r w:rsidRPr="007C488A" w:rsidDel="004C729B">
        <w:t>who are considerably to critically unwell</w:t>
      </w:r>
      <w:r w:rsidRPr="007C488A">
        <w:t>) and ineligible for cardiac transplant.</w:t>
      </w:r>
      <w:r w:rsidRPr="007C488A" w:rsidDel="004C729B">
        <w:t xml:space="preserve"> </w:t>
      </w:r>
      <w:r w:rsidRPr="007C488A">
        <w:t>ESC noted that the comparator for the intervention is OMM.</w:t>
      </w:r>
    </w:p>
    <w:p w14:paraId="041FF8CA" w14:textId="77777777" w:rsidR="00A832A7" w:rsidRPr="007C488A" w:rsidRDefault="00A832A7" w:rsidP="00A832A7">
      <w:r w:rsidRPr="007C488A">
        <w:t>ESC noted that in the proposed clinical management algorithm advanced HF patients will first be treated with OMM. ESC noted that most patients will receive pharmacological management as part of OMM. ESC noted that the consensus statement on the pharmacological management of HF patients in Australia (based on 2018 NHFA/CSANZ</w:t>
      </w:r>
      <w:r w:rsidRPr="007C488A">
        <w:rPr>
          <w:rStyle w:val="FootnoteReference"/>
        </w:rPr>
        <w:footnoteReference w:id="26"/>
      </w:r>
      <w:r w:rsidRPr="007C488A">
        <w:t xml:space="preserve">guidelines) recommend “quadruple therapy” (including renin-angiotensin-system inhibitors, beta-blockers, mineralocorticoid receptor antagonists and sodium glucose cotransporter 2 inhibitors) as first-line treatment in patients with HF with reduced ejection fraction. Non-pharmacological treatments (such as ventilation, pacing, angioplasty, extracorporeal membrane oxygenation and </w:t>
      </w:r>
      <w:proofErr w:type="spellStart"/>
      <w:r w:rsidRPr="007C488A">
        <w:t>haemofiltration</w:t>
      </w:r>
      <w:proofErr w:type="spellEnd"/>
      <w:r w:rsidRPr="007C488A">
        <w:t>) are likely to be used in addition to pharmacological management for most severely affected patients. ESC noted that patients who are refractory to OMM will be assessed through a case conference for cardiac transplant and LVAD eligibility. ESC considered the eligibility for LVAD to be on a case-by-case basis and noted that clinical guidelines from Australia (2018 NHFA/CSANZ</w:t>
      </w:r>
      <w:r w:rsidRPr="007C488A">
        <w:rPr>
          <w:rStyle w:val="FootnoteReference"/>
        </w:rPr>
        <w:footnoteReference w:id="27"/>
      </w:r>
      <w:r w:rsidRPr="007C488A">
        <w:t>), the United States (2022 AHA/ACC/HFSA</w:t>
      </w:r>
      <w:r w:rsidRPr="007C488A">
        <w:rPr>
          <w:rStyle w:val="FootnoteReference"/>
        </w:rPr>
        <w:footnoteReference w:id="28"/>
      </w:r>
      <w:r w:rsidRPr="007C488A">
        <w:t>) and Europe (2021 ESC HF</w:t>
      </w:r>
      <w:r w:rsidRPr="007C488A">
        <w:rPr>
          <w:rStyle w:val="FootnoteReference"/>
        </w:rPr>
        <w:footnoteReference w:id="29"/>
      </w:r>
      <w:r w:rsidRPr="007C488A">
        <w:t xml:space="preserve">) provide eligibility criteria or recommendations for consideration, and broadly apply to a relatively small number of patients with an INTERMACS profile between 1-4 or display other high risk characteristics. </w:t>
      </w:r>
    </w:p>
    <w:p w14:paraId="599820E4" w14:textId="77777777" w:rsidR="00A832A7" w:rsidRPr="007C488A" w:rsidRDefault="00A832A7" w:rsidP="00A832A7">
      <w:r w:rsidRPr="007C488A">
        <w:t xml:space="preserve">ESC noted that post-operative management and long-term follow-up of LVAD patients includes pharmacological management (mainly antithrombotic therapy: warfarin, aspirin), blood pressure </w:t>
      </w:r>
      <w:r w:rsidRPr="007C488A">
        <w:lastRenderedPageBreak/>
        <w:t>control, supportive care, clinical assessment of patient wellbeing (e.g. check of vital signs, mental status, level of consciousness) and technical assessment of the LVAD device (e.g. pump function, pump speed, flow). OMM, including ACE inhibitors, beta blockers, mineralocorticoid receptor antagonists and diuretics, may be continued for some patients.</w:t>
      </w:r>
    </w:p>
    <w:p w14:paraId="3C32BDEB" w14:textId="77777777" w:rsidR="00A832A7" w:rsidRPr="007C488A" w:rsidRDefault="00A832A7" w:rsidP="00A832A7">
      <w:r w:rsidRPr="007C488A">
        <w:t xml:space="preserve">ESC noted that PASC had advised that the assessment report (including the clinical algorithm) should address the potential for a patient in DT to move back into active clinical care with a view for reassessment for transplant. ESC noted that the proposed clinical algorithm depicted that patients could move from DT to BTT. ESC agreed that DT patients should be provided the option to be re-assessed for cardiac transplant eligibility, but considered transfer from DT to BTT rare once patients are determined to be transplant ineligible. </w:t>
      </w:r>
    </w:p>
    <w:p w14:paraId="01ACBA37" w14:textId="77777777" w:rsidR="00A832A7" w:rsidRPr="007C488A" w:rsidRDefault="00A832A7" w:rsidP="00A832A7">
      <w:r w:rsidRPr="007C488A">
        <w:t xml:space="preserve">ESC noted that the clinical evidence presented in the ADAR comprised data from three randomised controlled trials (RCTs) and one observational study: </w:t>
      </w:r>
    </w:p>
    <w:p w14:paraId="5A707B4A" w14:textId="77777777" w:rsidR="00A832A7" w:rsidRPr="007C488A" w:rsidRDefault="00A832A7" w:rsidP="00A832A7">
      <w:pPr>
        <w:pStyle w:val="ListParagraph"/>
        <w:numPr>
          <w:ilvl w:val="0"/>
          <w:numId w:val="35"/>
        </w:numPr>
      </w:pPr>
      <w:r w:rsidRPr="007C488A">
        <w:t>MOMENTUM 3 (2019, RCT compared HM3 versus 2</w:t>
      </w:r>
      <w:r w:rsidRPr="007C488A">
        <w:rPr>
          <w:vertAlign w:val="superscript"/>
        </w:rPr>
        <w:t>nd</w:t>
      </w:r>
      <w:r w:rsidRPr="007C488A">
        <w:t xml:space="preserve"> generation HeartMate II [HM2], n=1028) </w:t>
      </w:r>
    </w:p>
    <w:p w14:paraId="28369F47" w14:textId="77777777" w:rsidR="00A832A7" w:rsidRPr="007C488A" w:rsidRDefault="00A832A7" w:rsidP="00A832A7">
      <w:pPr>
        <w:pStyle w:val="ListParagraph"/>
        <w:numPr>
          <w:ilvl w:val="0"/>
          <w:numId w:val="35"/>
        </w:numPr>
      </w:pPr>
      <w:r w:rsidRPr="007C488A">
        <w:t>Slaughter et al. (2009) (RCT, compared HM2 versus 1</w:t>
      </w:r>
      <w:r w:rsidRPr="007C488A">
        <w:rPr>
          <w:vertAlign w:val="superscript"/>
        </w:rPr>
        <w:t>st</w:t>
      </w:r>
      <w:r w:rsidRPr="007C488A">
        <w:t xml:space="preserve"> generation HM XVE, n=200)</w:t>
      </w:r>
    </w:p>
    <w:p w14:paraId="528925A8" w14:textId="77777777" w:rsidR="00A832A7" w:rsidRPr="007C488A" w:rsidRDefault="00A832A7" w:rsidP="00A832A7">
      <w:pPr>
        <w:pStyle w:val="ListParagraph"/>
        <w:numPr>
          <w:ilvl w:val="0"/>
          <w:numId w:val="35"/>
        </w:numPr>
      </w:pPr>
      <w:r w:rsidRPr="007C488A">
        <w:t>REMATCH (2001, RCT, compared HM XVE versus OMM, n=129)</w:t>
      </w:r>
    </w:p>
    <w:p w14:paraId="72768714" w14:textId="77777777" w:rsidR="00A832A7" w:rsidRPr="007C488A" w:rsidRDefault="00A832A7" w:rsidP="00A832A7">
      <w:pPr>
        <w:pStyle w:val="ListParagraph"/>
        <w:numPr>
          <w:ilvl w:val="0"/>
          <w:numId w:val="35"/>
        </w:numPr>
      </w:pPr>
      <w:r w:rsidRPr="007C488A">
        <w:t xml:space="preserve">ROADMAP (2015, observational study, compared HM2 versus OMM, n=200). </w:t>
      </w:r>
    </w:p>
    <w:p w14:paraId="4828FD6E" w14:textId="77777777" w:rsidR="00A832A7" w:rsidRPr="007C488A" w:rsidRDefault="00A832A7" w:rsidP="00A832A7">
      <w:r w:rsidRPr="007C488A">
        <w:t xml:space="preserve">ESC noted that there were no head-to-head trials identified comparing HM3 and OMM. A literature search identified two ongoing trials (AMBUVAD and </w:t>
      </w:r>
      <w:proofErr w:type="spellStart"/>
      <w:r w:rsidRPr="007C488A">
        <w:t>SweVAD</w:t>
      </w:r>
      <w:proofErr w:type="spellEnd"/>
      <w:r w:rsidRPr="007C488A">
        <w:t xml:space="preserve">) that are yet to be published. ESC noted the ADAR therefore presented indirect treatment comparisons (ITCs): </w:t>
      </w:r>
    </w:p>
    <w:p w14:paraId="678F45D7" w14:textId="77777777" w:rsidR="00A832A7" w:rsidRPr="007C488A" w:rsidRDefault="00A832A7" w:rsidP="00A832A7">
      <w:pPr>
        <w:pStyle w:val="ListParagraph"/>
        <w:numPr>
          <w:ilvl w:val="0"/>
          <w:numId w:val="36"/>
        </w:numPr>
      </w:pPr>
      <w:r w:rsidRPr="007C488A">
        <w:t>2-step ITC comparing HM3 vs HM2 vs HM XVE vs OMM (using Momentum 3, Slaughter et al. 2009 and REMATCH)</w:t>
      </w:r>
    </w:p>
    <w:p w14:paraId="7E7743FC" w14:textId="77777777" w:rsidR="00A832A7" w:rsidRPr="007C488A" w:rsidRDefault="00A832A7" w:rsidP="00A832A7">
      <w:pPr>
        <w:pStyle w:val="ListParagraph"/>
        <w:numPr>
          <w:ilvl w:val="0"/>
          <w:numId w:val="36"/>
        </w:numPr>
      </w:pPr>
      <w:r w:rsidRPr="007C488A">
        <w:t>1-step ITC comparing HM3 vs HM2 vs OMM (using Momentum 3 and ROADMAP)</w:t>
      </w:r>
    </w:p>
    <w:p w14:paraId="4078168E" w14:textId="77777777" w:rsidR="00A832A7" w:rsidRPr="007C488A" w:rsidRDefault="00A832A7" w:rsidP="00A832A7">
      <w:pPr>
        <w:pStyle w:val="ListParagraph"/>
        <w:numPr>
          <w:ilvl w:val="0"/>
          <w:numId w:val="36"/>
        </w:numPr>
      </w:pPr>
      <w:r w:rsidRPr="007C488A">
        <w:t>Naïve comparison of HM3 arm from MOMENTUM 3 versus OMM arm from REMATCH.</w:t>
      </w:r>
    </w:p>
    <w:p w14:paraId="5A0610BD" w14:textId="77777777" w:rsidR="00A832A7" w:rsidRPr="007C488A" w:rsidRDefault="00A832A7" w:rsidP="00A832A7">
      <w:r w:rsidRPr="007C488A">
        <w:t>ESC raised several issues with the clinical evidence and ITCs:</w:t>
      </w:r>
    </w:p>
    <w:p w14:paraId="35BD039E" w14:textId="77777777" w:rsidR="00A832A7" w:rsidRPr="007C488A" w:rsidRDefault="00A832A7" w:rsidP="00A832A7">
      <w:pPr>
        <w:pStyle w:val="ListParagraph"/>
        <w:numPr>
          <w:ilvl w:val="0"/>
          <w:numId w:val="37"/>
        </w:numPr>
      </w:pPr>
      <w:r w:rsidRPr="007C488A">
        <w:t xml:space="preserve">The ADAR claimed patients in the ROADMAP study were less sick (INTERMACS profiles 4-7), so ADAR asserted that the 1-step ITC (using ROADMAP OMM) was biased against HM3. </w:t>
      </w:r>
    </w:p>
    <w:p w14:paraId="2F409FE3" w14:textId="77777777" w:rsidR="00A832A7" w:rsidRPr="007C488A" w:rsidRDefault="00A832A7" w:rsidP="00A832A7">
      <w:pPr>
        <w:pStyle w:val="ListParagraph"/>
        <w:numPr>
          <w:ilvl w:val="0"/>
          <w:numId w:val="37"/>
        </w:numPr>
      </w:pPr>
      <w:r w:rsidRPr="007C488A">
        <w:t>The MOMENTUM 3 trial included a mixed population of DT, BTT and BTC patients, of which 61% were DT patients, and included patients with INTERMACS profiles 1–7, although the majority (97%) were profiles 1–4, which was consistent with the proposed population.</w:t>
      </w:r>
    </w:p>
    <w:p w14:paraId="5D4298FC" w14:textId="77777777" w:rsidR="00A832A7" w:rsidRPr="007C488A" w:rsidRDefault="00A832A7" w:rsidP="00A832A7">
      <w:pPr>
        <w:pStyle w:val="ListParagraph"/>
        <w:numPr>
          <w:ilvl w:val="0"/>
          <w:numId w:val="37"/>
        </w:numPr>
      </w:pPr>
      <w:r w:rsidRPr="007C488A">
        <w:t>Contemporary management of advance HF is different to the OMM used in the REMATCH study, which may underestimate contemporary OMM effectiveness.</w:t>
      </w:r>
    </w:p>
    <w:p w14:paraId="5EF3ED5D" w14:textId="77777777" w:rsidR="00A832A7" w:rsidRPr="007C488A" w:rsidRDefault="00A832A7" w:rsidP="00A832A7">
      <w:pPr>
        <w:pStyle w:val="ListParagraph"/>
        <w:numPr>
          <w:ilvl w:val="0"/>
          <w:numId w:val="37"/>
        </w:numPr>
      </w:pPr>
      <w:r w:rsidRPr="007C488A">
        <w:t>Some outcomes could not be compared due to differences in reporting across the trials.</w:t>
      </w:r>
    </w:p>
    <w:p w14:paraId="4EE5DF40" w14:textId="77777777" w:rsidR="00A832A7" w:rsidRPr="007C488A" w:rsidRDefault="00A832A7" w:rsidP="00A832A7">
      <w:r w:rsidRPr="007C488A">
        <w:t xml:space="preserve">ESC noted that, when compared to the second-generation device (HM2), HM3 had a statistically significantly shorter median duration of rehospitalisation (18 days HM2 versus 13 days HM3) for the overall population. The rate of rehospitalisation was also statistically significant in favour of HM3 over HM2. For days out of hospital and duration of rehospitalisation, recipients of HM3 had an additional 24 days out of hospital over a 2-year period compared with recipients of HM2, and a 12% reduction in rehospitalisation rates over that period. </w:t>
      </w:r>
    </w:p>
    <w:p w14:paraId="63B28B9D" w14:textId="77777777" w:rsidR="00A832A7" w:rsidRPr="007C488A" w:rsidRDefault="00A832A7" w:rsidP="00A832A7">
      <w:r w:rsidRPr="007C488A">
        <w:t xml:space="preserve">For device malfunctions, ESC noted that, of the 329 suspected malfunctions of HM3 at 2 years post-implantation, 23 were associated with adverse clinical effects. These included apical cuff malfunctions resulting in bleeding or the inability to secure haemostasis during the procedure; suspected malfunctions with the system controller, modular cable and mobile power unit </w:t>
      </w:r>
      <w:r w:rsidRPr="007C488A">
        <w:lastRenderedPageBreak/>
        <w:t xml:space="preserve">resulting in dizziness, dyspnoea, </w:t>
      </w:r>
      <w:proofErr w:type="gramStart"/>
      <w:r w:rsidRPr="007C488A">
        <w:t>syncope</w:t>
      </w:r>
      <w:proofErr w:type="gramEnd"/>
      <w:r w:rsidRPr="007C488A">
        <w:t xml:space="preserve"> and chest pain; assembly malfunctions resulting in outflow graft twist occlusion; and suspected device thrombosis or outflow obstruction. In all cases, the action taken by the sites included pump replacement, outflow graft revision, heart transplant or other surgery. ESC also noted that, at 2 years post-implantation, there was a higher percentage of patients with confirmed HM3 malfunctions than HM2 malfunctions (31% versus 24%, respectively). The numbers were more similar 5 years post-implantation (6% for HM3 versus 10% for HM2), but the overall patient numbers were much smaller. For patients continuing with OMM, ESC considered that the available pharmacological and non-pharmacological interventions would be associated with adverse events.</w:t>
      </w:r>
    </w:p>
    <w:p w14:paraId="53A2FF6B" w14:textId="77777777" w:rsidR="00A832A7" w:rsidRPr="007C488A" w:rsidRDefault="00A832A7" w:rsidP="00A832A7">
      <w:r w:rsidRPr="007C488A">
        <w:t xml:space="preserve">Regarding comparative effectiveness, ESC noted that the ADAR reported that all ITCs demonstrated statistically significant superior overall survival (OS) with HM3 versus OMM over 2 years. From the naïve comparison (very low-quality evidence), the ADAR reported OS for HM3 as 76.7% versus 8% for OMM and claimed that based on this magnitude of effect of 68.7% in favour of HM3 that the treatment of two patients with HM3 would therefore save one patient life relative to OMM. ESC noted that limited data were available to permit formal comparison of functional and quality of life (QoL) endpoints, but qualitative comparisons indicate improvements in functional class, the six-minute walking test (6MWT) and the EQ-5D questionnaire. </w:t>
      </w:r>
    </w:p>
    <w:p w14:paraId="2F2D8F9A" w14:textId="77777777" w:rsidR="00A832A7" w:rsidRPr="007C488A" w:rsidRDefault="00A832A7" w:rsidP="00A832A7">
      <w:r w:rsidRPr="007C488A">
        <w:t>ESC noted that the economic evaluation was a cost-utility analysis that used a partitioned survival model with two basic health states – alive and dead – with allocation to the states determined by naïve comparisons of OS curves and extrapolations from the MOMENTUM 3 trial (LVAD arm) and REMATCH trial (OMM arm). The model used a lifetime time horizon of 40 years (baseline age of 65 years).</w:t>
      </w:r>
    </w:p>
    <w:p w14:paraId="01EAD7B9" w14:textId="77777777" w:rsidR="00A832A7" w:rsidRPr="007C488A" w:rsidRDefault="00A832A7" w:rsidP="00A832A7">
      <w:r w:rsidRPr="007C488A">
        <w:t>ESC considered that use of a partitioned survival model, which is typically used to model cancer treatments and can include interim states of progression free survival, was not justified. ESC also questioned why other health states (such as event-free survival) were not included in the model. ESC noted that guidelines and previous studies</w:t>
      </w:r>
      <w:r w:rsidRPr="007C488A">
        <w:rPr>
          <w:rStyle w:val="FootnoteReference"/>
        </w:rPr>
        <w:footnoteReference w:id="30"/>
      </w:r>
      <w:r w:rsidRPr="007C488A">
        <w:t xml:space="preserve"> suggest the choice of either a partitioned survival model or state transition model can have substantial impacts on results, particularly for extrapolation. ESC considered that a Markov model </w:t>
      </w:r>
      <w:proofErr w:type="gramStart"/>
      <w:r w:rsidRPr="007C488A">
        <w:t>similar to</w:t>
      </w:r>
      <w:proofErr w:type="gramEnd"/>
      <w:r w:rsidRPr="007C488A">
        <w:t xml:space="preserve"> published economic evaluations for this intervention, would be appropriate.</w:t>
      </w:r>
    </w:p>
    <w:p w14:paraId="29628057" w14:textId="77777777" w:rsidR="00A832A7" w:rsidRPr="007C488A" w:rsidRDefault="00A832A7" w:rsidP="00A832A7">
      <w:r w:rsidRPr="007C488A">
        <w:t xml:space="preserve">Aside from ESC concerns that model type was inappropriate, ESC also noted </w:t>
      </w:r>
      <w:proofErr w:type="gramStart"/>
      <w:r w:rsidRPr="007C488A">
        <w:t>a number of</w:t>
      </w:r>
      <w:proofErr w:type="gramEnd"/>
      <w:r w:rsidRPr="007C488A">
        <w:t xml:space="preserve"> concerns with the inputs for the model. ESC noted that instead of using the hazard ratios from the indirect treatment comparison, the ADAR’s model was informed by the naïve comparison of OS data from the OMM arm of the REMATCH trial versus OS data from the HM3 arm of the MOMENTUM 3 trial. ESC noted the uncertainties from this naïve comparison impacted the economic evaluation (e.g. very-low quality data, OMM in REMATCH is not contemporary). ESC noted that, based on the REMATCH data, OMM survival stopped at 25 months in the model (i.e. all patients were deceased by that time). ESC noted that more recent studies (such as ROADMAP and Hashim et al. 2015) have longer survival for OMM. The ADAR claimed that the improved survival for OMM in more recent studies was due to the populations being healthier at baseline. However, the commentary had considered that the populations were </w:t>
      </w:r>
      <w:proofErr w:type="gramStart"/>
      <w:r w:rsidRPr="007C488A">
        <w:t>similar</w:t>
      </w:r>
      <w:proofErr w:type="gramEnd"/>
      <w:r w:rsidRPr="007C488A">
        <w:t xml:space="preserve"> and the improvement could be due to regime improvements. ESC considered that both scenarios were likely, and the impact of this had not been adequately explored in the sensitivity analyses.</w:t>
      </w:r>
    </w:p>
    <w:p w14:paraId="42E262EC" w14:textId="0C5E6BEF" w:rsidR="00A832A7" w:rsidRPr="007C488A" w:rsidRDefault="00A832A7" w:rsidP="00A832A7">
      <w:r w:rsidRPr="007C488A">
        <w:t xml:space="preserve">ESC considered that the choice of a 40-year lifetime time horizon (from a baseline age of 65 years) was questionable given only 5-year outcome data is available from the MOMENTUM 3 trial. Further, the time horizon and extrapolations used </w:t>
      </w:r>
      <w:r w:rsidR="007F2A04" w:rsidRPr="007C488A">
        <w:rPr>
          <w:b/>
          <w:bCs/>
        </w:rPr>
        <w:t>redacted</w:t>
      </w:r>
      <w:r w:rsidRPr="007C488A">
        <w:t xml:space="preserve"> well beyond the average life </w:t>
      </w:r>
      <w:r w:rsidRPr="007C488A">
        <w:lastRenderedPageBreak/>
        <w:t xml:space="preserve">expectancy, which ESC considered was inappropriate. ESC noted that other recent economic evaluations used time horizons of 5–10 years, which ESC considered more reasonable. Although, the 40-year model did include some device replacement costs (e.g. for battery replacement and device replacement due to thrombosis), the model did not factor in any other device replacement (i.e. assumed if no adverse events the device would last/perform for 40 years), which ESC did not consider reasonable. </w:t>
      </w:r>
    </w:p>
    <w:p w14:paraId="01F9D600" w14:textId="6FAB6C5D" w:rsidR="00A832A7" w:rsidRPr="007C488A" w:rsidRDefault="00A832A7" w:rsidP="00A832A7">
      <w:r w:rsidRPr="007C488A">
        <w:t>ESC noted that there were differences in utility scores between the LVAD (0.79) and OMM (0.</w:t>
      </w:r>
      <w:r w:rsidR="00906F2E" w:rsidRPr="007C488A">
        <w:t>44</w:t>
      </w:r>
      <w:r w:rsidRPr="007C488A">
        <w:t xml:space="preserve">) arms for subsequent model cycles that were not well justified. That is, the utility value of the OMM arm was informed by an Australian study (Prichard 2021) with NYHA class 3 or 4 patients while the utility value of the subsequent cycles of the LVAD arm was based on a Japanese study (Sato 2022) with BTT patients. ESC noted that this may have resulted in a higher utility improvement in favour of the intervention. ESC considered that better-matched data sources should be used. However, ESC acknowledged that sensitivity analyses exploring this uncertainty indicated that this did not have a large impact on the ICER. ESC also noted that there was no deterioration in QoL for the HM3 arm over time from 0.79 (that is, age and adverse events had no impact on </w:t>
      </w:r>
      <w:proofErr w:type="gramStart"/>
      <w:r w:rsidRPr="007C488A">
        <w:t>health-related</w:t>
      </w:r>
      <w:proofErr w:type="gramEnd"/>
      <w:r w:rsidRPr="007C488A">
        <w:t xml:space="preserve"> QoL), which was not addressed in the ADAR.</w:t>
      </w:r>
    </w:p>
    <w:p w14:paraId="68935E71" w14:textId="016D0F92" w:rsidR="00A832A7" w:rsidRPr="007C488A" w:rsidRDefault="00A832A7" w:rsidP="00A832A7">
      <w:r w:rsidRPr="007C488A">
        <w:t>ESC noted that, in the base case, both incremental costs ($</w:t>
      </w:r>
      <w:r w:rsidR="000E6DF6" w:rsidRPr="007C488A">
        <w:rPr>
          <w:b/>
          <w:bCs/>
        </w:rPr>
        <w:t>redacted</w:t>
      </w:r>
      <w:r w:rsidRPr="007C488A">
        <w:t>) and incremental gains (5.672 life years gained, 4.671 quality-adjusted life years [QALYs] gained) were high, resulting in an incremental cost-effectiveness ratio (ICER) of $</w:t>
      </w:r>
      <w:r w:rsidR="000E6DF6" w:rsidRPr="007C488A">
        <w:rPr>
          <w:b/>
          <w:bCs/>
        </w:rPr>
        <w:t>redacted</w:t>
      </w:r>
      <w:r w:rsidRPr="007C488A">
        <w:t xml:space="preserve"> per QALY gained. ESC noted that the time horizon was a key driver of the model – using a trial-based time horizon of 5 years increased the ICER by 86%, to $</w:t>
      </w:r>
      <w:r w:rsidR="000E6DF6" w:rsidRPr="007C488A">
        <w:rPr>
          <w:b/>
          <w:bCs/>
        </w:rPr>
        <w:t>redacted</w:t>
      </w:r>
      <w:r w:rsidRPr="007C488A">
        <w:t>/QALY. Changing the parametric model used to extrapolate the Kaplan–Meier (KM) curves beyond the trial period for the LVAD arm had a smaller effect on the ICER.</w:t>
      </w:r>
    </w:p>
    <w:p w14:paraId="789B07D7" w14:textId="30573A0D" w:rsidR="00A832A7" w:rsidRPr="007C488A" w:rsidRDefault="00A832A7" w:rsidP="00A832A7">
      <w:r w:rsidRPr="007C488A">
        <w:t>ESC noted that the commentary performed a sensitivity analysis that applied the ADAR’s alternative hazard ratio approach for extrapolation in the economic model, which increased the ICER by 85% from the base case, to $</w:t>
      </w:r>
      <w:r w:rsidR="000E6DF6" w:rsidRPr="007C488A">
        <w:rPr>
          <w:b/>
          <w:bCs/>
        </w:rPr>
        <w:t>redacted</w:t>
      </w:r>
      <w:r w:rsidRPr="007C488A">
        <w:t xml:space="preserve">/QALY. ESC acknowledged the applicant’s pre-ESC response which highlighted that the ADAR had explored this alternative analysis but found it resulted in 50% of the LVAD cohort dying within 1 month following the end of the KM period. ESC agreed that the hazard ratio approach as presented did not appear to be more reliable than the base case. ESC also noted that there was insufficient information to understand how the hazard ratio approach had been undertaken (e.g. the source of the hazard ratio was unclear, etc) but that it highlighted the uncertainty in the robustness of the model and base case ICER. </w:t>
      </w:r>
    </w:p>
    <w:p w14:paraId="6E88BE6F" w14:textId="77777777" w:rsidR="00A832A7" w:rsidRPr="007C488A" w:rsidRDefault="00A832A7" w:rsidP="00A832A7">
      <w:r w:rsidRPr="007C488A">
        <w:t>ESC noted that the commentary stated that additional costs associated with initial critical care stabilisation, and deterioration and death, were only included in the OMM arm. However, ESC noted that these costs were applied to both arms, but that they were managed very differently and were from different data sources; ESC acknowledged that it was difficult to reconcile and compare the different approaches used for each arm. ESC noted that when the initial stabilisation costs were removed for OMM in a sensitivity analysis, the analysis indicated this change had a small impact on the ICER.</w:t>
      </w:r>
    </w:p>
    <w:p w14:paraId="0EFEA7EE" w14:textId="4DBEE940" w:rsidR="00A832A7" w:rsidRPr="007C488A" w:rsidRDefault="00A832A7" w:rsidP="00A832A7">
      <w:r w:rsidRPr="007C488A">
        <w:t>ESC noted that a multivariate analysis, assuming a time horizon of 10 years, a health state utility score for LVAD of 0.59 for subsequent cycles, a device cost of $</w:t>
      </w:r>
      <w:r w:rsidR="000E6DF6" w:rsidRPr="007C488A">
        <w:rPr>
          <w:b/>
          <w:bCs/>
        </w:rPr>
        <w:t>redacted</w:t>
      </w:r>
      <w:r w:rsidRPr="007C488A">
        <w:t>, and applying trial-based hazard ratios and OMM disease-related costs of $0 for the first cycle resulted in an ICER of $</w:t>
      </w:r>
      <w:r w:rsidR="000E6DF6" w:rsidRPr="007C488A">
        <w:rPr>
          <w:b/>
          <w:bCs/>
        </w:rPr>
        <w:t>redacted</w:t>
      </w:r>
      <w:r w:rsidRPr="007C488A">
        <w:t xml:space="preserve"> – a 160% increase from the base case ICER. ESC noted the robustness of this multivariate analysis is uncertain due to the issue with the hazard ratios approach (discussed earlier). However, ESC considered that the multivariate analysis highlighted that the base case model and ICER are highly uncertain. ESC also noted that these changes did not address the key underlying issue, that is the unjustified use of a partitioned survival model instead of a state transition model. </w:t>
      </w:r>
    </w:p>
    <w:p w14:paraId="5A7D15D3" w14:textId="77777777" w:rsidR="00A832A7" w:rsidRPr="007C488A" w:rsidRDefault="00A832A7" w:rsidP="00A832A7">
      <w:r w:rsidRPr="007C488A">
        <w:lastRenderedPageBreak/>
        <w:t xml:space="preserve">In addition to addressing the issues raised, ESC noted that the applicant could consider sourcing real world Australian data to help address some of the uncertainties where there are evidence limitations, such as to provide real-world data on the characteristics of patients who are receiving LVAD therapies in comparison to OMM therapy, the age distribution of patients, etc. </w:t>
      </w:r>
    </w:p>
    <w:p w14:paraId="0BBB1A9E" w14:textId="1C2D0636" w:rsidR="00A832A7" w:rsidRPr="007C488A" w:rsidRDefault="00A832A7" w:rsidP="00A832A7">
      <w:r w:rsidRPr="007C488A">
        <w:t xml:space="preserve">ESC noted that for the financial impact analysis, the ADAR stated that the utilisation of LVAD for DT would be constrained by capacity of the Australian healthcare system. The ADAR estimated the expected number of LVAD for DT procedures, when accounting for capacity constraints over time, was </w:t>
      </w:r>
      <w:r w:rsidR="00C37AE5" w:rsidRPr="007C488A">
        <w:rPr>
          <w:b/>
          <w:bCs/>
        </w:rPr>
        <w:t>redacted</w:t>
      </w:r>
      <w:r w:rsidRPr="007C488A">
        <w:t xml:space="preserve"> in year 1 increasing to </w:t>
      </w:r>
      <w:r w:rsidR="00C37AE5" w:rsidRPr="007C488A">
        <w:rPr>
          <w:b/>
          <w:bCs/>
        </w:rPr>
        <w:t>redacted</w:t>
      </w:r>
      <w:r w:rsidRPr="007C488A">
        <w:t xml:space="preserve"> in year 6. ESC noted these figures were based on assumptions (informed by expert opinion that were not able to be verified), so were uncertain. ESC considered that the number of procedures could be underestimated, especially if the expertise was redistributed outside of the quaternary hospitals, including through a mentoring program of smaller centres.</w:t>
      </w:r>
    </w:p>
    <w:p w14:paraId="23F8E682" w14:textId="75E0FEAC" w:rsidR="00A832A7" w:rsidRPr="007C488A" w:rsidRDefault="00A832A7" w:rsidP="00A832A7">
      <w:r w:rsidRPr="007C488A">
        <w:t>This uncertainty carried through to the financial estimates, where the financial impact to the MBS was estimated to be $</w:t>
      </w:r>
      <w:r w:rsidR="007F2A04" w:rsidRPr="007C488A">
        <w:rPr>
          <w:b/>
          <w:bCs/>
        </w:rPr>
        <w:t>redacted</w:t>
      </w:r>
      <w:r w:rsidRPr="007C488A">
        <w:t xml:space="preserve"> in year 1 increasing to $</w:t>
      </w:r>
      <w:r w:rsidR="007F2A04" w:rsidRPr="007C488A">
        <w:rPr>
          <w:b/>
          <w:bCs/>
        </w:rPr>
        <w:t>redacted</w:t>
      </w:r>
      <w:r w:rsidRPr="007C488A">
        <w:t xml:space="preserve"> in year 6. The estimated financial impact without capacity constraints – where it was estimated that </w:t>
      </w:r>
      <w:r w:rsidR="007F2A04" w:rsidRPr="007C488A">
        <w:rPr>
          <w:b/>
          <w:bCs/>
        </w:rPr>
        <w:t>redacted</w:t>
      </w:r>
      <w:r w:rsidRPr="007C488A">
        <w:t> LVAD procedures for DT would be performed each year – increased the estimated total cost to the MBS to $</w:t>
      </w:r>
      <w:r w:rsidR="007F2A04" w:rsidRPr="007C488A">
        <w:rPr>
          <w:b/>
          <w:bCs/>
        </w:rPr>
        <w:t>redacted</w:t>
      </w:r>
      <w:r w:rsidRPr="007C488A">
        <w:t xml:space="preserve"> each year. ESC highlighted that the largest budget impact would be to private health insurers. Assuming capacity will constrain uptake to </w:t>
      </w:r>
      <w:r w:rsidR="007F2A04" w:rsidRPr="007C488A">
        <w:rPr>
          <w:b/>
          <w:bCs/>
        </w:rPr>
        <w:t>redacted</w:t>
      </w:r>
      <w:r w:rsidRPr="007C488A">
        <w:t xml:space="preserve"> LVAD for DT services per year, the total cost to private health insurers was estimated to be approximately $</w:t>
      </w:r>
      <w:r w:rsidR="007F2A04" w:rsidRPr="007C488A">
        <w:rPr>
          <w:b/>
          <w:bCs/>
        </w:rPr>
        <w:t>redacted</w:t>
      </w:r>
      <w:r w:rsidRPr="007C488A">
        <w:t xml:space="preserve"> per year. Increasing the number of services to </w:t>
      </w:r>
      <w:r w:rsidR="00C37AE5" w:rsidRPr="007C488A">
        <w:rPr>
          <w:b/>
          <w:bCs/>
        </w:rPr>
        <w:t>redacted</w:t>
      </w:r>
      <w:r w:rsidRPr="007C488A">
        <w:t xml:space="preserve"> per year, increased the estimated annual total cost to private health insurers to $</w:t>
      </w:r>
      <w:r w:rsidR="007F2A04" w:rsidRPr="007C488A">
        <w:rPr>
          <w:b/>
          <w:bCs/>
        </w:rPr>
        <w:t>redacted</w:t>
      </w:r>
      <w:r w:rsidRPr="007C488A">
        <w:t>. This cost is driven by the high cost of the LVAD which is listed on the Prescribed List of Medical Devices and Human Tissue Products (PL). The ADAR estimated that would cost private health insurers $</w:t>
      </w:r>
      <w:r w:rsidR="000E6DF6" w:rsidRPr="007C488A">
        <w:rPr>
          <w:b/>
          <w:bCs/>
        </w:rPr>
        <w:t>redacted</w:t>
      </w:r>
      <w:r w:rsidRPr="007C488A">
        <w:t xml:space="preserve"> per LVAD for DT (accounting for LVAD device + system costs $</w:t>
      </w:r>
      <w:r w:rsidR="000E6DF6" w:rsidRPr="007C488A">
        <w:rPr>
          <w:b/>
          <w:bCs/>
        </w:rPr>
        <w:t>redacted</w:t>
      </w:r>
      <w:r w:rsidRPr="007C488A">
        <w:t>, battery replacement cost $4,592 and hospital procedure/post recovery costs $72,163).</w:t>
      </w:r>
    </w:p>
    <w:p w14:paraId="7D7DA259" w14:textId="77777777" w:rsidR="00D92D23" w:rsidRPr="007C488A" w:rsidRDefault="00D92D23" w:rsidP="00D92D23">
      <w:pPr>
        <w:pStyle w:val="Heading2"/>
        <w:numPr>
          <w:ilvl w:val="0"/>
          <w:numId w:val="0"/>
        </w:numPr>
      </w:pPr>
      <w:r w:rsidRPr="007C488A">
        <w:t>17.</w:t>
      </w:r>
      <w:r w:rsidRPr="007C488A">
        <w:tab/>
        <w:t>Applicant comments on MSAC’s Public Summary Document</w:t>
      </w:r>
    </w:p>
    <w:p w14:paraId="57CA1A81" w14:textId="51B9488A" w:rsidR="00D92D23" w:rsidRPr="007C488A" w:rsidRDefault="00DD4CF9" w:rsidP="00D92D23">
      <w:pPr>
        <w:spacing w:after="240"/>
      </w:pPr>
      <w:r w:rsidRPr="007C488A">
        <w:t xml:space="preserve">The Applicant </w:t>
      </w:r>
      <w:r w:rsidR="008F7E56" w:rsidRPr="007C488A">
        <w:t>agrees with MSAC’s assessment that there is a high unmet clinical need for LVAD as DT</w:t>
      </w:r>
      <w:r w:rsidR="00A91C42" w:rsidRPr="007C488A">
        <w:t xml:space="preserve"> and that the clinical evidence supports </w:t>
      </w:r>
      <w:r w:rsidR="00277887" w:rsidRPr="007C488A">
        <w:t xml:space="preserve">its </w:t>
      </w:r>
      <w:r w:rsidR="00A91C42" w:rsidRPr="007C488A">
        <w:t>superior effectiveness compared to OMM. The Applicant will</w:t>
      </w:r>
      <w:r w:rsidR="00DF16B8" w:rsidRPr="007C488A">
        <w:t xml:space="preserve"> address MSAC’s request</w:t>
      </w:r>
      <w:r w:rsidR="006B7258" w:rsidRPr="007C488A">
        <w:t>s</w:t>
      </w:r>
      <w:r w:rsidR="00DF16B8" w:rsidRPr="007C488A">
        <w:t xml:space="preserve"> in a forthcoming resubmission, </w:t>
      </w:r>
      <w:r w:rsidR="00034479" w:rsidRPr="007C488A">
        <w:t xml:space="preserve">to ensure timely access of LVAD as DT. </w:t>
      </w:r>
      <w:r w:rsidR="00C6138E" w:rsidRPr="007C488A">
        <w:t xml:space="preserve"> </w:t>
      </w:r>
    </w:p>
    <w:p w14:paraId="7F67AF89" w14:textId="77777777" w:rsidR="00D92D23" w:rsidRPr="007C488A" w:rsidRDefault="00D92D23" w:rsidP="00D92D23">
      <w:pPr>
        <w:pStyle w:val="Heading2"/>
        <w:numPr>
          <w:ilvl w:val="0"/>
          <w:numId w:val="0"/>
        </w:numPr>
      </w:pPr>
      <w:r w:rsidRPr="007C488A">
        <w:t>18.</w:t>
      </w:r>
      <w:r w:rsidRPr="007C488A">
        <w:tab/>
        <w:t>Further information on MSAC</w:t>
      </w:r>
    </w:p>
    <w:p w14:paraId="292E8576" w14:textId="7613EF43" w:rsidR="00A832A7" w:rsidRPr="00D92D23" w:rsidRDefault="00D92D23" w:rsidP="00D92D23">
      <w:pPr>
        <w:pStyle w:val="BodyText"/>
        <w:rPr>
          <w:rFonts w:ascii="Franklin Gothic Book" w:hAnsi="Franklin Gothic Book" w:cstheme="minorBidi"/>
          <w:b/>
          <w:bCs/>
          <w:i/>
          <w:iCs/>
          <w:sz w:val="22"/>
        </w:rPr>
      </w:pPr>
      <w:r w:rsidRPr="007C488A">
        <w:rPr>
          <w:rFonts w:ascii="Franklin Gothic Book" w:hAnsi="Franklin Gothic Book"/>
          <w:bCs/>
          <w:iCs/>
          <w:sz w:val="22"/>
        </w:rPr>
        <w:t xml:space="preserve">MSAC Terms of Reference and other information are available on the MSAC Website: </w:t>
      </w:r>
      <w:hyperlink r:id="rId21" w:tooltip="Link to the MSAC website" w:history="1">
        <w:r w:rsidRPr="007C488A">
          <w:rPr>
            <w:rStyle w:val="Hyperlink"/>
            <w:rFonts w:ascii="Franklin Gothic Book" w:hAnsi="Franklin Gothic Book"/>
            <w:bCs/>
            <w:iCs/>
            <w:sz w:val="22"/>
          </w:rPr>
          <w:t>visit the MSAC website</w:t>
        </w:r>
      </w:hyperlink>
    </w:p>
    <w:sectPr w:rsidR="00A832A7" w:rsidRPr="00D92D23" w:rsidSect="00394D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9BBC" w14:textId="77777777" w:rsidR="00E554DD" w:rsidRDefault="00E554DD" w:rsidP="00B62DF2">
      <w:pPr>
        <w:spacing w:after="0" w:line="240" w:lineRule="auto"/>
      </w:pPr>
      <w:r>
        <w:separator/>
      </w:r>
    </w:p>
  </w:endnote>
  <w:endnote w:type="continuationSeparator" w:id="0">
    <w:p w14:paraId="611AE610" w14:textId="77777777" w:rsidR="00E554DD" w:rsidRDefault="00E554DD" w:rsidP="00B62DF2">
      <w:pPr>
        <w:spacing w:after="0" w:line="240" w:lineRule="auto"/>
      </w:pPr>
      <w:r>
        <w:continuationSeparator/>
      </w:r>
    </w:p>
  </w:endnote>
  <w:endnote w:type="continuationNotice" w:id="1">
    <w:p w14:paraId="66F93CAC" w14:textId="77777777" w:rsidR="00E554DD" w:rsidRDefault="00E554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23E6942F" w:rsidR="005947B5" w:rsidRDefault="005947B5" w:rsidP="007D2C8E">
        <w:pPr>
          <w:pStyle w:val="Footer"/>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5762AE04"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28F8" w14:textId="77777777" w:rsidR="0063450D" w:rsidRDefault="00634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B629" w14:textId="77777777" w:rsidR="00E554DD" w:rsidRDefault="00E554DD" w:rsidP="00B62DF2">
      <w:pPr>
        <w:spacing w:after="0" w:line="240" w:lineRule="auto"/>
      </w:pPr>
      <w:r>
        <w:separator/>
      </w:r>
    </w:p>
  </w:footnote>
  <w:footnote w:type="continuationSeparator" w:id="0">
    <w:p w14:paraId="15DEF62F" w14:textId="77777777" w:rsidR="00E554DD" w:rsidRDefault="00E554DD" w:rsidP="00B62DF2">
      <w:pPr>
        <w:spacing w:after="0" w:line="240" w:lineRule="auto"/>
      </w:pPr>
      <w:r>
        <w:continuationSeparator/>
      </w:r>
    </w:p>
  </w:footnote>
  <w:footnote w:type="continuationNotice" w:id="1">
    <w:p w14:paraId="345C9A4C" w14:textId="77777777" w:rsidR="00E554DD" w:rsidRDefault="00E554DD">
      <w:pPr>
        <w:spacing w:before="0" w:after="0" w:line="240" w:lineRule="auto"/>
      </w:pPr>
    </w:p>
  </w:footnote>
  <w:footnote w:id="2">
    <w:p w14:paraId="75333C98" w14:textId="51AFBD23" w:rsidR="00E83330" w:rsidRDefault="00E83330">
      <w:pPr>
        <w:pStyle w:val="FootnoteText"/>
      </w:pPr>
      <w:r>
        <w:rPr>
          <w:rStyle w:val="FootnoteReference"/>
        </w:rPr>
        <w:footnoteRef/>
      </w:r>
      <w:r>
        <w:t xml:space="preserve"> </w:t>
      </w:r>
      <w:r w:rsidRPr="00732DDE">
        <w:rPr>
          <w:rStyle w:val="CommentReference"/>
        </w:rPr>
        <w:t xml:space="preserve">Sato T, Kobayashi Y, Nagai T, et al. Long-term preservation of functional capacity and quality of life in advanced heart failure patients with bridge to transplant therapy: A report from Japanese nationwide </w:t>
      </w:r>
      <w:proofErr w:type="spellStart"/>
      <w:r w:rsidRPr="00732DDE">
        <w:rPr>
          <w:rStyle w:val="CommentReference"/>
        </w:rPr>
        <w:t>multicenter</w:t>
      </w:r>
      <w:proofErr w:type="spellEnd"/>
      <w:r w:rsidRPr="00732DDE">
        <w:rPr>
          <w:rStyle w:val="CommentReference"/>
        </w:rPr>
        <w:t xml:space="preserve"> registry. Int J </w:t>
      </w:r>
      <w:proofErr w:type="spellStart"/>
      <w:r w:rsidRPr="00732DDE">
        <w:rPr>
          <w:rStyle w:val="CommentReference"/>
        </w:rPr>
        <w:t>Cardiol</w:t>
      </w:r>
      <w:proofErr w:type="spellEnd"/>
      <w:r w:rsidRPr="00732DDE">
        <w:rPr>
          <w:rStyle w:val="CommentReference"/>
        </w:rPr>
        <w:t xml:space="preserve"> 2022; 356: 66-72. 20220323. DOI: 10.1016/j.ijcard.2022.03.044.</w:t>
      </w:r>
    </w:p>
  </w:footnote>
  <w:footnote w:id="3">
    <w:p w14:paraId="15E65469" w14:textId="3CDC94F9" w:rsidR="0076730D" w:rsidRPr="007D1A1F" w:rsidRDefault="0076730D" w:rsidP="0076730D">
      <w:pPr>
        <w:pStyle w:val="FootnoteText"/>
        <w:rPr>
          <w:sz w:val="16"/>
          <w:szCs w:val="16"/>
        </w:rPr>
      </w:pPr>
      <w:r w:rsidRPr="007D1A1F">
        <w:rPr>
          <w:rStyle w:val="FootnoteReference"/>
          <w:sz w:val="16"/>
          <w:szCs w:val="16"/>
        </w:rPr>
        <w:footnoteRef/>
      </w:r>
      <w:r w:rsidRPr="007D1A1F">
        <w:rPr>
          <w:sz w:val="16"/>
          <w:szCs w:val="16"/>
        </w:rPr>
        <w:t xml:space="preserve"> </w:t>
      </w:r>
      <w:r w:rsidRPr="00C25AF0">
        <w:rPr>
          <w:sz w:val="16"/>
          <w:szCs w:val="16"/>
        </w:rPr>
        <w:t xml:space="preserve">Medtronic. Left ventricular assist device (LVAD) for advanced heart failure services and support for </w:t>
      </w:r>
      <w:r w:rsidR="002D06B3" w:rsidRPr="00C25AF0">
        <w:rPr>
          <w:sz w:val="16"/>
          <w:szCs w:val="16"/>
        </w:rPr>
        <w:t>HVAD</w:t>
      </w:r>
      <w:r w:rsidRPr="00C25AF0">
        <w:rPr>
          <w:sz w:val="16"/>
          <w:szCs w:val="16"/>
        </w:rPr>
        <w:t xml:space="preserve"> patients. Urgent product update https://www.medtronic.com/us-en/patients/treatments-therapies/ventricular-assist-device.html (2021, accessed 22 </w:t>
      </w:r>
      <w:proofErr w:type="gramStart"/>
      <w:r w:rsidRPr="00C25AF0">
        <w:rPr>
          <w:sz w:val="16"/>
          <w:szCs w:val="16"/>
        </w:rPr>
        <w:t>June,</w:t>
      </w:r>
      <w:proofErr w:type="gramEnd"/>
      <w:r w:rsidRPr="00C25AF0">
        <w:rPr>
          <w:sz w:val="16"/>
          <w:szCs w:val="16"/>
        </w:rPr>
        <w:t xml:space="preserve"> 2023).</w:t>
      </w:r>
    </w:p>
  </w:footnote>
  <w:footnote w:id="4">
    <w:p w14:paraId="6945A0A1" w14:textId="22208D6C" w:rsidR="004B1E16" w:rsidRPr="00AC04A0" w:rsidRDefault="004B1E16" w:rsidP="00F901B4">
      <w:pPr>
        <w:pStyle w:val="FootnoteText"/>
        <w:jc w:val="both"/>
        <w:rPr>
          <w:sz w:val="16"/>
          <w:szCs w:val="16"/>
        </w:rPr>
      </w:pPr>
      <w:r w:rsidRPr="00AC04A0">
        <w:rPr>
          <w:rStyle w:val="FootnoteReference"/>
          <w:sz w:val="16"/>
          <w:szCs w:val="16"/>
        </w:rPr>
        <w:footnoteRef/>
      </w:r>
      <w:r w:rsidRPr="00AC04A0">
        <w:rPr>
          <w:sz w:val="16"/>
          <w:szCs w:val="16"/>
        </w:rPr>
        <w:t xml:space="preserve"> Colvin BM, Coons </w:t>
      </w:r>
      <w:proofErr w:type="gramStart"/>
      <w:r w:rsidRPr="00AC04A0">
        <w:rPr>
          <w:sz w:val="16"/>
          <w:szCs w:val="16"/>
        </w:rPr>
        <w:t>JC</w:t>
      </w:r>
      <w:proofErr w:type="gramEnd"/>
      <w:r w:rsidRPr="00AC04A0">
        <w:rPr>
          <w:sz w:val="16"/>
          <w:szCs w:val="16"/>
        </w:rPr>
        <w:t xml:space="preserve"> and Beavers CJ. Guideline-Directed Heart Failure Therapy in Patients after Left Ventricular Assist Device Implantation. The VAD Journal 2021; 7: e2021712. DOI: https://doi.org/10.11589/vad/e2021712.</w:t>
      </w:r>
    </w:p>
  </w:footnote>
  <w:footnote w:id="5">
    <w:p w14:paraId="5CAEF06F" w14:textId="32E8B51F" w:rsidR="004B1E16" w:rsidRPr="00AC04A0" w:rsidRDefault="004B1E16" w:rsidP="00F901B4">
      <w:pPr>
        <w:pStyle w:val="FootnoteText"/>
        <w:jc w:val="both"/>
        <w:rPr>
          <w:sz w:val="16"/>
          <w:szCs w:val="16"/>
        </w:rPr>
      </w:pPr>
      <w:r w:rsidRPr="00AC04A0">
        <w:rPr>
          <w:rStyle w:val="FootnoteReference"/>
          <w:sz w:val="16"/>
          <w:szCs w:val="16"/>
        </w:rPr>
        <w:footnoteRef/>
      </w:r>
      <w:r w:rsidRPr="00AC04A0">
        <w:rPr>
          <w:sz w:val="16"/>
          <w:szCs w:val="16"/>
        </w:rPr>
        <w:t xml:space="preserve"> Atherton JJ, </w:t>
      </w:r>
      <w:proofErr w:type="spellStart"/>
      <w:r w:rsidRPr="00AC04A0">
        <w:rPr>
          <w:sz w:val="16"/>
          <w:szCs w:val="16"/>
        </w:rPr>
        <w:t>Sindone</w:t>
      </w:r>
      <w:proofErr w:type="spellEnd"/>
      <w:r w:rsidRPr="00AC04A0">
        <w:rPr>
          <w:sz w:val="16"/>
          <w:szCs w:val="16"/>
        </w:rPr>
        <w:t xml:space="preserve"> A, De Pasquale CG, et al. National Heart Foundation of Australia and Cardiac Society of Australia and New Zealand: Guidelines for the Prevention, Detection, and Management of Heart Failure in Australia 2018. Heart Lung Circ 2018; 27: 1123-1208. 2018/08/06. DOI: 10.1016/j.hlc.2018.06.1042.</w:t>
      </w:r>
    </w:p>
  </w:footnote>
  <w:footnote w:id="6">
    <w:p w14:paraId="38C00A20" w14:textId="0C831E12" w:rsidR="004B1E16" w:rsidRDefault="004B1E16" w:rsidP="00F901B4">
      <w:pPr>
        <w:pStyle w:val="FootnoteText"/>
        <w:jc w:val="both"/>
      </w:pPr>
      <w:r w:rsidRPr="00AC04A0">
        <w:rPr>
          <w:rStyle w:val="FootnoteReference"/>
          <w:sz w:val="16"/>
          <w:szCs w:val="16"/>
        </w:rPr>
        <w:footnoteRef/>
      </w:r>
      <w:r w:rsidRPr="00AC04A0">
        <w:rPr>
          <w:sz w:val="16"/>
          <w:szCs w:val="16"/>
        </w:rPr>
        <w:t xml:space="preserve"> National Heart Foundation of Australia. Clinical fact sheet - pharmacological management of chronic heart failure with reduced left ventricular ejection fraction (</w:t>
      </w:r>
      <w:proofErr w:type="spellStart"/>
      <w:r w:rsidRPr="00AC04A0">
        <w:rPr>
          <w:sz w:val="16"/>
          <w:szCs w:val="16"/>
        </w:rPr>
        <w:t>HFrEF</w:t>
      </w:r>
      <w:proofErr w:type="spellEnd"/>
      <w:r w:rsidRPr="00AC04A0">
        <w:rPr>
          <w:sz w:val="16"/>
          <w:szCs w:val="16"/>
        </w:rPr>
        <w:t>).  2018. National Heart Foundation of Australia.</w:t>
      </w:r>
    </w:p>
  </w:footnote>
  <w:footnote w:id="7">
    <w:p w14:paraId="60ADFE13" w14:textId="5D2B8304" w:rsidR="00322F9C" w:rsidRPr="00AC04A0" w:rsidRDefault="00322F9C" w:rsidP="00F901B4">
      <w:pPr>
        <w:pStyle w:val="FootnoteText"/>
        <w:jc w:val="both"/>
        <w:rPr>
          <w:sz w:val="16"/>
          <w:szCs w:val="16"/>
        </w:rPr>
      </w:pPr>
      <w:r w:rsidRPr="00AC04A0">
        <w:rPr>
          <w:rStyle w:val="FootnoteReference"/>
          <w:sz w:val="16"/>
          <w:szCs w:val="16"/>
        </w:rPr>
        <w:footnoteRef/>
      </w:r>
      <w:r w:rsidRPr="00AC04A0">
        <w:rPr>
          <w:sz w:val="16"/>
          <w:szCs w:val="16"/>
        </w:rPr>
        <w:t xml:space="preserve"> Mehra MR, Uriel N, Naka Y, et al. A Fully Magnetically Levitated Left Ventricular Assist Device - Final Report. N Engl J Med 2019; 380: 1618-1627. 20190317. DOI: 10.1056/NEJMoa1900486.</w:t>
      </w:r>
    </w:p>
  </w:footnote>
  <w:footnote w:id="8">
    <w:p w14:paraId="1FF92C94" w14:textId="1ADD7876" w:rsidR="004C7004" w:rsidRPr="00AC04A0" w:rsidRDefault="004C7004" w:rsidP="00F901B4">
      <w:pPr>
        <w:pStyle w:val="FootnoteText"/>
        <w:jc w:val="both"/>
        <w:rPr>
          <w:sz w:val="16"/>
          <w:szCs w:val="16"/>
        </w:rPr>
      </w:pPr>
      <w:r w:rsidRPr="00AC04A0">
        <w:rPr>
          <w:rStyle w:val="FootnoteReference"/>
          <w:sz w:val="16"/>
          <w:szCs w:val="16"/>
        </w:rPr>
        <w:footnoteRef/>
      </w:r>
      <w:r w:rsidRPr="00AC04A0">
        <w:rPr>
          <w:sz w:val="16"/>
          <w:szCs w:val="16"/>
        </w:rPr>
        <w:t xml:space="preserve"> Rose EA, </w:t>
      </w:r>
      <w:proofErr w:type="spellStart"/>
      <w:r w:rsidRPr="00AC04A0">
        <w:rPr>
          <w:sz w:val="16"/>
          <w:szCs w:val="16"/>
        </w:rPr>
        <w:t>Gelijns</w:t>
      </w:r>
      <w:proofErr w:type="spellEnd"/>
      <w:r w:rsidRPr="00AC04A0">
        <w:rPr>
          <w:sz w:val="16"/>
          <w:szCs w:val="16"/>
        </w:rPr>
        <w:t xml:space="preserve"> AC, Moskowitz AJ, et al. Long-term use of a left ventricular assist device for end-stage heart failure. N Engl J Med 2001; 345: 1435-1443. DOI: 10.1056/NEJMoa012175.</w:t>
      </w:r>
    </w:p>
  </w:footnote>
  <w:footnote w:id="9">
    <w:p w14:paraId="7F46F463" w14:textId="7C586612" w:rsidR="004C7004" w:rsidRPr="00AC04A0" w:rsidRDefault="004C7004" w:rsidP="00F901B4">
      <w:pPr>
        <w:pStyle w:val="FootnoteText"/>
        <w:jc w:val="both"/>
        <w:rPr>
          <w:sz w:val="16"/>
          <w:szCs w:val="16"/>
        </w:rPr>
      </w:pPr>
      <w:r w:rsidRPr="00AC04A0">
        <w:rPr>
          <w:rStyle w:val="FootnoteReference"/>
          <w:sz w:val="16"/>
          <w:szCs w:val="16"/>
        </w:rPr>
        <w:footnoteRef/>
      </w:r>
      <w:r w:rsidRPr="00AC04A0">
        <w:rPr>
          <w:sz w:val="16"/>
          <w:szCs w:val="16"/>
        </w:rPr>
        <w:t xml:space="preserve"> Slaughter MS, Rogers JG, Milano CA, et al. Advanced heart failure treated with </w:t>
      </w:r>
      <w:proofErr w:type="gramStart"/>
      <w:r w:rsidRPr="00AC04A0">
        <w:rPr>
          <w:sz w:val="16"/>
          <w:szCs w:val="16"/>
        </w:rPr>
        <w:t>continuous-flow</w:t>
      </w:r>
      <w:proofErr w:type="gramEnd"/>
      <w:r w:rsidRPr="00AC04A0">
        <w:rPr>
          <w:sz w:val="16"/>
          <w:szCs w:val="16"/>
        </w:rPr>
        <w:t xml:space="preserve"> left ventricular assist device. N Engl J Med 2009; 361: 2241-2251. 20091117. DOI: 10.1056/NEJMoa0909938.</w:t>
      </w:r>
    </w:p>
  </w:footnote>
  <w:footnote w:id="10">
    <w:p w14:paraId="41895B95" w14:textId="7EC48B13" w:rsidR="004C7004" w:rsidRDefault="004C7004" w:rsidP="00F901B4">
      <w:pPr>
        <w:pStyle w:val="FootnoteText"/>
        <w:jc w:val="both"/>
      </w:pPr>
      <w:r w:rsidRPr="00AC04A0">
        <w:rPr>
          <w:rStyle w:val="FootnoteReference"/>
          <w:sz w:val="16"/>
          <w:szCs w:val="16"/>
        </w:rPr>
        <w:footnoteRef/>
      </w:r>
      <w:r w:rsidRPr="00AC04A0">
        <w:rPr>
          <w:sz w:val="16"/>
          <w:szCs w:val="16"/>
        </w:rPr>
        <w:t xml:space="preserve"> Estep JD, Starling RC, </w:t>
      </w:r>
      <w:proofErr w:type="spellStart"/>
      <w:r w:rsidRPr="00AC04A0">
        <w:rPr>
          <w:sz w:val="16"/>
          <w:szCs w:val="16"/>
        </w:rPr>
        <w:t>Horstmanshof</w:t>
      </w:r>
      <w:proofErr w:type="spellEnd"/>
      <w:r w:rsidRPr="00AC04A0">
        <w:rPr>
          <w:sz w:val="16"/>
          <w:szCs w:val="16"/>
        </w:rPr>
        <w:t xml:space="preserve"> DA, et al. Risk Assessment and Comparative Effectiveness of Left Ventricular Assist Device and Medical Management in Ambulatory Heart Failure Patients (ROADMAP). The Journal of Heart and Lung Transplantation 2015</w:t>
      </w:r>
    </w:p>
  </w:footnote>
  <w:footnote w:id="11">
    <w:p w14:paraId="50011242" w14:textId="77777777" w:rsidR="00E94687" w:rsidRPr="00C56D09" w:rsidRDefault="00E94687" w:rsidP="00E94687">
      <w:pPr>
        <w:pStyle w:val="FootnoteText"/>
        <w:jc w:val="both"/>
        <w:rPr>
          <w:sz w:val="16"/>
          <w:szCs w:val="16"/>
        </w:rPr>
      </w:pPr>
      <w:r w:rsidRPr="00C56D09">
        <w:rPr>
          <w:rStyle w:val="FootnoteReference"/>
          <w:sz w:val="16"/>
          <w:szCs w:val="16"/>
        </w:rPr>
        <w:footnoteRef/>
      </w:r>
      <w:r w:rsidRPr="00C56D09">
        <w:rPr>
          <w:sz w:val="16"/>
          <w:szCs w:val="16"/>
        </w:rPr>
        <w:t xml:space="preserve"> McDonagh TA, Metra M, Adamo M,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w:t>
      </w:r>
      <w:proofErr w:type="spellStart"/>
      <w:r w:rsidRPr="00C56D09">
        <w:rPr>
          <w:sz w:val="16"/>
          <w:szCs w:val="16"/>
        </w:rPr>
        <w:t>Eur</w:t>
      </w:r>
      <w:proofErr w:type="spellEnd"/>
      <w:r w:rsidRPr="00C56D09">
        <w:rPr>
          <w:sz w:val="16"/>
          <w:szCs w:val="16"/>
        </w:rPr>
        <w:t xml:space="preserve"> J Heart Fail 2022; 24: 4-131. DOI: 10.1002/ejhf.2333.</w:t>
      </w:r>
    </w:p>
  </w:footnote>
  <w:footnote w:id="12">
    <w:p w14:paraId="5426469E" w14:textId="77777777" w:rsidR="00E94687" w:rsidRPr="00C56D09" w:rsidRDefault="00E94687" w:rsidP="00E94687">
      <w:pPr>
        <w:pStyle w:val="FootnoteText"/>
        <w:jc w:val="both"/>
        <w:rPr>
          <w:sz w:val="16"/>
          <w:szCs w:val="16"/>
        </w:rPr>
      </w:pPr>
      <w:r w:rsidRPr="00C56D09">
        <w:rPr>
          <w:rStyle w:val="FootnoteReference"/>
          <w:sz w:val="16"/>
          <w:szCs w:val="16"/>
        </w:rPr>
        <w:footnoteRef/>
      </w:r>
      <w:r w:rsidRPr="00C56D09">
        <w:rPr>
          <w:sz w:val="16"/>
          <w:szCs w:val="16"/>
        </w:rPr>
        <w:t xml:space="preserve"> Heidenreich PA, Bozkurt B, Aguilar D, et al. 2022 AHA/ACC/HFSA Guideline for the Management of Heart Failure: A Report of the American College of Cardiology/American Heart Association Joint Committee on Clinical Practice Guidelines. Circulation 2022; 145: e895-e1032. 20220401. DOI: 10.1161/CIR.0000000000001063.</w:t>
      </w:r>
    </w:p>
  </w:footnote>
  <w:footnote w:id="13">
    <w:p w14:paraId="1DAC4243" w14:textId="5242976B" w:rsidR="0011049F" w:rsidRPr="007D1A1F" w:rsidRDefault="0011049F" w:rsidP="007D1A1F">
      <w:pPr>
        <w:pStyle w:val="TableFooter"/>
        <w:rPr>
          <w:rFonts w:cstheme="minorHAnsi"/>
          <w:sz w:val="16"/>
          <w:szCs w:val="16"/>
        </w:rPr>
      </w:pPr>
      <w:r w:rsidRPr="007D1A1F">
        <w:rPr>
          <w:rStyle w:val="FootnoteReference"/>
          <w:rFonts w:asciiTheme="minorHAnsi" w:hAnsiTheme="minorHAnsi" w:cstheme="minorHAnsi"/>
          <w:sz w:val="16"/>
          <w:szCs w:val="16"/>
        </w:rPr>
        <w:footnoteRef/>
      </w:r>
      <w:r w:rsidRPr="007D1A1F">
        <w:rPr>
          <w:rFonts w:asciiTheme="minorHAnsi" w:hAnsiTheme="minorHAnsi" w:cstheme="minorHAnsi"/>
          <w:sz w:val="16"/>
          <w:szCs w:val="16"/>
        </w:rPr>
        <w:t xml:space="preserve"> Feng Y, Parkin D and Devlin NJ. Assessing the performance of the EQ-VAS in the NHS PROMs programme. </w:t>
      </w:r>
      <w:r w:rsidRPr="007D1A1F">
        <w:rPr>
          <w:rFonts w:asciiTheme="minorHAnsi" w:hAnsiTheme="minorHAnsi" w:cstheme="minorHAnsi"/>
          <w:i/>
          <w:iCs/>
          <w:sz w:val="16"/>
          <w:szCs w:val="16"/>
        </w:rPr>
        <w:t>Quality of Life Research</w:t>
      </w:r>
      <w:r w:rsidRPr="007D1A1F">
        <w:rPr>
          <w:rFonts w:asciiTheme="minorHAnsi" w:hAnsiTheme="minorHAnsi" w:cstheme="minorHAnsi"/>
          <w:sz w:val="16"/>
          <w:szCs w:val="16"/>
        </w:rPr>
        <w:t xml:space="preserve"> 2014; 23: 977-989. DOI: 10.1007/s11136-013-0537-z.</w:t>
      </w:r>
    </w:p>
  </w:footnote>
  <w:footnote w:id="14">
    <w:p w14:paraId="060CFBA9" w14:textId="77777777" w:rsidR="00F10700" w:rsidRPr="007D1A1F" w:rsidRDefault="00F10700" w:rsidP="007D1A1F">
      <w:pPr>
        <w:pStyle w:val="TableFooter"/>
        <w:rPr>
          <w:rStyle w:val="CommentReference"/>
          <w:rFonts w:asciiTheme="minorHAnsi" w:hAnsiTheme="minorHAnsi" w:cstheme="minorHAnsi"/>
        </w:rPr>
      </w:pPr>
      <w:r w:rsidRPr="007D1A1F">
        <w:rPr>
          <w:rStyle w:val="CommentReference"/>
          <w:rFonts w:asciiTheme="minorHAnsi" w:hAnsiTheme="minorHAnsi" w:cstheme="minorHAnsi"/>
          <w:vertAlign w:val="superscript"/>
        </w:rPr>
        <w:footnoteRef/>
      </w:r>
      <w:r w:rsidRPr="007D1A1F">
        <w:rPr>
          <w:rStyle w:val="CommentReference"/>
          <w:rFonts w:asciiTheme="minorHAnsi" w:hAnsiTheme="minorHAnsi" w:cstheme="minorHAnsi"/>
        </w:rPr>
        <w:t xml:space="preserve"> </w:t>
      </w:r>
      <w:proofErr w:type="spellStart"/>
      <w:r w:rsidRPr="007D1A1F">
        <w:rPr>
          <w:rStyle w:val="CommentReference"/>
          <w:rFonts w:asciiTheme="minorHAnsi" w:hAnsiTheme="minorHAnsi" w:cstheme="minorHAnsi"/>
        </w:rPr>
        <w:t>Sahle</w:t>
      </w:r>
      <w:proofErr w:type="spellEnd"/>
      <w:r w:rsidRPr="007D1A1F">
        <w:rPr>
          <w:rStyle w:val="CommentReference"/>
          <w:rFonts w:asciiTheme="minorHAnsi" w:hAnsiTheme="minorHAnsi" w:cstheme="minorHAnsi"/>
        </w:rPr>
        <w:t xml:space="preserve"> BW, Owen AJ, </w:t>
      </w:r>
      <w:proofErr w:type="spellStart"/>
      <w:r w:rsidRPr="007D1A1F">
        <w:rPr>
          <w:rStyle w:val="CommentReference"/>
          <w:rFonts w:asciiTheme="minorHAnsi" w:hAnsiTheme="minorHAnsi" w:cstheme="minorHAnsi"/>
        </w:rPr>
        <w:t>Mutowo</w:t>
      </w:r>
      <w:proofErr w:type="spellEnd"/>
      <w:r w:rsidRPr="007D1A1F">
        <w:rPr>
          <w:rStyle w:val="CommentReference"/>
          <w:rFonts w:asciiTheme="minorHAnsi" w:hAnsiTheme="minorHAnsi" w:cstheme="minorHAnsi"/>
        </w:rPr>
        <w:t xml:space="preserve"> MP, et al. Prevalence of heart failure in Australia: a systematic review. BMC Cardiovasc </w:t>
      </w:r>
      <w:proofErr w:type="spellStart"/>
      <w:r w:rsidRPr="007D1A1F">
        <w:rPr>
          <w:rStyle w:val="CommentReference"/>
          <w:rFonts w:asciiTheme="minorHAnsi" w:hAnsiTheme="minorHAnsi" w:cstheme="minorHAnsi"/>
        </w:rPr>
        <w:t>Disord</w:t>
      </w:r>
      <w:proofErr w:type="spellEnd"/>
      <w:r w:rsidRPr="007D1A1F">
        <w:rPr>
          <w:rStyle w:val="CommentReference"/>
          <w:rFonts w:asciiTheme="minorHAnsi" w:hAnsiTheme="minorHAnsi" w:cstheme="minorHAnsi"/>
        </w:rPr>
        <w:t xml:space="preserve"> 2016; 16: 32. 20160206. DOI: 10.1186/s12872-016-0208-4.</w:t>
      </w:r>
    </w:p>
  </w:footnote>
  <w:footnote w:id="15">
    <w:p w14:paraId="3B1F3BB7" w14:textId="77777777" w:rsidR="00F10700" w:rsidRDefault="00F10700" w:rsidP="007D1A1F">
      <w:pPr>
        <w:pStyle w:val="TableFooter"/>
      </w:pPr>
      <w:r w:rsidRPr="007D1A1F">
        <w:rPr>
          <w:rStyle w:val="CommentReference"/>
          <w:rFonts w:asciiTheme="minorHAnsi" w:hAnsiTheme="minorHAnsi" w:cstheme="minorHAnsi"/>
          <w:vertAlign w:val="superscript"/>
        </w:rPr>
        <w:footnoteRef/>
      </w:r>
      <w:r w:rsidRPr="007D1A1F">
        <w:rPr>
          <w:rStyle w:val="CommentReference"/>
          <w:rFonts w:asciiTheme="minorHAnsi" w:hAnsiTheme="minorHAnsi" w:cstheme="minorHAnsi"/>
          <w:vertAlign w:val="superscript"/>
        </w:rPr>
        <w:t xml:space="preserve"> </w:t>
      </w:r>
      <w:r w:rsidRPr="007D1A1F">
        <w:rPr>
          <w:rStyle w:val="CommentReference"/>
          <w:rFonts w:asciiTheme="minorHAnsi" w:hAnsiTheme="minorHAnsi" w:cstheme="minorHAnsi"/>
        </w:rPr>
        <w:t xml:space="preserve">Australian Institute of Health and Welfare. Heart, stroke and vascular disease-Australian facts, </w:t>
      </w:r>
      <w:hyperlink r:id="rId1" w:history="1">
        <w:r w:rsidRPr="007D1A1F">
          <w:rPr>
            <w:rStyle w:val="Hyperlink"/>
            <w:rFonts w:asciiTheme="minorHAnsi" w:hAnsiTheme="minorHAnsi" w:cstheme="minorHAnsi"/>
            <w:sz w:val="16"/>
            <w:szCs w:val="16"/>
          </w:rPr>
          <w:t>https://www.aihw.gov.au/reports/heart-stroke-vascular-diseases/hsvd-facts/contents/heart-stroke-and-vascular-disease-subtypes/heart-failure-and-cardiomyopathy</w:t>
        </w:r>
      </w:hyperlink>
      <w:r w:rsidRPr="007D1A1F">
        <w:rPr>
          <w:rStyle w:val="CommentReference"/>
          <w:rFonts w:asciiTheme="minorHAnsi" w:hAnsiTheme="minorHAnsi" w:cstheme="minorHAnsi"/>
        </w:rPr>
        <w:t>.</w:t>
      </w:r>
    </w:p>
  </w:footnote>
  <w:footnote w:id="16">
    <w:p w14:paraId="644CDA30" w14:textId="77777777" w:rsidR="00EB2081" w:rsidRPr="00CA7959" w:rsidRDefault="00EB2081" w:rsidP="00EB2081">
      <w:pPr>
        <w:pStyle w:val="FootnoteText"/>
        <w:jc w:val="both"/>
        <w:rPr>
          <w:sz w:val="16"/>
          <w:szCs w:val="16"/>
        </w:rPr>
      </w:pPr>
      <w:r w:rsidRPr="00CA7959">
        <w:rPr>
          <w:rStyle w:val="FootnoteReference"/>
          <w:sz w:val="16"/>
          <w:szCs w:val="16"/>
        </w:rPr>
        <w:footnoteRef/>
      </w:r>
      <w:r w:rsidRPr="00CA7959">
        <w:rPr>
          <w:sz w:val="16"/>
          <w:szCs w:val="16"/>
        </w:rPr>
        <w:t xml:space="preserve"> </w:t>
      </w:r>
      <w:proofErr w:type="spellStart"/>
      <w:r w:rsidRPr="00CA7959">
        <w:rPr>
          <w:sz w:val="16"/>
          <w:szCs w:val="16"/>
        </w:rPr>
        <w:t>Schueler</w:t>
      </w:r>
      <w:proofErr w:type="spellEnd"/>
      <w:r w:rsidRPr="00CA7959">
        <w:rPr>
          <w:sz w:val="16"/>
          <w:szCs w:val="16"/>
        </w:rPr>
        <w:t xml:space="preserve"> S, </w:t>
      </w:r>
      <w:proofErr w:type="spellStart"/>
      <w:r w:rsidRPr="00CA7959">
        <w:rPr>
          <w:sz w:val="16"/>
          <w:szCs w:val="16"/>
        </w:rPr>
        <w:t>Silvestry</w:t>
      </w:r>
      <w:proofErr w:type="spellEnd"/>
      <w:r w:rsidRPr="00CA7959">
        <w:rPr>
          <w:sz w:val="16"/>
          <w:szCs w:val="16"/>
        </w:rPr>
        <w:t xml:space="preserve"> SC, </w:t>
      </w:r>
      <w:proofErr w:type="spellStart"/>
      <w:r w:rsidRPr="00CA7959">
        <w:rPr>
          <w:sz w:val="16"/>
          <w:szCs w:val="16"/>
        </w:rPr>
        <w:t>Cotts</w:t>
      </w:r>
      <w:proofErr w:type="spellEnd"/>
      <w:r w:rsidRPr="00CA7959">
        <w:rPr>
          <w:sz w:val="16"/>
          <w:szCs w:val="16"/>
        </w:rPr>
        <w:t xml:space="preserve"> WG, et al. Cost-effectiveness of left ventricular assist devices as destination therapy in the United Kingdom. ESC Heart Failure 2021; 8: 3049-3057. DOI: https://doi.org/10.1002/ehf2.13401.</w:t>
      </w:r>
    </w:p>
  </w:footnote>
  <w:footnote w:id="17">
    <w:p w14:paraId="735B41C5" w14:textId="77777777" w:rsidR="00EB2081" w:rsidRPr="00DF2B9E" w:rsidRDefault="00EB2081" w:rsidP="00EB2081">
      <w:pPr>
        <w:pStyle w:val="FootnoteText"/>
        <w:jc w:val="both"/>
        <w:rPr>
          <w:sz w:val="16"/>
          <w:szCs w:val="16"/>
        </w:rPr>
      </w:pPr>
      <w:r w:rsidRPr="00DF2B9E">
        <w:rPr>
          <w:rStyle w:val="FootnoteReference"/>
          <w:sz w:val="16"/>
          <w:szCs w:val="16"/>
        </w:rPr>
        <w:footnoteRef/>
      </w:r>
      <w:r w:rsidRPr="00DF2B9E">
        <w:rPr>
          <w:sz w:val="16"/>
          <w:szCs w:val="16"/>
        </w:rPr>
        <w:t xml:space="preserve"> </w:t>
      </w:r>
      <w:proofErr w:type="spellStart"/>
      <w:r w:rsidRPr="00DF2B9E">
        <w:rPr>
          <w:sz w:val="16"/>
          <w:szCs w:val="16"/>
        </w:rPr>
        <w:t>Yuzefpolskaya</w:t>
      </w:r>
      <w:proofErr w:type="spellEnd"/>
      <w:r w:rsidRPr="00DF2B9E">
        <w:rPr>
          <w:sz w:val="16"/>
          <w:szCs w:val="16"/>
        </w:rPr>
        <w:t xml:space="preserve"> M, Schroeder SE, Houston BA, et al. The Society of Thoracic Surgeons </w:t>
      </w:r>
      <w:proofErr w:type="spellStart"/>
      <w:r w:rsidRPr="00DF2B9E">
        <w:rPr>
          <w:sz w:val="16"/>
          <w:szCs w:val="16"/>
        </w:rPr>
        <w:t>Intermacs</w:t>
      </w:r>
      <w:proofErr w:type="spellEnd"/>
      <w:r w:rsidRPr="00DF2B9E">
        <w:rPr>
          <w:sz w:val="16"/>
          <w:szCs w:val="16"/>
        </w:rPr>
        <w:t xml:space="preserve"> 2022 Annual Report: Focus on the 2018 Heart Transplant Allocation System. Ann </w:t>
      </w:r>
      <w:proofErr w:type="spellStart"/>
      <w:r w:rsidRPr="00DF2B9E">
        <w:rPr>
          <w:sz w:val="16"/>
          <w:szCs w:val="16"/>
        </w:rPr>
        <w:t>Thorac</w:t>
      </w:r>
      <w:proofErr w:type="spellEnd"/>
      <w:r w:rsidRPr="00DF2B9E">
        <w:rPr>
          <w:sz w:val="16"/>
          <w:szCs w:val="16"/>
        </w:rPr>
        <w:t xml:space="preserve"> Surg 2023; 115: 311-327. 20221201. DOI: 10.1016/j.athoracsur.2022.11.023.</w:t>
      </w:r>
    </w:p>
  </w:footnote>
  <w:footnote w:id="18">
    <w:p w14:paraId="0EF716B5" w14:textId="77777777" w:rsidR="00EB2081" w:rsidRPr="00A40A5C" w:rsidRDefault="00EB2081" w:rsidP="00EB2081">
      <w:pPr>
        <w:pStyle w:val="FootnoteText"/>
        <w:jc w:val="both"/>
        <w:rPr>
          <w:rStyle w:val="CommentReference"/>
        </w:rPr>
      </w:pPr>
      <w:r w:rsidRPr="00A40A5C">
        <w:rPr>
          <w:rStyle w:val="CommentReference"/>
          <w:vertAlign w:val="superscript"/>
        </w:rPr>
        <w:footnoteRef/>
      </w:r>
      <w:r w:rsidRPr="00A40A5C">
        <w:rPr>
          <w:rStyle w:val="CommentReference"/>
        </w:rPr>
        <w:t xml:space="preserve"> Hashim T, Sanam K, Revilla-Martinez M, et al. Clinical Characteristics and Outcomes of Intravenous Inotropic Therapy in Advanced Heart Failure. Circ Heart Fail 2015; 8: 880-886. 20150715. DOI: 10.1161/CIRCHEARTFAILURE.114.001778.</w:t>
      </w:r>
    </w:p>
  </w:footnote>
  <w:footnote w:id="19">
    <w:p w14:paraId="382EE636" w14:textId="77777777" w:rsidR="00EB2081" w:rsidRPr="00A40A5C" w:rsidRDefault="00EB2081" w:rsidP="00EB2081">
      <w:pPr>
        <w:pStyle w:val="FootnoteText"/>
        <w:jc w:val="both"/>
        <w:rPr>
          <w:rStyle w:val="CommentReference"/>
        </w:rPr>
      </w:pPr>
      <w:r w:rsidRPr="00A40A5C">
        <w:rPr>
          <w:rStyle w:val="CommentReference"/>
          <w:vertAlign w:val="superscript"/>
        </w:rPr>
        <w:footnoteRef/>
      </w:r>
      <w:r w:rsidRPr="00A40A5C">
        <w:rPr>
          <w:rStyle w:val="CommentReference"/>
        </w:rPr>
        <w:t xml:space="preserve"> Stevenson LW, Miller LW, </w:t>
      </w:r>
      <w:proofErr w:type="spellStart"/>
      <w:r w:rsidRPr="00A40A5C">
        <w:rPr>
          <w:rStyle w:val="CommentReference"/>
        </w:rPr>
        <w:t>Desvigne</w:t>
      </w:r>
      <w:proofErr w:type="spellEnd"/>
      <w:r w:rsidRPr="00A40A5C">
        <w:rPr>
          <w:rStyle w:val="CommentReference"/>
        </w:rPr>
        <w:t xml:space="preserve">-Nickens P, et al. Left ventricular assist device as destination for patients undergoing intravenous inotropic therapy: a subset analysis from REMATCH (Randomized Evaluation of Mechanical Assistance in Treatment of Chronic Heart Failure). Circulation 2004; 110: 975-981. 20040816. DOI: 10.1161/01.CIR.0000139862.48167.23. </w:t>
      </w:r>
    </w:p>
  </w:footnote>
  <w:footnote w:id="20">
    <w:p w14:paraId="7A4271E4" w14:textId="77777777" w:rsidR="00EB2081" w:rsidRPr="007D1A1F" w:rsidRDefault="00EB2081" w:rsidP="00EB2081">
      <w:pPr>
        <w:pStyle w:val="FootnoteText"/>
        <w:jc w:val="both"/>
        <w:rPr>
          <w:sz w:val="16"/>
          <w:szCs w:val="16"/>
        </w:rPr>
      </w:pPr>
      <w:r w:rsidRPr="007D1A1F">
        <w:rPr>
          <w:rStyle w:val="FootnoteReference"/>
          <w:sz w:val="16"/>
          <w:szCs w:val="16"/>
        </w:rPr>
        <w:footnoteRef/>
      </w:r>
      <w:r w:rsidRPr="007D1A1F">
        <w:rPr>
          <w:sz w:val="16"/>
          <w:szCs w:val="16"/>
        </w:rPr>
        <w:t xml:space="preserve"> </w:t>
      </w:r>
      <w:r w:rsidRPr="00732DDE">
        <w:rPr>
          <w:sz w:val="16"/>
          <w:szCs w:val="16"/>
        </w:rPr>
        <w:t>Prichard RA, Zhao FL, McDonagh J, et al. Discrepancies between proxy estimates and patient reported, health related, quality of life: minding the gap between patient and clinician perceptions in heart failure. Qual Life Res 2021; 30: 1049-1059. 20210102. DOI: 10.1007/s11136-020-02722-z.</w:t>
      </w:r>
    </w:p>
  </w:footnote>
  <w:footnote w:id="21">
    <w:p w14:paraId="62183495" w14:textId="77777777" w:rsidR="00EB2081" w:rsidRPr="007D1A1F" w:rsidRDefault="00EB2081" w:rsidP="00EB2081">
      <w:pPr>
        <w:pStyle w:val="FootnoteText"/>
        <w:jc w:val="both"/>
        <w:rPr>
          <w:sz w:val="16"/>
          <w:szCs w:val="16"/>
        </w:rPr>
      </w:pPr>
      <w:r w:rsidRPr="00732DDE">
        <w:rPr>
          <w:rStyle w:val="CommentReference"/>
          <w:vertAlign w:val="superscript"/>
        </w:rPr>
        <w:footnoteRef/>
      </w:r>
      <w:r w:rsidRPr="00732DDE">
        <w:rPr>
          <w:rStyle w:val="CommentReference"/>
        </w:rPr>
        <w:t xml:space="preserve"> Sato T, Kobayashi Y, Nagai T, et al. Long-term preservation of functional capacity and quality of life in advanced heart failure patients with bridge to transplant therapy: A report from Japanese nationwide </w:t>
      </w:r>
      <w:proofErr w:type="spellStart"/>
      <w:r w:rsidRPr="00732DDE">
        <w:rPr>
          <w:rStyle w:val="CommentReference"/>
        </w:rPr>
        <w:t>multicenter</w:t>
      </w:r>
      <w:proofErr w:type="spellEnd"/>
      <w:r w:rsidRPr="00732DDE">
        <w:rPr>
          <w:rStyle w:val="CommentReference"/>
        </w:rPr>
        <w:t xml:space="preserve"> registry. Int J </w:t>
      </w:r>
      <w:proofErr w:type="spellStart"/>
      <w:r w:rsidRPr="00732DDE">
        <w:rPr>
          <w:rStyle w:val="CommentReference"/>
        </w:rPr>
        <w:t>Cardiol</w:t>
      </w:r>
      <w:proofErr w:type="spellEnd"/>
      <w:r w:rsidRPr="00732DDE">
        <w:rPr>
          <w:rStyle w:val="CommentReference"/>
        </w:rPr>
        <w:t xml:space="preserve"> 2022; 356: 66-72. 20220323. DOI: 10.1016/j.ijcard.2022.03.044.</w:t>
      </w:r>
    </w:p>
  </w:footnote>
  <w:footnote w:id="22">
    <w:p w14:paraId="643803EE" w14:textId="504B3D49" w:rsidR="004A6579" w:rsidRPr="007D1A1F" w:rsidRDefault="004A6579">
      <w:pPr>
        <w:pStyle w:val="FootnoteText"/>
        <w:rPr>
          <w:sz w:val="16"/>
          <w:szCs w:val="16"/>
        </w:rPr>
      </w:pPr>
      <w:r w:rsidRPr="007D1A1F">
        <w:rPr>
          <w:rStyle w:val="FootnoteReference"/>
          <w:sz w:val="16"/>
          <w:szCs w:val="16"/>
        </w:rPr>
        <w:footnoteRef/>
      </w:r>
      <w:r w:rsidRPr="007D1A1F">
        <w:rPr>
          <w:sz w:val="16"/>
          <w:szCs w:val="16"/>
        </w:rPr>
        <w:t xml:space="preserve"> Suzuki, F., Sato, H., Akiyama, M., Akiba, M., Adachi, O., Harada, T., ... &amp; </w:t>
      </w:r>
      <w:proofErr w:type="spellStart"/>
      <w:r w:rsidRPr="007D1A1F">
        <w:rPr>
          <w:sz w:val="16"/>
          <w:szCs w:val="16"/>
        </w:rPr>
        <w:t>Kohzuki</w:t>
      </w:r>
      <w:proofErr w:type="spellEnd"/>
      <w:r w:rsidRPr="007D1A1F">
        <w:rPr>
          <w:sz w:val="16"/>
          <w:szCs w:val="16"/>
        </w:rPr>
        <w:t>, M. (2022). Changes in the Quality of Life of Patients with Left Ventricular Assist Device and their Caregivers in Japan: Retrospective Observational Study. The Tohoku Journal of Experimental Medicine, 257(1), 45-55.</w:t>
      </w:r>
    </w:p>
  </w:footnote>
  <w:footnote w:id="23">
    <w:p w14:paraId="55A6229A" w14:textId="77777777" w:rsidR="00EB2081" w:rsidRDefault="00EB2081" w:rsidP="00EB2081">
      <w:pPr>
        <w:pStyle w:val="FootnoteText"/>
      </w:pPr>
      <w:r w:rsidRPr="007D1A1F">
        <w:rPr>
          <w:rStyle w:val="FootnoteReference"/>
          <w:sz w:val="16"/>
          <w:szCs w:val="16"/>
        </w:rPr>
        <w:footnoteRef/>
      </w:r>
      <w:r w:rsidRPr="007D1A1F">
        <w:rPr>
          <w:sz w:val="16"/>
          <w:szCs w:val="16"/>
        </w:rPr>
        <w:t xml:space="preserve"> Prichard R, Kershaw L, Goodall S, et al. Costs Before and After Left Ventricular Assist Device Implant and Preceding Heart Transplant: A Cohort Study. Heart Lung Circ 2020; 29: 1338-1346. 20190829. DOI: 10.1016/j.hlc.2019.08.008.</w:t>
      </w:r>
    </w:p>
  </w:footnote>
  <w:footnote w:id="24">
    <w:p w14:paraId="62D67E81" w14:textId="766A879F" w:rsidR="00FA5BA0" w:rsidRPr="0046731E" w:rsidRDefault="00FA5BA0">
      <w:pPr>
        <w:pStyle w:val="FootnoteText"/>
      </w:pPr>
      <w:r>
        <w:rPr>
          <w:rStyle w:val="FootnoteReference"/>
        </w:rPr>
        <w:footnoteRef/>
      </w:r>
      <w:r>
        <w:t xml:space="preserve"> </w:t>
      </w:r>
      <w:proofErr w:type="spellStart"/>
      <w:r w:rsidRPr="00FA5BA0">
        <w:t>Yuzefpolskaya</w:t>
      </w:r>
      <w:proofErr w:type="spellEnd"/>
      <w:r>
        <w:t xml:space="preserve"> M et al. (</w:t>
      </w:r>
      <w:r w:rsidR="00817872">
        <w:t xml:space="preserve">2023) </w:t>
      </w:r>
      <w:r w:rsidR="006A3185" w:rsidRPr="006A3185">
        <w:t xml:space="preserve">The Society of Thoracic Surgeons </w:t>
      </w:r>
      <w:proofErr w:type="spellStart"/>
      <w:r w:rsidR="006A3185" w:rsidRPr="006A3185">
        <w:t>Intermacs</w:t>
      </w:r>
      <w:proofErr w:type="spellEnd"/>
      <w:r w:rsidR="006A3185" w:rsidRPr="006A3185">
        <w:t xml:space="preserve"> 2022 Annual Report: Focus on the 2018 Heart Transplant Allocation System</w:t>
      </w:r>
      <w:r w:rsidR="006A3185">
        <w:t xml:space="preserve">. </w:t>
      </w:r>
      <w:r w:rsidR="0046731E">
        <w:rPr>
          <w:i/>
          <w:iCs/>
        </w:rPr>
        <w:t>The Annals of Thoracic Surgery</w:t>
      </w:r>
      <w:r w:rsidR="0046731E">
        <w:t>. 115(2):311-327</w:t>
      </w:r>
    </w:p>
  </w:footnote>
  <w:footnote w:id="25">
    <w:p w14:paraId="1EAFCB2A" w14:textId="77777777" w:rsidR="00A832A7" w:rsidRDefault="00A832A7" w:rsidP="00A832A7">
      <w:pPr>
        <w:pStyle w:val="FootnoteText"/>
      </w:pPr>
      <w:r>
        <w:rPr>
          <w:rStyle w:val="FootnoteReference"/>
        </w:rPr>
        <w:footnoteRef/>
      </w:r>
      <w:r>
        <w:t xml:space="preserve"> </w:t>
      </w:r>
      <w:r w:rsidRPr="00AC04A0">
        <w:rPr>
          <w:sz w:val="16"/>
          <w:szCs w:val="16"/>
        </w:rPr>
        <w:t xml:space="preserve">Rose EA, </w:t>
      </w:r>
      <w:proofErr w:type="spellStart"/>
      <w:r w:rsidRPr="00AC04A0">
        <w:rPr>
          <w:sz w:val="16"/>
          <w:szCs w:val="16"/>
        </w:rPr>
        <w:t>Gelijns</w:t>
      </w:r>
      <w:proofErr w:type="spellEnd"/>
      <w:r w:rsidRPr="00AC04A0">
        <w:rPr>
          <w:sz w:val="16"/>
          <w:szCs w:val="16"/>
        </w:rPr>
        <w:t xml:space="preserve"> AC, Moskowitz AJ, et al. Long-term use of a left ventricular assist device for end-stage heart failure. N Engl J Med 2001; 345: 1435-1443. DOI: 10.1056/NEJMoa012175.</w:t>
      </w:r>
    </w:p>
  </w:footnote>
  <w:footnote w:id="26">
    <w:p w14:paraId="5911DE1A" w14:textId="77777777" w:rsidR="00A832A7" w:rsidRDefault="00A832A7" w:rsidP="00A832A7">
      <w:pPr>
        <w:pStyle w:val="FootnoteText"/>
      </w:pPr>
      <w:r>
        <w:rPr>
          <w:rStyle w:val="FootnoteReference"/>
        </w:rPr>
        <w:footnoteRef/>
      </w:r>
      <w:r>
        <w:t xml:space="preserve"> </w:t>
      </w:r>
      <w:r w:rsidRPr="00215501">
        <w:t>NHFA CSANZ Heart Failure Guidelines Working Group</w:t>
      </w:r>
      <w:r>
        <w:t>,</w:t>
      </w:r>
      <w:r w:rsidRPr="00215501">
        <w:t xml:space="preserve"> National Heart Foundation of Australia and Cardiac Society of Australia and New Zealand: Guidelines for the Prevention, Detection, and Management of Heart Failure in Australia 2018. Heart Lung Circ. 2018 Oct;27(10):1123-1208. </w:t>
      </w:r>
      <w:proofErr w:type="spellStart"/>
      <w:r w:rsidRPr="00215501">
        <w:t>doi</w:t>
      </w:r>
      <w:proofErr w:type="spellEnd"/>
      <w:r w:rsidRPr="00215501">
        <w:t>: 10.1016/j.hlc.2018.06.1042. PMID: 30077227.</w:t>
      </w:r>
    </w:p>
  </w:footnote>
  <w:footnote w:id="27">
    <w:p w14:paraId="1D826F1A" w14:textId="77777777" w:rsidR="00A832A7" w:rsidRDefault="00A832A7" w:rsidP="00A832A7">
      <w:pPr>
        <w:pStyle w:val="FootnoteText"/>
      </w:pPr>
      <w:r>
        <w:rPr>
          <w:rStyle w:val="FootnoteReference"/>
        </w:rPr>
        <w:footnoteRef/>
      </w:r>
      <w:r>
        <w:t xml:space="preserve"> </w:t>
      </w:r>
      <w:r w:rsidRPr="00215501">
        <w:t>NHFA CSANZ Heart Failure Guidelines Working Group</w:t>
      </w:r>
      <w:r>
        <w:t>,</w:t>
      </w:r>
      <w:r w:rsidRPr="00215501">
        <w:t xml:space="preserve"> National Heart Foundation of Australia and Cardiac Society of Australia and New Zealand: Guidelines for the Prevention, Detection, and Management of Heart Failure in Australia 2018. Heart Lung Circ. 2018 Oct;27(10):1123-1208. </w:t>
      </w:r>
      <w:proofErr w:type="spellStart"/>
      <w:r w:rsidRPr="00215501">
        <w:t>doi</w:t>
      </w:r>
      <w:proofErr w:type="spellEnd"/>
      <w:r w:rsidRPr="00215501">
        <w:t>: 10.1016/j.hlc.2018.06.1042. PMID: 30077227.</w:t>
      </w:r>
    </w:p>
  </w:footnote>
  <w:footnote w:id="28">
    <w:p w14:paraId="2FED0240" w14:textId="77777777" w:rsidR="00A832A7" w:rsidRPr="00215501" w:rsidRDefault="00A832A7" w:rsidP="00A832A7">
      <w:pPr>
        <w:pStyle w:val="FootnoteText"/>
      </w:pPr>
      <w:r>
        <w:rPr>
          <w:rStyle w:val="FootnoteReference"/>
        </w:rPr>
        <w:footnoteRef/>
      </w:r>
      <w:r>
        <w:t xml:space="preserve"> </w:t>
      </w:r>
      <w:proofErr w:type="spellStart"/>
      <w:r w:rsidRPr="00215501">
        <w:t>Heidenreich</w:t>
      </w:r>
      <w:r>
        <w:t>e</w:t>
      </w:r>
      <w:proofErr w:type="spellEnd"/>
      <w:r>
        <w:t xml:space="preserve">, P. et al., </w:t>
      </w:r>
      <w:r w:rsidRPr="00215501">
        <w:t>ACC/AHA/HFSA Guideline for the Management of Heart Failure</w:t>
      </w:r>
      <w:r>
        <w:t xml:space="preserve">, </w:t>
      </w:r>
      <w:r w:rsidRPr="00215501">
        <w:t>Journal of Cardiac Failure</w:t>
      </w:r>
      <w:r>
        <w:t xml:space="preserve"> 2022 28(5): </w:t>
      </w:r>
      <w:r w:rsidRPr="00215501">
        <w:t>e1-e167</w:t>
      </w:r>
      <w:r>
        <w:t xml:space="preserve">. </w:t>
      </w:r>
      <w:r w:rsidRPr="00215501">
        <w:t>https://doi.org/10.1016/j.cardfail.2022.02.010.</w:t>
      </w:r>
    </w:p>
  </w:footnote>
  <w:footnote w:id="29">
    <w:p w14:paraId="327C27DE" w14:textId="77777777" w:rsidR="00A832A7" w:rsidRDefault="00A832A7" w:rsidP="00A832A7">
      <w:pPr>
        <w:pStyle w:val="FootnoteText"/>
      </w:pPr>
      <w:r>
        <w:rPr>
          <w:rStyle w:val="FootnoteReference"/>
        </w:rPr>
        <w:footnoteRef/>
      </w:r>
      <w:r>
        <w:t xml:space="preserve"> </w:t>
      </w:r>
      <w:r w:rsidRPr="00AE3835">
        <w:t>McDonagh T</w:t>
      </w:r>
      <w:r>
        <w:t xml:space="preserve"> et. Al.,</w:t>
      </w:r>
      <w:r w:rsidRPr="00AE3835">
        <w:t xml:space="preserve"> ESC Scientific Document Group. 2021 ESC Guidelines for the diagnosis and treatment of acute and chronic heart failure. </w:t>
      </w:r>
      <w:proofErr w:type="spellStart"/>
      <w:r w:rsidRPr="00AE3835">
        <w:t>Eur</w:t>
      </w:r>
      <w:proofErr w:type="spellEnd"/>
      <w:r w:rsidRPr="00AE3835">
        <w:t xml:space="preserve"> Heart J. 2021 Sep 21;42(36):3599-3726. </w:t>
      </w:r>
      <w:proofErr w:type="spellStart"/>
      <w:r w:rsidRPr="00AE3835">
        <w:t>doi</w:t>
      </w:r>
      <w:proofErr w:type="spellEnd"/>
      <w:r w:rsidRPr="00AE3835">
        <w:t>: 10.1093/</w:t>
      </w:r>
      <w:proofErr w:type="spellStart"/>
      <w:r w:rsidRPr="00AE3835">
        <w:t>eurheartj</w:t>
      </w:r>
      <w:proofErr w:type="spellEnd"/>
      <w:r w:rsidRPr="00AE3835">
        <w:t xml:space="preserve">/ehab368. Erratum in: </w:t>
      </w:r>
      <w:proofErr w:type="spellStart"/>
      <w:r w:rsidRPr="00AE3835">
        <w:t>Eur</w:t>
      </w:r>
      <w:proofErr w:type="spellEnd"/>
      <w:r w:rsidRPr="00AE3835">
        <w:t xml:space="preserve"> Heart J. 2021 Oct </w:t>
      </w:r>
      <w:proofErr w:type="gramStart"/>
      <w:r w:rsidRPr="00AE3835">
        <w:t>14;:</w:t>
      </w:r>
      <w:proofErr w:type="gramEnd"/>
      <w:r w:rsidRPr="00AE3835">
        <w:t xml:space="preserve"> PMID: 34447992.</w:t>
      </w:r>
    </w:p>
  </w:footnote>
  <w:footnote w:id="30">
    <w:p w14:paraId="60124896" w14:textId="77777777" w:rsidR="00A832A7" w:rsidRPr="00E246A0" w:rsidRDefault="00A832A7" w:rsidP="00A832A7">
      <w:pPr>
        <w:pStyle w:val="FootnoteText"/>
      </w:pPr>
      <w:r>
        <w:rPr>
          <w:rStyle w:val="FootnoteReference"/>
        </w:rPr>
        <w:footnoteRef/>
      </w:r>
      <w:r>
        <w:t xml:space="preserve"> Woods BS et al. </w:t>
      </w:r>
      <w:hyperlink r:id="rId2" w:history="1">
        <w:r w:rsidRPr="00B92EB6">
          <w:rPr>
            <w:rStyle w:val="Hyperlink"/>
          </w:rPr>
          <w:t>Partitioned survival and state transition models for healthcare decision making in oncology: where are we now?</w:t>
        </w:r>
      </w:hyperlink>
      <w:r>
        <w:t xml:space="preserve"> </w:t>
      </w:r>
      <w:r>
        <w:rPr>
          <w:i/>
          <w:iCs/>
        </w:rPr>
        <w:t>Value in Health</w:t>
      </w:r>
      <w:r>
        <w:t xml:space="preserve"> 2020. 23(12):1613–21.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FCEE" w14:textId="77777777" w:rsidR="0063450D" w:rsidRDefault="00634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014E" w14:textId="77777777" w:rsidR="0063450D" w:rsidRDefault="00634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E181" w14:textId="77777777" w:rsidR="0063450D" w:rsidRDefault="00634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2A09AE"/>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2937BE7"/>
    <w:multiLevelType w:val="hybridMultilevel"/>
    <w:tmpl w:val="60D427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D4E2900"/>
    <w:multiLevelType w:val="hybridMultilevel"/>
    <w:tmpl w:val="D33406CC"/>
    <w:lvl w:ilvl="0" w:tplc="7EC023C8">
      <w:start w:val="8"/>
      <w:numFmt w:val="bullet"/>
      <w:lvlText w:val="-"/>
      <w:lvlJc w:val="left"/>
      <w:pPr>
        <w:ind w:left="644" w:hanging="360"/>
      </w:pPr>
      <w:rPr>
        <w:rFonts w:ascii="Franklin Gothic Book" w:eastAsiaTheme="minorHAnsi" w:hAnsi="Franklin Gothic Book" w:cstheme="minorBidi" w:hint="default"/>
      </w:rPr>
    </w:lvl>
    <w:lvl w:ilvl="1" w:tplc="FFFFFFFF" w:tentative="1">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EB02AB2"/>
    <w:multiLevelType w:val="hybridMultilevel"/>
    <w:tmpl w:val="51AC8B24"/>
    <w:lvl w:ilvl="0" w:tplc="268C0A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0B1"/>
    <w:multiLevelType w:val="hybridMultilevel"/>
    <w:tmpl w:val="4AE82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B13B4"/>
    <w:multiLevelType w:val="hybridMultilevel"/>
    <w:tmpl w:val="2E34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866EE0"/>
    <w:multiLevelType w:val="hybridMultilevel"/>
    <w:tmpl w:val="F2786B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794E67"/>
    <w:multiLevelType w:val="hybridMultilevel"/>
    <w:tmpl w:val="C36C8E5C"/>
    <w:lvl w:ilvl="0" w:tplc="7EC023C8">
      <w:start w:val="8"/>
      <w:numFmt w:val="bullet"/>
      <w:lvlText w:val="-"/>
      <w:lvlJc w:val="left"/>
      <w:pPr>
        <w:ind w:left="720" w:hanging="360"/>
      </w:pPr>
      <w:rPr>
        <w:rFonts w:ascii="Franklin Gothic Book" w:eastAsiaTheme="minorHAnsi" w:hAnsi="Franklin Gothic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E92200"/>
    <w:multiLevelType w:val="hybridMultilevel"/>
    <w:tmpl w:val="18DE494E"/>
    <w:lvl w:ilvl="0" w:tplc="7EC023C8">
      <w:start w:val="8"/>
      <w:numFmt w:val="bullet"/>
      <w:lvlText w:val="-"/>
      <w:lvlJc w:val="left"/>
      <w:pPr>
        <w:ind w:left="644" w:hanging="360"/>
      </w:pPr>
      <w:rPr>
        <w:rFonts w:ascii="Franklin Gothic Book" w:eastAsiaTheme="minorHAnsi" w:hAnsi="Franklin Gothic Book" w:cstheme="minorBidi" w:hint="default"/>
      </w:rPr>
    </w:lvl>
    <w:lvl w:ilvl="1" w:tplc="FFFFFFFF" w:tentative="1">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0F02AE3"/>
    <w:multiLevelType w:val="hybridMultilevel"/>
    <w:tmpl w:val="FFA4E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B61E9E"/>
    <w:multiLevelType w:val="hybridMultilevel"/>
    <w:tmpl w:val="7DEA1CA0"/>
    <w:lvl w:ilvl="0" w:tplc="18967E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562613"/>
    <w:multiLevelType w:val="hybridMultilevel"/>
    <w:tmpl w:val="9FC01914"/>
    <w:lvl w:ilvl="0" w:tplc="84BC7F0C">
      <w:start w:val="1"/>
      <w:numFmt w:val="bullet"/>
      <w:lvlText w:val=""/>
      <w:lvlJc w:val="left"/>
      <w:pPr>
        <w:ind w:left="720" w:hanging="360"/>
      </w:pPr>
      <w:rPr>
        <w:rFonts w:ascii="Symbol" w:hAnsi="Symbol"/>
      </w:rPr>
    </w:lvl>
    <w:lvl w:ilvl="1" w:tplc="7EA27CBC">
      <w:start w:val="1"/>
      <w:numFmt w:val="bullet"/>
      <w:lvlText w:val=""/>
      <w:lvlJc w:val="left"/>
      <w:pPr>
        <w:ind w:left="720" w:hanging="360"/>
      </w:pPr>
      <w:rPr>
        <w:rFonts w:ascii="Symbol" w:hAnsi="Symbol"/>
      </w:rPr>
    </w:lvl>
    <w:lvl w:ilvl="2" w:tplc="B58C2F68">
      <w:start w:val="1"/>
      <w:numFmt w:val="bullet"/>
      <w:lvlText w:val=""/>
      <w:lvlJc w:val="left"/>
      <w:pPr>
        <w:ind w:left="720" w:hanging="360"/>
      </w:pPr>
      <w:rPr>
        <w:rFonts w:ascii="Symbol" w:hAnsi="Symbol"/>
      </w:rPr>
    </w:lvl>
    <w:lvl w:ilvl="3" w:tplc="02A61202">
      <w:start w:val="1"/>
      <w:numFmt w:val="bullet"/>
      <w:lvlText w:val=""/>
      <w:lvlJc w:val="left"/>
      <w:pPr>
        <w:ind w:left="720" w:hanging="360"/>
      </w:pPr>
      <w:rPr>
        <w:rFonts w:ascii="Symbol" w:hAnsi="Symbol"/>
      </w:rPr>
    </w:lvl>
    <w:lvl w:ilvl="4" w:tplc="18C24686">
      <w:start w:val="1"/>
      <w:numFmt w:val="bullet"/>
      <w:lvlText w:val=""/>
      <w:lvlJc w:val="left"/>
      <w:pPr>
        <w:ind w:left="720" w:hanging="360"/>
      </w:pPr>
      <w:rPr>
        <w:rFonts w:ascii="Symbol" w:hAnsi="Symbol"/>
      </w:rPr>
    </w:lvl>
    <w:lvl w:ilvl="5" w:tplc="FB185204">
      <w:start w:val="1"/>
      <w:numFmt w:val="bullet"/>
      <w:lvlText w:val=""/>
      <w:lvlJc w:val="left"/>
      <w:pPr>
        <w:ind w:left="720" w:hanging="360"/>
      </w:pPr>
      <w:rPr>
        <w:rFonts w:ascii="Symbol" w:hAnsi="Symbol"/>
      </w:rPr>
    </w:lvl>
    <w:lvl w:ilvl="6" w:tplc="CC08F736">
      <w:start w:val="1"/>
      <w:numFmt w:val="bullet"/>
      <w:lvlText w:val=""/>
      <w:lvlJc w:val="left"/>
      <w:pPr>
        <w:ind w:left="720" w:hanging="360"/>
      </w:pPr>
      <w:rPr>
        <w:rFonts w:ascii="Symbol" w:hAnsi="Symbol"/>
      </w:rPr>
    </w:lvl>
    <w:lvl w:ilvl="7" w:tplc="60061CD6">
      <w:start w:val="1"/>
      <w:numFmt w:val="bullet"/>
      <w:lvlText w:val=""/>
      <w:lvlJc w:val="left"/>
      <w:pPr>
        <w:ind w:left="720" w:hanging="360"/>
      </w:pPr>
      <w:rPr>
        <w:rFonts w:ascii="Symbol" w:hAnsi="Symbol"/>
      </w:rPr>
    </w:lvl>
    <w:lvl w:ilvl="8" w:tplc="913C18D6">
      <w:start w:val="1"/>
      <w:numFmt w:val="bullet"/>
      <w:lvlText w:val=""/>
      <w:lvlJc w:val="left"/>
      <w:pPr>
        <w:ind w:left="720" w:hanging="360"/>
      </w:pPr>
      <w:rPr>
        <w:rFonts w:ascii="Symbol" w:hAnsi="Symbol"/>
      </w:rPr>
    </w:lvl>
  </w:abstractNum>
  <w:abstractNum w:abstractNumId="19" w15:restartNumberingAfterBreak="0">
    <w:nsid w:val="3B87756B"/>
    <w:multiLevelType w:val="hybridMultilevel"/>
    <w:tmpl w:val="DB3C4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F86DEE"/>
    <w:multiLevelType w:val="hybridMultilevel"/>
    <w:tmpl w:val="FEF6B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A87583"/>
    <w:multiLevelType w:val="hybridMultilevel"/>
    <w:tmpl w:val="9B0464F2"/>
    <w:lvl w:ilvl="0" w:tplc="CD76A0E4">
      <w:numFmt w:val="bullet"/>
      <w:lvlText w:val="•"/>
      <w:lvlJc w:val="left"/>
      <w:pPr>
        <w:ind w:left="72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3538CA"/>
    <w:multiLevelType w:val="hybridMultilevel"/>
    <w:tmpl w:val="8280F4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9A0554"/>
    <w:multiLevelType w:val="hybridMultilevel"/>
    <w:tmpl w:val="C60C6D9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4BCE5748"/>
    <w:multiLevelType w:val="hybridMultilevel"/>
    <w:tmpl w:val="803E31EE"/>
    <w:lvl w:ilvl="0" w:tplc="E8800540">
      <w:start w:val="1"/>
      <w:numFmt w:val="bullet"/>
      <w:lvlText w:val=""/>
      <w:lvlJc w:val="left"/>
      <w:pPr>
        <w:ind w:left="720" w:hanging="360"/>
      </w:pPr>
      <w:rPr>
        <w:rFonts w:ascii="Symbol" w:hAnsi="Symbol"/>
      </w:rPr>
    </w:lvl>
    <w:lvl w:ilvl="1" w:tplc="C1A2FF9E">
      <w:start w:val="1"/>
      <w:numFmt w:val="bullet"/>
      <w:lvlText w:val=""/>
      <w:lvlJc w:val="left"/>
      <w:pPr>
        <w:ind w:left="720" w:hanging="360"/>
      </w:pPr>
      <w:rPr>
        <w:rFonts w:ascii="Symbol" w:hAnsi="Symbol"/>
      </w:rPr>
    </w:lvl>
    <w:lvl w:ilvl="2" w:tplc="E4EE1A50">
      <w:start w:val="1"/>
      <w:numFmt w:val="bullet"/>
      <w:lvlText w:val=""/>
      <w:lvlJc w:val="left"/>
      <w:pPr>
        <w:ind w:left="720" w:hanging="360"/>
      </w:pPr>
      <w:rPr>
        <w:rFonts w:ascii="Symbol" w:hAnsi="Symbol"/>
      </w:rPr>
    </w:lvl>
    <w:lvl w:ilvl="3" w:tplc="F90CE006">
      <w:start w:val="1"/>
      <w:numFmt w:val="bullet"/>
      <w:lvlText w:val=""/>
      <w:lvlJc w:val="left"/>
      <w:pPr>
        <w:ind w:left="720" w:hanging="360"/>
      </w:pPr>
      <w:rPr>
        <w:rFonts w:ascii="Symbol" w:hAnsi="Symbol"/>
      </w:rPr>
    </w:lvl>
    <w:lvl w:ilvl="4" w:tplc="02725228">
      <w:start w:val="1"/>
      <w:numFmt w:val="bullet"/>
      <w:lvlText w:val=""/>
      <w:lvlJc w:val="left"/>
      <w:pPr>
        <w:ind w:left="720" w:hanging="360"/>
      </w:pPr>
      <w:rPr>
        <w:rFonts w:ascii="Symbol" w:hAnsi="Symbol"/>
      </w:rPr>
    </w:lvl>
    <w:lvl w:ilvl="5" w:tplc="1B224090">
      <w:start w:val="1"/>
      <w:numFmt w:val="bullet"/>
      <w:lvlText w:val=""/>
      <w:lvlJc w:val="left"/>
      <w:pPr>
        <w:ind w:left="720" w:hanging="360"/>
      </w:pPr>
      <w:rPr>
        <w:rFonts w:ascii="Symbol" w:hAnsi="Symbol"/>
      </w:rPr>
    </w:lvl>
    <w:lvl w:ilvl="6" w:tplc="35880530">
      <w:start w:val="1"/>
      <w:numFmt w:val="bullet"/>
      <w:lvlText w:val=""/>
      <w:lvlJc w:val="left"/>
      <w:pPr>
        <w:ind w:left="720" w:hanging="360"/>
      </w:pPr>
      <w:rPr>
        <w:rFonts w:ascii="Symbol" w:hAnsi="Symbol"/>
      </w:rPr>
    </w:lvl>
    <w:lvl w:ilvl="7" w:tplc="7426619C">
      <w:start w:val="1"/>
      <w:numFmt w:val="bullet"/>
      <w:lvlText w:val=""/>
      <w:lvlJc w:val="left"/>
      <w:pPr>
        <w:ind w:left="720" w:hanging="360"/>
      </w:pPr>
      <w:rPr>
        <w:rFonts w:ascii="Symbol" w:hAnsi="Symbol"/>
      </w:rPr>
    </w:lvl>
    <w:lvl w:ilvl="8" w:tplc="FC480D88">
      <w:start w:val="1"/>
      <w:numFmt w:val="bullet"/>
      <w:lvlText w:val=""/>
      <w:lvlJc w:val="left"/>
      <w:pPr>
        <w:ind w:left="720" w:hanging="360"/>
      </w:pPr>
      <w:rPr>
        <w:rFonts w:ascii="Symbol" w:hAnsi="Symbol"/>
      </w:rPr>
    </w:lvl>
  </w:abstractNum>
  <w:abstractNum w:abstractNumId="26" w15:restartNumberingAfterBreak="0">
    <w:nsid w:val="4D113AB5"/>
    <w:multiLevelType w:val="hybridMultilevel"/>
    <w:tmpl w:val="D6CABCFE"/>
    <w:lvl w:ilvl="0" w:tplc="DFDEC5EA">
      <w:start w:val="1"/>
      <w:numFmt w:val="bullet"/>
      <w:lvlText w:val=""/>
      <w:lvlJc w:val="left"/>
      <w:pPr>
        <w:ind w:left="720" w:hanging="360"/>
      </w:pPr>
      <w:rPr>
        <w:rFonts w:ascii="Symbol" w:hAnsi="Symbol"/>
      </w:rPr>
    </w:lvl>
    <w:lvl w:ilvl="1" w:tplc="2BE09354">
      <w:start w:val="1"/>
      <w:numFmt w:val="bullet"/>
      <w:lvlText w:val=""/>
      <w:lvlJc w:val="left"/>
      <w:pPr>
        <w:ind w:left="720" w:hanging="360"/>
      </w:pPr>
      <w:rPr>
        <w:rFonts w:ascii="Symbol" w:hAnsi="Symbol"/>
      </w:rPr>
    </w:lvl>
    <w:lvl w:ilvl="2" w:tplc="A5505D04">
      <w:start w:val="1"/>
      <w:numFmt w:val="bullet"/>
      <w:lvlText w:val=""/>
      <w:lvlJc w:val="left"/>
      <w:pPr>
        <w:ind w:left="720" w:hanging="360"/>
      </w:pPr>
      <w:rPr>
        <w:rFonts w:ascii="Symbol" w:hAnsi="Symbol"/>
      </w:rPr>
    </w:lvl>
    <w:lvl w:ilvl="3" w:tplc="CC42BCD8">
      <w:start w:val="1"/>
      <w:numFmt w:val="bullet"/>
      <w:lvlText w:val=""/>
      <w:lvlJc w:val="left"/>
      <w:pPr>
        <w:ind w:left="720" w:hanging="360"/>
      </w:pPr>
      <w:rPr>
        <w:rFonts w:ascii="Symbol" w:hAnsi="Symbol"/>
      </w:rPr>
    </w:lvl>
    <w:lvl w:ilvl="4" w:tplc="4F5CF1EA">
      <w:start w:val="1"/>
      <w:numFmt w:val="bullet"/>
      <w:lvlText w:val=""/>
      <w:lvlJc w:val="left"/>
      <w:pPr>
        <w:ind w:left="720" w:hanging="360"/>
      </w:pPr>
      <w:rPr>
        <w:rFonts w:ascii="Symbol" w:hAnsi="Symbol"/>
      </w:rPr>
    </w:lvl>
    <w:lvl w:ilvl="5" w:tplc="2848CADE">
      <w:start w:val="1"/>
      <w:numFmt w:val="bullet"/>
      <w:lvlText w:val=""/>
      <w:lvlJc w:val="left"/>
      <w:pPr>
        <w:ind w:left="720" w:hanging="360"/>
      </w:pPr>
      <w:rPr>
        <w:rFonts w:ascii="Symbol" w:hAnsi="Symbol"/>
      </w:rPr>
    </w:lvl>
    <w:lvl w:ilvl="6" w:tplc="3BF6D988">
      <w:start w:val="1"/>
      <w:numFmt w:val="bullet"/>
      <w:lvlText w:val=""/>
      <w:lvlJc w:val="left"/>
      <w:pPr>
        <w:ind w:left="720" w:hanging="360"/>
      </w:pPr>
      <w:rPr>
        <w:rFonts w:ascii="Symbol" w:hAnsi="Symbol"/>
      </w:rPr>
    </w:lvl>
    <w:lvl w:ilvl="7" w:tplc="BEEC0E38">
      <w:start w:val="1"/>
      <w:numFmt w:val="bullet"/>
      <w:lvlText w:val=""/>
      <w:lvlJc w:val="left"/>
      <w:pPr>
        <w:ind w:left="720" w:hanging="360"/>
      </w:pPr>
      <w:rPr>
        <w:rFonts w:ascii="Symbol" w:hAnsi="Symbol"/>
      </w:rPr>
    </w:lvl>
    <w:lvl w:ilvl="8" w:tplc="CAEC3832">
      <w:start w:val="1"/>
      <w:numFmt w:val="bullet"/>
      <w:lvlText w:val=""/>
      <w:lvlJc w:val="left"/>
      <w:pPr>
        <w:ind w:left="720" w:hanging="360"/>
      </w:pPr>
      <w:rPr>
        <w:rFonts w:ascii="Symbol" w:hAnsi="Symbol"/>
      </w:rPr>
    </w:lvl>
  </w:abstractNum>
  <w:abstractNum w:abstractNumId="27" w15:restartNumberingAfterBreak="0">
    <w:nsid w:val="4EC53112"/>
    <w:multiLevelType w:val="hybridMultilevel"/>
    <w:tmpl w:val="2B167636"/>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18B7C03"/>
    <w:multiLevelType w:val="hybridMultilevel"/>
    <w:tmpl w:val="A52AA69E"/>
    <w:lvl w:ilvl="0" w:tplc="CD76A0E4">
      <w:numFmt w:val="bullet"/>
      <w:lvlText w:val="•"/>
      <w:lvlJc w:val="left"/>
      <w:pPr>
        <w:ind w:left="720" w:hanging="720"/>
      </w:pPr>
      <w:rPr>
        <w:rFonts w:ascii="Franklin Gothic Book" w:eastAsiaTheme="minorHAnsi" w:hAnsi="Franklin Gothic Book"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AA597D"/>
    <w:multiLevelType w:val="hybridMultilevel"/>
    <w:tmpl w:val="34924BBC"/>
    <w:lvl w:ilvl="0" w:tplc="268C0AA2">
      <w:start w:val="1"/>
      <w:numFmt w:val="lowerRoman"/>
      <w:lvlText w:val="(%1)"/>
      <w:lvlJc w:val="left"/>
      <w:pPr>
        <w:ind w:left="720" w:hanging="360"/>
      </w:pPr>
      <w:rPr>
        <w:rFonts w:hint="default"/>
      </w:rPr>
    </w:lvl>
    <w:lvl w:ilvl="1" w:tplc="CF022688">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B42388"/>
    <w:multiLevelType w:val="hybridMultilevel"/>
    <w:tmpl w:val="A8647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23DF4"/>
    <w:multiLevelType w:val="hybridMultilevel"/>
    <w:tmpl w:val="DA5C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C72B70"/>
    <w:multiLevelType w:val="hybridMultilevel"/>
    <w:tmpl w:val="B810B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9D548C"/>
    <w:multiLevelType w:val="hybridMultilevel"/>
    <w:tmpl w:val="CFA0A560"/>
    <w:lvl w:ilvl="0" w:tplc="DE5E7F2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F32A5C"/>
    <w:multiLevelType w:val="hybridMultilevel"/>
    <w:tmpl w:val="74D6C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B118E9"/>
    <w:multiLevelType w:val="hybridMultilevel"/>
    <w:tmpl w:val="9F90F10C"/>
    <w:lvl w:ilvl="0" w:tplc="F05CB126">
      <w:start w:val="1"/>
      <w:numFmt w:val="bullet"/>
      <w:lvlText w:val=""/>
      <w:lvlJc w:val="left"/>
      <w:pPr>
        <w:ind w:left="720" w:hanging="360"/>
      </w:pPr>
      <w:rPr>
        <w:rFonts w:ascii="Symbol" w:hAnsi="Symbol"/>
      </w:rPr>
    </w:lvl>
    <w:lvl w:ilvl="1" w:tplc="8F36A99C">
      <w:start w:val="1"/>
      <w:numFmt w:val="bullet"/>
      <w:lvlText w:val=""/>
      <w:lvlJc w:val="left"/>
      <w:pPr>
        <w:ind w:left="720" w:hanging="360"/>
      </w:pPr>
      <w:rPr>
        <w:rFonts w:ascii="Symbol" w:hAnsi="Symbol"/>
      </w:rPr>
    </w:lvl>
    <w:lvl w:ilvl="2" w:tplc="6CCE75EA">
      <w:start w:val="1"/>
      <w:numFmt w:val="bullet"/>
      <w:lvlText w:val=""/>
      <w:lvlJc w:val="left"/>
      <w:pPr>
        <w:ind w:left="720" w:hanging="360"/>
      </w:pPr>
      <w:rPr>
        <w:rFonts w:ascii="Symbol" w:hAnsi="Symbol"/>
      </w:rPr>
    </w:lvl>
    <w:lvl w:ilvl="3" w:tplc="07D83FA8">
      <w:start w:val="1"/>
      <w:numFmt w:val="bullet"/>
      <w:lvlText w:val=""/>
      <w:lvlJc w:val="left"/>
      <w:pPr>
        <w:ind w:left="720" w:hanging="360"/>
      </w:pPr>
      <w:rPr>
        <w:rFonts w:ascii="Symbol" w:hAnsi="Symbol"/>
      </w:rPr>
    </w:lvl>
    <w:lvl w:ilvl="4" w:tplc="7D768DAC">
      <w:start w:val="1"/>
      <w:numFmt w:val="bullet"/>
      <w:lvlText w:val=""/>
      <w:lvlJc w:val="left"/>
      <w:pPr>
        <w:ind w:left="720" w:hanging="360"/>
      </w:pPr>
      <w:rPr>
        <w:rFonts w:ascii="Symbol" w:hAnsi="Symbol"/>
      </w:rPr>
    </w:lvl>
    <w:lvl w:ilvl="5" w:tplc="7D00F4AC">
      <w:start w:val="1"/>
      <w:numFmt w:val="bullet"/>
      <w:lvlText w:val=""/>
      <w:lvlJc w:val="left"/>
      <w:pPr>
        <w:ind w:left="720" w:hanging="360"/>
      </w:pPr>
      <w:rPr>
        <w:rFonts w:ascii="Symbol" w:hAnsi="Symbol"/>
      </w:rPr>
    </w:lvl>
    <w:lvl w:ilvl="6" w:tplc="0948498C">
      <w:start w:val="1"/>
      <w:numFmt w:val="bullet"/>
      <w:lvlText w:val=""/>
      <w:lvlJc w:val="left"/>
      <w:pPr>
        <w:ind w:left="720" w:hanging="360"/>
      </w:pPr>
      <w:rPr>
        <w:rFonts w:ascii="Symbol" w:hAnsi="Symbol"/>
      </w:rPr>
    </w:lvl>
    <w:lvl w:ilvl="7" w:tplc="12489AB8">
      <w:start w:val="1"/>
      <w:numFmt w:val="bullet"/>
      <w:lvlText w:val=""/>
      <w:lvlJc w:val="left"/>
      <w:pPr>
        <w:ind w:left="720" w:hanging="360"/>
      </w:pPr>
      <w:rPr>
        <w:rFonts w:ascii="Symbol" w:hAnsi="Symbol"/>
      </w:rPr>
    </w:lvl>
    <w:lvl w:ilvl="8" w:tplc="0A081768">
      <w:start w:val="1"/>
      <w:numFmt w:val="bullet"/>
      <w:lvlText w:val=""/>
      <w:lvlJc w:val="left"/>
      <w:pPr>
        <w:ind w:left="720" w:hanging="360"/>
      </w:pPr>
      <w:rPr>
        <w:rFonts w:ascii="Symbol" w:hAnsi="Symbol"/>
      </w:rPr>
    </w:lvl>
  </w:abstractNum>
  <w:abstractNum w:abstractNumId="37" w15:restartNumberingAfterBreak="0">
    <w:nsid w:val="6CC34AF6"/>
    <w:multiLevelType w:val="hybridMultilevel"/>
    <w:tmpl w:val="EAC04F50"/>
    <w:lvl w:ilvl="0" w:tplc="18967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324D78"/>
    <w:multiLevelType w:val="hybridMultilevel"/>
    <w:tmpl w:val="5FDE3EC8"/>
    <w:lvl w:ilvl="0" w:tplc="070C9CEE">
      <w:start w:val="1"/>
      <w:numFmt w:val="bullet"/>
      <w:lvlText w:val=""/>
      <w:lvlJc w:val="left"/>
      <w:pPr>
        <w:ind w:left="720" w:hanging="360"/>
      </w:pPr>
      <w:rPr>
        <w:rFonts w:ascii="Symbol" w:hAnsi="Symbol"/>
      </w:rPr>
    </w:lvl>
    <w:lvl w:ilvl="1" w:tplc="E16A50FC">
      <w:start w:val="1"/>
      <w:numFmt w:val="bullet"/>
      <w:lvlText w:val=""/>
      <w:lvlJc w:val="left"/>
      <w:pPr>
        <w:ind w:left="720" w:hanging="360"/>
      </w:pPr>
      <w:rPr>
        <w:rFonts w:ascii="Symbol" w:hAnsi="Symbol"/>
      </w:rPr>
    </w:lvl>
    <w:lvl w:ilvl="2" w:tplc="6D8E42A4">
      <w:start w:val="1"/>
      <w:numFmt w:val="bullet"/>
      <w:lvlText w:val=""/>
      <w:lvlJc w:val="left"/>
      <w:pPr>
        <w:ind w:left="720" w:hanging="360"/>
      </w:pPr>
      <w:rPr>
        <w:rFonts w:ascii="Symbol" w:hAnsi="Symbol"/>
      </w:rPr>
    </w:lvl>
    <w:lvl w:ilvl="3" w:tplc="F1644670">
      <w:start w:val="1"/>
      <w:numFmt w:val="bullet"/>
      <w:lvlText w:val=""/>
      <w:lvlJc w:val="left"/>
      <w:pPr>
        <w:ind w:left="720" w:hanging="360"/>
      </w:pPr>
      <w:rPr>
        <w:rFonts w:ascii="Symbol" w:hAnsi="Symbol"/>
      </w:rPr>
    </w:lvl>
    <w:lvl w:ilvl="4" w:tplc="953A60A0">
      <w:start w:val="1"/>
      <w:numFmt w:val="bullet"/>
      <w:lvlText w:val=""/>
      <w:lvlJc w:val="left"/>
      <w:pPr>
        <w:ind w:left="720" w:hanging="360"/>
      </w:pPr>
      <w:rPr>
        <w:rFonts w:ascii="Symbol" w:hAnsi="Symbol"/>
      </w:rPr>
    </w:lvl>
    <w:lvl w:ilvl="5" w:tplc="796C8C62">
      <w:start w:val="1"/>
      <w:numFmt w:val="bullet"/>
      <w:lvlText w:val=""/>
      <w:lvlJc w:val="left"/>
      <w:pPr>
        <w:ind w:left="720" w:hanging="360"/>
      </w:pPr>
      <w:rPr>
        <w:rFonts w:ascii="Symbol" w:hAnsi="Symbol"/>
      </w:rPr>
    </w:lvl>
    <w:lvl w:ilvl="6" w:tplc="1E88B12E">
      <w:start w:val="1"/>
      <w:numFmt w:val="bullet"/>
      <w:lvlText w:val=""/>
      <w:lvlJc w:val="left"/>
      <w:pPr>
        <w:ind w:left="720" w:hanging="360"/>
      </w:pPr>
      <w:rPr>
        <w:rFonts w:ascii="Symbol" w:hAnsi="Symbol"/>
      </w:rPr>
    </w:lvl>
    <w:lvl w:ilvl="7" w:tplc="C1E055EC">
      <w:start w:val="1"/>
      <w:numFmt w:val="bullet"/>
      <w:lvlText w:val=""/>
      <w:lvlJc w:val="left"/>
      <w:pPr>
        <w:ind w:left="720" w:hanging="360"/>
      </w:pPr>
      <w:rPr>
        <w:rFonts w:ascii="Symbol" w:hAnsi="Symbol"/>
      </w:rPr>
    </w:lvl>
    <w:lvl w:ilvl="8" w:tplc="9E047954">
      <w:start w:val="1"/>
      <w:numFmt w:val="bullet"/>
      <w:lvlText w:val=""/>
      <w:lvlJc w:val="left"/>
      <w:pPr>
        <w:ind w:left="720" w:hanging="360"/>
      </w:pPr>
      <w:rPr>
        <w:rFonts w:ascii="Symbol" w:hAnsi="Symbol"/>
      </w:rPr>
    </w:lvl>
  </w:abstractNum>
  <w:abstractNum w:abstractNumId="39" w15:restartNumberingAfterBreak="0">
    <w:nsid w:val="70F369CD"/>
    <w:multiLevelType w:val="hybridMultilevel"/>
    <w:tmpl w:val="7270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105EF1"/>
    <w:multiLevelType w:val="hybridMultilevel"/>
    <w:tmpl w:val="8E5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6B1A3D"/>
    <w:multiLevelType w:val="hybridMultilevel"/>
    <w:tmpl w:val="86389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5C125D"/>
    <w:multiLevelType w:val="hybridMultilevel"/>
    <w:tmpl w:val="50F8B9BA"/>
    <w:lvl w:ilvl="0" w:tplc="CD40CB40">
      <w:start w:val="1"/>
      <w:numFmt w:val="bullet"/>
      <w:lvlText w:val=""/>
      <w:lvlJc w:val="left"/>
      <w:pPr>
        <w:ind w:left="720" w:hanging="360"/>
      </w:pPr>
      <w:rPr>
        <w:rFonts w:ascii="Symbol" w:hAnsi="Symbol"/>
      </w:rPr>
    </w:lvl>
    <w:lvl w:ilvl="1" w:tplc="0622BD0A">
      <w:start w:val="1"/>
      <w:numFmt w:val="bullet"/>
      <w:lvlText w:val=""/>
      <w:lvlJc w:val="left"/>
      <w:pPr>
        <w:ind w:left="720" w:hanging="360"/>
      </w:pPr>
      <w:rPr>
        <w:rFonts w:ascii="Symbol" w:hAnsi="Symbol"/>
      </w:rPr>
    </w:lvl>
    <w:lvl w:ilvl="2" w:tplc="C5E8E0D0">
      <w:start w:val="1"/>
      <w:numFmt w:val="bullet"/>
      <w:lvlText w:val=""/>
      <w:lvlJc w:val="left"/>
      <w:pPr>
        <w:ind w:left="720" w:hanging="360"/>
      </w:pPr>
      <w:rPr>
        <w:rFonts w:ascii="Symbol" w:hAnsi="Symbol"/>
      </w:rPr>
    </w:lvl>
    <w:lvl w:ilvl="3" w:tplc="113232F6">
      <w:start w:val="1"/>
      <w:numFmt w:val="bullet"/>
      <w:lvlText w:val=""/>
      <w:lvlJc w:val="left"/>
      <w:pPr>
        <w:ind w:left="720" w:hanging="360"/>
      </w:pPr>
      <w:rPr>
        <w:rFonts w:ascii="Symbol" w:hAnsi="Symbol"/>
      </w:rPr>
    </w:lvl>
    <w:lvl w:ilvl="4" w:tplc="7868B4BC">
      <w:start w:val="1"/>
      <w:numFmt w:val="bullet"/>
      <w:lvlText w:val=""/>
      <w:lvlJc w:val="left"/>
      <w:pPr>
        <w:ind w:left="720" w:hanging="360"/>
      </w:pPr>
      <w:rPr>
        <w:rFonts w:ascii="Symbol" w:hAnsi="Symbol"/>
      </w:rPr>
    </w:lvl>
    <w:lvl w:ilvl="5" w:tplc="13E81E46">
      <w:start w:val="1"/>
      <w:numFmt w:val="bullet"/>
      <w:lvlText w:val=""/>
      <w:lvlJc w:val="left"/>
      <w:pPr>
        <w:ind w:left="720" w:hanging="360"/>
      </w:pPr>
      <w:rPr>
        <w:rFonts w:ascii="Symbol" w:hAnsi="Symbol"/>
      </w:rPr>
    </w:lvl>
    <w:lvl w:ilvl="6" w:tplc="C14E67FA">
      <w:start w:val="1"/>
      <w:numFmt w:val="bullet"/>
      <w:lvlText w:val=""/>
      <w:lvlJc w:val="left"/>
      <w:pPr>
        <w:ind w:left="720" w:hanging="360"/>
      </w:pPr>
      <w:rPr>
        <w:rFonts w:ascii="Symbol" w:hAnsi="Symbol"/>
      </w:rPr>
    </w:lvl>
    <w:lvl w:ilvl="7" w:tplc="5F92E082">
      <w:start w:val="1"/>
      <w:numFmt w:val="bullet"/>
      <w:lvlText w:val=""/>
      <w:lvlJc w:val="left"/>
      <w:pPr>
        <w:ind w:left="720" w:hanging="360"/>
      </w:pPr>
      <w:rPr>
        <w:rFonts w:ascii="Symbol" w:hAnsi="Symbol"/>
      </w:rPr>
    </w:lvl>
    <w:lvl w:ilvl="8" w:tplc="753274AA">
      <w:start w:val="1"/>
      <w:numFmt w:val="bullet"/>
      <w:lvlText w:val=""/>
      <w:lvlJc w:val="left"/>
      <w:pPr>
        <w:ind w:left="720" w:hanging="360"/>
      </w:pPr>
      <w:rPr>
        <w:rFonts w:ascii="Symbol" w:hAnsi="Symbol"/>
      </w:rPr>
    </w:lvl>
  </w:abstractNum>
  <w:abstractNum w:abstractNumId="44" w15:restartNumberingAfterBreak="0">
    <w:nsid w:val="7ABC5194"/>
    <w:multiLevelType w:val="hybridMultilevel"/>
    <w:tmpl w:val="C3AC1AF0"/>
    <w:lvl w:ilvl="0" w:tplc="B3BCA3E6">
      <w:start w:val="1"/>
      <w:numFmt w:val="bullet"/>
      <w:lvlText w:val=""/>
      <w:lvlJc w:val="left"/>
      <w:pPr>
        <w:ind w:left="720" w:hanging="360"/>
      </w:pPr>
      <w:rPr>
        <w:rFonts w:ascii="Symbol" w:hAnsi="Symbol"/>
      </w:rPr>
    </w:lvl>
    <w:lvl w:ilvl="1" w:tplc="60B67E4C">
      <w:start w:val="1"/>
      <w:numFmt w:val="bullet"/>
      <w:lvlText w:val=""/>
      <w:lvlJc w:val="left"/>
      <w:pPr>
        <w:ind w:left="720" w:hanging="360"/>
      </w:pPr>
      <w:rPr>
        <w:rFonts w:ascii="Symbol" w:hAnsi="Symbol"/>
      </w:rPr>
    </w:lvl>
    <w:lvl w:ilvl="2" w:tplc="9A84463C">
      <w:start w:val="1"/>
      <w:numFmt w:val="bullet"/>
      <w:lvlText w:val=""/>
      <w:lvlJc w:val="left"/>
      <w:pPr>
        <w:ind w:left="720" w:hanging="360"/>
      </w:pPr>
      <w:rPr>
        <w:rFonts w:ascii="Symbol" w:hAnsi="Symbol"/>
      </w:rPr>
    </w:lvl>
    <w:lvl w:ilvl="3" w:tplc="E3ACC46E">
      <w:start w:val="1"/>
      <w:numFmt w:val="bullet"/>
      <w:lvlText w:val=""/>
      <w:lvlJc w:val="left"/>
      <w:pPr>
        <w:ind w:left="720" w:hanging="360"/>
      </w:pPr>
      <w:rPr>
        <w:rFonts w:ascii="Symbol" w:hAnsi="Symbol"/>
      </w:rPr>
    </w:lvl>
    <w:lvl w:ilvl="4" w:tplc="3D7C4E14">
      <w:start w:val="1"/>
      <w:numFmt w:val="bullet"/>
      <w:lvlText w:val=""/>
      <w:lvlJc w:val="left"/>
      <w:pPr>
        <w:ind w:left="720" w:hanging="360"/>
      </w:pPr>
      <w:rPr>
        <w:rFonts w:ascii="Symbol" w:hAnsi="Symbol"/>
      </w:rPr>
    </w:lvl>
    <w:lvl w:ilvl="5" w:tplc="C13CA4D2">
      <w:start w:val="1"/>
      <w:numFmt w:val="bullet"/>
      <w:lvlText w:val=""/>
      <w:lvlJc w:val="left"/>
      <w:pPr>
        <w:ind w:left="720" w:hanging="360"/>
      </w:pPr>
      <w:rPr>
        <w:rFonts w:ascii="Symbol" w:hAnsi="Symbol"/>
      </w:rPr>
    </w:lvl>
    <w:lvl w:ilvl="6" w:tplc="7AF21E66">
      <w:start w:val="1"/>
      <w:numFmt w:val="bullet"/>
      <w:lvlText w:val=""/>
      <w:lvlJc w:val="left"/>
      <w:pPr>
        <w:ind w:left="720" w:hanging="360"/>
      </w:pPr>
      <w:rPr>
        <w:rFonts w:ascii="Symbol" w:hAnsi="Symbol"/>
      </w:rPr>
    </w:lvl>
    <w:lvl w:ilvl="7" w:tplc="A0F421F8">
      <w:start w:val="1"/>
      <w:numFmt w:val="bullet"/>
      <w:lvlText w:val=""/>
      <w:lvlJc w:val="left"/>
      <w:pPr>
        <w:ind w:left="720" w:hanging="360"/>
      </w:pPr>
      <w:rPr>
        <w:rFonts w:ascii="Symbol" w:hAnsi="Symbol"/>
      </w:rPr>
    </w:lvl>
    <w:lvl w:ilvl="8" w:tplc="97AC4320">
      <w:start w:val="1"/>
      <w:numFmt w:val="bullet"/>
      <w:lvlText w:val=""/>
      <w:lvlJc w:val="left"/>
      <w:pPr>
        <w:ind w:left="720" w:hanging="360"/>
      </w:pPr>
      <w:rPr>
        <w:rFonts w:ascii="Symbol" w:hAnsi="Symbol"/>
      </w:rPr>
    </w:lvl>
  </w:abstractNum>
  <w:abstractNum w:abstractNumId="45" w15:restartNumberingAfterBreak="0">
    <w:nsid w:val="7B11047B"/>
    <w:multiLevelType w:val="hybridMultilevel"/>
    <w:tmpl w:val="2CC60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47" w15:restartNumberingAfterBreak="0">
    <w:nsid w:val="7F7051DE"/>
    <w:multiLevelType w:val="hybridMultilevel"/>
    <w:tmpl w:val="08F84A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01538765">
    <w:abstractNumId w:val="16"/>
  </w:num>
  <w:num w:numId="2" w16cid:durableId="527916522">
    <w:abstractNumId w:val="46"/>
  </w:num>
  <w:num w:numId="3" w16cid:durableId="1709792283">
    <w:abstractNumId w:val="4"/>
  </w:num>
  <w:num w:numId="4" w16cid:durableId="1517883750">
    <w:abstractNumId w:val="8"/>
  </w:num>
  <w:num w:numId="5" w16cid:durableId="1845240552">
    <w:abstractNumId w:val="42"/>
  </w:num>
  <w:num w:numId="6" w16cid:durableId="784929474">
    <w:abstractNumId w:val="9"/>
  </w:num>
  <w:num w:numId="7" w16cid:durableId="633946264">
    <w:abstractNumId w:val="11"/>
  </w:num>
  <w:num w:numId="8" w16cid:durableId="2012248185">
    <w:abstractNumId w:val="15"/>
  </w:num>
  <w:num w:numId="9" w16cid:durableId="2073961731">
    <w:abstractNumId w:val="22"/>
  </w:num>
  <w:num w:numId="10" w16cid:durableId="81949353">
    <w:abstractNumId w:val="0"/>
  </w:num>
  <w:num w:numId="11" w16cid:durableId="665740830">
    <w:abstractNumId w:val="32"/>
  </w:num>
  <w:num w:numId="12" w16cid:durableId="401022086">
    <w:abstractNumId w:val="34"/>
  </w:num>
  <w:num w:numId="13" w16cid:durableId="1192261875">
    <w:abstractNumId w:val="21"/>
  </w:num>
  <w:num w:numId="14" w16cid:durableId="1454472685">
    <w:abstractNumId w:val="28"/>
  </w:num>
  <w:num w:numId="15" w16cid:durableId="1749618941">
    <w:abstractNumId w:val="40"/>
  </w:num>
  <w:num w:numId="16" w16cid:durableId="239951187">
    <w:abstractNumId w:val="37"/>
  </w:num>
  <w:num w:numId="17" w16cid:durableId="399333572">
    <w:abstractNumId w:val="3"/>
  </w:num>
  <w:num w:numId="18" w16cid:durableId="1604728920">
    <w:abstractNumId w:val="29"/>
  </w:num>
  <w:num w:numId="19" w16cid:durableId="1896432124">
    <w:abstractNumId w:val="17"/>
  </w:num>
  <w:num w:numId="20" w16cid:durableId="1430467815">
    <w:abstractNumId w:val="20"/>
  </w:num>
  <w:num w:numId="21" w16cid:durableId="1305351003">
    <w:abstractNumId w:val="23"/>
  </w:num>
  <w:num w:numId="22" w16cid:durableId="2031837703">
    <w:abstractNumId w:val="33"/>
  </w:num>
  <w:num w:numId="23" w16cid:durableId="485824579">
    <w:abstractNumId w:val="2"/>
  </w:num>
  <w:num w:numId="24" w16cid:durableId="889727173">
    <w:abstractNumId w:val="19"/>
  </w:num>
  <w:num w:numId="25" w16cid:durableId="105857373">
    <w:abstractNumId w:val="12"/>
  </w:num>
  <w:num w:numId="26" w16cid:durableId="382561818">
    <w:abstractNumId w:val="10"/>
  </w:num>
  <w:num w:numId="27" w16cid:durableId="393969556">
    <w:abstractNumId w:val="13"/>
  </w:num>
  <w:num w:numId="28" w16cid:durableId="6296216">
    <w:abstractNumId w:val="45"/>
  </w:num>
  <w:num w:numId="29" w16cid:durableId="1132137239">
    <w:abstractNumId w:val="27"/>
  </w:num>
  <w:num w:numId="30" w16cid:durableId="626156017">
    <w:abstractNumId w:val="14"/>
  </w:num>
  <w:num w:numId="31" w16cid:durableId="1268583751">
    <w:abstractNumId w:val="1"/>
  </w:num>
  <w:num w:numId="32" w16cid:durableId="1960455706">
    <w:abstractNumId w:val="30"/>
  </w:num>
  <w:num w:numId="33" w16cid:durableId="648481012">
    <w:abstractNumId w:val="31"/>
  </w:num>
  <w:num w:numId="34" w16cid:durableId="857279758">
    <w:abstractNumId w:val="6"/>
  </w:num>
  <w:num w:numId="35" w16cid:durableId="232740231">
    <w:abstractNumId w:val="24"/>
  </w:num>
  <w:num w:numId="36" w16cid:durableId="1917088584">
    <w:abstractNumId w:val="39"/>
  </w:num>
  <w:num w:numId="37" w16cid:durableId="269044875">
    <w:abstractNumId w:val="35"/>
  </w:num>
  <w:num w:numId="38" w16cid:durableId="69039121">
    <w:abstractNumId w:val="47"/>
  </w:num>
  <w:num w:numId="39" w16cid:durableId="674655416">
    <w:abstractNumId w:val="7"/>
  </w:num>
  <w:num w:numId="40" w16cid:durableId="356545810">
    <w:abstractNumId w:val="41"/>
  </w:num>
  <w:num w:numId="41" w16cid:durableId="484051921">
    <w:abstractNumId w:val="5"/>
  </w:num>
  <w:num w:numId="42" w16cid:durableId="1464228130">
    <w:abstractNumId w:val="44"/>
  </w:num>
  <w:num w:numId="43" w16cid:durableId="1347176665">
    <w:abstractNumId w:val="25"/>
  </w:num>
  <w:num w:numId="44" w16cid:durableId="781997962">
    <w:abstractNumId w:val="36"/>
  </w:num>
  <w:num w:numId="45" w16cid:durableId="34620358">
    <w:abstractNumId w:val="38"/>
  </w:num>
  <w:num w:numId="46" w16cid:durableId="217980339">
    <w:abstractNumId w:val="43"/>
  </w:num>
  <w:num w:numId="47" w16cid:durableId="326203195">
    <w:abstractNumId w:val="26"/>
  </w:num>
  <w:num w:numId="48" w16cid:durableId="50393808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0EB"/>
    <w:rsid w:val="000003F1"/>
    <w:rsid w:val="00000753"/>
    <w:rsid w:val="0000082E"/>
    <w:rsid w:val="00000D79"/>
    <w:rsid w:val="0000109A"/>
    <w:rsid w:val="00001AE6"/>
    <w:rsid w:val="00001D55"/>
    <w:rsid w:val="00002908"/>
    <w:rsid w:val="00004146"/>
    <w:rsid w:val="000042FA"/>
    <w:rsid w:val="00004A60"/>
    <w:rsid w:val="00004D69"/>
    <w:rsid w:val="00004F7F"/>
    <w:rsid w:val="000053BA"/>
    <w:rsid w:val="000054C9"/>
    <w:rsid w:val="00005533"/>
    <w:rsid w:val="00010120"/>
    <w:rsid w:val="0001099B"/>
    <w:rsid w:val="00010E97"/>
    <w:rsid w:val="000110AF"/>
    <w:rsid w:val="00011568"/>
    <w:rsid w:val="00011CCF"/>
    <w:rsid w:val="000125E6"/>
    <w:rsid w:val="000133D2"/>
    <w:rsid w:val="000144D4"/>
    <w:rsid w:val="00014974"/>
    <w:rsid w:val="00016452"/>
    <w:rsid w:val="00016800"/>
    <w:rsid w:val="000168EF"/>
    <w:rsid w:val="00016B06"/>
    <w:rsid w:val="0001749A"/>
    <w:rsid w:val="00017522"/>
    <w:rsid w:val="00017584"/>
    <w:rsid w:val="0002156C"/>
    <w:rsid w:val="000228B8"/>
    <w:rsid w:val="00022C1B"/>
    <w:rsid w:val="00022CFF"/>
    <w:rsid w:val="00022E97"/>
    <w:rsid w:val="0002381B"/>
    <w:rsid w:val="0002436B"/>
    <w:rsid w:val="00024C2A"/>
    <w:rsid w:val="00024EA5"/>
    <w:rsid w:val="000254CA"/>
    <w:rsid w:val="00025845"/>
    <w:rsid w:val="00027028"/>
    <w:rsid w:val="0002704B"/>
    <w:rsid w:val="0002755F"/>
    <w:rsid w:val="00027CD2"/>
    <w:rsid w:val="00027F8A"/>
    <w:rsid w:val="000314ED"/>
    <w:rsid w:val="00033161"/>
    <w:rsid w:val="00033646"/>
    <w:rsid w:val="00033BBD"/>
    <w:rsid w:val="0003423A"/>
    <w:rsid w:val="00034479"/>
    <w:rsid w:val="0003477F"/>
    <w:rsid w:val="00035FD7"/>
    <w:rsid w:val="00036323"/>
    <w:rsid w:val="000365E7"/>
    <w:rsid w:val="00036984"/>
    <w:rsid w:val="00036A70"/>
    <w:rsid w:val="00036AD8"/>
    <w:rsid w:val="00037037"/>
    <w:rsid w:val="00037302"/>
    <w:rsid w:val="0003730C"/>
    <w:rsid w:val="00037701"/>
    <w:rsid w:val="00037887"/>
    <w:rsid w:val="0003791D"/>
    <w:rsid w:val="00037CB0"/>
    <w:rsid w:val="0004005D"/>
    <w:rsid w:val="00040ADF"/>
    <w:rsid w:val="00040FB4"/>
    <w:rsid w:val="0004173E"/>
    <w:rsid w:val="0004178C"/>
    <w:rsid w:val="00041F5D"/>
    <w:rsid w:val="00041FB5"/>
    <w:rsid w:val="00041FE8"/>
    <w:rsid w:val="00043F5D"/>
    <w:rsid w:val="000443A6"/>
    <w:rsid w:val="000444DF"/>
    <w:rsid w:val="000449D1"/>
    <w:rsid w:val="00045B8D"/>
    <w:rsid w:val="00045CC5"/>
    <w:rsid w:val="000462E7"/>
    <w:rsid w:val="00046B6A"/>
    <w:rsid w:val="00047225"/>
    <w:rsid w:val="000472D4"/>
    <w:rsid w:val="00047D37"/>
    <w:rsid w:val="00047F45"/>
    <w:rsid w:val="000508CD"/>
    <w:rsid w:val="00050E9E"/>
    <w:rsid w:val="000525CB"/>
    <w:rsid w:val="00052DB7"/>
    <w:rsid w:val="00052DD3"/>
    <w:rsid w:val="000531A2"/>
    <w:rsid w:val="0005326D"/>
    <w:rsid w:val="000539C9"/>
    <w:rsid w:val="00053C12"/>
    <w:rsid w:val="00053F6C"/>
    <w:rsid w:val="00055595"/>
    <w:rsid w:val="00060388"/>
    <w:rsid w:val="00060AA6"/>
    <w:rsid w:val="000612CD"/>
    <w:rsid w:val="00061AE3"/>
    <w:rsid w:val="000620DE"/>
    <w:rsid w:val="0006339C"/>
    <w:rsid w:val="00064783"/>
    <w:rsid w:val="000647C2"/>
    <w:rsid w:val="00064B1D"/>
    <w:rsid w:val="00064BC7"/>
    <w:rsid w:val="0006552C"/>
    <w:rsid w:val="00065BC4"/>
    <w:rsid w:val="00067AF3"/>
    <w:rsid w:val="0007021F"/>
    <w:rsid w:val="000708C5"/>
    <w:rsid w:val="000709A0"/>
    <w:rsid w:val="000710A4"/>
    <w:rsid w:val="00071EA6"/>
    <w:rsid w:val="000728F2"/>
    <w:rsid w:val="00073336"/>
    <w:rsid w:val="00074199"/>
    <w:rsid w:val="0007432A"/>
    <w:rsid w:val="000744F9"/>
    <w:rsid w:val="00074529"/>
    <w:rsid w:val="00076205"/>
    <w:rsid w:val="00076B9B"/>
    <w:rsid w:val="000775BE"/>
    <w:rsid w:val="00077B3A"/>
    <w:rsid w:val="00077F62"/>
    <w:rsid w:val="00080175"/>
    <w:rsid w:val="00080241"/>
    <w:rsid w:val="00081112"/>
    <w:rsid w:val="000813BD"/>
    <w:rsid w:val="00081778"/>
    <w:rsid w:val="000826BF"/>
    <w:rsid w:val="00083F5E"/>
    <w:rsid w:val="000842D1"/>
    <w:rsid w:val="00085058"/>
    <w:rsid w:val="000858EE"/>
    <w:rsid w:val="00085B09"/>
    <w:rsid w:val="00085B77"/>
    <w:rsid w:val="00085D97"/>
    <w:rsid w:val="00086E5D"/>
    <w:rsid w:val="000870B6"/>
    <w:rsid w:val="00090613"/>
    <w:rsid w:val="00090BD1"/>
    <w:rsid w:val="00090BEB"/>
    <w:rsid w:val="00091426"/>
    <w:rsid w:val="000917A7"/>
    <w:rsid w:val="00091857"/>
    <w:rsid w:val="00091C59"/>
    <w:rsid w:val="0009290B"/>
    <w:rsid w:val="00092A21"/>
    <w:rsid w:val="00093D9A"/>
    <w:rsid w:val="00094656"/>
    <w:rsid w:val="0009522D"/>
    <w:rsid w:val="00095F01"/>
    <w:rsid w:val="00095F07"/>
    <w:rsid w:val="00096B52"/>
    <w:rsid w:val="00097953"/>
    <w:rsid w:val="00097F0C"/>
    <w:rsid w:val="000A0DE1"/>
    <w:rsid w:val="000A0F6F"/>
    <w:rsid w:val="000A10BF"/>
    <w:rsid w:val="000A1FB2"/>
    <w:rsid w:val="000A2ACD"/>
    <w:rsid w:val="000A2B65"/>
    <w:rsid w:val="000A2DA8"/>
    <w:rsid w:val="000A2FAD"/>
    <w:rsid w:val="000A3984"/>
    <w:rsid w:val="000A426F"/>
    <w:rsid w:val="000A53D5"/>
    <w:rsid w:val="000A5770"/>
    <w:rsid w:val="000A5C47"/>
    <w:rsid w:val="000A629E"/>
    <w:rsid w:val="000A6B30"/>
    <w:rsid w:val="000A6F73"/>
    <w:rsid w:val="000A709F"/>
    <w:rsid w:val="000A7569"/>
    <w:rsid w:val="000A79BC"/>
    <w:rsid w:val="000B03B9"/>
    <w:rsid w:val="000B16F5"/>
    <w:rsid w:val="000B191F"/>
    <w:rsid w:val="000B1D6D"/>
    <w:rsid w:val="000B2D3C"/>
    <w:rsid w:val="000B3330"/>
    <w:rsid w:val="000B36CB"/>
    <w:rsid w:val="000B3AEE"/>
    <w:rsid w:val="000B6CF0"/>
    <w:rsid w:val="000B6D14"/>
    <w:rsid w:val="000B720C"/>
    <w:rsid w:val="000B7503"/>
    <w:rsid w:val="000B7665"/>
    <w:rsid w:val="000C12C5"/>
    <w:rsid w:val="000C1953"/>
    <w:rsid w:val="000C1D5F"/>
    <w:rsid w:val="000C3319"/>
    <w:rsid w:val="000C37DA"/>
    <w:rsid w:val="000C3808"/>
    <w:rsid w:val="000C39B3"/>
    <w:rsid w:val="000C3B91"/>
    <w:rsid w:val="000C4475"/>
    <w:rsid w:val="000C44BF"/>
    <w:rsid w:val="000C4C52"/>
    <w:rsid w:val="000C516E"/>
    <w:rsid w:val="000C5510"/>
    <w:rsid w:val="000C685F"/>
    <w:rsid w:val="000C7A2F"/>
    <w:rsid w:val="000C7C46"/>
    <w:rsid w:val="000D1B52"/>
    <w:rsid w:val="000D2162"/>
    <w:rsid w:val="000D2DC4"/>
    <w:rsid w:val="000D2F90"/>
    <w:rsid w:val="000D3F41"/>
    <w:rsid w:val="000D4C1B"/>
    <w:rsid w:val="000D5523"/>
    <w:rsid w:val="000D57D5"/>
    <w:rsid w:val="000D71B6"/>
    <w:rsid w:val="000D740A"/>
    <w:rsid w:val="000D791C"/>
    <w:rsid w:val="000D7CEF"/>
    <w:rsid w:val="000E0117"/>
    <w:rsid w:val="000E03DC"/>
    <w:rsid w:val="000E0F45"/>
    <w:rsid w:val="000E1124"/>
    <w:rsid w:val="000E1D32"/>
    <w:rsid w:val="000E2DEB"/>
    <w:rsid w:val="000E2F9E"/>
    <w:rsid w:val="000E3820"/>
    <w:rsid w:val="000E3F52"/>
    <w:rsid w:val="000E51F0"/>
    <w:rsid w:val="000E5531"/>
    <w:rsid w:val="000E5806"/>
    <w:rsid w:val="000E5E54"/>
    <w:rsid w:val="000E5F38"/>
    <w:rsid w:val="000E6410"/>
    <w:rsid w:val="000E6440"/>
    <w:rsid w:val="000E6478"/>
    <w:rsid w:val="000E678B"/>
    <w:rsid w:val="000E6DF6"/>
    <w:rsid w:val="000E72D1"/>
    <w:rsid w:val="000E75B6"/>
    <w:rsid w:val="000E7BD3"/>
    <w:rsid w:val="000F0030"/>
    <w:rsid w:val="000F05B2"/>
    <w:rsid w:val="000F1F49"/>
    <w:rsid w:val="000F27E9"/>
    <w:rsid w:val="000F2E01"/>
    <w:rsid w:val="000F339C"/>
    <w:rsid w:val="000F391F"/>
    <w:rsid w:val="000F3E19"/>
    <w:rsid w:val="000F3EE2"/>
    <w:rsid w:val="000F4B80"/>
    <w:rsid w:val="000F5A54"/>
    <w:rsid w:val="000F66EF"/>
    <w:rsid w:val="000F6C7F"/>
    <w:rsid w:val="000F7987"/>
    <w:rsid w:val="0010051C"/>
    <w:rsid w:val="001016CA"/>
    <w:rsid w:val="00101CE0"/>
    <w:rsid w:val="00101F48"/>
    <w:rsid w:val="00102416"/>
    <w:rsid w:val="001039DD"/>
    <w:rsid w:val="00103D24"/>
    <w:rsid w:val="0010448B"/>
    <w:rsid w:val="001045E2"/>
    <w:rsid w:val="00104FDA"/>
    <w:rsid w:val="0010521F"/>
    <w:rsid w:val="0010625A"/>
    <w:rsid w:val="00107524"/>
    <w:rsid w:val="00107722"/>
    <w:rsid w:val="00107786"/>
    <w:rsid w:val="00107DCD"/>
    <w:rsid w:val="00107EF0"/>
    <w:rsid w:val="0011049F"/>
    <w:rsid w:val="00110946"/>
    <w:rsid w:val="00111417"/>
    <w:rsid w:val="00111469"/>
    <w:rsid w:val="00112198"/>
    <w:rsid w:val="00113925"/>
    <w:rsid w:val="00113C60"/>
    <w:rsid w:val="00113D63"/>
    <w:rsid w:val="00113DCA"/>
    <w:rsid w:val="00114C3B"/>
    <w:rsid w:val="00114FB2"/>
    <w:rsid w:val="00115312"/>
    <w:rsid w:val="00115691"/>
    <w:rsid w:val="00115795"/>
    <w:rsid w:val="00115DD8"/>
    <w:rsid w:val="001160D7"/>
    <w:rsid w:val="001167BC"/>
    <w:rsid w:val="00116A35"/>
    <w:rsid w:val="00116DAF"/>
    <w:rsid w:val="00117039"/>
    <w:rsid w:val="001170EE"/>
    <w:rsid w:val="00117879"/>
    <w:rsid w:val="00117F04"/>
    <w:rsid w:val="0012031A"/>
    <w:rsid w:val="00120BD3"/>
    <w:rsid w:val="00121DF4"/>
    <w:rsid w:val="00121F3C"/>
    <w:rsid w:val="00122AE3"/>
    <w:rsid w:val="00122EE1"/>
    <w:rsid w:val="00123432"/>
    <w:rsid w:val="00123658"/>
    <w:rsid w:val="001237AF"/>
    <w:rsid w:val="001237DD"/>
    <w:rsid w:val="0012426A"/>
    <w:rsid w:val="001247EB"/>
    <w:rsid w:val="00124B74"/>
    <w:rsid w:val="00124F3C"/>
    <w:rsid w:val="001250C1"/>
    <w:rsid w:val="00125755"/>
    <w:rsid w:val="00125B61"/>
    <w:rsid w:val="00126122"/>
    <w:rsid w:val="00126143"/>
    <w:rsid w:val="00126671"/>
    <w:rsid w:val="00126705"/>
    <w:rsid w:val="00126FF0"/>
    <w:rsid w:val="001270B6"/>
    <w:rsid w:val="00127A33"/>
    <w:rsid w:val="00130BC1"/>
    <w:rsid w:val="00131B9F"/>
    <w:rsid w:val="00131D45"/>
    <w:rsid w:val="001320F0"/>
    <w:rsid w:val="00132F27"/>
    <w:rsid w:val="00133695"/>
    <w:rsid w:val="001336E0"/>
    <w:rsid w:val="00133F34"/>
    <w:rsid w:val="00134795"/>
    <w:rsid w:val="0013497C"/>
    <w:rsid w:val="00135273"/>
    <w:rsid w:val="001356A8"/>
    <w:rsid w:val="00135FC9"/>
    <w:rsid w:val="0013612F"/>
    <w:rsid w:val="0013686F"/>
    <w:rsid w:val="00136CC6"/>
    <w:rsid w:val="00136EDF"/>
    <w:rsid w:val="001407E9"/>
    <w:rsid w:val="00141418"/>
    <w:rsid w:val="00141EFE"/>
    <w:rsid w:val="00142A3D"/>
    <w:rsid w:val="00142DDB"/>
    <w:rsid w:val="00142E5D"/>
    <w:rsid w:val="001433EA"/>
    <w:rsid w:val="00143478"/>
    <w:rsid w:val="00143F2F"/>
    <w:rsid w:val="0014494A"/>
    <w:rsid w:val="00144FE7"/>
    <w:rsid w:val="00145594"/>
    <w:rsid w:val="001455E9"/>
    <w:rsid w:val="00145D28"/>
    <w:rsid w:val="001465A3"/>
    <w:rsid w:val="00146624"/>
    <w:rsid w:val="0015027D"/>
    <w:rsid w:val="00150376"/>
    <w:rsid w:val="001503F8"/>
    <w:rsid w:val="0015041B"/>
    <w:rsid w:val="00151CF9"/>
    <w:rsid w:val="00151DBD"/>
    <w:rsid w:val="00153137"/>
    <w:rsid w:val="001531D6"/>
    <w:rsid w:val="001538C5"/>
    <w:rsid w:val="001553B3"/>
    <w:rsid w:val="00155434"/>
    <w:rsid w:val="00155A37"/>
    <w:rsid w:val="00155BDA"/>
    <w:rsid w:val="00155D82"/>
    <w:rsid w:val="00156FA7"/>
    <w:rsid w:val="00157C72"/>
    <w:rsid w:val="00157CC6"/>
    <w:rsid w:val="0016023A"/>
    <w:rsid w:val="00161488"/>
    <w:rsid w:val="00161DCC"/>
    <w:rsid w:val="00162DBF"/>
    <w:rsid w:val="00162E20"/>
    <w:rsid w:val="00164CF8"/>
    <w:rsid w:val="00164D23"/>
    <w:rsid w:val="001652FA"/>
    <w:rsid w:val="001653AE"/>
    <w:rsid w:val="00165A96"/>
    <w:rsid w:val="001660B5"/>
    <w:rsid w:val="00166CEA"/>
    <w:rsid w:val="001670C8"/>
    <w:rsid w:val="00170BC5"/>
    <w:rsid w:val="00170D5B"/>
    <w:rsid w:val="00171157"/>
    <w:rsid w:val="00171D77"/>
    <w:rsid w:val="00172B1F"/>
    <w:rsid w:val="00172B8F"/>
    <w:rsid w:val="00172C5D"/>
    <w:rsid w:val="001736F8"/>
    <w:rsid w:val="00173B76"/>
    <w:rsid w:val="00173D85"/>
    <w:rsid w:val="00174E2F"/>
    <w:rsid w:val="00174F64"/>
    <w:rsid w:val="00174FD4"/>
    <w:rsid w:val="0017515C"/>
    <w:rsid w:val="001755A7"/>
    <w:rsid w:val="001767B8"/>
    <w:rsid w:val="00176FCF"/>
    <w:rsid w:val="001771CD"/>
    <w:rsid w:val="001806F8"/>
    <w:rsid w:val="001806FA"/>
    <w:rsid w:val="00180D27"/>
    <w:rsid w:val="00180DC6"/>
    <w:rsid w:val="001812AF"/>
    <w:rsid w:val="001820D7"/>
    <w:rsid w:val="00182730"/>
    <w:rsid w:val="00184BAE"/>
    <w:rsid w:val="00184BE9"/>
    <w:rsid w:val="00184CB2"/>
    <w:rsid w:val="001863AA"/>
    <w:rsid w:val="001867B8"/>
    <w:rsid w:val="00186805"/>
    <w:rsid w:val="001869E5"/>
    <w:rsid w:val="001874D4"/>
    <w:rsid w:val="0018774B"/>
    <w:rsid w:val="00190A62"/>
    <w:rsid w:val="00190C36"/>
    <w:rsid w:val="00191B4E"/>
    <w:rsid w:val="00191BA8"/>
    <w:rsid w:val="00193138"/>
    <w:rsid w:val="0019362A"/>
    <w:rsid w:val="0019474E"/>
    <w:rsid w:val="001951D4"/>
    <w:rsid w:val="00195728"/>
    <w:rsid w:val="001970C0"/>
    <w:rsid w:val="001A0DF1"/>
    <w:rsid w:val="001A1362"/>
    <w:rsid w:val="001A18FE"/>
    <w:rsid w:val="001A1CB7"/>
    <w:rsid w:val="001A378D"/>
    <w:rsid w:val="001A3D01"/>
    <w:rsid w:val="001A3EA5"/>
    <w:rsid w:val="001A401C"/>
    <w:rsid w:val="001A420B"/>
    <w:rsid w:val="001A4B97"/>
    <w:rsid w:val="001A4F7D"/>
    <w:rsid w:val="001A50EF"/>
    <w:rsid w:val="001A5D6B"/>
    <w:rsid w:val="001A70EB"/>
    <w:rsid w:val="001A7B42"/>
    <w:rsid w:val="001A7D8F"/>
    <w:rsid w:val="001B04DE"/>
    <w:rsid w:val="001B09E1"/>
    <w:rsid w:val="001B1C3C"/>
    <w:rsid w:val="001B1E03"/>
    <w:rsid w:val="001B1EB5"/>
    <w:rsid w:val="001B1F4F"/>
    <w:rsid w:val="001B2A97"/>
    <w:rsid w:val="001B2CD4"/>
    <w:rsid w:val="001B500E"/>
    <w:rsid w:val="001B5047"/>
    <w:rsid w:val="001B61C9"/>
    <w:rsid w:val="001B63A4"/>
    <w:rsid w:val="001B7329"/>
    <w:rsid w:val="001C0EA9"/>
    <w:rsid w:val="001C147E"/>
    <w:rsid w:val="001C174A"/>
    <w:rsid w:val="001C1977"/>
    <w:rsid w:val="001C1D05"/>
    <w:rsid w:val="001C211E"/>
    <w:rsid w:val="001C2411"/>
    <w:rsid w:val="001C24A1"/>
    <w:rsid w:val="001C259A"/>
    <w:rsid w:val="001C2834"/>
    <w:rsid w:val="001C2A48"/>
    <w:rsid w:val="001C2FB6"/>
    <w:rsid w:val="001C3AB8"/>
    <w:rsid w:val="001C4E90"/>
    <w:rsid w:val="001C5035"/>
    <w:rsid w:val="001C5283"/>
    <w:rsid w:val="001C5DDB"/>
    <w:rsid w:val="001C69E3"/>
    <w:rsid w:val="001C6DFD"/>
    <w:rsid w:val="001C72D8"/>
    <w:rsid w:val="001C737B"/>
    <w:rsid w:val="001D0684"/>
    <w:rsid w:val="001D0822"/>
    <w:rsid w:val="001D32C0"/>
    <w:rsid w:val="001D3A64"/>
    <w:rsid w:val="001D5061"/>
    <w:rsid w:val="001D5759"/>
    <w:rsid w:val="001D5793"/>
    <w:rsid w:val="001D5921"/>
    <w:rsid w:val="001D6B7B"/>
    <w:rsid w:val="001D74A7"/>
    <w:rsid w:val="001D7594"/>
    <w:rsid w:val="001D7D43"/>
    <w:rsid w:val="001E15F2"/>
    <w:rsid w:val="001E22F7"/>
    <w:rsid w:val="001E2395"/>
    <w:rsid w:val="001E2CD8"/>
    <w:rsid w:val="001E465F"/>
    <w:rsid w:val="001E587A"/>
    <w:rsid w:val="001E5C90"/>
    <w:rsid w:val="001E6F19"/>
    <w:rsid w:val="001E716A"/>
    <w:rsid w:val="001E7938"/>
    <w:rsid w:val="001E7B70"/>
    <w:rsid w:val="001F0916"/>
    <w:rsid w:val="001F0D20"/>
    <w:rsid w:val="001F154B"/>
    <w:rsid w:val="001F2546"/>
    <w:rsid w:val="001F2902"/>
    <w:rsid w:val="001F383F"/>
    <w:rsid w:val="001F3C46"/>
    <w:rsid w:val="001F3F36"/>
    <w:rsid w:val="001F4790"/>
    <w:rsid w:val="001F4D08"/>
    <w:rsid w:val="001F4DC5"/>
    <w:rsid w:val="001F6029"/>
    <w:rsid w:val="001F658C"/>
    <w:rsid w:val="001F675C"/>
    <w:rsid w:val="001F6F44"/>
    <w:rsid w:val="001F7563"/>
    <w:rsid w:val="00200037"/>
    <w:rsid w:val="00201AD3"/>
    <w:rsid w:val="002022CC"/>
    <w:rsid w:val="0020287A"/>
    <w:rsid w:val="00202E6E"/>
    <w:rsid w:val="00203861"/>
    <w:rsid w:val="002044E2"/>
    <w:rsid w:val="00204922"/>
    <w:rsid w:val="00204B96"/>
    <w:rsid w:val="00204D6E"/>
    <w:rsid w:val="00205F54"/>
    <w:rsid w:val="002068D2"/>
    <w:rsid w:val="002072E9"/>
    <w:rsid w:val="00207D87"/>
    <w:rsid w:val="00207F59"/>
    <w:rsid w:val="00210903"/>
    <w:rsid w:val="00211DC3"/>
    <w:rsid w:val="00213619"/>
    <w:rsid w:val="0021451F"/>
    <w:rsid w:val="002145BB"/>
    <w:rsid w:val="00215501"/>
    <w:rsid w:val="002155B6"/>
    <w:rsid w:val="00215662"/>
    <w:rsid w:val="002157E4"/>
    <w:rsid w:val="00215AFB"/>
    <w:rsid w:val="00215DEA"/>
    <w:rsid w:val="00216305"/>
    <w:rsid w:val="002166C0"/>
    <w:rsid w:val="002173BF"/>
    <w:rsid w:val="002176C4"/>
    <w:rsid w:val="00217D25"/>
    <w:rsid w:val="002200D8"/>
    <w:rsid w:val="00220BE7"/>
    <w:rsid w:val="002214CE"/>
    <w:rsid w:val="002228B2"/>
    <w:rsid w:val="00222D4F"/>
    <w:rsid w:val="00223374"/>
    <w:rsid w:val="00223664"/>
    <w:rsid w:val="00223A56"/>
    <w:rsid w:val="00224CC4"/>
    <w:rsid w:val="00225833"/>
    <w:rsid w:val="00226095"/>
    <w:rsid w:val="002261E5"/>
    <w:rsid w:val="00226363"/>
    <w:rsid w:val="00227181"/>
    <w:rsid w:val="00227B89"/>
    <w:rsid w:val="00227D40"/>
    <w:rsid w:val="00227F43"/>
    <w:rsid w:val="0023042F"/>
    <w:rsid w:val="002306D7"/>
    <w:rsid w:val="0023090C"/>
    <w:rsid w:val="002311FE"/>
    <w:rsid w:val="002320F5"/>
    <w:rsid w:val="002323FD"/>
    <w:rsid w:val="002324CE"/>
    <w:rsid w:val="002337C2"/>
    <w:rsid w:val="002344B8"/>
    <w:rsid w:val="00234640"/>
    <w:rsid w:val="00234866"/>
    <w:rsid w:val="00236149"/>
    <w:rsid w:val="00236CC6"/>
    <w:rsid w:val="00240106"/>
    <w:rsid w:val="00240589"/>
    <w:rsid w:val="002411C7"/>
    <w:rsid w:val="00241EE8"/>
    <w:rsid w:val="00242F4E"/>
    <w:rsid w:val="00242FB7"/>
    <w:rsid w:val="00243E69"/>
    <w:rsid w:val="0024424E"/>
    <w:rsid w:val="00244534"/>
    <w:rsid w:val="002452A0"/>
    <w:rsid w:val="00245544"/>
    <w:rsid w:val="00246307"/>
    <w:rsid w:val="002463A6"/>
    <w:rsid w:val="00246ADB"/>
    <w:rsid w:val="00246C40"/>
    <w:rsid w:val="0024722F"/>
    <w:rsid w:val="002473A4"/>
    <w:rsid w:val="002512A4"/>
    <w:rsid w:val="002517A5"/>
    <w:rsid w:val="00251F6C"/>
    <w:rsid w:val="002521F6"/>
    <w:rsid w:val="0025249C"/>
    <w:rsid w:val="0025303E"/>
    <w:rsid w:val="002539ED"/>
    <w:rsid w:val="0025440D"/>
    <w:rsid w:val="0025450E"/>
    <w:rsid w:val="00254D75"/>
    <w:rsid w:val="00255152"/>
    <w:rsid w:val="0025554E"/>
    <w:rsid w:val="002562CF"/>
    <w:rsid w:val="002604B8"/>
    <w:rsid w:val="002608BF"/>
    <w:rsid w:val="00261331"/>
    <w:rsid w:val="00261D55"/>
    <w:rsid w:val="002621BC"/>
    <w:rsid w:val="002621FC"/>
    <w:rsid w:val="0026330D"/>
    <w:rsid w:val="002638CA"/>
    <w:rsid w:val="002638F4"/>
    <w:rsid w:val="00263B1E"/>
    <w:rsid w:val="0026548D"/>
    <w:rsid w:val="00265A32"/>
    <w:rsid w:val="0026620D"/>
    <w:rsid w:val="002666A8"/>
    <w:rsid w:val="002667AD"/>
    <w:rsid w:val="0026790B"/>
    <w:rsid w:val="00267AC6"/>
    <w:rsid w:val="00267D74"/>
    <w:rsid w:val="0027021D"/>
    <w:rsid w:val="002702EE"/>
    <w:rsid w:val="0027066E"/>
    <w:rsid w:val="0027160C"/>
    <w:rsid w:val="00272772"/>
    <w:rsid w:val="00274636"/>
    <w:rsid w:val="00274AF5"/>
    <w:rsid w:val="002751D1"/>
    <w:rsid w:val="00275209"/>
    <w:rsid w:val="00275263"/>
    <w:rsid w:val="00275498"/>
    <w:rsid w:val="0027676E"/>
    <w:rsid w:val="00276EFC"/>
    <w:rsid w:val="002777A1"/>
    <w:rsid w:val="00277887"/>
    <w:rsid w:val="00280112"/>
    <w:rsid w:val="002802CE"/>
    <w:rsid w:val="002810AC"/>
    <w:rsid w:val="00282302"/>
    <w:rsid w:val="00282988"/>
    <w:rsid w:val="0028321D"/>
    <w:rsid w:val="0028339F"/>
    <w:rsid w:val="002839BD"/>
    <w:rsid w:val="00284340"/>
    <w:rsid w:val="0028436E"/>
    <w:rsid w:val="00285667"/>
    <w:rsid w:val="002866E2"/>
    <w:rsid w:val="00286961"/>
    <w:rsid w:val="00287051"/>
    <w:rsid w:val="00287E78"/>
    <w:rsid w:val="00287F2B"/>
    <w:rsid w:val="0029013D"/>
    <w:rsid w:val="0029045D"/>
    <w:rsid w:val="00290676"/>
    <w:rsid w:val="00291054"/>
    <w:rsid w:val="00291462"/>
    <w:rsid w:val="00291572"/>
    <w:rsid w:val="002926D5"/>
    <w:rsid w:val="00292969"/>
    <w:rsid w:val="00293865"/>
    <w:rsid w:val="00294435"/>
    <w:rsid w:val="00294A74"/>
    <w:rsid w:val="00294BF1"/>
    <w:rsid w:val="00295A2E"/>
    <w:rsid w:val="00295C87"/>
    <w:rsid w:val="00297DBB"/>
    <w:rsid w:val="002A04B4"/>
    <w:rsid w:val="002A145B"/>
    <w:rsid w:val="002A15EB"/>
    <w:rsid w:val="002A179D"/>
    <w:rsid w:val="002A17E2"/>
    <w:rsid w:val="002A18BE"/>
    <w:rsid w:val="002A1A62"/>
    <w:rsid w:val="002A220B"/>
    <w:rsid w:val="002A2927"/>
    <w:rsid w:val="002A298F"/>
    <w:rsid w:val="002A3383"/>
    <w:rsid w:val="002A36F6"/>
    <w:rsid w:val="002A4084"/>
    <w:rsid w:val="002A4AD6"/>
    <w:rsid w:val="002A4C9E"/>
    <w:rsid w:val="002A4CB1"/>
    <w:rsid w:val="002A62CD"/>
    <w:rsid w:val="002A68A9"/>
    <w:rsid w:val="002A6D91"/>
    <w:rsid w:val="002A6E14"/>
    <w:rsid w:val="002A7142"/>
    <w:rsid w:val="002A7196"/>
    <w:rsid w:val="002A7370"/>
    <w:rsid w:val="002A76AE"/>
    <w:rsid w:val="002A784C"/>
    <w:rsid w:val="002B006E"/>
    <w:rsid w:val="002B080B"/>
    <w:rsid w:val="002B1384"/>
    <w:rsid w:val="002B252A"/>
    <w:rsid w:val="002B32D9"/>
    <w:rsid w:val="002B3681"/>
    <w:rsid w:val="002B3D10"/>
    <w:rsid w:val="002B3E42"/>
    <w:rsid w:val="002B4781"/>
    <w:rsid w:val="002B4CCB"/>
    <w:rsid w:val="002B667C"/>
    <w:rsid w:val="002B6C2A"/>
    <w:rsid w:val="002B7120"/>
    <w:rsid w:val="002B76C4"/>
    <w:rsid w:val="002B7A5D"/>
    <w:rsid w:val="002C013C"/>
    <w:rsid w:val="002C0404"/>
    <w:rsid w:val="002C1048"/>
    <w:rsid w:val="002C11CA"/>
    <w:rsid w:val="002C2415"/>
    <w:rsid w:val="002C29B5"/>
    <w:rsid w:val="002C3BD3"/>
    <w:rsid w:val="002C45E8"/>
    <w:rsid w:val="002C49BC"/>
    <w:rsid w:val="002C4E81"/>
    <w:rsid w:val="002C4E8B"/>
    <w:rsid w:val="002C5220"/>
    <w:rsid w:val="002C5468"/>
    <w:rsid w:val="002C5EBF"/>
    <w:rsid w:val="002C6040"/>
    <w:rsid w:val="002C704A"/>
    <w:rsid w:val="002C70CE"/>
    <w:rsid w:val="002D0694"/>
    <w:rsid w:val="002D06B3"/>
    <w:rsid w:val="002D0C1F"/>
    <w:rsid w:val="002D0F8E"/>
    <w:rsid w:val="002D2D4E"/>
    <w:rsid w:val="002D3136"/>
    <w:rsid w:val="002D3998"/>
    <w:rsid w:val="002D4772"/>
    <w:rsid w:val="002D5097"/>
    <w:rsid w:val="002D55E4"/>
    <w:rsid w:val="002D5E9F"/>
    <w:rsid w:val="002D5EC6"/>
    <w:rsid w:val="002D6169"/>
    <w:rsid w:val="002D690D"/>
    <w:rsid w:val="002D6D9A"/>
    <w:rsid w:val="002E0E8A"/>
    <w:rsid w:val="002E1C30"/>
    <w:rsid w:val="002E2D13"/>
    <w:rsid w:val="002E2EB0"/>
    <w:rsid w:val="002E63BE"/>
    <w:rsid w:val="002E6603"/>
    <w:rsid w:val="002E66D6"/>
    <w:rsid w:val="002E7775"/>
    <w:rsid w:val="002E7AD2"/>
    <w:rsid w:val="002F0601"/>
    <w:rsid w:val="002F0BEC"/>
    <w:rsid w:val="002F1399"/>
    <w:rsid w:val="002F1D2A"/>
    <w:rsid w:val="002F32FB"/>
    <w:rsid w:val="002F3DC7"/>
    <w:rsid w:val="002F4645"/>
    <w:rsid w:val="002F4A90"/>
    <w:rsid w:val="002F4AF1"/>
    <w:rsid w:val="002F5323"/>
    <w:rsid w:val="002F5611"/>
    <w:rsid w:val="002F5EEF"/>
    <w:rsid w:val="002F5F3F"/>
    <w:rsid w:val="002F5F5E"/>
    <w:rsid w:val="002F5F85"/>
    <w:rsid w:val="002F62B5"/>
    <w:rsid w:val="002F66BF"/>
    <w:rsid w:val="002F693F"/>
    <w:rsid w:val="002F6E66"/>
    <w:rsid w:val="002F71AB"/>
    <w:rsid w:val="003000F0"/>
    <w:rsid w:val="0030012C"/>
    <w:rsid w:val="003008CC"/>
    <w:rsid w:val="00301763"/>
    <w:rsid w:val="00302252"/>
    <w:rsid w:val="00303780"/>
    <w:rsid w:val="00303C60"/>
    <w:rsid w:val="00303EEB"/>
    <w:rsid w:val="0030408C"/>
    <w:rsid w:val="00304FB8"/>
    <w:rsid w:val="003056C8"/>
    <w:rsid w:val="00305F33"/>
    <w:rsid w:val="00307299"/>
    <w:rsid w:val="00307CE0"/>
    <w:rsid w:val="00307F10"/>
    <w:rsid w:val="00307F36"/>
    <w:rsid w:val="00310B9B"/>
    <w:rsid w:val="00310C3F"/>
    <w:rsid w:val="00310D16"/>
    <w:rsid w:val="00310DA0"/>
    <w:rsid w:val="00312CA1"/>
    <w:rsid w:val="0031367A"/>
    <w:rsid w:val="00313FDC"/>
    <w:rsid w:val="0031402E"/>
    <w:rsid w:val="003140D2"/>
    <w:rsid w:val="00314C36"/>
    <w:rsid w:val="0031699B"/>
    <w:rsid w:val="00317714"/>
    <w:rsid w:val="00317E65"/>
    <w:rsid w:val="00317F29"/>
    <w:rsid w:val="003201C1"/>
    <w:rsid w:val="0032066C"/>
    <w:rsid w:val="00320751"/>
    <w:rsid w:val="00320A17"/>
    <w:rsid w:val="00320E43"/>
    <w:rsid w:val="0032126C"/>
    <w:rsid w:val="0032223D"/>
    <w:rsid w:val="0032243C"/>
    <w:rsid w:val="00322D10"/>
    <w:rsid w:val="00322DA9"/>
    <w:rsid w:val="00322F9C"/>
    <w:rsid w:val="003232C3"/>
    <w:rsid w:val="00323AF6"/>
    <w:rsid w:val="00324407"/>
    <w:rsid w:val="00324639"/>
    <w:rsid w:val="003248C7"/>
    <w:rsid w:val="0032503A"/>
    <w:rsid w:val="003251C2"/>
    <w:rsid w:val="00325357"/>
    <w:rsid w:val="00325FA0"/>
    <w:rsid w:val="00326153"/>
    <w:rsid w:val="00326691"/>
    <w:rsid w:val="00326F1C"/>
    <w:rsid w:val="00326F28"/>
    <w:rsid w:val="00327162"/>
    <w:rsid w:val="0032780E"/>
    <w:rsid w:val="00330294"/>
    <w:rsid w:val="00330A0A"/>
    <w:rsid w:val="00330E40"/>
    <w:rsid w:val="0033103D"/>
    <w:rsid w:val="003317C9"/>
    <w:rsid w:val="003328A9"/>
    <w:rsid w:val="00332B5A"/>
    <w:rsid w:val="0033331A"/>
    <w:rsid w:val="003340DA"/>
    <w:rsid w:val="00334AE7"/>
    <w:rsid w:val="00335737"/>
    <w:rsid w:val="00335A00"/>
    <w:rsid w:val="003371B5"/>
    <w:rsid w:val="0033772A"/>
    <w:rsid w:val="00337AFF"/>
    <w:rsid w:val="00337B15"/>
    <w:rsid w:val="00337BAF"/>
    <w:rsid w:val="00340341"/>
    <w:rsid w:val="00340F09"/>
    <w:rsid w:val="003417CB"/>
    <w:rsid w:val="00342486"/>
    <w:rsid w:val="003435A9"/>
    <w:rsid w:val="00343FEF"/>
    <w:rsid w:val="00343FF6"/>
    <w:rsid w:val="00344649"/>
    <w:rsid w:val="00344E46"/>
    <w:rsid w:val="00345496"/>
    <w:rsid w:val="00345BCF"/>
    <w:rsid w:val="003461AA"/>
    <w:rsid w:val="003466F9"/>
    <w:rsid w:val="00346BB7"/>
    <w:rsid w:val="0034722C"/>
    <w:rsid w:val="00350092"/>
    <w:rsid w:val="00350810"/>
    <w:rsid w:val="00351452"/>
    <w:rsid w:val="003519AD"/>
    <w:rsid w:val="00351E0E"/>
    <w:rsid w:val="00352A7B"/>
    <w:rsid w:val="00352E0F"/>
    <w:rsid w:val="003547EE"/>
    <w:rsid w:val="00354EB4"/>
    <w:rsid w:val="00354F61"/>
    <w:rsid w:val="003555B4"/>
    <w:rsid w:val="00355707"/>
    <w:rsid w:val="0035631D"/>
    <w:rsid w:val="00356D29"/>
    <w:rsid w:val="00356FBB"/>
    <w:rsid w:val="00357106"/>
    <w:rsid w:val="003571C2"/>
    <w:rsid w:val="00357BE6"/>
    <w:rsid w:val="00360CCA"/>
    <w:rsid w:val="003624D4"/>
    <w:rsid w:val="003625C5"/>
    <w:rsid w:val="003629E5"/>
    <w:rsid w:val="0036320F"/>
    <w:rsid w:val="003640A7"/>
    <w:rsid w:val="00365447"/>
    <w:rsid w:val="00365F07"/>
    <w:rsid w:val="00367050"/>
    <w:rsid w:val="003670E2"/>
    <w:rsid w:val="0036794E"/>
    <w:rsid w:val="00370D88"/>
    <w:rsid w:val="00370ECD"/>
    <w:rsid w:val="00374690"/>
    <w:rsid w:val="003772ED"/>
    <w:rsid w:val="00377379"/>
    <w:rsid w:val="003804DE"/>
    <w:rsid w:val="0038146C"/>
    <w:rsid w:val="003819F9"/>
    <w:rsid w:val="00381A34"/>
    <w:rsid w:val="00381E85"/>
    <w:rsid w:val="00382609"/>
    <w:rsid w:val="003829A1"/>
    <w:rsid w:val="00384AC1"/>
    <w:rsid w:val="00384CC7"/>
    <w:rsid w:val="003851C2"/>
    <w:rsid w:val="00386124"/>
    <w:rsid w:val="003864D5"/>
    <w:rsid w:val="00386BF6"/>
    <w:rsid w:val="00387D0A"/>
    <w:rsid w:val="003902BF"/>
    <w:rsid w:val="00390339"/>
    <w:rsid w:val="00390567"/>
    <w:rsid w:val="00391849"/>
    <w:rsid w:val="003919F5"/>
    <w:rsid w:val="003934C9"/>
    <w:rsid w:val="0039354C"/>
    <w:rsid w:val="003935F7"/>
    <w:rsid w:val="00393996"/>
    <w:rsid w:val="00393A9F"/>
    <w:rsid w:val="003943D2"/>
    <w:rsid w:val="00394414"/>
    <w:rsid w:val="00394DC8"/>
    <w:rsid w:val="00396269"/>
    <w:rsid w:val="00396382"/>
    <w:rsid w:val="00396669"/>
    <w:rsid w:val="003966F6"/>
    <w:rsid w:val="0039677D"/>
    <w:rsid w:val="00396AAA"/>
    <w:rsid w:val="00397439"/>
    <w:rsid w:val="00397560"/>
    <w:rsid w:val="0039790F"/>
    <w:rsid w:val="00397E78"/>
    <w:rsid w:val="003A0339"/>
    <w:rsid w:val="003A0660"/>
    <w:rsid w:val="003A0CC2"/>
    <w:rsid w:val="003A0D52"/>
    <w:rsid w:val="003A0FB4"/>
    <w:rsid w:val="003A16C0"/>
    <w:rsid w:val="003A2ED1"/>
    <w:rsid w:val="003A3A60"/>
    <w:rsid w:val="003A3C67"/>
    <w:rsid w:val="003A4870"/>
    <w:rsid w:val="003A4C47"/>
    <w:rsid w:val="003A4FB3"/>
    <w:rsid w:val="003A56D7"/>
    <w:rsid w:val="003A6724"/>
    <w:rsid w:val="003A6E1A"/>
    <w:rsid w:val="003A77B0"/>
    <w:rsid w:val="003A7EEE"/>
    <w:rsid w:val="003B0BA1"/>
    <w:rsid w:val="003B1896"/>
    <w:rsid w:val="003B1EDB"/>
    <w:rsid w:val="003B392D"/>
    <w:rsid w:val="003B4104"/>
    <w:rsid w:val="003B4297"/>
    <w:rsid w:val="003B4599"/>
    <w:rsid w:val="003B4F23"/>
    <w:rsid w:val="003B4F39"/>
    <w:rsid w:val="003B61B7"/>
    <w:rsid w:val="003B6308"/>
    <w:rsid w:val="003B65C4"/>
    <w:rsid w:val="003B6BDF"/>
    <w:rsid w:val="003C00E0"/>
    <w:rsid w:val="003C030E"/>
    <w:rsid w:val="003C0AF9"/>
    <w:rsid w:val="003C1AE2"/>
    <w:rsid w:val="003C1EA1"/>
    <w:rsid w:val="003C2917"/>
    <w:rsid w:val="003C297F"/>
    <w:rsid w:val="003C312A"/>
    <w:rsid w:val="003C414A"/>
    <w:rsid w:val="003C42F9"/>
    <w:rsid w:val="003C4F8F"/>
    <w:rsid w:val="003C56F4"/>
    <w:rsid w:val="003C60C7"/>
    <w:rsid w:val="003C6B59"/>
    <w:rsid w:val="003D07CE"/>
    <w:rsid w:val="003D08C3"/>
    <w:rsid w:val="003D28E2"/>
    <w:rsid w:val="003D28FC"/>
    <w:rsid w:val="003D299E"/>
    <w:rsid w:val="003D3406"/>
    <w:rsid w:val="003D4962"/>
    <w:rsid w:val="003D55E1"/>
    <w:rsid w:val="003D568E"/>
    <w:rsid w:val="003D641A"/>
    <w:rsid w:val="003D7087"/>
    <w:rsid w:val="003D71EB"/>
    <w:rsid w:val="003D72D5"/>
    <w:rsid w:val="003E05FE"/>
    <w:rsid w:val="003E1390"/>
    <w:rsid w:val="003E1D14"/>
    <w:rsid w:val="003E1E32"/>
    <w:rsid w:val="003E22CB"/>
    <w:rsid w:val="003E2336"/>
    <w:rsid w:val="003E2343"/>
    <w:rsid w:val="003E2881"/>
    <w:rsid w:val="003E2B71"/>
    <w:rsid w:val="003E406B"/>
    <w:rsid w:val="003E4F96"/>
    <w:rsid w:val="003E5BCF"/>
    <w:rsid w:val="003E5CCA"/>
    <w:rsid w:val="003E7773"/>
    <w:rsid w:val="003F0744"/>
    <w:rsid w:val="003F0BA7"/>
    <w:rsid w:val="003F0FAB"/>
    <w:rsid w:val="003F115E"/>
    <w:rsid w:val="003F14C2"/>
    <w:rsid w:val="003F17BC"/>
    <w:rsid w:val="003F1BB5"/>
    <w:rsid w:val="003F1D93"/>
    <w:rsid w:val="003F2210"/>
    <w:rsid w:val="003F275D"/>
    <w:rsid w:val="003F2A3F"/>
    <w:rsid w:val="003F303E"/>
    <w:rsid w:val="003F30D1"/>
    <w:rsid w:val="003F3B87"/>
    <w:rsid w:val="003F3C71"/>
    <w:rsid w:val="003F535C"/>
    <w:rsid w:val="003F5E2D"/>
    <w:rsid w:val="003F6497"/>
    <w:rsid w:val="003F69A2"/>
    <w:rsid w:val="003F7196"/>
    <w:rsid w:val="003F7643"/>
    <w:rsid w:val="003F79C4"/>
    <w:rsid w:val="003F7BC9"/>
    <w:rsid w:val="003F7F36"/>
    <w:rsid w:val="004000B3"/>
    <w:rsid w:val="00400840"/>
    <w:rsid w:val="004008AF"/>
    <w:rsid w:val="00400B5F"/>
    <w:rsid w:val="00400EFB"/>
    <w:rsid w:val="004014E9"/>
    <w:rsid w:val="00401DBF"/>
    <w:rsid w:val="00401EFD"/>
    <w:rsid w:val="0040240C"/>
    <w:rsid w:val="004033D9"/>
    <w:rsid w:val="0040340C"/>
    <w:rsid w:val="00403466"/>
    <w:rsid w:val="00403C6E"/>
    <w:rsid w:val="00404055"/>
    <w:rsid w:val="00404A94"/>
    <w:rsid w:val="0040551F"/>
    <w:rsid w:val="00405E75"/>
    <w:rsid w:val="00406484"/>
    <w:rsid w:val="0040771F"/>
    <w:rsid w:val="00407BFE"/>
    <w:rsid w:val="00410518"/>
    <w:rsid w:val="004111F7"/>
    <w:rsid w:val="00411499"/>
    <w:rsid w:val="0041217D"/>
    <w:rsid w:val="004125C6"/>
    <w:rsid w:val="0041275F"/>
    <w:rsid w:val="00412BC6"/>
    <w:rsid w:val="004134C4"/>
    <w:rsid w:val="004136FA"/>
    <w:rsid w:val="0041374F"/>
    <w:rsid w:val="00413AF8"/>
    <w:rsid w:val="004143B6"/>
    <w:rsid w:val="00414548"/>
    <w:rsid w:val="00414F27"/>
    <w:rsid w:val="00415D60"/>
    <w:rsid w:val="00416B13"/>
    <w:rsid w:val="00417D5F"/>
    <w:rsid w:val="004210B2"/>
    <w:rsid w:val="00421207"/>
    <w:rsid w:val="00421796"/>
    <w:rsid w:val="00421A89"/>
    <w:rsid w:val="00421EBC"/>
    <w:rsid w:val="00422F0E"/>
    <w:rsid w:val="0042304B"/>
    <w:rsid w:val="0042351E"/>
    <w:rsid w:val="00424084"/>
    <w:rsid w:val="0042493E"/>
    <w:rsid w:val="00425BCA"/>
    <w:rsid w:val="00425E3D"/>
    <w:rsid w:val="004273AD"/>
    <w:rsid w:val="0042765F"/>
    <w:rsid w:val="00427972"/>
    <w:rsid w:val="004305AE"/>
    <w:rsid w:val="00431800"/>
    <w:rsid w:val="00431E1E"/>
    <w:rsid w:val="0043238D"/>
    <w:rsid w:val="004330EB"/>
    <w:rsid w:val="00433541"/>
    <w:rsid w:val="004357B2"/>
    <w:rsid w:val="00435E42"/>
    <w:rsid w:val="00435FF9"/>
    <w:rsid w:val="00436066"/>
    <w:rsid w:val="00436514"/>
    <w:rsid w:val="00437186"/>
    <w:rsid w:val="00437CD9"/>
    <w:rsid w:val="00440403"/>
    <w:rsid w:val="00441054"/>
    <w:rsid w:val="004423F7"/>
    <w:rsid w:val="004428B4"/>
    <w:rsid w:val="00442A49"/>
    <w:rsid w:val="004437A5"/>
    <w:rsid w:val="0044451E"/>
    <w:rsid w:val="004447A8"/>
    <w:rsid w:val="00444BEA"/>
    <w:rsid w:val="00445011"/>
    <w:rsid w:val="00446711"/>
    <w:rsid w:val="0044690B"/>
    <w:rsid w:val="00446BBE"/>
    <w:rsid w:val="0044708D"/>
    <w:rsid w:val="00447755"/>
    <w:rsid w:val="0044782C"/>
    <w:rsid w:val="0045093D"/>
    <w:rsid w:val="00451645"/>
    <w:rsid w:val="0045254D"/>
    <w:rsid w:val="00452685"/>
    <w:rsid w:val="004526DC"/>
    <w:rsid w:val="004538D6"/>
    <w:rsid w:val="00453F89"/>
    <w:rsid w:val="00453FF0"/>
    <w:rsid w:val="004548C6"/>
    <w:rsid w:val="00454BB2"/>
    <w:rsid w:val="00454F8E"/>
    <w:rsid w:val="004555F1"/>
    <w:rsid w:val="00455D1C"/>
    <w:rsid w:val="00455E1A"/>
    <w:rsid w:val="0045709F"/>
    <w:rsid w:val="00457636"/>
    <w:rsid w:val="004620DD"/>
    <w:rsid w:val="00462778"/>
    <w:rsid w:val="004630EA"/>
    <w:rsid w:val="00463485"/>
    <w:rsid w:val="00464C98"/>
    <w:rsid w:val="00464F6C"/>
    <w:rsid w:val="0046534E"/>
    <w:rsid w:val="00465D8E"/>
    <w:rsid w:val="004662A7"/>
    <w:rsid w:val="004664AF"/>
    <w:rsid w:val="00466B6D"/>
    <w:rsid w:val="0046731E"/>
    <w:rsid w:val="00467A37"/>
    <w:rsid w:val="00467F17"/>
    <w:rsid w:val="00470B80"/>
    <w:rsid w:val="00471355"/>
    <w:rsid w:val="00471BCD"/>
    <w:rsid w:val="00471D0D"/>
    <w:rsid w:val="00471F4F"/>
    <w:rsid w:val="0047246B"/>
    <w:rsid w:val="00472956"/>
    <w:rsid w:val="00472E14"/>
    <w:rsid w:val="00473F8F"/>
    <w:rsid w:val="00474E01"/>
    <w:rsid w:val="00476B1D"/>
    <w:rsid w:val="004770FD"/>
    <w:rsid w:val="00477C8D"/>
    <w:rsid w:val="00480BD4"/>
    <w:rsid w:val="00481BD8"/>
    <w:rsid w:val="00482042"/>
    <w:rsid w:val="00482804"/>
    <w:rsid w:val="00482B47"/>
    <w:rsid w:val="0048323E"/>
    <w:rsid w:val="004833D8"/>
    <w:rsid w:val="004844E7"/>
    <w:rsid w:val="004848E0"/>
    <w:rsid w:val="00484DC5"/>
    <w:rsid w:val="00485675"/>
    <w:rsid w:val="00485EE3"/>
    <w:rsid w:val="004873EA"/>
    <w:rsid w:val="00487C85"/>
    <w:rsid w:val="00487FA5"/>
    <w:rsid w:val="00490210"/>
    <w:rsid w:val="00490DC4"/>
    <w:rsid w:val="004916AA"/>
    <w:rsid w:val="00493863"/>
    <w:rsid w:val="00493A37"/>
    <w:rsid w:val="0049455E"/>
    <w:rsid w:val="00494F64"/>
    <w:rsid w:val="0049609A"/>
    <w:rsid w:val="004966B8"/>
    <w:rsid w:val="00496F9C"/>
    <w:rsid w:val="004978BD"/>
    <w:rsid w:val="00497A74"/>
    <w:rsid w:val="00497B9F"/>
    <w:rsid w:val="004A16AC"/>
    <w:rsid w:val="004A1932"/>
    <w:rsid w:val="004A1B87"/>
    <w:rsid w:val="004A2084"/>
    <w:rsid w:val="004A2469"/>
    <w:rsid w:val="004A3356"/>
    <w:rsid w:val="004A3A90"/>
    <w:rsid w:val="004A4430"/>
    <w:rsid w:val="004A4FDF"/>
    <w:rsid w:val="004A5489"/>
    <w:rsid w:val="004A55DC"/>
    <w:rsid w:val="004A5E73"/>
    <w:rsid w:val="004A6394"/>
    <w:rsid w:val="004A6579"/>
    <w:rsid w:val="004A67E5"/>
    <w:rsid w:val="004A71A9"/>
    <w:rsid w:val="004A74C9"/>
    <w:rsid w:val="004A7A52"/>
    <w:rsid w:val="004B19FE"/>
    <w:rsid w:val="004B1E16"/>
    <w:rsid w:val="004B258E"/>
    <w:rsid w:val="004B2A4D"/>
    <w:rsid w:val="004B2F45"/>
    <w:rsid w:val="004B33C2"/>
    <w:rsid w:val="004B4214"/>
    <w:rsid w:val="004B4E14"/>
    <w:rsid w:val="004B5057"/>
    <w:rsid w:val="004B59EC"/>
    <w:rsid w:val="004B5F59"/>
    <w:rsid w:val="004B689D"/>
    <w:rsid w:val="004C0A51"/>
    <w:rsid w:val="004C0E97"/>
    <w:rsid w:val="004C1C88"/>
    <w:rsid w:val="004C2CF1"/>
    <w:rsid w:val="004C4712"/>
    <w:rsid w:val="004C48C8"/>
    <w:rsid w:val="004C598D"/>
    <w:rsid w:val="004C6350"/>
    <w:rsid w:val="004C67C2"/>
    <w:rsid w:val="004C7004"/>
    <w:rsid w:val="004C729B"/>
    <w:rsid w:val="004D064E"/>
    <w:rsid w:val="004D0842"/>
    <w:rsid w:val="004D09B7"/>
    <w:rsid w:val="004D0BED"/>
    <w:rsid w:val="004D0C7A"/>
    <w:rsid w:val="004D2863"/>
    <w:rsid w:val="004D2DD3"/>
    <w:rsid w:val="004D3897"/>
    <w:rsid w:val="004D4425"/>
    <w:rsid w:val="004D5224"/>
    <w:rsid w:val="004D62CF"/>
    <w:rsid w:val="004D725B"/>
    <w:rsid w:val="004D7436"/>
    <w:rsid w:val="004E0422"/>
    <w:rsid w:val="004E0656"/>
    <w:rsid w:val="004E0657"/>
    <w:rsid w:val="004E0A6D"/>
    <w:rsid w:val="004E10FA"/>
    <w:rsid w:val="004E2144"/>
    <w:rsid w:val="004E2167"/>
    <w:rsid w:val="004E2BD6"/>
    <w:rsid w:val="004E385E"/>
    <w:rsid w:val="004E39C8"/>
    <w:rsid w:val="004E5902"/>
    <w:rsid w:val="004E65D7"/>
    <w:rsid w:val="004E68CF"/>
    <w:rsid w:val="004E6961"/>
    <w:rsid w:val="004E69D8"/>
    <w:rsid w:val="004E6E96"/>
    <w:rsid w:val="004F0ACE"/>
    <w:rsid w:val="004F1C5C"/>
    <w:rsid w:val="004F1EE3"/>
    <w:rsid w:val="004F3C90"/>
    <w:rsid w:val="004F3E80"/>
    <w:rsid w:val="004F4556"/>
    <w:rsid w:val="004F4EFC"/>
    <w:rsid w:val="004F53CC"/>
    <w:rsid w:val="004F69BD"/>
    <w:rsid w:val="004F6AD3"/>
    <w:rsid w:val="004F7CFD"/>
    <w:rsid w:val="00501386"/>
    <w:rsid w:val="00501624"/>
    <w:rsid w:val="00501BD9"/>
    <w:rsid w:val="00501C25"/>
    <w:rsid w:val="0050225B"/>
    <w:rsid w:val="005022BE"/>
    <w:rsid w:val="005026E1"/>
    <w:rsid w:val="005027A6"/>
    <w:rsid w:val="00502871"/>
    <w:rsid w:val="00502DAE"/>
    <w:rsid w:val="00502F94"/>
    <w:rsid w:val="00502FFB"/>
    <w:rsid w:val="005038A0"/>
    <w:rsid w:val="00503B26"/>
    <w:rsid w:val="00503FF7"/>
    <w:rsid w:val="00504075"/>
    <w:rsid w:val="00504A82"/>
    <w:rsid w:val="005050D1"/>
    <w:rsid w:val="0050550E"/>
    <w:rsid w:val="00505823"/>
    <w:rsid w:val="00505E19"/>
    <w:rsid w:val="00506639"/>
    <w:rsid w:val="00506893"/>
    <w:rsid w:val="00507280"/>
    <w:rsid w:val="005076C2"/>
    <w:rsid w:val="0051010E"/>
    <w:rsid w:val="005103C5"/>
    <w:rsid w:val="005109D0"/>
    <w:rsid w:val="00510BF8"/>
    <w:rsid w:val="00510DC2"/>
    <w:rsid w:val="00511F1C"/>
    <w:rsid w:val="00512321"/>
    <w:rsid w:val="005131D3"/>
    <w:rsid w:val="0051352C"/>
    <w:rsid w:val="00514A76"/>
    <w:rsid w:val="00514B5D"/>
    <w:rsid w:val="00514DD0"/>
    <w:rsid w:val="00514FC2"/>
    <w:rsid w:val="00515075"/>
    <w:rsid w:val="00515BFA"/>
    <w:rsid w:val="00515FF1"/>
    <w:rsid w:val="00516AA5"/>
    <w:rsid w:val="0051705E"/>
    <w:rsid w:val="0051705F"/>
    <w:rsid w:val="00517101"/>
    <w:rsid w:val="00517709"/>
    <w:rsid w:val="00517A86"/>
    <w:rsid w:val="00517F01"/>
    <w:rsid w:val="005215B1"/>
    <w:rsid w:val="00522149"/>
    <w:rsid w:val="005228BC"/>
    <w:rsid w:val="00522D67"/>
    <w:rsid w:val="00522FA8"/>
    <w:rsid w:val="0052349D"/>
    <w:rsid w:val="0052371A"/>
    <w:rsid w:val="00524000"/>
    <w:rsid w:val="005242F6"/>
    <w:rsid w:val="00524BE8"/>
    <w:rsid w:val="0052575D"/>
    <w:rsid w:val="00525928"/>
    <w:rsid w:val="00526116"/>
    <w:rsid w:val="0052634E"/>
    <w:rsid w:val="005263CF"/>
    <w:rsid w:val="00526A1A"/>
    <w:rsid w:val="00526AEC"/>
    <w:rsid w:val="00526C92"/>
    <w:rsid w:val="005275FC"/>
    <w:rsid w:val="0052768C"/>
    <w:rsid w:val="0052770B"/>
    <w:rsid w:val="00527C29"/>
    <w:rsid w:val="00530349"/>
    <w:rsid w:val="00530896"/>
    <w:rsid w:val="005310AF"/>
    <w:rsid w:val="00531250"/>
    <w:rsid w:val="0053182A"/>
    <w:rsid w:val="005320F5"/>
    <w:rsid w:val="0053260A"/>
    <w:rsid w:val="005342C3"/>
    <w:rsid w:val="00534350"/>
    <w:rsid w:val="00535639"/>
    <w:rsid w:val="005362F5"/>
    <w:rsid w:val="005368F1"/>
    <w:rsid w:val="0053725B"/>
    <w:rsid w:val="00537927"/>
    <w:rsid w:val="00540895"/>
    <w:rsid w:val="00540C57"/>
    <w:rsid w:val="00540DB6"/>
    <w:rsid w:val="00542D4C"/>
    <w:rsid w:val="00544AB2"/>
    <w:rsid w:val="00544E02"/>
    <w:rsid w:val="0054533C"/>
    <w:rsid w:val="00545BBF"/>
    <w:rsid w:val="00545F5B"/>
    <w:rsid w:val="005460A7"/>
    <w:rsid w:val="0054745A"/>
    <w:rsid w:val="005474C3"/>
    <w:rsid w:val="00547BE2"/>
    <w:rsid w:val="00547C2C"/>
    <w:rsid w:val="00547F9F"/>
    <w:rsid w:val="00552FE2"/>
    <w:rsid w:val="005531BD"/>
    <w:rsid w:val="00553640"/>
    <w:rsid w:val="00554500"/>
    <w:rsid w:val="00554CD8"/>
    <w:rsid w:val="005567B2"/>
    <w:rsid w:val="005569A8"/>
    <w:rsid w:val="00556B35"/>
    <w:rsid w:val="00557324"/>
    <w:rsid w:val="005573F2"/>
    <w:rsid w:val="00557870"/>
    <w:rsid w:val="00557A3B"/>
    <w:rsid w:val="00560198"/>
    <w:rsid w:val="00560277"/>
    <w:rsid w:val="00560938"/>
    <w:rsid w:val="00560AF1"/>
    <w:rsid w:val="00561562"/>
    <w:rsid w:val="00561C8A"/>
    <w:rsid w:val="0056270F"/>
    <w:rsid w:val="00562955"/>
    <w:rsid w:val="0056299A"/>
    <w:rsid w:val="005631C4"/>
    <w:rsid w:val="005634EE"/>
    <w:rsid w:val="00563DE6"/>
    <w:rsid w:val="0056528D"/>
    <w:rsid w:val="00565424"/>
    <w:rsid w:val="00565DB5"/>
    <w:rsid w:val="00565E60"/>
    <w:rsid w:val="0056628B"/>
    <w:rsid w:val="00566298"/>
    <w:rsid w:val="00566D51"/>
    <w:rsid w:val="00570155"/>
    <w:rsid w:val="005706B4"/>
    <w:rsid w:val="00570853"/>
    <w:rsid w:val="0057091E"/>
    <w:rsid w:val="0057183C"/>
    <w:rsid w:val="005723D6"/>
    <w:rsid w:val="00572F91"/>
    <w:rsid w:val="0057466D"/>
    <w:rsid w:val="00574722"/>
    <w:rsid w:val="00574A6E"/>
    <w:rsid w:val="00574E0D"/>
    <w:rsid w:val="00575CA5"/>
    <w:rsid w:val="005766BD"/>
    <w:rsid w:val="005769A1"/>
    <w:rsid w:val="00577145"/>
    <w:rsid w:val="005773BE"/>
    <w:rsid w:val="00577FC3"/>
    <w:rsid w:val="00582365"/>
    <w:rsid w:val="00582718"/>
    <w:rsid w:val="00582AD9"/>
    <w:rsid w:val="00583120"/>
    <w:rsid w:val="00583E95"/>
    <w:rsid w:val="00585C1B"/>
    <w:rsid w:val="005871CD"/>
    <w:rsid w:val="00587639"/>
    <w:rsid w:val="0059028F"/>
    <w:rsid w:val="005906C5"/>
    <w:rsid w:val="00592638"/>
    <w:rsid w:val="00593138"/>
    <w:rsid w:val="005933C0"/>
    <w:rsid w:val="00593A33"/>
    <w:rsid w:val="00594022"/>
    <w:rsid w:val="0059431B"/>
    <w:rsid w:val="005946C9"/>
    <w:rsid w:val="005947B5"/>
    <w:rsid w:val="00594CF9"/>
    <w:rsid w:val="005952AF"/>
    <w:rsid w:val="005957D2"/>
    <w:rsid w:val="005960BB"/>
    <w:rsid w:val="00596325"/>
    <w:rsid w:val="0059665E"/>
    <w:rsid w:val="00597407"/>
    <w:rsid w:val="00597AFE"/>
    <w:rsid w:val="00597D4C"/>
    <w:rsid w:val="00597EC6"/>
    <w:rsid w:val="005A0496"/>
    <w:rsid w:val="005A07F7"/>
    <w:rsid w:val="005A1768"/>
    <w:rsid w:val="005A1E11"/>
    <w:rsid w:val="005A4047"/>
    <w:rsid w:val="005A4384"/>
    <w:rsid w:val="005A4504"/>
    <w:rsid w:val="005A5C57"/>
    <w:rsid w:val="005A6C47"/>
    <w:rsid w:val="005A7012"/>
    <w:rsid w:val="005A7A5E"/>
    <w:rsid w:val="005B1551"/>
    <w:rsid w:val="005B1654"/>
    <w:rsid w:val="005B1C07"/>
    <w:rsid w:val="005B2324"/>
    <w:rsid w:val="005B3307"/>
    <w:rsid w:val="005B3432"/>
    <w:rsid w:val="005B39CA"/>
    <w:rsid w:val="005B3BD6"/>
    <w:rsid w:val="005B42A5"/>
    <w:rsid w:val="005B5152"/>
    <w:rsid w:val="005B6C39"/>
    <w:rsid w:val="005B6E12"/>
    <w:rsid w:val="005B774E"/>
    <w:rsid w:val="005B7D6C"/>
    <w:rsid w:val="005B7D8C"/>
    <w:rsid w:val="005B7F5F"/>
    <w:rsid w:val="005C2497"/>
    <w:rsid w:val="005C2782"/>
    <w:rsid w:val="005C3F2B"/>
    <w:rsid w:val="005C4814"/>
    <w:rsid w:val="005C5592"/>
    <w:rsid w:val="005C6A54"/>
    <w:rsid w:val="005C7215"/>
    <w:rsid w:val="005C73C4"/>
    <w:rsid w:val="005D00EA"/>
    <w:rsid w:val="005D023B"/>
    <w:rsid w:val="005D02C4"/>
    <w:rsid w:val="005D1361"/>
    <w:rsid w:val="005D13C4"/>
    <w:rsid w:val="005D19C8"/>
    <w:rsid w:val="005D2304"/>
    <w:rsid w:val="005D2A26"/>
    <w:rsid w:val="005D3666"/>
    <w:rsid w:val="005D3A04"/>
    <w:rsid w:val="005D48FE"/>
    <w:rsid w:val="005D4999"/>
    <w:rsid w:val="005D53B4"/>
    <w:rsid w:val="005D60C2"/>
    <w:rsid w:val="005D6147"/>
    <w:rsid w:val="005D6EB2"/>
    <w:rsid w:val="005D7471"/>
    <w:rsid w:val="005D749D"/>
    <w:rsid w:val="005E0A28"/>
    <w:rsid w:val="005E0B46"/>
    <w:rsid w:val="005E0D41"/>
    <w:rsid w:val="005E1D0B"/>
    <w:rsid w:val="005E2702"/>
    <w:rsid w:val="005E2772"/>
    <w:rsid w:val="005E32F0"/>
    <w:rsid w:val="005E3AEA"/>
    <w:rsid w:val="005E4C57"/>
    <w:rsid w:val="005E579C"/>
    <w:rsid w:val="005E5874"/>
    <w:rsid w:val="005E59D7"/>
    <w:rsid w:val="005E5B8E"/>
    <w:rsid w:val="005E6C9C"/>
    <w:rsid w:val="005E6D64"/>
    <w:rsid w:val="005E6F60"/>
    <w:rsid w:val="005E75AC"/>
    <w:rsid w:val="005E75D5"/>
    <w:rsid w:val="005F0694"/>
    <w:rsid w:val="005F0F2B"/>
    <w:rsid w:val="005F0F64"/>
    <w:rsid w:val="005F1555"/>
    <w:rsid w:val="005F2978"/>
    <w:rsid w:val="005F2DCB"/>
    <w:rsid w:val="005F4721"/>
    <w:rsid w:val="005F4BC7"/>
    <w:rsid w:val="005F50AA"/>
    <w:rsid w:val="005F6280"/>
    <w:rsid w:val="005F6E5A"/>
    <w:rsid w:val="005F720A"/>
    <w:rsid w:val="005F7318"/>
    <w:rsid w:val="005F7DDD"/>
    <w:rsid w:val="0060012D"/>
    <w:rsid w:val="00600E86"/>
    <w:rsid w:val="00601973"/>
    <w:rsid w:val="00601B2D"/>
    <w:rsid w:val="006023BF"/>
    <w:rsid w:val="00602D37"/>
    <w:rsid w:val="00602F43"/>
    <w:rsid w:val="00602F85"/>
    <w:rsid w:val="0060389C"/>
    <w:rsid w:val="00603B08"/>
    <w:rsid w:val="006042AB"/>
    <w:rsid w:val="006048D7"/>
    <w:rsid w:val="006050B6"/>
    <w:rsid w:val="00605100"/>
    <w:rsid w:val="00605776"/>
    <w:rsid w:val="0060758D"/>
    <w:rsid w:val="00607927"/>
    <w:rsid w:val="00610162"/>
    <w:rsid w:val="006107A7"/>
    <w:rsid w:val="006107BF"/>
    <w:rsid w:val="00610ABA"/>
    <w:rsid w:val="00611282"/>
    <w:rsid w:val="00611B17"/>
    <w:rsid w:val="00611BBB"/>
    <w:rsid w:val="00611DA6"/>
    <w:rsid w:val="00612126"/>
    <w:rsid w:val="006125FF"/>
    <w:rsid w:val="006129DC"/>
    <w:rsid w:val="00612D91"/>
    <w:rsid w:val="00613037"/>
    <w:rsid w:val="006135AB"/>
    <w:rsid w:val="006138E4"/>
    <w:rsid w:val="00614143"/>
    <w:rsid w:val="0061417F"/>
    <w:rsid w:val="006144BC"/>
    <w:rsid w:val="006144F6"/>
    <w:rsid w:val="00614642"/>
    <w:rsid w:val="00614C0F"/>
    <w:rsid w:val="00614F0D"/>
    <w:rsid w:val="006156B6"/>
    <w:rsid w:val="00615825"/>
    <w:rsid w:val="006161F7"/>
    <w:rsid w:val="00616200"/>
    <w:rsid w:val="0061625B"/>
    <w:rsid w:val="00616407"/>
    <w:rsid w:val="006168DD"/>
    <w:rsid w:val="0061774B"/>
    <w:rsid w:val="0061793C"/>
    <w:rsid w:val="0062045C"/>
    <w:rsid w:val="00620653"/>
    <w:rsid w:val="00620E5A"/>
    <w:rsid w:val="00621EB6"/>
    <w:rsid w:val="00622046"/>
    <w:rsid w:val="006235B5"/>
    <w:rsid w:val="00623A6A"/>
    <w:rsid w:val="00623DC3"/>
    <w:rsid w:val="00624600"/>
    <w:rsid w:val="006250E9"/>
    <w:rsid w:val="00625448"/>
    <w:rsid w:val="0062582E"/>
    <w:rsid w:val="0062586E"/>
    <w:rsid w:val="006269D7"/>
    <w:rsid w:val="0062735C"/>
    <w:rsid w:val="00627B9A"/>
    <w:rsid w:val="006300D8"/>
    <w:rsid w:val="0063122D"/>
    <w:rsid w:val="0063295A"/>
    <w:rsid w:val="006329A8"/>
    <w:rsid w:val="006334DB"/>
    <w:rsid w:val="00633B2F"/>
    <w:rsid w:val="00634328"/>
    <w:rsid w:val="0063450D"/>
    <w:rsid w:val="00635072"/>
    <w:rsid w:val="00636CAB"/>
    <w:rsid w:val="006370B7"/>
    <w:rsid w:val="0063738A"/>
    <w:rsid w:val="006374D6"/>
    <w:rsid w:val="00637AAC"/>
    <w:rsid w:val="00637ADC"/>
    <w:rsid w:val="00640C31"/>
    <w:rsid w:val="006416C2"/>
    <w:rsid w:val="00643226"/>
    <w:rsid w:val="006433AC"/>
    <w:rsid w:val="00643B88"/>
    <w:rsid w:val="00643E5A"/>
    <w:rsid w:val="006457F2"/>
    <w:rsid w:val="006459EF"/>
    <w:rsid w:val="006465F3"/>
    <w:rsid w:val="00647160"/>
    <w:rsid w:val="006472F0"/>
    <w:rsid w:val="0064731E"/>
    <w:rsid w:val="00647C5A"/>
    <w:rsid w:val="0065022D"/>
    <w:rsid w:val="006508B1"/>
    <w:rsid w:val="0065160E"/>
    <w:rsid w:val="00651F1D"/>
    <w:rsid w:val="0065268D"/>
    <w:rsid w:val="00652E2F"/>
    <w:rsid w:val="006530BE"/>
    <w:rsid w:val="006534BF"/>
    <w:rsid w:val="006537D7"/>
    <w:rsid w:val="00653DAB"/>
    <w:rsid w:val="006541E3"/>
    <w:rsid w:val="0065444A"/>
    <w:rsid w:val="0065489B"/>
    <w:rsid w:val="00654F68"/>
    <w:rsid w:val="00655AEE"/>
    <w:rsid w:val="00655CF9"/>
    <w:rsid w:val="00655D45"/>
    <w:rsid w:val="006567CE"/>
    <w:rsid w:val="0065714C"/>
    <w:rsid w:val="006574ED"/>
    <w:rsid w:val="00657912"/>
    <w:rsid w:val="00660A74"/>
    <w:rsid w:val="00661374"/>
    <w:rsid w:val="00662E5F"/>
    <w:rsid w:val="0066312B"/>
    <w:rsid w:val="006631CD"/>
    <w:rsid w:val="00663943"/>
    <w:rsid w:val="00664434"/>
    <w:rsid w:val="0066561F"/>
    <w:rsid w:val="00665ACD"/>
    <w:rsid w:val="006660F1"/>
    <w:rsid w:val="00666A58"/>
    <w:rsid w:val="00666C35"/>
    <w:rsid w:val="00666DB8"/>
    <w:rsid w:val="006670E1"/>
    <w:rsid w:val="006672E5"/>
    <w:rsid w:val="0066773D"/>
    <w:rsid w:val="00667895"/>
    <w:rsid w:val="00667CAC"/>
    <w:rsid w:val="00670650"/>
    <w:rsid w:val="00670A0A"/>
    <w:rsid w:val="00670C57"/>
    <w:rsid w:val="00670E4F"/>
    <w:rsid w:val="0067113D"/>
    <w:rsid w:val="006712C0"/>
    <w:rsid w:val="00671B59"/>
    <w:rsid w:val="0067260B"/>
    <w:rsid w:val="0067291A"/>
    <w:rsid w:val="006734A4"/>
    <w:rsid w:val="006735D8"/>
    <w:rsid w:val="00674248"/>
    <w:rsid w:val="006744AC"/>
    <w:rsid w:val="00674AB9"/>
    <w:rsid w:val="00674C7D"/>
    <w:rsid w:val="006757CA"/>
    <w:rsid w:val="00676C46"/>
    <w:rsid w:val="00677194"/>
    <w:rsid w:val="00680256"/>
    <w:rsid w:val="006806C5"/>
    <w:rsid w:val="00680B40"/>
    <w:rsid w:val="00680C8F"/>
    <w:rsid w:val="00680FE9"/>
    <w:rsid w:val="00681EC9"/>
    <w:rsid w:val="006822FA"/>
    <w:rsid w:val="00682832"/>
    <w:rsid w:val="0068288C"/>
    <w:rsid w:val="00682AA1"/>
    <w:rsid w:val="00682EF4"/>
    <w:rsid w:val="00683713"/>
    <w:rsid w:val="00683CBD"/>
    <w:rsid w:val="00683CC9"/>
    <w:rsid w:val="00683F36"/>
    <w:rsid w:val="00684C01"/>
    <w:rsid w:val="00684DE2"/>
    <w:rsid w:val="00685589"/>
    <w:rsid w:val="0068682C"/>
    <w:rsid w:val="00687780"/>
    <w:rsid w:val="00687B5F"/>
    <w:rsid w:val="00687CE7"/>
    <w:rsid w:val="00687CEB"/>
    <w:rsid w:val="00690163"/>
    <w:rsid w:val="006902C6"/>
    <w:rsid w:val="00690AC6"/>
    <w:rsid w:val="00690E21"/>
    <w:rsid w:val="006938AA"/>
    <w:rsid w:val="00693F84"/>
    <w:rsid w:val="00694304"/>
    <w:rsid w:val="0069474B"/>
    <w:rsid w:val="0069475D"/>
    <w:rsid w:val="006951EC"/>
    <w:rsid w:val="006956EA"/>
    <w:rsid w:val="006967B7"/>
    <w:rsid w:val="0069739A"/>
    <w:rsid w:val="00697966"/>
    <w:rsid w:val="006A1B43"/>
    <w:rsid w:val="006A1F87"/>
    <w:rsid w:val="006A3116"/>
    <w:rsid w:val="006A3185"/>
    <w:rsid w:val="006A3A2B"/>
    <w:rsid w:val="006A627A"/>
    <w:rsid w:val="006A6BF1"/>
    <w:rsid w:val="006A6CF1"/>
    <w:rsid w:val="006A6F92"/>
    <w:rsid w:val="006A74E3"/>
    <w:rsid w:val="006A75CA"/>
    <w:rsid w:val="006A7626"/>
    <w:rsid w:val="006A79A6"/>
    <w:rsid w:val="006B0293"/>
    <w:rsid w:val="006B10A7"/>
    <w:rsid w:val="006B1493"/>
    <w:rsid w:val="006B188A"/>
    <w:rsid w:val="006B3032"/>
    <w:rsid w:val="006B309F"/>
    <w:rsid w:val="006B31B2"/>
    <w:rsid w:val="006B398C"/>
    <w:rsid w:val="006B4B4A"/>
    <w:rsid w:val="006B4DCA"/>
    <w:rsid w:val="006B57AB"/>
    <w:rsid w:val="006B5994"/>
    <w:rsid w:val="006B5D46"/>
    <w:rsid w:val="006B61D6"/>
    <w:rsid w:val="006B65E9"/>
    <w:rsid w:val="006B6CE3"/>
    <w:rsid w:val="006B7258"/>
    <w:rsid w:val="006B758C"/>
    <w:rsid w:val="006B75C6"/>
    <w:rsid w:val="006B77C1"/>
    <w:rsid w:val="006C09EA"/>
    <w:rsid w:val="006C1857"/>
    <w:rsid w:val="006C1AF4"/>
    <w:rsid w:val="006C249C"/>
    <w:rsid w:val="006C2E5A"/>
    <w:rsid w:val="006C2E97"/>
    <w:rsid w:val="006C32B4"/>
    <w:rsid w:val="006C354C"/>
    <w:rsid w:val="006C3868"/>
    <w:rsid w:val="006C3B76"/>
    <w:rsid w:val="006C4572"/>
    <w:rsid w:val="006C4AD4"/>
    <w:rsid w:val="006C4D49"/>
    <w:rsid w:val="006C4FE9"/>
    <w:rsid w:val="006C5F26"/>
    <w:rsid w:val="006C7283"/>
    <w:rsid w:val="006C7A97"/>
    <w:rsid w:val="006C7B03"/>
    <w:rsid w:val="006C7BB7"/>
    <w:rsid w:val="006C7DC4"/>
    <w:rsid w:val="006D04B5"/>
    <w:rsid w:val="006D0EC2"/>
    <w:rsid w:val="006D2064"/>
    <w:rsid w:val="006D24EA"/>
    <w:rsid w:val="006D2D7C"/>
    <w:rsid w:val="006D47D5"/>
    <w:rsid w:val="006D4C72"/>
    <w:rsid w:val="006D4E4C"/>
    <w:rsid w:val="006D5585"/>
    <w:rsid w:val="006D5F76"/>
    <w:rsid w:val="006D6D96"/>
    <w:rsid w:val="006D7211"/>
    <w:rsid w:val="006D74E0"/>
    <w:rsid w:val="006D75C8"/>
    <w:rsid w:val="006D7BB3"/>
    <w:rsid w:val="006E00E8"/>
    <w:rsid w:val="006E0DCF"/>
    <w:rsid w:val="006E111F"/>
    <w:rsid w:val="006E1BFD"/>
    <w:rsid w:val="006E1DD4"/>
    <w:rsid w:val="006E1FB5"/>
    <w:rsid w:val="006E2D94"/>
    <w:rsid w:val="006E33A6"/>
    <w:rsid w:val="006E3C10"/>
    <w:rsid w:val="006E3E73"/>
    <w:rsid w:val="006E4940"/>
    <w:rsid w:val="006E49D7"/>
    <w:rsid w:val="006E4E37"/>
    <w:rsid w:val="006E57A9"/>
    <w:rsid w:val="006E5EF6"/>
    <w:rsid w:val="006E60A0"/>
    <w:rsid w:val="006E635E"/>
    <w:rsid w:val="006E64A3"/>
    <w:rsid w:val="006E73E1"/>
    <w:rsid w:val="006E7406"/>
    <w:rsid w:val="006E7877"/>
    <w:rsid w:val="006F002F"/>
    <w:rsid w:val="006F0D46"/>
    <w:rsid w:val="006F0E56"/>
    <w:rsid w:val="006F14F9"/>
    <w:rsid w:val="006F23DD"/>
    <w:rsid w:val="006F364A"/>
    <w:rsid w:val="006F3AFF"/>
    <w:rsid w:val="006F47C5"/>
    <w:rsid w:val="006F48C2"/>
    <w:rsid w:val="006F5158"/>
    <w:rsid w:val="006F7B02"/>
    <w:rsid w:val="00700950"/>
    <w:rsid w:val="00701136"/>
    <w:rsid w:val="007013B7"/>
    <w:rsid w:val="007016E4"/>
    <w:rsid w:val="007017A2"/>
    <w:rsid w:val="0070184D"/>
    <w:rsid w:val="00701B76"/>
    <w:rsid w:val="0070319A"/>
    <w:rsid w:val="0070381F"/>
    <w:rsid w:val="00703CB4"/>
    <w:rsid w:val="00703F62"/>
    <w:rsid w:val="007053E6"/>
    <w:rsid w:val="00705FC8"/>
    <w:rsid w:val="00706905"/>
    <w:rsid w:val="00707463"/>
    <w:rsid w:val="00707767"/>
    <w:rsid w:val="007078F7"/>
    <w:rsid w:val="00707C18"/>
    <w:rsid w:val="007103A9"/>
    <w:rsid w:val="00710B2E"/>
    <w:rsid w:val="00710D3A"/>
    <w:rsid w:val="007133D5"/>
    <w:rsid w:val="00713574"/>
    <w:rsid w:val="0071401E"/>
    <w:rsid w:val="00716425"/>
    <w:rsid w:val="00716AD2"/>
    <w:rsid w:val="00716EFC"/>
    <w:rsid w:val="007203CA"/>
    <w:rsid w:val="00720B43"/>
    <w:rsid w:val="00721998"/>
    <w:rsid w:val="0072231F"/>
    <w:rsid w:val="00722659"/>
    <w:rsid w:val="007226F5"/>
    <w:rsid w:val="00722797"/>
    <w:rsid w:val="00723004"/>
    <w:rsid w:val="007234AA"/>
    <w:rsid w:val="00723892"/>
    <w:rsid w:val="007239A1"/>
    <w:rsid w:val="00723B2C"/>
    <w:rsid w:val="0072407A"/>
    <w:rsid w:val="00724162"/>
    <w:rsid w:val="00724ACD"/>
    <w:rsid w:val="00724ED0"/>
    <w:rsid w:val="00724F92"/>
    <w:rsid w:val="00725133"/>
    <w:rsid w:val="0072531A"/>
    <w:rsid w:val="007253D6"/>
    <w:rsid w:val="0072578A"/>
    <w:rsid w:val="0072597A"/>
    <w:rsid w:val="00725B1F"/>
    <w:rsid w:val="00725B2A"/>
    <w:rsid w:val="00726403"/>
    <w:rsid w:val="00726B9E"/>
    <w:rsid w:val="00727864"/>
    <w:rsid w:val="00732959"/>
    <w:rsid w:val="00732DDE"/>
    <w:rsid w:val="00733002"/>
    <w:rsid w:val="00733E25"/>
    <w:rsid w:val="00733ED9"/>
    <w:rsid w:val="007346CE"/>
    <w:rsid w:val="00735119"/>
    <w:rsid w:val="0073596B"/>
    <w:rsid w:val="007366DE"/>
    <w:rsid w:val="00736EC8"/>
    <w:rsid w:val="00737205"/>
    <w:rsid w:val="0073792C"/>
    <w:rsid w:val="00737EB5"/>
    <w:rsid w:val="00740ECB"/>
    <w:rsid w:val="007419AE"/>
    <w:rsid w:val="0074257A"/>
    <w:rsid w:val="007427DF"/>
    <w:rsid w:val="00742E38"/>
    <w:rsid w:val="007430AB"/>
    <w:rsid w:val="007435C4"/>
    <w:rsid w:val="00744304"/>
    <w:rsid w:val="00744A0E"/>
    <w:rsid w:val="007451AA"/>
    <w:rsid w:val="00746F32"/>
    <w:rsid w:val="0074729D"/>
    <w:rsid w:val="00747434"/>
    <w:rsid w:val="0074788B"/>
    <w:rsid w:val="00750E6C"/>
    <w:rsid w:val="0075133D"/>
    <w:rsid w:val="0075137C"/>
    <w:rsid w:val="007515F1"/>
    <w:rsid w:val="007526E6"/>
    <w:rsid w:val="00752EB9"/>
    <w:rsid w:val="00754049"/>
    <w:rsid w:val="0075418A"/>
    <w:rsid w:val="007550E9"/>
    <w:rsid w:val="0075555A"/>
    <w:rsid w:val="0075586F"/>
    <w:rsid w:val="00756416"/>
    <w:rsid w:val="00756ECC"/>
    <w:rsid w:val="00757664"/>
    <w:rsid w:val="0076069D"/>
    <w:rsid w:val="00760B87"/>
    <w:rsid w:val="007614FE"/>
    <w:rsid w:val="0076260D"/>
    <w:rsid w:val="00762808"/>
    <w:rsid w:val="00762FBA"/>
    <w:rsid w:val="0076392A"/>
    <w:rsid w:val="00763B77"/>
    <w:rsid w:val="007641C1"/>
    <w:rsid w:val="00764475"/>
    <w:rsid w:val="00764EB6"/>
    <w:rsid w:val="007651AE"/>
    <w:rsid w:val="007652AD"/>
    <w:rsid w:val="00765361"/>
    <w:rsid w:val="00765A96"/>
    <w:rsid w:val="0076656C"/>
    <w:rsid w:val="0076702C"/>
    <w:rsid w:val="00767042"/>
    <w:rsid w:val="007671BA"/>
    <w:rsid w:val="0076730D"/>
    <w:rsid w:val="007674F9"/>
    <w:rsid w:val="00767F6C"/>
    <w:rsid w:val="00770363"/>
    <w:rsid w:val="00772829"/>
    <w:rsid w:val="007732C4"/>
    <w:rsid w:val="00773477"/>
    <w:rsid w:val="0077471D"/>
    <w:rsid w:val="00775205"/>
    <w:rsid w:val="00775593"/>
    <w:rsid w:val="0077583B"/>
    <w:rsid w:val="00776BA6"/>
    <w:rsid w:val="00777848"/>
    <w:rsid w:val="00777893"/>
    <w:rsid w:val="00777B5B"/>
    <w:rsid w:val="00780D0A"/>
    <w:rsid w:val="00781C72"/>
    <w:rsid w:val="00784207"/>
    <w:rsid w:val="00784341"/>
    <w:rsid w:val="007847C4"/>
    <w:rsid w:val="007852E9"/>
    <w:rsid w:val="007857EE"/>
    <w:rsid w:val="007860A5"/>
    <w:rsid w:val="00786540"/>
    <w:rsid w:val="00787380"/>
    <w:rsid w:val="007877C2"/>
    <w:rsid w:val="007878DD"/>
    <w:rsid w:val="00787B7C"/>
    <w:rsid w:val="00787C31"/>
    <w:rsid w:val="00787D18"/>
    <w:rsid w:val="007904BE"/>
    <w:rsid w:val="00790B15"/>
    <w:rsid w:val="00790F49"/>
    <w:rsid w:val="007911DA"/>
    <w:rsid w:val="007922F1"/>
    <w:rsid w:val="007931CB"/>
    <w:rsid w:val="00793D5F"/>
    <w:rsid w:val="007943FA"/>
    <w:rsid w:val="00794714"/>
    <w:rsid w:val="00794B6F"/>
    <w:rsid w:val="007951D4"/>
    <w:rsid w:val="0079542A"/>
    <w:rsid w:val="00795AA9"/>
    <w:rsid w:val="0079664B"/>
    <w:rsid w:val="007971A7"/>
    <w:rsid w:val="007971EB"/>
    <w:rsid w:val="00797C46"/>
    <w:rsid w:val="007A19F6"/>
    <w:rsid w:val="007A2B65"/>
    <w:rsid w:val="007A2C18"/>
    <w:rsid w:val="007A42B3"/>
    <w:rsid w:val="007A4821"/>
    <w:rsid w:val="007A55C5"/>
    <w:rsid w:val="007A5617"/>
    <w:rsid w:val="007A5C3A"/>
    <w:rsid w:val="007A60A6"/>
    <w:rsid w:val="007A6672"/>
    <w:rsid w:val="007A8320"/>
    <w:rsid w:val="007B0245"/>
    <w:rsid w:val="007B083F"/>
    <w:rsid w:val="007B0880"/>
    <w:rsid w:val="007B0D01"/>
    <w:rsid w:val="007B0E93"/>
    <w:rsid w:val="007B1561"/>
    <w:rsid w:val="007B16F6"/>
    <w:rsid w:val="007B2085"/>
    <w:rsid w:val="007B2111"/>
    <w:rsid w:val="007B2576"/>
    <w:rsid w:val="007B2D6B"/>
    <w:rsid w:val="007B2F95"/>
    <w:rsid w:val="007B2FDC"/>
    <w:rsid w:val="007B3118"/>
    <w:rsid w:val="007B38A0"/>
    <w:rsid w:val="007B38B7"/>
    <w:rsid w:val="007B441E"/>
    <w:rsid w:val="007B4F7B"/>
    <w:rsid w:val="007B5758"/>
    <w:rsid w:val="007B583D"/>
    <w:rsid w:val="007B5A48"/>
    <w:rsid w:val="007B6684"/>
    <w:rsid w:val="007B6B21"/>
    <w:rsid w:val="007B7007"/>
    <w:rsid w:val="007B7024"/>
    <w:rsid w:val="007B7275"/>
    <w:rsid w:val="007B747D"/>
    <w:rsid w:val="007B7E10"/>
    <w:rsid w:val="007C01EE"/>
    <w:rsid w:val="007C033D"/>
    <w:rsid w:val="007C0390"/>
    <w:rsid w:val="007C14A2"/>
    <w:rsid w:val="007C300E"/>
    <w:rsid w:val="007C328D"/>
    <w:rsid w:val="007C336F"/>
    <w:rsid w:val="007C369B"/>
    <w:rsid w:val="007C41B1"/>
    <w:rsid w:val="007C43CB"/>
    <w:rsid w:val="007C488A"/>
    <w:rsid w:val="007C48FC"/>
    <w:rsid w:val="007C4F0A"/>
    <w:rsid w:val="007C666F"/>
    <w:rsid w:val="007C6954"/>
    <w:rsid w:val="007D1A1F"/>
    <w:rsid w:val="007D2C8E"/>
    <w:rsid w:val="007D30B7"/>
    <w:rsid w:val="007D3AC5"/>
    <w:rsid w:val="007D4B66"/>
    <w:rsid w:val="007D4D8D"/>
    <w:rsid w:val="007D4FD6"/>
    <w:rsid w:val="007D66BE"/>
    <w:rsid w:val="007D677C"/>
    <w:rsid w:val="007E013E"/>
    <w:rsid w:val="007E15AD"/>
    <w:rsid w:val="007E2453"/>
    <w:rsid w:val="007E25ED"/>
    <w:rsid w:val="007E2B8C"/>
    <w:rsid w:val="007E2BC0"/>
    <w:rsid w:val="007E342B"/>
    <w:rsid w:val="007E3832"/>
    <w:rsid w:val="007E399C"/>
    <w:rsid w:val="007E4560"/>
    <w:rsid w:val="007E48E2"/>
    <w:rsid w:val="007E4DDD"/>
    <w:rsid w:val="007E582B"/>
    <w:rsid w:val="007E59D3"/>
    <w:rsid w:val="007E6D51"/>
    <w:rsid w:val="007E70F9"/>
    <w:rsid w:val="007F0167"/>
    <w:rsid w:val="007F12E1"/>
    <w:rsid w:val="007F14E0"/>
    <w:rsid w:val="007F1C83"/>
    <w:rsid w:val="007F20BD"/>
    <w:rsid w:val="007F247B"/>
    <w:rsid w:val="007F284B"/>
    <w:rsid w:val="007F2889"/>
    <w:rsid w:val="007F2A04"/>
    <w:rsid w:val="007F3747"/>
    <w:rsid w:val="007F3C23"/>
    <w:rsid w:val="007F4A5F"/>
    <w:rsid w:val="007F5626"/>
    <w:rsid w:val="007F645C"/>
    <w:rsid w:val="007F6665"/>
    <w:rsid w:val="007F67E9"/>
    <w:rsid w:val="007F687B"/>
    <w:rsid w:val="007F6A86"/>
    <w:rsid w:val="007F7C7B"/>
    <w:rsid w:val="00801583"/>
    <w:rsid w:val="00801C76"/>
    <w:rsid w:val="0080354D"/>
    <w:rsid w:val="00803DBC"/>
    <w:rsid w:val="008040A2"/>
    <w:rsid w:val="00804632"/>
    <w:rsid w:val="008054D9"/>
    <w:rsid w:val="00806447"/>
    <w:rsid w:val="00806688"/>
    <w:rsid w:val="00806C5F"/>
    <w:rsid w:val="00806FD2"/>
    <w:rsid w:val="008075D4"/>
    <w:rsid w:val="00807875"/>
    <w:rsid w:val="00807A20"/>
    <w:rsid w:val="00807A3E"/>
    <w:rsid w:val="00810338"/>
    <w:rsid w:val="00810B37"/>
    <w:rsid w:val="00810F9D"/>
    <w:rsid w:val="00811502"/>
    <w:rsid w:val="00811958"/>
    <w:rsid w:val="00812282"/>
    <w:rsid w:val="0081262B"/>
    <w:rsid w:val="008128A6"/>
    <w:rsid w:val="00813FED"/>
    <w:rsid w:val="008148E4"/>
    <w:rsid w:val="00814ED9"/>
    <w:rsid w:val="0081519D"/>
    <w:rsid w:val="008157F1"/>
    <w:rsid w:val="00815A43"/>
    <w:rsid w:val="008168FD"/>
    <w:rsid w:val="00816D16"/>
    <w:rsid w:val="00816DF2"/>
    <w:rsid w:val="00816EC2"/>
    <w:rsid w:val="00817872"/>
    <w:rsid w:val="00817C21"/>
    <w:rsid w:val="00821182"/>
    <w:rsid w:val="00821C52"/>
    <w:rsid w:val="008224E7"/>
    <w:rsid w:val="0082257B"/>
    <w:rsid w:val="00822E68"/>
    <w:rsid w:val="008232A5"/>
    <w:rsid w:val="008236E1"/>
    <w:rsid w:val="008242A3"/>
    <w:rsid w:val="00824458"/>
    <w:rsid w:val="008249F7"/>
    <w:rsid w:val="00824B74"/>
    <w:rsid w:val="00825638"/>
    <w:rsid w:val="008258CA"/>
    <w:rsid w:val="00825F1E"/>
    <w:rsid w:val="008262A0"/>
    <w:rsid w:val="008269EA"/>
    <w:rsid w:val="00826ADA"/>
    <w:rsid w:val="00826ECA"/>
    <w:rsid w:val="00827027"/>
    <w:rsid w:val="0082790D"/>
    <w:rsid w:val="00827EC8"/>
    <w:rsid w:val="00830160"/>
    <w:rsid w:val="0083063E"/>
    <w:rsid w:val="00830BDC"/>
    <w:rsid w:val="008314D7"/>
    <w:rsid w:val="00832AAA"/>
    <w:rsid w:val="00833260"/>
    <w:rsid w:val="008333AD"/>
    <w:rsid w:val="00835E23"/>
    <w:rsid w:val="00835EC9"/>
    <w:rsid w:val="008366C5"/>
    <w:rsid w:val="00837008"/>
    <w:rsid w:val="00840D9B"/>
    <w:rsid w:val="00841116"/>
    <w:rsid w:val="0084132D"/>
    <w:rsid w:val="00841388"/>
    <w:rsid w:val="008415F3"/>
    <w:rsid w:val="00841EFB"/>
    <w:rsid w:val="00841F44"/>
    <w:rsid w:val="00842C82"/>
    <w:rsid w:val="00842D58"/>
    <w:rsid w:val="008431B4"/>
    <w:rsid w:val="0084354C"/>
    <w:rsid w:val="008436D7"/>
    <w:rsid w:val="008440FE"/>
    <w:rsid w:val="0084427B"/>
    <w:rsid w:val="00844A09"/>
    <w:rsid w:val="00846119"/>
    <w:rsid w:val="00846395"/>
    <w:rsid w:val="00847408"/>
    <w:rsid w:val="008474E3"/>
    <w:rsid w:val="008502AA"/>
    <w:rsid w:val="008507D9"/>
    <w:rsid w:val="008527ED"/>
    <w:rsid w:val="0085286D"/>
    <w:rsid w:val="00852CEF"/>
    <w:rsid w:val="0085363E"/>
    <w:rsid w:val="008537F7"/>
    <w:rsid w:val="008546BE"/>
    <w:rsid w:val="0085483A"/>
    <w:rsid w:val="00855AE5"/>
    <w:rsid w:val="00856074"/>
    <w:rsid w:val="008564D9"/>
    <w:rsid w:val="00857682"/>
    <w:rsid w:val="00857949"/>
    <w:rsid w:val="00861E6C"/>
    <w:rsid w:val="00862242"/>
    <w:rsid w:val="00862D76"/>
    <w:rsid w:val="00863D3C"/>
    <w:rsid w:val="008641B2"/>
    <w:rsid w:val="008643A8"/>
    <w:rsid w:val="00864630"/>
    <w:rsid w:val="00865ABA"/>
    <w:rsid w:val="00865BD4"/>
    <w:rsid w:val="00867468"/>
    <w:rsid w:val="008703DD"/>
    <w:rsid w:val="00870656"/>
    <w:rsid w:val="00870FBD"/>
    <w:rsid w:val="008719C2"/>
    <w:rsid w:val="00871AA7"/>
    <w:rsid w:val="00872168"/>
    <w:rsid w:val="008723E8"/>
    <w:rsid w:val="0087277A"/>
    <w:rsid w:val="00872A47"/>
    <w:rsid w:val="00872E6E"/>
    <w:rsid w:val="00872E96"/>
    <w:rsid w:val="008736E2"/>
    <w:rsid w:val="00873881"/>
    <w:rsid w:val="008739C3"/>
    <w:rsid w:val="008744C6"/>
    <w:rsid w:val="00874565"/>
    <w:rsid w:val="00876052"/>
    <w:rsid w:val="00876AFB"/>
    <w:rsid w:val="00876E48"/>
    <w:rsid w:val="00877247"/>
    <w:rsid w:val="008801AE"/>
    <w:rsid w:val="0088064D"/>
    <w:rsid w:val="00880AA3"/>
    <w:rsid w:val="00881906"/>
    <w:rsid w:val="00881E8D"/>
    <w:rsid w:val="0088421C"/>
    <w:rsid w:val="008843D9"/>
    <w:rsid w:val="0088445B"/>
    <w:rsid w:val="00884D8B"/>
    <w:rsid w:val="00884F5C"/>
    <w:rsid w:val="008850A1"/>
    <w:rsid w:val="008866DE"/>
    <w:rsid w:val="00886AD7"/>
    <w:rsid w:val="00887D5D"/>
    <w:rsid w:val="00890D4E"/>
    <w:rsid w:val="00891360"/>
    <w:rsid w:val="00891545"/>
    <w:rsid w:val="00891AF6"/>
    <w:rsid w:val="00891BC3"/>
    <w:rsid w:val="00892417"/>
    <w:rsid w:val="00892961"/>
    <w:rsid w:val="008937C8"/>
    <w:rsid w:val="008944F0"/>
    <w:rsid w:val="008957E4"/>
    <w:rsid w:val="008960FA"/>
    <w:rsid w:val="00896355"/>
    <w:rsid w:val="008967C4"/>
    <w:rsid w:val="008A027A"/>
    <w:rsid w:val="008A07B3"/>
    <w:rsid w:val="008A0A11"/>
    <w:rsid w:val="008A0AD1"/>
    <w:rsid w:val="008A0D08"/>
    <w:rsid w:val="008A0D2A"/>
    <w:rsid w:val="008A1693"/>
    <w:rsid w:val="008A16BE"/>
    <w:rsid w:val="008A254F"/>
    <w:rsid w:val="008A2630"/>
    <w:rsid w:val="008A2E51"/>
    <w:rsid w:val="008A3C46"/>
    <w:rsid w:val="008A5715"/>
    <w:rsid w:val="008A5833"/>
    <w:rsid w:val="008A738B"/>
    <w:rsid w:val="008A748F"/>
    <w:rsid w:val="008A760C"/>
    <w:rsid w:val="008B393E"/>
    <w:rsid w:val="008B3A88"/>
    <w:rsid w:val="008B42B5"/>
    <w:rsid w:val="008B4BFC"/>
    <w:rsid w:val="008B51B4"/>
    <w:rsid w:val="008B5B67"/>
    <w:rsid w:val="008B5D7A"/>
    <w:rsid w:val="008B6022"/>
    <w:rsid w:val="008B66E3"/>
    <w:rsid w:val="008B7848"/>
    <w:rsid w:val="008C061A"/>
    <w:rsid w:val="008C0A1E"/>
    <w:rsid w:val="008C1E05"/>
    <w:rsid w:val="008C2DE0"/>
    <w:rsid w:val="008C32BA"/>
    <w:rsid w:val="008C34BB"/>
    <w:rsid w:val="008C37EB"/>
    <w:rsid w:val="008C45E2"/>
    <w:rsid w:val="008C5335"/>
    <w:rsid w:val="008C54EF"/>
    <w:rsid w:val="008C54F2"/>
    <w:rsid w:val="008C5838"/>
    <w:rsid w:val="008C779E"/>
    <w:rsid w:val="008C7801"/>
    <w:rsid w:val="008C7D60"/>
    <w:rsid w:val="008D0538"/>
    <w:rsid w:val="008D3141"/>
    <w:rsid w:val="008D3726"/>
    <w:rsid w:val="008D3A15"/>
    <w:rsid w:val="008D4CB0"/>
    <w:rsid w:val="008D5057"/>
    <w:rsid w:val="008D52E1"/>
    <w:rsid w:val="008D6397"/>
    <w:rsid w:val="008D64FB"/>
    <w:rsid w:val="008D683D"/>
    <w:rsid w:val="008D6B51"/>
    <w:rsid w:val="008D73C9"/>
    <w:rsid w:val="008E16BF"/>
    <w:rsid w:val="008E1BB5"/>
    <w:rsid w:val="008E3049"/>
    <w:rsid w:val="008E30F1"/>
    <w:rsid w:val="008E35A3"/>
    <w:rsid w:val="008E3C63"/>
    <w:rsid w:val="008E5412"/>
    <w:rsid w:val="008E5D9B"/>
    <w:rsid w:val="008E7274"/>
    <w:rsid w:val="008E7E82"/>
    <w:rsid w:val="008F0562"/>
    <w:rsid w:val="008F0B9E"/>
    <w:rsid w:val="008F0CF3"/>
    <w:rsid w:val="008F1F06"/>
    <w:rsid w:val="008F260B"/>
    <w:rsid w:val="008F29F8"/>
    <w:rsid w:val="008F2F95"/>
    <w:rsid w:val="008F35A4"/>
    <w:rsid w:val="008F368A"/>
    <w:rsid w:val="008F3E87"/>
    <w:rsid w:val="008F4F92"/>
    <w:rsid w:val="008F56E8"/>
    <w:rsid w:val="008F64F4"/>
    <w:rsid w:val="008F6CAA"/>
    <w:rsid w:val="008F77D5"/>
    <w:rsid w:val="008F7887"/>
    <w:rsid w:val="008F7E56"/>
    <w:rsid w:val="00900C82"/>
    <w:rsid w:val="00902932"/>
    <w:rsid w:val="00902C98"/>
    <w:rsid w:val="00902F19"/>
    <w:rsid w:val="00905A87"/>
    <w:rsid w:val="00905F98"/>
    <w:rsid w:val="00906821"/>
    <w:rsid w:val="00906A98"/>
    <w:rsid w:val="00906DA9"/>
    <w:rsid w:val="00906E65"/>
    <w:rsid w:val="00906F2E"/>
    <w:rsid w:val="00907D7B"/>
    <w:rsid w:val="00907D8A"/>
    <w:rsid w:val="009117F6"/>
    <w:rsid w:val="0091251E"/>
    <w:rsid w:val="009125EA"/>
    <w:rsid w:val="00914353"/>
    <w:rsid w:val="009144D5"/>
    <w:rsid w:val="00914CA1"/>
    <w:rsid w:val="00915032"/>
    <w:rsid w:val="00915F98"/>
    <w:rsid w:val="00915FA3"/>
    <w:rsid w:val="00916CB6"/>
    <w:rsid w:val="00916DDB"/>
    <w:rsid w:val="0091746A"/>
    <w:rsid w:val="00917606"/>
    <w:rsid w:val="00917B55"/>
    <w:rsid w:val="00917E96"/>
    <w:rsid w:val="009217F8"/>
    <w:rsid w:val="00921C54"/>
    <w:rsid w:val="00923E8A"/>
    <w:rsid w:val="00923E8E"/>
    <w:rsid w:val="00924285"/>
    <w:rsid w:val="0092470E"/>
    <w:rsid w:val="00925187"/>
    <w:rsid w:val="009253AA"/>
    <w:rsid w:val="009255FD"/>
    <w:rsid w:val="00925A24"/>
    <w:rsid w:val="00925F68"/>
    <w:rsid w:val="00926059"/>
    <w:rsid w:val="009261AF"/>
    <w:rsid w:val="00926FB4"/>
    <w:rsid w:val="0092709C"/>
    <w:rsid w:val="00927121"/>
    <w:rsid w:val="0092717F"/>
    <w:rsid w:val="00927198"/>
    <w:rsid w:val="0092725E"/>
    <w:rsid w:val="00927744"/>
    <w:rsid w:val="0092798B"/>
    <w:rsid w:val="00927B05"/>
    <w:rsid w:val="00927D73"/>
    <w:rsid w:val="00930F4E"/>
    <w:rsid w:val="009314AE"/>
    <w:rsid w:val="00933320"/>
    <w:rsid w:val="009333D6"/>
    <w:rsid w:val="009337A6"/>
    <w:rsid w:val="009338BA"/>
    <w:rsid w:val="00933AFC"/>
    <w:rsid w:val="00933F62"/>
    <w:rsid w:val="0093403D"/>
    <w:rsid w:val="0093572F"/>
    <w:rsid w:val="009358A4"/>
    <w:rsid w:val="00935F22"/>
    <w:rsid w:val="00936062"/>
    <w:rsid w:val="009364B3"/>
    <w:rsid w:val="00936A0A"/>
    <w:rsid w:val="00936BBC"/>
    <w:rsid w:val="009370E1"/>
    <w:rsid w:val="0093711C"/>
    <w:rsid w:val="00937CBE"/>
    <w:rsid w:val="00941ACF"/>
    <w:rsid w:val="00941E48"/>
    <w:rsid w:val="00943566"/>
    <w:rsid w:val="00943859"/>
    <w:rsid w:val="00943F22"/>
    <w:rsid w:val="00943F6B"/>
    <w:rsid w:val="00944087"/>
    <w:rsid w:val="00944E74"/>
    <w:rsid w:val="00944EC8"/>
    <w:rsid w:val="00944F9A"/>
    <w:rsid w:val="0094581F"/>
    <w:rsid w:val="009461E1"/>
    <w:rsid w:val="009462E5"/>
    <w:rsid w:val="00946825"/>
    <w:rsid w:val="0095012E"/>
    <w:rsid w:val="00950490"/>
    <w:rsid w:val="009514C8"/>
    <w:rsid w:val="00951934"/>
    <w:rsid w:val="0095207B"/>
    <w:rsid w:val="00952089"/>
    <w:rsid w:val="0095259E"/>
    <w:rsid w:val="009535F6"/>
    <w:rsid w:val="00953805"/>
    <w:rsid w:val="00954C8C"/>
    <w:rsid w:val="009551D1"/>
    <w:rsid w:val="0095650A"/>
    <w:rsid w:val="00956529"/>
    <w:rsid w:val="00956ACE"/>
    <w:rsid w:val="009572A0"/>
    <w:rsid w:val="009575C2"/>
    <w:rsid w:val="00957843"/>
    <w:rsid w:val="00957A18"/>
    <w:rsid w:val="00957B8B"/>
    <w:rsid w:val="00957D24"/>
    <w:rsid w:val="00957F17"/>
    <w:rsid w:val="009602FF"/>
    <w:rsid w:val="00960DCF"/>
    <w:rsid w:val="009617F8"/>
    <w:rsid w:val="00961B53"/>
    <w:rsid w:val="00963264"/>
    <w:rsid w:val="0096389D"/>
    <w:rsid w:val="00963B2C"/>
    <w:rsid w:val="00963E11"/>
    <w:rsid w:val="00965253"/>
    <w:rsid w:val="009657B0"/>
    <w:rsid w:val="009659B5"/>
    <w:rsid w:val="009674DD"/>
    <w:rsid w:val="009676C0"/>
    <w:rsid w:val="009678F9"/>
    <w:rsid w:val="00967D67"/>
    <w:rsid w:val="00970465"/>
    <w:rsid w:val="00971E01"/>
    <w:rsid w:val="00971E76"/>
    <w:rsid w:val="00971EE3"/>
    <w:rsid w:val="0097279E"/>
    <w:rsid w:val="00973E0B"/>
    <w:rsid w:val="00975319"/>
    <w:rsid w:val="009759EE"/>
    <w:rsid w:val="009803A9"/>
    <w:rsid w:val="009803CB"/>
    <w:rsid w:val="009803D4"/>
    <w:rsid w:val="009807A2"/>
    <w:rsid w:val="00980B33"/>
    <w:rsid w:val="0098199C"/>
    <w:rsid w:val="009826A3"/>
    <w:rsid w:val="00983538"/>
    <w:rsid w:val="009837B2"/>
    <w:rsid w:val="009842AA"/>
    <w:rsid w:val="009845E7"/>
    <w:rsid w:val="00984D68"/>
    <w:rsid w:val="00984F28"/>
    <w:rsid w:val="00985637"/>
    <w:rsid w:val="009862F5"/>
    <w:rsid w:val="0098736B"/>
    <w:rsid w:val="00987389"/>
    <w:rsid w:val="009873F3"/>
    <w:rsid w:val="00987C35"/>
    <w:rsid w:val="00990BBD"/>
    <w:rsid w:val="00990CBF"/>
    <w:rsid w:val="00991757"/>
    <w:rsid w:val="0099183B"/>
    <w:rsid w:val="0099276D"/>
    <w:rsid w:val="00992FC1"/>
    <w:rsid w:val="00994AEB"/>
    <w:rsid w:val="00994DCA"/>
    <w:rsid w:val="00995527"/>
    <w:rsid w:val="009959BF"/>
    <w:rsid w:val="00995E98"/>
    <w:rsid w:val="00995EB7"/>
    <w:rsid w:val="00996879"/>
    <w:rsid w:val="00996F15"/>
    <w:rsid w:val="00997BA8"/>
    <w:rsid w:val="00997C5B"/>
    <w:rsid w:val="00997DE0"/>
    <w:rsid w:val="009A06F4"/>
    <w:rsid w:val="009A08B2"/>
    <w:rsid w:val="009A0DCF"/>
    <w:rsid w:val="009A183D"/>
    <w:rsid w:val="009A240E"/>
    <w:rsid w:val="009A3778"/>
    <w:rsid w:val="009A3DEF"/>
    <w:rsid w:val="009A3E2E"/>
    <w:rsid w:val="009A4424"/>
    <w:rsid w:val="009A5FAA"/>
    <w:rsid w:val="009A7666"/>
    <w:rsid w:val="009A7F34"/>
    <w:rsid w:val="009B0A83"/>
    <w:rsid w:val="009B20B2"/>
    <w:rsid w:val="009B2245"/>
    <w:rsid w:val="009B2285"/>
    <w:rsid w:val="009B258E"/>
    <w:rsid w:val="009B2E71"/>
    <w:rsid w:val="009B3BA6"/>
    <w:rsid w:val="009B3E0F"/>
    <w:rsid w:val="009B4827"/>
    <w:rsid w:val="009B5315"/>
    <w:rsid w:val="009B5997"/>
    <w:rsid w:val="009B6B23"/>
    <w:rsid w:val="009B760A"/>
    <w:rsid w:val="009B7ABD"/>
    <w:rsid w:val="009C068F"/>
    <w:rsid w:val="009C0902"/>
    <w:rsid w:val="009C19B2"/>
    <w:rsid w:val="009C1D27"/>
    <w:rsid w:val="009C21E0"/>
    <w:rsid w:val="009C240F"/>
    <w:rsid w:val="009C2719"/>
    <w:rsid w:val="009C2AAE"/>
    <w:rsid w:val="009C3146"/>
    <w:rsid w:val="009C38E7"/>
    <w:rsid w:val="009C3910"/>
    <w:rsid w:val="009C3911"/>
    <w:rsid w:val="009C3B95"/>
    <w:rsid w:val="009C3BD9"/>
    <w:rsid w:val="009C4689"/>
    <w:rsid w:val="009C4BD4"/>
    <w:rsid w:val="009C4F06"/>
    <w:rsid w:val="009C5963"/>
    <w:rsid w:val="009C5B82"/>
    <w:rsid w:val="009C6474"/>
    <w:rsid w:val="009C756E"/>
    <w:rsid w:val="009C78A8"/>
    <w:rsid w:val="009D1681"/>
    <w:rsid w:val="009D16F5"/>
    <w:rsid w:val="009D19A9"/>
    <w:rsid w:val="009D1BB0"/>
    <w:rsid w:val="009D21BE"/>
    <w:rsid w:val="009D3C3D"/>
    <w:rsid w:val="009D4728"/>
    <w:rsid w:val="009D5288"/>
    <w:rsid w:val="009D52CB"/>
    <w:rsid w:val="009D5902"/>
    <w:rsid w:val="009D633B"/>
    <w:rsid w:val="009D7405"/>
    <w:rsid w:val="009D750F"/>
    <w:rsid w:val="009D78D4"/>
    <w:rsid w:val="009E059D"/>
    <w:rsid w:val="009E0FF3"/>
    <w:rsid w:val="009E1F87"/>
    <w:rsid w:val="009E2AD3"/>
    <w:rsid w:val="009E2DEC"/>
    <w:rsid w:val="009E37D6"/>
    <w:rsid w:val="009E3991"/>
    <w:rsid w:val="009E45E1"/>
    <w:rsid w:val="009E47E5"/>
    <w:rsid w:val="009E67FA"/>
    <w:rsid w:val="009E6D23"/>
    <w:rsid w:val="009E7015"/>
    <w:rsid w:val="009E721D"/>
    <w:rsid w:val="009E76E5"/>
    <w:rsid w:val="009F076A"/>
    <w:rsid w:val="009F105D"/>
    <w:rsid w:val="009F146F"/>
    <w:rsid w:val="009F2BC2"/>
    <w:rsid w:val="009F2C6E"/>
    <w:rsid w:val="009F3C75"/>
    <w:rsid w:val="009F4DEE"/>
    <w:rsid w:val="009F5685"/>
    <w:rsid w:val="009F59DD"/>
    <w:rsid w:val="009F5F20"/>
    <w:rsid w:val="009F686D"/>
    <w:rsid w:val="009F6B4B"/>
    <w:rsid w:val="009F6D82"/>
    <w:rsid w:val="009F6DDD"/>
    <w:rsid w:val="009F7DB8"/>
    <w:rsid w:val="00A0037E"/>
    <w:rsid w:val="00A01303"/>
    <w:rsid w:val="00A02C4F"/>
    <w:rsid w:val="00A02F6D"/>
    <w:rsid w:val="00A043BF"/>
    <w:rsid w:val="00A04A09"/>
    <w:rsid w:val="00A05821"/>
    <w:rsid w:val="00A05B47"/>
    <w:rsid w:val="00A05D1D"/>
    <w:rsid w:val="00A05EA2"/>
    <w:rsid w:val="00A06F05"/>
    <w:rsid w:val="00A07579"/>
    <w:rsid w:val="00A0761F"/>
    <w:rsid w:val="00A076CC"/>
    <w:rsid w:val="00A07D27"/>
    <w:rsid w:val="00A106DC"/>
    <w:rsid w:val="00A1165C"/>
    <w:rsid w:val="00A11C52"/>
    <w:rsid w:val="00A11C54"/>
    <w:rsid w:val="00A125D6"/>
    <w:rsid w:val="00A12992"/>
    <w:rsid w:val="00A131E3"/>
    <w:rsid w:val="00A13B28"/>
    <w:rsid w:val="00A14397"/>
    <w:rsid w:val="00A14E53"/>
    <w:rsid w:val="00A15580"/>
    <w:rsid w:val="00A15E60"/>
    <w:rsid w:val="00A16449"/>
    <w:rsid w:val="00A164F0"/>
    <w:rsid w:val="00A164F8"/>
    <w:rsid w:val="00A1714B"/>
    <w:rsid w:val="00A20593"/>
    <w:rsid w:val="00A20B2B"/>
    <w:rsid w:val="00A210BD"/>
    <w:rsid w:val="00A2126A"/>
    <w:rsid w:val="00A212C2"/>
    <w:rsid w:val="00A22120"/>
    <w:rsid w:val="00A22EFC"/>
    <w:rsid w:val="00A236B5"/>
    <w:rsid w:val="00A239BB"/>
    <w:rsid w:val="00A24A30"/>
    <w:rsid w:val="00A24CCA"/>
    <w:rsid w:val="00A24E69"/>
    <w:rsid w:val="00A25981"/>
    <w:rsid w:val="00A26389"/>
    <w:rsid w:val="00A2693A"/>
    <w:rsid w:val="00A26E67"/>
    <w:rsid w:val="00A27433"/>
    <w:rsid w:val="00A27A4F"/>
    <w:rsid w:val="00A27ADD"/>
    <w:rsid w:val="00A301CB"/>
    <w:rsid w:val="00A303B8"/>
    <w:rsid w:val="00A30492"/>
    <w:rsid w:val="00A30D05"/>
    <w:rsid w:val="00A30DD9"/>
    <w:rsid w:val="00A312F3"/>
    <w:rsid w:val="00A31705"/>
    <w:rsid w:val="00A323DA"/>
    <w:rsid w:val="00A32C08"/>
    <w:rsid w:val="00A335D1"/>
    <w:rsid w:val="00A3399F"/>
    <w:rsid w:val="00A34609"/>
    <w:rsid w:val="00A34735"/>
    <w:rsid w:val="00A34FAA"/>
    <w:rsid w:val="00A361C3"/>
    <w:rsid w:val="00A36682"/>
    <w:rsid w:val="00A37F68"/>
    <w:rsid w:val="00A40A5C"/>
    <w:rsid w:val="00A411FA"/>
    <w:rsid w:val="00A41951"/>
    <w:rsid w:val="00A43755"/>
    <w:rsid w:val="00A43DA6"/>
    <w:rsid w:val="00A44279"/>
    <w:rsid w:val="00A44EC1"/>
    <w:rsid w:val="00A450CD"/>
    <w:rsid w:val="00A454B3"/>
    <w:rsid w:val="00A457D7"/>
    <w:rsid w:val="00A45967"/>
    <w:rsid w:val="00A45A0E"/>
    <w:rsid w:val="00A45E52"/>
    <w:rsid w:val="00A46652"/>
    <w:rsid w:val="00A46D15"/>
    <w:rsid w:val="00A4713D"/>
    <w:rsid w:val="00A50001"/>
    <w:rsid w:val="00A5039B"/>
    <w:rsid w:val="00A50F89"/>
    <w:rsid w:val="00A51A71"/>
    <w:rsid w:val="00A528DA"/>
    <w:rsid w:val="00A5323B"/>
    <w:rsid w:val="00A535E2"/>
    <w:rsid w:val="00A54FB4"/>
    <w:rsid w:val="00A552E0"/>
    <w:rsid w:val="00A563F2"/>
    <w:rsid w:val="00A56DE0"/>
    <w:rsid w:val="00A570E1"/>
    <w:rsid w:val="00A570F3"/>
    <w:rsid w:val="00A575A8"/>
    <w:rsid w:val="00A624E3"/>
    <w:rsid w:val="00A62665"/>
    <w:rsid w:val="00A62962"/>
    <w:rsid w:val="00A63C18"/>
    <w:rsid w:val="00A63DCE"/>
    <w:rsid w:val="00A64171"/>
    <w:rsid w:val="00A64F26"/>
    <w:rsid w:val="00A65AE3"/>
    <w:rsid w:val="00A65AE5"/>
    <w:rsid w:val="00A662DC"/>
    <w:rsid w:val="00A66542"/>
    <w:rsid w:val="00A6741B"/>
    <w:rsid w:val="00A6782A"/>
    <w:rsid w:val="00A70B78"/>
    <w:rsid w:val="00A70ED2"/>
    <w:rsid w:val="00A717E2"/>
    <w:rsid w:val="00A72386"/>
    <w:rsid w:val="00A74036"/>
    <w:rsid w:val="00A74226"/>
    <w:rsid w:val="00A757B0"/>
    <w:rsid w:val="00A75F49"/>
    <w:rsid w:val="00A776A4"/>
    <w:rsid w:val="00A77DA6"/>
    <w:rsid w:val="00A8049D"/>
    <w:rsid w:val="00A80920"/>
    <w:rsid w:val="00A80C3F"/>
    <w:rsid w:val="00A8204C"/>
    <w:rsid w:val="00A822C2"/>
    <w:rsid w:val="00A8294C"/>
    <w:rsid w:val="00A82990"/>
    <w:rsid w:val="00A830E3"/>
    <w:rsid w:val="00A831FC"/>
    <w:rsid w:val="00A832A7"/>
    <w:rsid w:val="00A83E13"/>
    <w:rsid w:val="00A84434"/>
    <w:rsid w:val="00A844AD"/>
    <w:rsid w:val="00A84613"/>
    <w:rsid w:val="00A851AD"/>
    <w:rsid w:val="00A851D6"/>
    <w:rsid w:val="00A85FBA"/>
    <w:rsid w:val="00A86889"/>
    <w:rsid w:val="00A87BD7"/>
    <w:rsid w:val="00A87FDA"/>
    <w:rsid w:val="00A90401"/>
    <w:rsid w:val="00A9059B"/>
    <w:rsid w:val="00A907AF"/>
    <w:rsid w:val="00A91673"/>
    <w:rsid w:val="00A91C42"/>
    <w:rsid w:val="00A920B8"/>
    <w:rsid w:val="00A921E3"/>
    <w:rsid w:val="00A936DD"/>
    <w:rsid w:val="00A93B6C"/>
    <w:rsid w:val="00A93BE8"/>
    <w:rsid w:val="00A94559"/>
    <w:rsid w:val="00A94D20"/>
    <w:rsid w:val="00A94EA5"/>
    <w:rsid w:val="00A96DEB"/>
    <w:rsid w:val="00A96FBA"/>
    <w:rsid w:val="00A9752B"/>
    <w:rsid w:val="00A97B84"/>
    <w:rsid w:val="00AA0CC0"/>
    <w:rsid w:val="00AA1424"/>
    <w:rsid w:val="00AA1573"/>
    <w:rsid w:val="00AA2461"/>
    <w:rsid w:val="00AA2865"/>
    <w:rsid w:val="00AA3A9B"/>
    <w:rsid w:val="00AA3BF1"/>
    <w:rsid w:val="00AA4605"/>
    <w:rsid w:val="00AA5410"/>
    <w:rsid w:val="00AA5ED5"/>
    <w:rsid w:val="00AA5F32"/>
    <w:rsid w:val="00AA678D"/>
    <w:rsid w:val="00AB21C6"/>
    <w:rsid w:val="00AB2841"/>
    <w:rsid w:val="00AB2DEC"/>
    <w:rsid w:val="00AB3542"/>
    <w:rsid w:val="00AB3E10"/>
    <w:rsid w:val="00AB3ED6"/>
    <w:rsid w:val="00AB4627"/>
    <w:rsid w:val="00AB4F03"/>
    <w:rsid w:val="00AB52BB"/>
    <w:rsid w:val="00AB597B"/>
    <w:rsid w:val="00AB5AFD"/>
    <w:rsid w:val="00AB6E1B"/>
    <w:rsid w:val="00AB6FDE"/>
    <w:rsid w:val="00AB79A6"/>
    <w:rsid w:val="00AB7E30"/>
    <w:rsid w:val="00AC04A0"/>
    <w:rsid w:val="00AC0617"/>
    <w:rsid w:val="00AC178D"/>
    <w:rsid w:val="00AC1919"/>
    <w:rsid w:val="00AC2020"/>
    <w:rsid w:val="00AC2453"/>
    <w:rsid w:val="00AC46A3"/>
    <w:rsid w:val="00AC482A"/>
    <w:rsid w:val="00AC5206"/>
    <w:rsid w:val="00AC55F8"/>
    <w:rsid w:val="00AC5CF6"/>
    <w:rsid w:val="00AC65C6"/>
    <w:rsid w:val="00AC6DE7"/>
    <w:rsid w:val="00AC6F7D"/>
    <w:rsid w:val="00AC720A"/>
    <w:rsid w:val="00AC7A17"/>
    <w:rsid w:val="00AD0712"/>
    <w:rsid w:val="00AD1DA8"/>
    <w:rsid w:val="00AD24FA"/>
    <w:rsid w:val="00AD2C19"/>
    <w:rsid w:val="00AD2E88"/>
    <w:rsid w:val="00AD3169"/>
    <w:rsid w:val="00AD35F9"/>
    <w:rsid w:val="00AD3F8C"/>
    <w:rsid w:val="00AD5BE4"/>
    <w:rsid w:val="00AD60EA"/>
    <w:rsid w:val="00AD677C"/>
    <w:rsid w:val="00AD67D4"/>
    <w:rsid w:val="00AD784A"/>
    <w:rsid w:val="00AE0963"/>
    <w:rsid w:val="00AE0B61"/>
    <w:rsid w:val="00AE0F1D"/>
    <w:rsid w:val="00AE181A"/>
    <w:rsid w:val="00AE1B46"/>
    <w:rsid w:val="00AE1C30"/>
    <w:rsid w:val="00AE1D33"/>
    <w:rsid w:val="00AE206C"/>
    <w:rsid w:val="00AE2147"/>
    <w:rsid w:val="00AE2832"/>
    <w:rsid w:val="00AE31B0"/>
    <w:rsid w:val="00AE3835"/>
    <w:rsid w:val="00AE3BED"/>
    <w:rsid w:val="00AE4331"/>
    <w:rsid w:val="00AE4703"/>
    <w:rsid w:val="00AE58A1"/>
    <w:rsid w:val="00AE614D"/>
    <w:rsid w:val="00AE6543"/>
    <w:rsid w:val="00AE6CA4"/>
    <w:rsid w:val="00AE7849"/>
    <w:rsid w:val="00AE7977"/>
    <w:rsid w:val="00AF013A"/>
    <w:rsid w:val="00AF0673"/>
    <w:rsid w:val="00AF1EBD"/>
    <w:rsid w:val="00AF1F10"/>
    <w:rsid w:val="00AF267E"/>
    <w:rsid w:val="00AF29CA"/>
    <w:rsid w:val="00AF2B41"/>
    <w:rsid w:val="00AF2EDC"/>
    <w:rsid w:val="00AF35B2"/>
    <w:rsid w:val="00AF36D4"/>
    <w:rsid w:val="00AF3D39"/>
    <w:rsid w:val="00AF3E18"/>
    <w:rsid w:val="00AF497B"/>
    <w:rsid w:val="00AF5CF5"/>
    <w:rsid w:val="00AF5EFF"/>
    <w:rsid w:val="00AF6A4C"/>
    <w:rsid w:val="00AF6FB4"/>
    <w:rsid w:val="00AF7A7B"/>
    <w:rsid w:val="00AF7AF2"/>
    <w:rsid w:val="00B00396"/>
    <w:rsid w:val="00B003D9"/>
    <w:rsid w:val="00B00927"/>
    <w:rsid w:val="00B01075"/>
    <w:rsid w:val="00B014D3"/>
    <w:rsid w:val="00B018CB"/>
    <w:rsid w:val="00B02183"/>
    <w:rsid w:val="00B04273"/>
    <w:rsid w:val="00B047C2"/>
    <w:rsid w:val="00B04855"/>
    <w:rsid w:val="00B048FB"/>
    <w:rsid w:val="00B04CB1"/>
    <w:rsid w:val="00B05635"/>
    <w:rsid w:val="00B05653"/>
    <w:rsid w:val="00B05C4A"/>
    <w:rsid w:val="00B06456"/>
    <w:rsid w:val="00B069BE"/>
    <w:rsid w:val="00B06DE5"/>
    <w:rsid w:val="00B07620"/>
    <w:rsid w:val="00B078EB"/>
    <w:rsid w:val="00B07D2E"/>
    <w:rsid w:val="00B1098B"/>
    <w:rsid w:val="00B10B36"/>
    <w:rsid w:val="00B125F0"/>
    <w:rsid w:val="00B1277D"/>
    <w:rsid w:val="00B12B7E"/>
    <w:rsid w:val="00B12D46"/>
    <w:rsid w:val="00B12E75"/>
    <w:rsid w:val="00B1314F"/>
    <w:rsid w:val="00B13A1D"/>
    <w:rsid w:val="00B13E94"/>
    <w:rsid w:val="00B146E8"/>
    <w:rsid w:val="00B14BF5"/>
    <w:rsid w:val="00B151CF"/>
    <w:rsid w:val="00B159BC"/>
    <w:rsid w:val="00B164D7"/>
    <w:rsid w:val="00B16B21"/>
    <w:rsid w:val="00B1739F"/>
    <w:rsid w:val="00B173CC"/>
    <w:rsid w:val="00B17C1D"/>
    <w:rsid w:val="00B200A3"/>
    <w:rsid w:val="00B20393"/>
    <w:rsid w:val="00B20445"/>
    <w:rsid w:val="00B20F65"/>
    <w:rsid w:val="00B21910"/>
    <w:rsid w:val="00B247AD"/>
    <w:rsid w:val="00B248B9"/>
    <w:rsid w:val="00B25628"/>
    <w:rsid w:val="00B25D05"/>
    <w:rsid w:val="00B25D3F"/>
    <w:rsid w:val="00B261F0"/>
    <w:rsid w:val="00B26622"/>
    <w:rsid w:val="00B26669"/>
    <w:rsid w:val="00B26AC6"/>
    <w:rsid w:val="00B2715F"/>
    <w:rsid w:val="00B273CA"/>
    <w:rsid w:val="00B276B4"/>
    <w:rsid w:val="00B27B89"/>
    <w:rsid w:val="00B303F6"/>
    <w:rsid w:val="00B307B7"/>
    <w:rsid w:val="00B30A39"/>
    <w:rsid w:val="00B30B80"/>
    <w:rsid w:val="00B31ABF"/>
    <w:rsid w:val="00B32C2D"/>
    <w:rsid w:val="00B334A7"/>
    <w:rsid w:val="00B33AC4"/>
    <w:rsid w:val="00B33E9F"/>
    <w:rsid w:val="00B36028"/>
    <w:rsid w:val="00B36030"/>
    <w:rsid w:val="00B3623B"/>
    <w:rsid w:val="00B363AE"/>
    <w:rsid w:val="00B37152"/>
    <w:rsid w:val="00B378A6"/>
    <w:rsid w:val="00B40064"/>
    <w:rsid w:val="00B4090A"/>
    <w:rsid w:val="00B409AC"/>
    <w:rsid w:val="00B4173F"/>
    <w:rsid w:val="00B4465C"/>
    <w:rsid w:val="00B44FA9"/>
    <w:rsid w:val="00B46175"/>
    <w:rsid w:val="00B46788"/>
    <w:rsid w:val="00B4697B"/>
    <w:rsid w:val="00B47657"/>
    <w:rsid w:val="00B50A44"/>
    <w:rsid w:val="00B5111C"/>
    <w:rsid w:val="00B51E15"/>
    <w:rsid w:val="00B5382F"/>
    <w:rsid w:val="00B53F02"/>
    <w:rsid w:val="00B54E59"/>
    <w:rsid w:val="00B55126"/>
    <w:rsid w:val="00B55524"/>
    <w:rsid w:val="00B557DB"/>
    <w:rsid w:val="00B56A44"/>
    <w:rsid w:val="00B575BF"/>
    <w:rsid w:val="00B606DC"/>
    <w:rsid w:val="00B60A69"/>
    <w:rsid w:val="00B612EA"/>
    <w:rsid w:val="00B61C65"/>
    <w:rsid w:val="00B61C66"/>
    <w:rsid w:val="00B62120"/>
    <w:rsid w:val="00B62523"/>
    <w:rsid w:val="00B62604"/>
    <w:rsid w:val="00B62DF2"/>
    <w:rsid w:val="00B62F20"/>
    <w:rsid w:val="00B63D1F"/>
    <w:rsid w:val="00B64086"/>
    <w:rsid w:val="00B643A4"/>
    <w:rsid w:val="00B64698"/>
    <w:rsid w:val="00B65DE1"/>
    <w:rsid w:val="00B663B7"/>
    <w:rsid w:val="00B66A87"/>
    <w:rsid w:val="00B677ED"/>
    <w:rsid w:val="00B70D1F"/>
    <w:rsid w:val="00B712D0"/>
    <w:rsid w:val="00B7176B"/>
    <w:rsid w:val="00B71EDF"/>
    <w:rsid w:val="00B71FAF"/>
    <w:rsid w:val="00B721C4"/>
    <w:rsid w:val="00B73B3C"/>
    <w:rsid w:val="00B73DC1"/>
    <w:rsid w:val="00B741BF"/>
    <w:rsid w:val="00B752E3"/>
    <w:rsid w:val="00B757E5"/>
    <w:rsid w:val="00B7657C"/>
    <w:rsid w:val="00B76914"/>
    <w:rsid w:val="00B76B06"/>
    <w:rsid w:val="00B77462"/>
    <w:rsid w:val="00B80874"/>
    <w:rsid w:val="00B8115C"/>
    <w:rsid w:val="00B812D2"/>
    <w:rsid w:val="00B81F38"/>
    <w:rsid w:val="00B82566"/>
    <w:rsid w:val="00B83B62"/>
    <w:rsid w:val="00B84237"/>
    <w:rsid w:val="00B84948"/>
    <w:rsid w:val="00B84B8E"/>
    <w:rsid w:val="00B8535F"/>
    <w:rsid w:val="00B8657F"/>
    <w:rsid w:val="00B86B94"/>
    <w:rsid w:val="00B87164"/>
    <w:rsid w:val="00B878CD"/>
    <w:rsid w:val="00B87A22"/>
    <w:rsid w:val="00B90BD9"/>
    <w:rsid w:val="00B91CB1"/>
    <w:rsid w:val="00B91DAD"/>
    <w:rsid w:val="00B921C5"/>
    <w:rsid w:val="00B9249B"/>
    <w:rsid w:val="00B9328B"/>
    <w:rsid w:val="00B94CBD"/>
    <w:rsid w:val="00B9536C"/>
    <w:rsid w:val="00B9564F"/>
    <w:rsid w:val="00B95AF4"/>
    <w:rsid w:val="00B96421"/>
    <w:rsid w:val="00B9659E"/>
    <w:rsid w:val="00B969E3"/>
    <w:rsid w:val="00B96E22"/>
    <w:rsid w:val="00B97231"/>
    <w:rsid w:val="00B97FAF"/>
    <w:rsid w:val="00BA181C"/>
    <w:rsid w:val="00BA1FFB"/>
    <w:rsid w:val="00BA200F"/>
    <w:rsid w:val="00BA2B3F"/>
    <w:rsid w:val="00BA2E6B"/>
    <w:rsid w:val="00BA2E91"/>
    <w:rsid w:val="00BA4E45"/>
    <w:rsid w:val="00BA4F67"/>
    <w:rsid w:val="00BA5181"/>
    <w:rsid w:val="00BA551D"/>
    <w:rsid w:val="00BA59FB"/>
    <w:rsid w:val="00BA5B7D"/>
    <w:rsid w:val="00BA6D24"/>
    <w:rsid w:val="00BA7051"/>
    <w:rsid w:val="00BA71AB"/>
    <w:rsid w:val="00BA73F6"/>
    <w:rsid w:val="00BB0657"/>
    <w:rsid w:val="00BB14A3"/>
    <w:rsid w:val="00BB1C2B"/>
    <w:rsid w:val="00BB2A63"/>
    <w:rsid w:val="00BB37E7"/>
    <w:rsid w:val="00BB39B1"/>
    <w:rsid w:val="00BB4368"/>
    <w:rsid w:val="00BB4598"/>
    <w:rsid w:val="00BB57B0"/>
    <w:rsid w:val="00BB60E4"/>
    <w:rsid w:val="00BB6186"/>
    <w:rsid w:val="00BB6D9A"/>
    <w:rsid w:val="00BB72CD"/>
    <w:rsid w:val="00BC0494"/>
    <w:rsid w:val="00BC0C20"/>
    <w:rsid w:val="00BC15DE"/>
    <w:rsid w:val="00BC17C8"/>
    <w:rsid w:val="00BC20A4"/>
    <w:rsid w:val="00BC369C"/>
    <w:rsid w:val="00BC3D07"/>
    <w:rsid w:val="00BC4972"/>
    <w:rsid w:val="00BC5FDF"/>
    <w:rsid w:val="00BC67F1"/>
    <w:rsid w:val="00BC6897"/>
    <w:rsid w:val="00BD17D9"/>
    <w:rsid w:val="00BD1B8D"/>
    <w:rsid w:val="00BD2DB7"/>
    <w:rsid w:val="00BD33D4"/>
    <w:rsid w:val="00BD40B1"/>
    <w:rsid w:val="00BD60EF"/>
    <w:rsid w:val="00BD64FF"/>
    <w:rsid w:val="00BD729B"/>
    <w:rsid w:val="00BD72AD"/>
    <w:rsid w:val="00BD775D"/>
    <w:rsid w:val="00BE013A"/>
    <w:rsid w:val="00BE01A0"/>
    <w:rsid w:val="00BE0640"/>
    <w:rsid w:val="00BE0934"/>
    <w:rsid w:val="00BE102E"/>
    <w:rsid w:val="00BE3A27"/>
    <w:rsid w:val="00BE3B6E"/>
    <w:rsid w:val="00BE4374"/>
    <w:rsid w:val="00BE47BF"/>
    <w:rsid w:val="00BE4913"/>
    <w:rsid w:val="00BE4FBC"/>
    <w:rsid w:val="00BE52FD"/>
    <w:rsid w:val="00BE5374"/>
    <w:rsid w:val="00BE5708"/>
    <w:rsid w:val="00BE5B7F"/>
    <w:rsid w:val="00BE5F01"/>
    <w:rsid w:val="00BE627A"/>
    <w:rsid w:val="00BE6CE8"/>
    <w:rsid w:val="00BE71CD"/>
    <w:rsid w:val="00BF0FBD"/>
    <w:rsid w:val="00BF239F"/>
    <w:rsid w:val="00BF2A29"/>
    <w:rsid w:val="00BF3050"/>
    <w:rsid w:val="00BF41F9"/>
    <w:rsid w:val="00BF5AC2"/>
    <w:rsid w:val="00BF5B43"/>
    <w:rsid w:val="00BF7C54"/>
    <w:rsid w:val="00C0058C"/>
    <w:rsid w:val="00C00E05"/>
    <w:rsid w:val="00C01D5F"/>
    <w:rsid w:val="00C02BBC"/>
    <w:rsid w:val="00C0345A"/>
    <w:rsid w:val="00C03511"/>
    <w:rsid w:val="00C04145"/>
    <w:rsid w:val="00C04779"/>
    <w:rsid w:val="00C04923"/>
    <w:rsid w:val="00C04BC8"/>
    <w:rsid w:val="00C04C3A"/>
    <w:rsid w:val="00C04F34"/>
    <w:rsid w:val="00C050FB"/>
    <w:rsid w:val="00C05700"/>
    <w:rsid w:val="00C062CF"/>
    <w:rsid w:val="00C06837"/>
    <w:rsid w:val="00C06B04"/>
    <w:rsid w:val="00C06C77"/>
    <w:rsid w:val="00C06ED3"/>
    <w:rsid w:val="00C074CD"/>
    <w:rsid w:val="00C07A05"/>
    <w:rsid w:val="00C107C3"/>
    <w:rsid w:val="00C11ACA"/>
    <w:rsid w:val="00C11D76"/>
    <w:rsid w:val="00C1215D"/>
    <w:rsid w:val="00C12974"/>
    <w:rsid w:val="00C134C1"/>
    <w:rsid w:val="00C13520"/>
    <w:rsid w:val="00C13BAD"/>
    <w:rsid w:val="00C13E35"/>
    <w:rsid w:val="00C1478A"/>
    <w:rsid w:val="00C14F9B"/>
    <w:rsid w:val="00C14FAB"/>
    <w:rsid w:val="00C15178"/>
    <w:rsid w:val="00C156E8"/>
    <w:rsid w:val="00C15D57"/>
    <w:rsid w:val="00C15F42"/>
    <w:rsid w:val="00C1610B"/>
    <w:rsid w:val="00C1611D"/>
    <w:rsid w:val="00C16BEC"/>
    <w:rsid w:val="00C16C94"/>
    <w:rsid w:val="00C16C9A"/>
    <w:rsid w:val="00C175E4"/>
    <w:rsid w:val="00C200D1"/>
    <w:rsid w:val="00C21D3C"/>
    <w:rsid w:val="00C21F0C"/>
    <w:rsid w:val="00C224E4"/>
    <w:rsid w:val="00C22C6C"/>
    <w:rsid w:val="00C2309D"/>
    <w:rsid w:val="00C232E0"/>
    <w:rsid w:val="00C24661"/>
    <w:rsid w:val="00C2487F"/>
    <w:rsid w:val="00C24B5E"/>
    <w:rsid w:val="00C24BE3"/>
    <w:rsid w:val="00C2521F"/>
    <w:rsid w:val="00C2534F"/>
    <w:rsid w:val="00C2560F"/>
    <w:rsid w:val="00C25AF0"/>
    <w:rsid w:val="00C2666D"/>
    <w:rsid w:val="00C2676E"/>
    <w:rsid w:val="00C2677A"/>
    <w:rsid w:val="00C26A96"/>
    <w:rsid w:val="00C30058"/>
    <w:rsid w:val="00C30817"/>
    <w:rsid w:val="00C31248"/>
    <w:rsid w:val="00C31741"/>
    <w:rsid w:val="00C317A2"/>
    <w:rsid w:val="00C324AC"/>
    <w:rsid w:val="00C32FED"/>
    <w:rsid w:val="00C343FC"/>
    <w:rsid w:val="00C34628"/>
    <w:rsid w:val="00C35AC3"/>
    <w:rsid w:val="00C35B2F"/>
    <w:rsid w:val="00C35E7A"/>
    <w:rsid w:val="00C36049"/>
    <w:rsid w:val="00C3651F"/>
    <w:rsid w:val="00C36633"/>
    <w:rsid w:val="00C36876"/>
    <w:rsid w:val="00C36E9D"/>
    <w:rsid w:val="00C37AE5"/>
    <w:rsid w:val="00C37C86"/>
    <w:rsid w:val="00C37F5A"/>
    <w:rsid w:val="00C4039D"/>
    <w:rsid w:val="00C4072B"/>
    <w:rsid w:val="00C412B1"/>
    <w:rsid w:val="00C41366"/>
    <w:rsid w:val="00C422C0"/>
    <w:rsid w:val="00C4303F"/>
    <w:rsid w:val="00C4348A"/>
    <w:rsid w:val="00C4436C"/>
    <w:rsid w:val="00C444D4"/>
    <w:rsid w:val="00C4518A"/>
    <w:rsid w:val="00C45292"/>
    <w:rsid w:val="00C45662"/>
    <w:rsid w:val="00C456DD"/>
    <w:rsid w:val="00C4588F"/>
    <w:rsid w:val="00C461B2"/>
    <w:rsid w:val="00C46E50"/>
    <w:rsid w:val="00C47C8E"/>
    <w:rsid w:val="00C509E3"/>
    <w:rsid w:val="00C5114E"/>
    <w:rsid w:val="00C516A4"/>
    <w:rsid w:val="00C52557"/>
    <w:rsid w:val="00C526BB"/>
    <w:rsid w:val="00C52FD1"/>
    <w:rsid w:val="00C530B8"/>
    <w:rsid w:val="00C53284"/>
    <w:rsid w:val="00C533A1"/>
    <w:rsid w:val="00C5359B"/>
    <w:rsid w:val="00C53A2B"/>
    <w:rsid w:val="00C53AF7"/>
    <w:rsid w:val="00C53CBB"/>
    <w:rsid w:val="00C554B5"/>
    <w:rsid w:val="00C55971"/>
    <w:rsid w:val="00C55B01"/>
    <w:rsid w:val="00C563B6"/>
    <w:rsid w:val="00C56D09"/>
    <w:rsid w:val="00C56E07"/>
    <w:rsid w:val="00C56EF2"/>
    <w:rsid w:val="00C570A6"/>
    <w:rsid w:val="00C572B3"/>
    <w:rsid w:val="00C579F3"/>
    <w:rsid w:val="00C600B3"/>
    <w:rsid w:val="00C60AE9"/>
    <w:rsid w:val="00C60C32"/>
    <w:rsid w:val="00C60DE1"/>
    <w:rsid w:val="00C610C1"/>
    <w:rsid w:val="00C6138E"/>
    <w:rsid w:val="00C61455"/>
    <w:rsid w:val="00C61464"/>
    <w:rsid w:val="00C61FF6"/>
    <w:rsid w:val="00C62749"/>
    <w:rsid w:val="00C62F67"/>
    <w:rsid w:val="00C634AE"/>
    <w:rsid w:val="00C63616"/>
    <w:rsid w:val="00C636BA"/>
    <w:rsid w:val="00C63E71"/>
    <w:rsid w:val="00C6407D"/>
    <w:rsid w:val="00C65D31"/>
    <w:rsid w:val="00C662E3"/>
    <w:rsid w:val="00C6676C"/>
    <w:rsid w:val="00C67E8E"/>
    <w:rsid w:val="00C70271"/>
    <w:rsid w:val="00C70314"/>
    <w:rsid w:val="00C72177"/>
    <w:rsid w:val="00C72E90"/>
    <w:rsid w:val="00C73592"/>
    <w:rsid w:val="00C73BB2"/>
    <w:rsid w:val="00C73C89"/>
    <w:rsid w:val="00C73CD2"/>
    <w:rsid w:val="00C747D9"/>
    <w:rsid w:val="00C74B8C"/>
    <w:rsid w:val="00C754D5"/>
    <w:rsid w:val="00C769A9"/>
    <w:rsid w:val="00C7721D"/>
    <w:rsid w:val="00C77BA1"/>
    <w:rsid w:val="00C77F5B"/>
    <w:rsid w:val="00C80ABD"/>
    <w:rsid w:val="00C80EBF"/>
    <w:rsid w:val="00C81A0E"/>
    <w:rsid w:val="00C8268F"/>
    <w:rsid w:val="00C82836"/>
    <w:rsid w:val="00C83535"/>
    <w:rsid w:val="00C83543"/>
    <w:rsid w:val="00C83A0F"/>
    <w:rsid w:val="00C83AC8"/>
    <w:rsid w:val="00C83D84"/>
    <w:rsid w:val="00C849D4"/>
    <w:rsid w:val="00C8615B"/>
    <w:rsid w:val="00C86615"/>
    <w:rsid w:val="00C86FC0"/>
    <w:rsid w:val="00C87436"/>
    <w:rsid w:val="00C87546"/>
    <w:rsid w:val="00C875D1"/>
    <w:rsid w:val="00C8775A"/>
    <w:rsid w:val="00C87AB6"/>
    <w:rsid w:val="00C87D40"/>
    <w:rsid w:val="00C90AB8"/>
    <w:rsid w:val="00C90D0B"/>
    <w:rsid w:val="00C91651"/>
    <w:rsid w:val="00C917A4"/>
    <w:rsid w:val="00C919CA"/>
    <w:rsid w:val="00C91CA8"/>
    <w:rsid w:val="00C91DC5"/>
    <w:rsid w:val="00C91F2E"/>
    <w:rsid w:val="00C92073"/>
    <w:rsid w:val="00C922A2"/>
    <w:rsid w:val="00C92BA6"/>
    <w:rsid w:val="00C944A4"/>
    <w:rsid w:val="00C948F4"/>
    <w:rsid w:val="00C94D6A"/>
    <w:rsid w:val="00C950F4"/>
    <w:rsid w:val="00C95D64"/>
    <w:rsid w:val="00C95F86"/>
    <w:rsid w:val="00C97A7F"/>
    <w:rsid w:val="00C97CEE"/>
    <w:rsid w:val="00C97D25"/>
    <w:rsid w:val="00CA0ABB"/>
    <w:rsid w:val="00CA11C1"/>
    <w:rsid w:val="00CA26EA"/>
    <w:rsid w:val="00CA28C2"/>
    <w:rsid w:val="00CA2FB2"/>
    <w:rsid w:val="00CA3019"/>
    <w:rsid w:val="00CA38DD"/>
    <w:rsid w:val="00CA3D3A"/>
    <w:rsid w:val="00CA42D6"/>
    <w:rsid w:val="00CA4435"/>
    <w:rsid w:val="00CA4BBA"/>
    <w:rsid w:val="00CA528A"/>
    <w:rsid w:val="00CA6024"/>
    <w:rsid w:val="00CA6090"/>
    <w:rsid w:val="00CA6284"/>
    <w:rsid w:val="00CA6628"/>
    <w:rsid w:val="00CA7017"/>
    <w:rsid w:val="00CA7520"/>
    <w:rsid w:val="00CB023F"/>
    <w:rsid w:val="00CB056F"/>
    <w:rsid w:val="00CB0E40"/>
    <w:rsid w:val="00CB15E9"/>
    <w:rsid w:val="00CB184C"/>
    <w:rsid w:val="00CB1C3E"/>
    <w:rsid w:val="00CB1D65"/>
    <w:rsid w:val="00CB2BD5"/>
    <w:rsid w:val="00CB315B"/>
    <w:rsid w:val="00CB357C"/>
    <w:rsid w:val="00CB41BD"/>
    <w:rsid w:val="00CB4A7E"/>
    <w:rsid w:val="00CB5C55"/>
    <w:rsid w:val="00CB60D5"/>
    <w:rsid w:val="00CB60D8"/>
    <w:rsid w:val="00CB6679"/>
    <w:rsid w:val="00CB7291"/>
    <w:rsid w:val="00CB75BD"/>
    <w:rsid w:val="00CC185F"/>
    <w:rsid w:val="00CC1A49"/>
    <w:rsid w:val="00CC1D1A"/>
    <w:rsid w:val="00CC28A9"/>
    <w:rsid w:val="00CC315A"/>
    <w:rsid w:val="00CC34A3"/>
    <w:rsid w:val="00CC3657"/>
    <w:rsid w:val="00CC3A80"/>
    <w:rsid w:val="00CC3B39"/>
    <w:rsid w:val="00CC3D74"/>
    <w:rsid w:val="00CC53CC"/>
    <w:rsid w:val="00CC5956"/>
    <w:rsid w:val="00CC5AC8"/>
    <w:rsid w:val="00CC5D59"/>
    <w:rsid w:val="00CC6217"/>
    <w:rsid w:val="00CC6260"/>
    <w:rsid w:val="00CC66D6"/>
    <w:rsid w:val="00CC6953"/>
    <w:rsid w:val="00CC7CAA"/>
    <w:rsid w:val="00CD065A"/>
    <w:rsid w:val="00CD06DD"/>
    <w:rsid w:val="00CD0847"/>
    <w:rsid w:val="00CD1404"/>
    <w:rsid w:val="00CD16DB"/>
    <w:rsid w:val="00CD193B"/>
    <w:rsid w:val="00CD2BF8"/>
    <w:rsid w:val="00CD40AF"/>
    <w:rsid w:val="00CD4EA4"/>
    <w:rsid w:val="00CD5664"/>
    <w:rsid w:val="00CD6B85"/>
    <w:rsid w:val="00CD6D0B"/>
    <w:rsid w:val="00CD6F74"/>
    <w:rsid w:val="00CD7180"/>
    <w:rsid w:val="00CE02A7"/>
    <w:rsid w:val="00CE0C25"/>
    <w:rsid w:val="00CE2125"/>
    <w:rsid w:val="00CE28E3"/>
    <w:rsid w:val="00CE4480"/>
    <w:rsid w:val="00CE7A78"/>
    <w:rsid w:val="00CF0476"/>
    <w:rsid w:val="00CF04D9"/>
    <w:rsid w:val="00CF0C96"/>
    <w:rsid w:val="00CF0D4D"/>
    <w:rsid w:val="00CF11F5"/>
    <w:rsid w:val="00CF17FF"/>
    <w:rsid w:val="00CF182F"/>
    <w:rsid w:val="00CF1A2D"/>
    <w:rsid w:val="00CF1E6D"/>
    <w:rsid w:val="00CF257A"/>
    <w:rsid w:val="00CF26D0"/>
    <w:rsid w:val="00CF2893"/>
    <w:rsid w:val="00CF2913"/>
    <w:rsid w:val="00CF439F"/>
    <w:rsid w:val="00CF5956"/>
    <w:rsid w:val="00CF5AA2"/>
    <w:rsid w:val="00CF642D"/>
    <w:rsid w:val="00CF7120"/>
    <w:rsid w:val="00CF724C"/>
    <w:rsid w:val="00D00191"/>
    <w:rsid w:val="00D001B4"/>
    <w:rsid w:val="00D003B7"/>
    <w:rsid w:val="00D008CD"/>
    <w:rsid w:val="00D00955"/>
    <w:rsid w:val="00D00CCA"/>
    <w:rsid w:val="00D00E36"/>
    <w:rsid w:val="00D0161F"/>
    <w:rsid w:val="00D01793"/>
    <w:rsid w:val="00D02E26"/>
    <w:rsid w:val="00D02F4F"/>
    <w:rsid w:val="00D03416"/>
    <w:rsid w:val="00D0349A"/>
    <w:rsid w:val="00D0371B"/>
    <w:rsid w:val="00D03989"/>
    <w:rsid w:val="00D040A9"/>
    <w:rsid w:val="00D04CB3"/>
    <w:rsid w:val="00D06A17"/>
    <w:rsid w:val="00D104DE"/>
    <w:rsid w:val="00D10C43"/>
    <w:rsid w:val="00D1235F"/>
    <w:rsid w:val="00D12577"/>
    <w:rsid w:val="00D128A7"/>
    <w:rsid w:val="00D14163"/>
    <w:rsid w:val="00D14922"/>
    <w:rsid w:val="00D14E59"/>
    <w:rsid w:val="00D1636B"/>
    <w:rsid w:val="00D16EF7"/>
    <w:rsid w:val="00D1723E"/>
    <w:rsid w:val="00D20031"/>
    <w:rsid w:val="00D208E7"/>
    <w:rsid w:val="00D211EA"/>
    <w:rsid w:val="00D21898"/>
    <w:rsid w:val="00D21D82"/>
    <w:rsid w:val="00D2208E"/>
    <w:rsid w:val="00D2210E"/>
    <w:rsid w:val="00D22955"/>
    <w:rsid w:val="00D2334B"/>
    <w:rsid w:val="00D23862"/>
    <w:rsid w:val="00D24137"/>
    <w:rsid w:val="00D25374"/>
    <w:rsid w:val="00D25B55"/>
    <w:rsid w:val="00D25BA6"/>
    <w:rsid w:val="00D26D01"/>
    <w:rsid w:val="00D271D2"/>
    <w:rsid w:val="00D278C6"/>
    <w:rsid w:val="00D313B3"/>
    <w:rsid w:val="00D3292B"/>
    <w:rsid w:val="00D33898"/>
    <w:rsid w:val="00D339E4"/>
    <w:rsid w:val="00D33BEB"/>
    <w:rsid w:val="00D33F02"/>
    <w:rsid w:val="00D34A21"/>
    <w:rsid w:val="00D34EE4"/>
    <w:rsid w:val="00D358F7"/>
    <w:rsid w:val="00D35D84"/>
    <w:rsid w:val="00D35FEA"/>
    <w:rsid w:val="00D36376"/>
    <w:rsid w:val="00D366CA"/>
    <w:rsid w:val="00D36899"/>
    <w:rsid w:val="00D36E67"/>
    <w:rsid w:val="00D379AC"/>
    <w:rsid w:val="00D37EF5"/>
    <w:rsid w:val="00D4037C"/>
    <w:rsid w:val="00D40F58"/>
    <w:rsid w:val="00D40FA2"/>
    <w:rsid w:val="00D41072"/>
    <w:rsid w:val="00D419C9"/>
    <w:rsid w:val="00D41B65"/>
    <w:rsid w:val="00D428B9"/>
    <w:rsid w:val="00D42D00"/>
    <w:rsid w:val="00D43246"/>
    <w:rsid w:val="00D442E1"/>
    <w:rsid w:val="00D446F8"/>
    <w:rsid w:val="00D44B4B"/>
    <w:rsid w:val="00D4541F"/>
    <w:rsid w:val="00D45750"/>
    <w:rsid w:val="00D457EA"/>
    <w:rsid w:val="00D45966"/>
    <w:rsid w:val="00D45C42"/>
    <w:rsid w:val="00D46453"/>
    <w:rsid w:val="00D465E2"/>
    <w:rsid w:val="00D4781C"/>
    <w:rsid w:val="00D50407"/>
    <w:rsid w:val="00D51D55"/>
    <w:rsid w:val="00D5254E"/>
    <w:rsid w:val="00D52D3D"/>
    <w:rsid w:val="00D52E54"/>
    <w:rsid w:val="00D52FF5"/>
    <w:rsid w:val="00D545A2"/>
    <w:rsid w:val="00D548FA"/>
    <w:rsid w:val="00D55157"/>
    <w:rsid w:val="00D5550F"/>
    <w:rsid w:val="00D55E02"/>
    <w:rsid w:val="00D560E1"/>
    <w:rsid w:val="00D5642B"/>
    <w:rsid w:val="00D56D06"/>
    <w:rsid w:val="00D56DFA"/>
    <w:rsid w:val="00D57821"/>
    <w:rsid w:val="00D60E22"/>
    <w:rsid w:val="00D61302"/>
    <w:rsid w:val="00D61C04"/>
    <w:rsid w:val="00D62700"/>
    <w:rsid w:val="00D62BD4"/>
    <w:rsid w:val="00D62F4D"/>
    <w:rsid w:val="00D63673"/>
    <w:rsid w:val="00D64906"/>
    <w:rsid w:val="00D64993"/>
    <w:rsid w:val="00D652D9"/>
    <w:rsid w:val="00D653B8"/>
    <w:rsid w:val="00D65E11"/>
    <w:rsid w:val="00D66B11"/>
    <w:rsid w:val="00D677F1"/>
    <w:rsid w:val="00D70A4B"/>
    <w:rsid w:val="00D70DDA"/>
    <w:rsid w:val="00D71171"/>
    <w:rsid w:val="00D72029"/>
    <w:rsid w:val="00D726AA"/>
    <w:rsid w:val="00D72BC2"/>
    <w:rsid w:val="00D734C5"/>
    <w:rsid w:val="00D737BD"/>
    <w:rsid w:val="00D73953"/>
    <w:rsid w:val="00D73AD9"/>
    <w:rsid w:val="00D73BA6"/>
    <w:rsid w:val="00D747C5"/>
    <w:rsid w:val="00D755DF"/>
    <w:rsid w:val="00D75CFF"/>
    <w:rsid w:val="00D76182"/>
    <w:rsid w:val="00D763B6"/>
    <w:rsid w:val="00D76644"/>
    <w:rsid w:val="00D77246"/>
    <w:rsid w:val="00D77B20"/>
    <w:rsid w:val="00D80C29"/>
    <w:rsid w:val="00D80F64"/>
    <w:rsid w:val="00D80FC0"/>
    <w:rsid w:val="00D814B0"/>
    <w:rsid w:val="00D81D3C"/>
    <w:rsid w:val="00D82525"/>
    <w:rsid w:val="00D826A1"/>
    <w:rsid w:val="00D82A66"/>
    <w:rsid w:val="00D8316D"/>
    <w:rsid w:val="00D83B51"/>
    <w:rsid w:val="00D8465E"/>
    <w:rsid w:val="00D84695"/>
    <w:rsid w:val="00D84ECA"/>
    <w:rsid w:val="00D8525E"/>
    <w:rsid w:val="00D856D2"/>
    <w:rsid w:val="00D85804"/>
    <w:rsid w:val="00D873E8"/>
    <w:rsid w:val="00D902A2"/>
    <w:rsid w:val="00D9041B"/>
    <w:rsid w:val="00D90833"/>
    <w:rsid w:val="00D90A19"/>
    <w:rsid w:val="00D90DBB"/>
    <w:rsid w:val="00D9141D"/>
    <w:rsid w:val="00D91A9B"/>
    <w:rsid w:val="00D92210"/>
    <w:rsid w:val="00D928AD"/>
    <w:rsid w:val="00D92D23"/>
    <w:rsid w:val="00D93A7F"/>
    <w:rsid w:val="00D9409E"/>
    <w:rsid w:val="00D94472"/>
    <w:rsid w:val="00D946C9"/>
    <w:rsid w:val="00D94CF3"/>
    <w:rsid w:val="00D94D26"/>
    <w:rsid w:val="00D95326"/>
    <w:rsid w:val="00D95533"/>
    <w:rsid w:val="00D959ED"/>
    <w:rsid w:val="00D95B1A"/>
    <w:rsid w:val="00D967A8"/>
    <w:rsid w:val="00D97281"/>
    <w:rsid w:val="00D978A0"/>
    <w:rsid w:val="00D97DA5"/>
    <w:rsid w:val="00D97DD5"/>
    <w:rsid w:val="00DA058E"/>
    <w:rsid w:val="00DA1FE6"/>
    <w:rsid w:val="00DA2E3F"/>
    <w:rsid w:val="00DA428B"/>
    <w:rsid w:val="00DA47B6"/>
    <w:rsid w:val="00DA512C"/>
    <w:rsid w:val="00DA5B61"/>
    <w:rsid w:val="00DA6077"/>
    <w:rsid w:val="00DA60F2"/>
    <w:rsid w:val="00DA6765"/>
    <w:rsid w:val="00DA6CD2"/>
    <w:rsid w:val="00DA773B"/>
    <w:rsid w:val="00DA7EFE"/>
    <w:rsid w:val="00DA7F6C"/>
    <w:rsid w:val="00DB003C"/>
    <w:rsid w:val="00DB045E"/>
    <w:rsid w:val="00DB1CDE"/>
    <w:rsid w:val="00DB1E91"/>
    <w:rsid w:val="00DB38C7"/>
    <w:rsid w:val="00DB4410"/>
    <w:rsid w:val="00DB44CD"/>
    <w:rsid w:val="00DB5117"/>
    <w:rsid w:val="00DB6031"/>
    <w:rsid w:val="00DB664A"/>
    <w:rsid w:val="00DB6951"/>
    <w:rsid w:val="00DB7384"/>
    <w:rsid w:val="00DB7463"/>
    <w:rsid w:val="00DB78A2"/>
    <w:rsid w:val="00DC0536"/>
    <w:rsid w:val="00DC12A7"/>
    <w:rsid w:val="00DC14AF"/>
    <w:rsid w:val="00DC1720"/>
    <w:rsid w:val="00DC181B"/>
    <w:rsid w:val="00DC3633"/>
    <w:rsid w:val="00DC4108"/>
    <w:rsid w:val="00DC4EC7"/>
    <w:rsid w:val="00DC4F64"/>
    <w:rsid w:val="00DC4F8C"/>
    <w:rsid w:val="00DC50C5"/>
    <w:rsid w:val="00DC5652"/>
    <w:rsid w:val="00DC64A7"/>
    <w:rsid w:val="00DC662B"/>
    <w:rsid w:val="00DC6B26"/>
    <w:rsid w:val="00DC74C9"/>
    <w:rsid w:val="00DD0953"/>
    <w:rsid w:val="00DD0CE4"/>
    <w:rsid w:val="00DD1368"/>
    <w:rsid w:val="00DD16C0"/>
    <w:rsid w:val="00DD1976"/>
    <w:rsid w:val="00DD1A95"/>
    <w:rsid w:val="00DD1C6C"/>
    <w:rsid w:val="00DD2006"/>
    <w:rsid w:val="00DD2805"/>
    <w:rsid w:val="00DD2C81"/>
    <w:rsid w:val="00DD2CA3"/>
    <w:rsid w:val="00DD2FB4"/>
    <w:rsid w:val="00DD306D"/>
    <w:rsid w:val="00DD4CF9"/>
    <w:rsid w:val="00DD5051"/>
    <w:rsid w:val="00DD53EB"/>
    <w:rsid w:val="00DD5461"/>
    <w:rsid w:val="00DD709A"/>
    <w:rsid w:val="00DD729E"/>
    <w:rsid w:val="00DD74EE"/>
    <w:rsid w:val="00DD7624"/>
    <w:rsid w:val="00DD77BD"/>
    <w:rsid w:val="00DE01D0"/>
    <w:rsid w:val="00DE0710"/>
    <w:rsid w:val="00DE0D0F"/>
    <w:rsid w:val="00DE1328"/>
    <w:rsid w:val="00DE152D"/>
    <w:rsid w:val="00DE183A"/>
    <w:rsid w:val="00DE247A"/>
    <w:rsid w:val="00DE2496"/>
    <w:rsid w:val="00DE279F"/>
    <w:rsid w:val="00DE3EDF"/>
    <w:rsid w:val="00DE480F"/>
    <w:rsid w:val="00DE55E2"/>
    <w:rsid w:val="00DE5AD7"/>
    <w:rsid w:val="00DE5BF9"/>
    <w:rsid w:val="00DE5DC1"/>
    <w:rsid w:val="00DE6B5C"/>
    <w:rsid w:val="00DE7099"/>
    <w:rsid w:val="00DE77FE"/>
    <w:rsid w:val="00DF05A4"/>
    <w:rsid w:val="00DF0E8E"/>
    <w:rsid w:val="00DF0FAA"/>
    <w:rsid w:val="00DF16B8"/>
    <w:rsid w:val="00DF1E43"/>
    <w:rsid w:val="00DF2945"/>
    <w:rsid w:val="00DF341B"/>
    <w:rsid w:val="00DF39E9"/>
    <w:rsid w:val="00DF3E5C"/>
    <w:rsid w:val="00DF431B"/>
    <w:rsid w:val="00DF48DB"/>
    <w:rsid w:val="00DF5D33"/>
    <w:rsid w:val="00DF5F96"/>
    <w:rsid w:val="00DF6D1D"/>
    <w:rsid w:val="00DF6E61"/>
    <w:rsid w:val="00DF74D9"/>
    <w:rsid w:val="00E00186"/>
    <w:rsid w:val="00E004A5"/>
    <w:rsid w:val="00E0113A"/>
    <w:rsid w:val="00E01B23"/>
    <w:rsid w:val="00E02DE6"/>
    <w:rsid w:val="00E031BF"/>
    <w:rsid w:val="00E0360B"/>
    <w:rsid w:val="00E03A96"/>
    <w:rsid w:val="00E03BF8"/>
    <w:rsid w:val="00E04644"/>
    <w:rsid w:val="00E0490B"/>
    <w:rsid w:val="00E05221"/>
    <w:rsid w:val="00E052EA"/>
    <w:rsid w:val="00E05D56"/>
    <w:rsid w:val="00E06338"/>
    <w:rsid w:val="00E0707C"/>
    <w:rsid w:val="00E079B8"/>
    <w:rsid w:val="00E100C9"/>
    <w:rsid w:val="00E102BC"/>
    <w:rsid w:val="00E105A9"/>
    <w:rsid w:val="00E10619"/>
    <w:rsid w:val="00E109EB"/>
    <w:rsid w:val="00E1134E"/>
    <w:rsid w:val="00E131DF"/>
    <w:rsid w:val="00E1365B"/>
    <w:rsid w:val="00E13DC7"/>
    <w:rsid w:val="00E15056"/>
    <w:rsid w:val="00E15A16"/>
    <w:rsid w:val="00E15C82"/>
    <w:rsid w:val="00E15D1D"/>
    <w:rsid w:val="00E15DB1"/>
    <w:rsid w:val="00E15FB5"/>
    <w:rsid w:val="00E170C9"/>
    <w:rsid w:val="00E17552"/>
    <w:rsid w:val="00E1762F"/>
    <w:rsid w:val="00E17863"/>
    <w:rsid w:val="00E17AF3"/>
    <w:rsid w:val="00E20391"/>
    <w:rsid w:val="00E20586"/>
    <w:rsid w:val="00E21467"/>
    <w:rsid w:val="00E21558"/>
    <w:rsid w:val="00E21B03"/>
    <w:rsid w:val="00E22191"/>
    <w:rsid w:val="00E222AB"/>
    <w:rsid w:val="00E22445"/>
    <w:rsid w:val="00E22F59"/>
    <w:rsid w:val="00E25142"/>
    <w:rsid w:val="00E2580A"/>
    <w:rsid w:val="00E260A3"/>
    <w:rsid w:val="00E26B75"/>
    <w:rsid w:val="00E26D15"/>
    <w:rsid w:val="00E27934"/>
    <w:rsid w:val="00E27DDB"/>
    <w:rsid w:val="00E303E5"/>
    <w:rsid w:val="00E31702"/>
    <w:rsid w:val="00E31B75"/>
    <w:rsid w:val="00E31D28"/>
    <w:rsid w:val="00E31DCA"/>
    <w:rsid w:val="00E3242E"/>
    <w:rsid w:val="00E3250E"/>
    <w:rsid w:val="00E330C9"/>
    <w:rsid w:val="00E3330E"/>
    <w:rsid w:val="00E3351F"/>
    <w:rsid w:val="00E33992"/>
    <w:rsid w:val="00E339AA"/>
    <w:rsid w:val="00E34C5B"/>
    <w:rsid w:val="00E362CD"/>
    <w:rsid w:val="00E36361"/>
    <w:rsid w:val="00E36F66"/>
    <w:rsid w:val="00E371F5"/>
    <w:rsid w:val="00E37A6D"/>
    <w:rsid w:val="00E37F86"/>
    <w:rsid w:val="00E40BB5"/>
    <w:rsid w:val="00E40DAE"/>
    <w:rsid w:val="00E40F62"/>
    <w:rsid w:val="00E40FD5"/>
    <w:rsid w:val="00E420E0"/>
    <w:rsid w:val="00E423D1"/>
    <w:rsid w:val="00E425E4"/>
    <w:rsid w:val="00E426C3"/>
    <w:rsid w:val="00E4274F"/>
    <w:rsid w:val="00E43249"/>
    <w:rsid w:val="00E436A2"/>
    <w:rsid w:val="00E453E7"/>
    <w:rsid w:val="00E458D8"/>
    <w:rsid w:val="00E45D8B"/>
    <w:rsid w:val="00E471F1"/>
    <w:rsid w:val="00E476C1"/>
    <w:rsid w:val="00E506D6"/>
    <w:rsid w:val="00E50B2F"/>
    <w:rsid w:val="00E518A7"/>
    <w:rsid w:val="00E5229F"/>
    <w:rsid w:val="00E528A7"/>
    <w:rsid w:val="00E529F5"/>
    <w:rsid w:val="00E5318A"/>
    <w:rsid w:val="00E533E9"/>
    <w:rsid w:val="00E5356B"/>
    <w:rsid w:val="00E53E00"/>
    <w:rsid w:val="00E53F85"/>
    <w:rsid w:val="00E54221"/>
    <w:rsid w:val="00E554DD"/>
    <w:rsid w:val="00E5650A"/>
    <w:rsid w:val="00E574EC"/>
    <w:rsid w:val="00E57F9C"/>
    <w:rsid w:val="00E60010"/>
    <w:rsid w:val="00E600CA"/>
    <w:rsid w:val="00E615F9"/>
    <w:rsid w:val="00E61833"/>
    <w:rsid w:val="00E6193C"/>
    <w:rsid w:val="00E61C9F"/>
    <w:rsid w:val="00E62852"/>
    <w:rsid w:val="00E62BC2"/>
    <w:rsid w:val="00E63DAA"/>
    <w:rsid w:val="00E63E21"/>
    <w:rsid w:val="00E64182"/>
    <w:rsid w:val="00E64375"/>
    <w:rsid w:val="00E643D4"/>
    <w:rsid w:val="00E64733"/>
    <w:rsid w:val="00E6477C"/>
    <w:rsid w:val="00E64D89"/>
    <w:rsid w:val="00E6566C"/>
    <w:rsid w:val="00E65C44"/>
    <w:rsid w:val="00E65DD3"/>
    <w:rsid w:val="00E65EC9"/>
    <w:rsid w:val="00E665F9"/>
    <w:rsid w:val="00E66669"/>
    <w:rsid w:val="00E6702B"/>
    <w:rsid w:val="00E6768C"/>
    <w:rsid w:val="00E7027C"/>
    <w:rsid w:val="00E70D3C"/>
    <w:rsid w:val="00E70FA4"/>
    <w:rsid w:val="00E7126A"/>
    <w:rsid w:val="00E7221D"/>
    <w:rsid w:val="00E72BF9"/>
    <w:rsid w:val="00E75A5C"/>
    <w:rsid w:val="00E75CC1"/>
    <w:rsid w:val="00E75F3E"/>
    <w:rsid w:val="00E7615F"/>
    <w:rsid w:val="00E76AE0"/>
    <w:rsid w:val="00E76C67"/>
    <w:rsid w:val="00E81044"/>
    <w:rsid w:val="00E81A87"/>
    <w:rsid w:val="00E8226C"/>
    <w:rsid w:val="00E83330"/>
    <w:rsid w:val="00E83948"/>
    <w:rsid w:val="00E83B21"/>
    <w:rsid w:val="00E83CF9"/>
    <w:rsid w:val="00E85570"/>
    <w:rsid w:val="00E86F76"/>
    <w:rsid w:val="00E8732A"/>
    <w:rsid w:val="00E91281"/>
    <w:rsid w:val="00E912C6"/>
    <w:rsid w:val="00E92974"/>
    <w:rsid w:val="00E92E27"/>
    <w:rsid w:val="00E92F98"/>
    <w:rsid w:val="00E9331D"/>
    <w:rsid w:val="00E93D22"/>
    <w:rsid w:val="00E943D9"/>
    <w:rsid w:val="00E945ED"/>
    <w:rsid w:val="00E94687"/>
    <w:rsid w:val="00E9496F"/>
    <w:rsid w:val="00E94ABC"/>
    <w:rsid w:val="00E94E09"/>
    <w:rsid w:val="00E95322"/>
    <w:rsid w:val="00E953E8"/>
    <w:rsid w:val="00E953EC"/>
    <w:rsid w:val="00E95490"/>
    <w:rsid w:val="00E954D2"/>
    <w:rsid w:val="00E959A4"/>
    <w:rsid w:val="00E968C1"/>
    <w:rsid w:val="00E971F6"/>
    <w:rsid w:val="00E972E6"/>
    <w:rsid w:val="00EA020C"/>
    <w:rsid w:val="00EA07B1"/>
    <w:rsid w:val="00EA0E54"/>
    <w:rsid w:val="00EA1769"/>
    <w:rsid w:val="00EA1C8F"/>
    <w:rsid w:val="00EA1C93"/>
    <w:rsid w:val="00EA2E9B"/>
    <w:rsid w:val="00EA3671"/>
    <w:rsid w:val="00EA3A60"/>
    <w:rsid w:val="00EA41F3"/>
    <w:rsid w:val="00EA4CD6"/>
    <w:rsid w:val="00EA4FE5"/>
    <w:rsid w:val="00EA53AE"/>
    <w:rsid w:val="00EA54F9"/>
    <w:rsid w:val="00EA5C9A"/>
    <w:rsid w:val="00EA6288"/>
    <w:rsid w:val="00EA7774"/>
    <w:rsid w:val="00EA78C2"/>
    <w:rsid w:val="00EA7ACA"/>
    <w:rsid w:val="00EB040C"/>
    <w:rsid w:val="00EB0DEA"/>
    <w:rsid w:val="00EB1B51"/>
    <w:rsid w:val="00EB1E9B"/>
    <w:rsid w:val="00EB1F35"/>
    <w:rsid w:val="00EB1F63"/>
    <w:rsid w:val="00EB1F82"/>
    <w:rsid w:val="00EB2081"/>
    <w:rsid w:val="00EB212C"/>
    <w:rsid w:val="00EB27BC"/>
    <w:rsid w:val="00EB2A68"/>
    <w:rsid w:val="00EB2AAD"/>
    <w:rsid w:val="00EB2E22"/>
    <w:rsid w:val="00EB32F2"/>
    <w:rsid w:val="00EB444D"/>
    <w:rsid w:val="00EB4E54"/>
    <w:rsid w:val="00EB4F4B"/>
    <w:rsid w:val="00EB5739"/>
    <w:rsid w:val="00EB58FD"/>
    <w:rsid w:val="00EB6A32"/>
    <w:rsid w:val="00EB782D"/>
    <w:rsid w:val="00EB7B85"/>
    <w:rsid w:val="00EC33A0"/>
    <w:rsid w:val="00EC417A"/>
    <w:rsid w:val="00EC4420"/>
    <w:rsid w:val="00EC4836"/>
    <w:rsid w:val="00EC5088"/>
    <w:rsid w:val="00EC5141"/>
    <w:rsid w:val="00EC5560"/>
    <w:rsid w:val="00EC6D5E"/>
    <w:rsid w:val="00EC6FF1"/>
    <w:rsid w:val="00EC74A3"/>
    <w:rsid w:val="00EC7729"/>
    <w:rsid w:val="00EC7FEC"/>
    <w:rsid w:val="00ED23F5"/>
    <w:rsid w:val="00ED35AB"/>
    <w:rsid w:val="00ED3B17"/>
    <w:rsid w:val="00ED4A3C"/>
    <w:rsid w:val="00ED5408"/>
    <w:rsid w:val="00ED5E38"/>
    <w:rsid w:val="00ED6058"/>
    <w:rsid w:val="00ED76E7"/>
    <w:rsid w:val="00EE0BB9"/>
    <w:rsid w:val="00EE0FE8"/>
    <w:rsid w:val="00EE218A"/>
    <w:rsid w:val="00EE21CD"/>
    <w:rsid w:val="00EE288C"/>
    <w:rsid w:val="00EE2BFD"/>
    <w:rsid w:val="00EE3942"/>
    <w:rsid w:val="00EE3DCB"/>
    <w:rsid w:val="00EE4490"/>
    <w:rsid w:val="00EE4DD4"/>
    <w:rsid w:val="00EE4EEF"/>
    <w:rsid w:val="00EE526C"/>
    <w:rsid w:val="00EE5C67"/>
    <w:rsid w:val="00EE5E5C"/>
    <w:rsid w:val="00EE6733"/>
    <w:rsid w:val="00EE67B1"/>
    <w:rsid w:val="00EE6832"/>
    <w:rsid w:val="00EE705B"/>
    <w:rsid w:val="00EE7754"/>
    <w:rsid w:val="00EE7D9A"/>
    <w:rsid w:val="00EF0218"/>
    <w:rsid w:val="00EF03D4"/>
    <w:rsid w:val="00EF0559"/>
    <w:rsid w:val="00EF0DFA"/>
    <w:rsid w:val="00EF13C9"/>
    <w:rsid w:val="00EF1755"/>
    <w:rsid w:val="00EF3AD2"/>
    <w:rsid w:val="00EF3D58"/>
    <w:rsid w:val="00EF3F00"/>
    <w:rsid w:val="00EF4253"/>
    <w:rsid w:val="00EF4B6D"/>
    <w:rsid w:val="00EF4D5B"/>
    <w:rsid w:val="00EF53B2"/>
    <w:rsid w:val="00EF6069"/>
    <w:rsid w:val="00EF678C"/>
    <w:rsid w:val="00EF6ED2"/>
    <w:rsid w:val="00EF7063"/>
    <w:rsid w:val="00EF7084"/>
    <w:rsid w:val="00EF7113"/>
    <w:rsid w:val="00F0137E"/>
    <w:rsid w:val="00F01FF2"/>
    <w:rsid w:val="00F02316"/>
    <w:rsid w:val="00F02C65"/>
    <w:rsid w:val="00F037C9"/>
    <w:rsid w:val="00F037F5"/>
    <w:rsid w:val="00F03944"/>
    <w:rsid w:val="00F03B39"/>
    <w:rsid w:val="00F04052"/>
    <w:rsid w:val="00F044F0"/>
    <w:rsid w:val="00F04EFD"/>
    <w:rsid w:val="00F04FED"/>
    <w:rsid w:val="00F06673"/>
    <w:rsid w:val="00F06961"/>
    <w:rsid w:val="00F1066F"/>
    <w:rsid w:val="00F10700"/>
    <w:rsid w:val="00F13905"/>
    <w:rsid w:val="00F13D8A"/>
    <w:rsid w:val="00F1415F"/>
    <w:rsid w:val="00F14201"/>
    <w:rsid w:val="00F144B5"/>
    <w:rsid w:val="00F14EDD"/>
    <w:rsid w:val="00F1508C"/>
    <w:rsid w:val="00F15392"/>
    <w:rsid w:val="00F1578E"/>
    <w:rsid w:val="00F158F1"/>
    <w:rsid w:val="00F15D4A"/>
    <w:rsid w:val="00F162BE"/>
    <w:rsid w:val="00F16477"/>
    <w:rsid w:val="00F173D2"/>
    <w:rsid w:val="00F205E3"/>
    <w:rsid w:val="00F20763"/>
    <w:rsid w:val="00F2141E"/>
    <w:rsid w:val="00F21679"/>
    <w:rsid w:val="00F217A2"/>
    <w:rsid w:val="00F21B80"/>
    <w:rsid w:val="00F22320"/>
    <w:rsid w:val="00F227C8"/>
    <w:rsid w:val="00F2361D"/>
    <w:rsid w:val="00F23BE8"/>
    <w:rsid w:val="00F23CB7"/>
    <w:rsid w:val="00F24FD7"/>
    <w:rsid w:val="00F257B5"/>
    <w:rsid w:val="00F258C8"/>
    <w:rsid w:val="00F25F22"/>
    <w:rsid w:val="00F26EFF"/>
    <w:rsid w:val="00F2720E"/>
    <w:rsid w:val="00F27572"/>
    <w:rsid w:val="00F2776D"/>
    <w:rsid w:val="00F27B4A"/>
    <w:rsid w:val="00F30507"/>
    <w:rsid w:val="00F316F3"/>
    <w:rsid w:val="00F31DFA"/>
    <w:rsid w:val="00F32259"/>
    <w:rsid w:val="00F33B5B"/>
    <w:rsid w:val="00F33E2A"/>
    <w:rsid w:val="00F345DC"/>
    <w:rsid w:val="00F346E6"/>
    <w:rsid w:val="00F34D5A"/>
    <w:rsid w:val="00F3546B"/>
    <w:rsid w:val="00F35922"/>
    <w:rsid w:val="00F36E52"/>
    <w:rsid w:val="00F37333"/>
    <w:rsid w:val="00F3755A"/>
    <w:rsid w:val="00F376E1"/>
    <w:rsid w:val="00F403A3"/>
    <w:rsid w:val="00F40864"/>
    <w:rsid w:val="00F416A4"/>
    <w:rsid w:val="00F42480"/>
    <w:rsid w:val="00F43516"/>
    <w:rsid w:val="00F44895"/>
    <w:rsid w:val="00F4567F"/>
    <w:rsid w:val="00F457BF"/>
    <w:rsid w:val="00F462F3"/>
    <w:rsid w:val="00F50585"/>
    <w:rsid w:val="00F516E3"/>
    <w:rsid w:val="00F51C9E"/>
    <w:rsid w:val="00F53E35"/>
    <w:rsid w:val="00F54832"/>
    <w:rsid w:val="00F549D6"/>
    <w:rsid w:val="00F54CD4"/>
    <w:rsid w:val="00F54EE3"/>
    <w:rsid w:val="00F54EEA"/>
    <w:rsid w:val="00F54EEE"/>
    <w:rsid w:val="00F54FC5"/>
    <w:rsid w:val="00F55107"/>
    <w:rsid w:val="00F55ADF"/>
    <w:rsid w:val="00F567B0"/>
    <w:rsid w:val="00F5696E"/>
    <w:rsid w:val="00F56BC6"/>
    <w:rsid w:val="00F57885"/>
    <w:rsid w:val="00F60755"/>
    <w:rsid w:val="00F613DA"/>
    <w:rsid w:val="00F630F7"/>
    <w:rsid w:val="00F630F8"/>
    <w:rsid w:val="00F6439E"/>
    <w:rsid w:val="00F65137"/>
    <w:rsid w:val="00F654CF"/>
    <w:rsid w:val="00F65914"/>
    <w:rsid w:val="00F65CCF"/>
    <w:rsid w:val="00F65F87"/>
    <w:rsid w:val="00F66113"/>
    <w:rsid w:val="00F66144"/>
    <w:rsid w:val="00F66D51"/>
    <w:rsid w:val="00F6713F"/>
    <w:rsid w:val="00F67366"/>
    <w:rsid w:val="00F67786"/>
    <w:rsid w:val="00F72790"/>
    <w:rsid w:val="00F73921"/>
    <w:rsid w:val="00F74604"/>
    <w:rsid w:val="00F74870"/>
    <w:rsid w:val="00F74B51"/>
    <w:rsid w:val="00F763EA"/>
    <w:rsid w:val="00F81362"/>
    <w:rsid w:val="00F81437"/>
    <w:rsid w:val="00F84F91"/>
    <w:rsid w:val="00F854EE"/>
    <w:rsid w:val="00F85FBA"/>
    <w:rsid w:val="00F863F3"/>
    <w:rsid w:val="00F865D6"/>
    <w:rsid w:val="00F86B63"/>
    <w:rsid w:val="00F877E4"/>
    <w:rsid w:val="00F87ADA"/>
    <w:rsid w:val="00F901B4"/>
    <w:rsid w:val="00F91353"/>
    <w:rsid w:val="00F917BE"/>
    <w:rsid w:val="00F921DC"/>
    <w:rsid w:val="00F93416"/>
    <w:rsid w:val="00F93470"/>
    <w:rsid w:val="00F93CB8"/>
    <w:rsid w:val="00F93F53"/>
    <w:rsid w:val="00F94B75"/>
    <w:rsid w:val="00F94DD2"/>
    <w:rsid w:val="00F94F31"/>
    <w:rsid w:val="00F94F7B"/>
    <w:rsid w:val="00F95F0D"/>
    <w:rsid w:val="00F9651D"/>
    <w:rsid w:val="00F9684A"/>
    <w:rsid w:val="00F973AA"/>
    <w:rsid w:val="00FA0825"/>
    <w:rsid w:val="00FA08AD"/>
    <w:rsid w:val="00FA0EE3"/>
    <w:rsid w:val="00FA1BC0"/>
    <w:rsid w:val="00FA2F27"/>
    <w:rsid w:val="00FA4150"/>
    <w:rsid w:val="00FA45E0"/>
    <w:rsid w:val="00FA47F1"/>
    <w:rsid w:val="00FA496F"/>
    <w:rsid w:val="00FA5531"/>
    <w:rsid w:val="00FA5766"/>
    <w:rsid w:val="00FA593A"/>
    <w:rsid w:val="00FA5BA0"/>
    <w:rsid w:val="00FA615A"/>
    <w:rsid w:val="00FA6971"/>
    <w:rsid w:val="00FA6A6C"/>
    <w:rsid w:val="00FA7D7D"/>
    <w:rsid w:val="00FB1394"/>
    <w:rsid w:val="00FB2A83"/>
    <w:rsid w:val="00FB44A6"/>
    <w:rsid w:val="00FB5087"/>
    <w:rsid w:val="00FB620D"/>
    <w:rsid w:val="00FB6F67"/>
    <w:rsid w:val="00FC06DF"/>
    <w:rsid w:val="00FC07C8"/>
    <w:rsid w:val="00FC0A97"/>
    <w:rsid w:val="00FC0AD7"/>
    <w:rsid w:val="00FC0E4A"/>
    <w:rsid w:val="00FC0F64"/>
    <w:rsid w:val="00FC10DE"/>
    <w:rsid w:val="00FC2D5F"/>
    <w:rsid w:val="00FC2E54"/>
    <w:rsid w:val="00FC38C4"/>
    <w:rsid w:val="00FC3D53"/>
    <w:rsid w:val="00FC5603"/>
    <w:rsid w:val="00FC5AC8"/>
    <w:rsid w:val="00FC6837"/>
    <w:rsid w:val="00FC7501"/>
    <w:rsid w:val="00FD0B28"/>
    <w:rsid w:val="00FD17BA"/>
    <w:rsid w:val="00FD19A6"/>
    <w:rsid w:val="00FD1B49"/>
    <w:rsid w:val="00FD25C2"/>
    <w:rsid w:val="00FD2BEA"/>
    <w:rsid w:val="00FD2C9D"/>
    <w:rsid w:val="00FD2D72"/>
    <w:rsid w:val="00FD2F74"/>
    <w:rsid w:val="00FD3181"/>
    <w:rsid w:val="00FD3A2C"/>
    <w:rsid w:val="00FD3B94"/>
    <w:rsid w:val="00FD40DD"/>
    <w:rsid w:val="00FD43B3"/>
    <w:rsid w:val="00FD44D6"/>
    <w:rsid w:val="00FD4BA8"/>
    <w:rsid w:val="00FD6295"/>
    <w:rsid w:val="00FD6977"/>
    <w:rsid w:val="00FD724D"/>
    <w:rsid w:val="00FD7363"/>
    <w:rsid w:val="00FE0704"/>
    <w:rsid w:val="00FE0871"/>
    <w:rsid w:val="00FE087B"/>
    <w:rsid w:val="00FE0C17"/>
    <w:rsid w:val="00FE1118"/>
    <w:rsid w:val="00FE1EA0"/>
    <w:rsid w:val="00FE2405"/>
    <w:rsid w:val="00FE2A49"/>
    <w:rsid w:val="00FE40E5"/>
    <w:rsid w:val="00FE4739"/>
    <w:rsid w:val="00FE4DB2"/>
    <w:rsid w:val="00FE574D"/>
    <w:rsid w:val="00FE681D"/>
    <w:rsid w:val="00FE6DA8"/>
    <w:rsid w:val="00FE74DF"/>
    <w:rsid w:val="00FE7C2F"/>
    <w:rsid w:val="00FE7C6A"/>
    <w:rsid w:val="00FE7C76"/>
    <w:rsid w:val="00FE7ED4"/>
    <w:rsid w:val="00FF019E"/>
    <w:rsid w:val="00FF02E4"/>
    <w:rsid w:val="00FF03EF"/>
    <w:rsid w:val="00FF0AC5"/>
    <w:rsid w:val="00FF0DBD"/>
    <w:rsid w:val="00FF2100"/>
    <w:rsid w:val="00FF24C1"/>
    <w:rsid w:val="00FF3706"/>
    <w:rsid w:val="00FF3A07"/>
    <w:rsid w:val="00FF3FEA"/>
    <w:rsid w:val="00FF43D6"/>
    <w:rsid w:val="00FF46DB"/>
    <w:rsid w:val="00FF4C68"/>
    <w:rsid w:val="00FF4E72"/>
    <w:rsid w:val="00FF5007"/>
    <w:rsid w:val="00FF5A95"/>
    <w:rsid w:val="00FF5F45"/>
    <w:rsid w:val="00FF6313"/>
    <w:rsid w:val="0119F83C"/>
    <w:rsid w:val="013B5500"/>
    <w:rsid w:val="021479DA"/>
    <w:rsid w:val="02EC469D"/>
    <w:rsid w:val="05664DB7"/>
    <w:rsid w:val="06240ED2"/>
    <w:rsid w:val="0AE08C40"/>
    <w:rsid w:val="0B2BF43B"/>
    <w:rsid w:val="0BF3482B"/>
    <w:rsid w:val="0C1408BF"/>
    <w:rsid w:val="0D14F3AC"/>
    <w:rsid w:val="1047A75F"/>
    <w:rsid w:val="10F6BB06"/>
    <w:rsid w:val="116DD8B2"/>
    <w:rsid w:val="122B60E0"/>
    <w:rsid w:val="125B7425"/>
    <w:rsid w:val="13520D4F"/>
    <w:rsid w:val="136004E4"/>
    <w:rsid w:val="14019136"/>
    <w:rsid w:val="14A74989"/>
    <w:rsid w:val="15C448DB"/>
    <w:rsid w:val="15FC8B40"/>
    <w:rsid w:val="177F3324"/>
    <w:rsid w:val="18254CAB"/>
    <w:rsid w:val="18BA1BBD"/>
    <w:rsid w:val="18FC2BAF"/>
    <w:rsid w:val="19A2B2BD"/>
    <w:rsid w:val="1A3013AC"/>
    <w:rsid w:val="1B023676"/>
    <w:rsid w:val="1C2554AB"/>
    <w:rsid w:val="1CBE967F"/>
    <w:rsid w:val="1E8D65FD"/>
    <w:rsid w:val="1EBBD9C5"/>
    <w:rsid w:val="20534E6A"/>
    <w:rsid w:val="20832B10"/>
    <w:rsid w:val="208EADB6"/>
    <w:rsid w:val="21938EAD"/>
    <w:rsid w:val="21EDCA15"/>
    <w:rsid w:val="222043FE"/>
    <w:rsid w:val="22BA5102"/>
    <w:rsid w:val="22DF959E"/>
    <w:rsid w:val="23306A5E"/>
    <w:rsid w:val="2340E4E1"/>
    <w:rsid w:val="250407F1"/>
    <w:rsid w:val="257FAED3"/>
    <w:rsid w:val="262BF391"/>
    <w:rsid w:val="27E8A235"/>
    <w:rsid w:val="29D5880C"/>
    <w:rsid w:val="2BDD3F05"/>
    <w:rsid w:val="2DC49366"/>
    <w:rsid w:val="2E243FAF"/>
    <w:rsid w:val="2E26A334"/>
    <w:rsid w:val="2ECCD89D"/>
    <w:rsid w:val="31424324"/>
    <w:rsid w:val="34026771"/>
    <w:rsid w:val="34AAF4DA"/>
    <w:rsid w:val="35A5383D"/>
    <w:rsid w:val="3608485F"/>
    <w:rsid w:val="38C23859"/>
    <w:rsid w:val="3A8E4456"/>
    <w:rsid w:val="3AA7B3E8"/>
    <w:rsid w:val="3B17AFEC"/>
    <w:rsid w:val="3C9D9901"/>
    <w:rsid w:val="3D05B633"/>
    <w:rsid w:val="3F147A1A"/>
    <w:rsid w:val="3F3D5F63"/>
    <w:rsid w:val="3F5B214C"/>
    <w:rsid w:val="406E6045"/>
    <w:rsid w:val="40B40F6D"/>
    <w:rsid w:val="40D36E48"/>
    <w:rsid w:val="4124ECDA"/>
    <w:rsid w:val="41A814B9"/>
    <w:rsid w:val="424744BD"/>
    <w:rsid w:val="447B5647"/>
    <w:rsid w:val="44B115EA"/>
    <w:rsid w:val="44D3263C"/>
    <w:rsid w:val="46DB6389"/>
    <w:rsid w:val="46E253E4"/>
    <w:rsid w:val="471EC084"/>
    <w:rsid w:val="47779EEE"/>
    <w:rsid w:val="483D95FC"/>
    <w:rsid w:val="48B66884"/>
    <w:rsid w:val="4909072D"/>
    <w:rsid w:val="49147A38"/>
    <w:rsid w:val="4A15CA44"/>
    <w:rsid w:val="4A8849FD"/>
    <w:rsid w:val="4ACA0E07"/>
    <w:rsid w:val="4BB28CA9"/>
    <w:rsid w:val="4BE43F9D"/>
    <w:rsid w:val="4C59B715"/>
    <w:rsid w:val="4CC0A6EE"/>
    <w:rsid w:val="4D264F96"/>
    <w:rsid w:val="4DB94B77"/>
    <w:rsid w:val="4DD5CDE5"/>
    <w:rsid w:val="4FF82697"/>
    <w:rsid w:val="512536D6"/>
    <w:rsid w:val="51C989F5"/>
    <w:rsid w:val="51C9B1E3"/>
    <w:rsid w:val="51F9563A"/>
    <w:rsid w:val="531D3129"/>
    <w:rsid w:val="53E790FF"/>
    <w:rsid w:val="55F80172"/>
    <w:rsid w:val="56DB24EF"/>
    <w:rsid w:val="5756360D"/>
    <w:rsid w:val="597C950A"/>
    <w:rsid w:val="59F91E3D"/>
    <w:rsid w:val="5A301DB5"/>
    <w:rsid w:val="5A3C0A9D"/>
    <w:rsid w:val="5D6CFE65"/>
    <w:rsid w:val="5DFE4DA0"/>
    <w:rsid w:val="5EA2C9F3"/>
    <w:rsid w:val="5ED6609E"/>
    <w:rsid w:val="5EF96AE4"/>
    <w:rsid w:val="5F2AD66E"/>
    <w:rsid w:val="5F639413"/>
    <w:rsid w:val="6095568B"/>
    <w:rsid w:val="60E15BCA"/>
    <w:rsid w:val="614AEC35"/>
    <w:rsid w:val="6350B207"/>
    <w:rsid w:val="63526298"/>
    <w:rsid w:val="6470542B"/>
    <w:rsid w:val="656A0CD6"/>
    <w:rsid w:val="65FAA915"/>
    <w:rsid w:val="669731D9"/>
    <w:rsid w:val="6879243E"/>
    <w:rsid w:val="694E10DD"/>
    <w:rsid w:val="69DBF67E"/>
    <w:rsid w:val="6AC480D3"/>
    <w:rsid w:val="6C460BB0"/>
    <w:rsid w:val="6CDFF5D1"/>
    <w:rsid w:val="6D59576E"/>
    <w:rsid w:val="6E892591"/>
    <w:rsid w:val="6E9AE310"/>
    <w:rsid w:val="6EABA63A"/>
    <w:rsid w:val="6EBEC7C7"/>
    <w:rsid w:val="6ED2134F"/>
    <w:rsid w:val="6EFE94B2"/>
    <w:rsid w:val="6F15E7D5"/>
    <w:rsid w:val="70BAF5C2"/>
    <w:rsid w:val="710FD223"/>
    <w:rsid w:val="72109402"/>
    <w:rsid w:val="72876BB5"/>
    <w:rsid w:val="73102BEE"/>
    <w:rsid w:val="731A1DE4"/>
    <w:rsid w:val="74A1B11A"/>
    <w:rsid w:val="755CCE82"/>
    <w:rsid w:val="758DDC7F"/>
    <w:rsid w:val="76EBFEED"/>
    <w:rsid w:val="76EFB4EC"/>
    <w:rsid w:val="7710976C"/>
    <w:rsid w:val="773D3D46"/>
    <w:rsid w:val="778E1D55"/>
    <w:rsid w:val="77C2FA4F"/>
    <w:rsid w:val="787F4D84"/>
    <w:rsid w:val="78A53B82"/>
    <w:rsid w:val="7A175036"/>
    <w:rsid w:val="7A44BC04"/>
    <w:rsid w:val="7A5F4335"/>
    <w:rsid w:val="7A6F9C35"/>
    <w:rsid w:val="7AB4198A"/>
    <w:rsid w:val="7D780F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28"/>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FC0E4A"/>
    <w:pPr>
      <w:outlineLvl w:val="2"/>
    </w:pPr>
    <w:rPr>
      <w:b/>
      <w:bCs/>
    </w:rPr>
  </w:style>
  <w:style w:type="paragraph" w:styleId="Heading4">
    <w:name w:val="heading 4"/>
    <w:basedOn w:val="Normal"/>
    <w:next w:val="Normal"/>
    <w:link w:val="Heading4Char"/>
    <w:uiPriority w:val="9"/>
    <w:unhideWhenUsed/>
    <w:qFormat/>
    <w:rsid w:val="00274AF5"/>
    <w:pPr>
      <w:outlineLvl w:val="3"/>
    </w:pPr>
    <w:rPr>
      <w:b/>
      <w:bCs/>
    </w:rPr>
  </w:style>
  <w:style w:type="paragraph" w:styleId="Heading5">
    <w:name w:val="heading 5"/>
    <w:basedOn w:val="Normal"/>
    <w:next w:val="Normal"/>
    <w:link w:val="Heading5Char"/>
    <w:uiPriority w:val="9"/>
    <w:unhideWhenUsed/>
    <w:qFormat/>
    <w:rsid w:val="002638CA"/>
    <w:pPr>
      <w:keepNext/>
      <w:keepLines/>
      <w:spacing w:before="40" w:after="0"/>
      <w:outlineLvl w:val="4"/>
    </w:pPr>
    <w:rPr>
      <w:rFonts w:asciiTheme="majorHAnsi" w:eastAsiaTheme="majorEastAsia" w:hAnsiTheme="majorHAnsi" w:cstheme="majorBidi"/>
      <w:sz w:val="24"/>
      <w:u w:val="single"/>
    </w:rPr>
  </w:style>
  <w:style w:type="paragraph" w:styleId="Heading6">
    <w:name w:val="heading 6"/>
    <w:basedOn w:val="Normal"/>
    <w:next w:val="Normal"/>
    <w:link w:val="Heading6Char"/>
    <w:uiPriority w:val="9"/>
    <w:unhideWhenUsed/>
    <w:qFormat/>
    <w:rsid w:val="002638C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638C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638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3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FC0E4A"/>
    <w:rPr>
      <w:rFonts w:ascii="Franklin Gothic Book" w:hAnsi="Franklin Gothic Book"/>
      <w:b/>
      <w:b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BF41F9"/>
    <w:pPr>
      <w:keepNext/>
      <w:spacing w:before="360" w:after="120" w:line="240" w:lineRule="auto"/>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BF41F9"/>
    <w:rPr>
      <w:rFonts w:ascii="Arial Narrow" w:eastAsia="Times New Roman" w:hAnsi="Arial Narrow" w:cs="Times New Roman"/>
      <w:b/>
      <w:bCs/>
      <w:sz w:val="20"/>
      <w:szCs w:val="20"/>
    </w:rPr>
  </w:style>
  <w:style w:type="table" w:styleId="TableGrid">
    <w:name w:val="Table Grid"/>
    <w:aliases w:val="Summary box,Table Gridbeth,RTI AMCP Table,new style,ASD Table,Conclusion box,Table Grid nm,HealthConsult,CMA Table Template,YHEC table,HTAtableplain,Dossier table,Section 3- footnotes,PBAC table,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274AF5"/>
    <w:rPr>
      <w:rFonts w:ascii="Franklin Gothic Book" w:hAnsi="Franklin Gothic Book"/>
      <w:b/>
      <w:bCs/>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qFormat/>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4F3E80"/>
    <w:pPr>
      <w:keepNext/>
      <w:spacing w:after="0" w:line="240" w:lineRule="auto"/>
      <w:outlineLvl w:val="3"/>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4F3E80"/>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TimesNewRomanPSMT" w:hAnsi="TimesNewRomanPSM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TimesNewRomanPSMT" w:hAnsi="TimesNewRomanPSM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TimesNewRomanPSMT" w:hAnsi="TimesNewRomanPSM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NormalWeb">
    <w:name w:val="Normal (Web)"/>
    <w:basedOn w:val="Normal"/>
    <w:uiPriority w:val="99"/>
    <w:unhideWhenUsed/>
    <w:rsid w:val="00EE2BFD"/>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styleId="UnresolvedMention">
    <w:name w:val="Unresolved Mention"/>
    <w:basedOn w:val="DefaultParagraphFont"/>
    <w:uiPriority w:val="99"/>
    <w:unhideWhenUsed/>
    <w:rsid w:val="00EE2BFD"/>
    <w:rPr>
      <w:color w:val="605E5C"/>
      <w:shd w:val="clear" w:color="auto" w:fill="E1DFDD"/>
    </w:rPr>
  </w:style>
  <w:style w:type="character" w:customStyle="1" w:styleId="cf01">
    <w:name w:val="cf01"/>
    <w:basedOn w:val="DefaultParagraphFont"/>
    <w:rsid w:val="0020287A"/>
    <w:rPr>
      <w:rFonts w:ascii="Segoe UI" w:hAnsi="Segoe UI" w:cs="Segoe UI" w:hint="default"/>
      <w:sz w:val="18"/>
      <w:szCs w:val="18"/>
    </w:rPr>
  </w:style>
  <w:style w:type="paragraph" w:customStyle="1" w:styleId="EXECsum">
    <w:name w:val="EXEC sum"/>
    <w:basedOn w:val="Normal"/>
    <w:link w:val="EXECsumChar"/>
    <w:qFormat/>
    <w:rsid w:val="00A043BF"/>
    <w:pPr>
      <w:spacing w:after="120" w:line="240" w:lineRule="auto"/>
    </w:pPr>
  </w:style>
  <w:style w:type="character" w:customStyle="1" w:styleId="EXECsumChar">
    <w:name w:val="EXEC sum Char"/>
    <w:basedOn w:val="DefaultParagraphFont"/>
    <w:link w:val="EXECsum"/>
    <w:rsid w:val="00A043BF"/>
    <w:rPr>
      <w:rFonts w:ascii="Franklin Gothic Book" w:hAnsi="Franklin Gothic Book"/>
    </w:rPr>
  </w:style>
  <w:style w:type="paragraph" w:customStyle="1" w:styleId="Tablenotes1">
    <w:name w:val="Table_notes"/>
    <w:basedOn w:val="Normal"/>
    <w:link w:val="TablenotesChar1"/>
    <w:qFormat/>
    <w:rsid w:val="00A043BF"/>
    <w:pPr>
      <w:spacing w:before="0" w:after="240" w:line="240" w:lineRule="auto"/>
      <w:contextualSpacing/>
      <w:jc w:val="both"/>
    </w:pPr>
    <w:rPr>
      <w:rFonts w:ascii="Arial" w:hAnsi="Arial" w:cs="Times New Roman"/>
      <w:sz w:val="16"/>
      <w:szCs w:val="18"/>
    </w:rPr>
  </w:style>
  <w:style w:type="character" w:customStyle="1" w:styleId="TablenotesChar1">
    <w:name w:val="Table_notes Char"/>
    <w:basedOn w:val="DefaultParagraphFont"/>
    <w:link w:val="Tablenotes1"/>
    <w:rsid w:val="00A043BF"/>
    <w:rPr>
      <w:rFonts w:ascii="Arial" w:hAnsi="Arial" w:cs="Times New Roman"/>
      <w:sz w:val="16"/>
      <w:szCs w:val="18"/>
    </w:rPr>
  </w:style>
  <w:style w:type="character" w:customStyle="1" w:styleId="Heading5Char">
    <w:name w:val="Heading 5 Char"/>
    <w:basedOn w:val="DefaultParagraphFont"/>
    <w:link w:val="Heading5"/>
    <w:uiPriority w:val="9"/>
    <w:rsid w:val="002638CA"/>
    <w:rPr>
      <w:rFonts w:asciiTheme="majorHAnsi" w:eastAsiaTheme="majorEastAsia" w:hAnsiTheme="majorHAnsi" w:cstheme="majorBidi"/>
      <w:sz w:val="24"/>
      <w:u w:val="single"/>
    </w:rPr>
  </w:style>
  <w:style w:type="character" w:customStyle="1" w:styleId="Heading6Char">
    <w:name w:val="Heading 6 Char"/>
    <w:basedOn w:val="DefaultParagraphFont"/>
    <w:link w:val="Heading6"/>
    <w:uiPriority w:val="9"/>
    <w:rsid w:val="002638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638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638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638CA"/>
    <w:rPr>
      <w:rFonts w:asciiTheme="majorHAnsi" w:eastAsiaTheme="majorEastAsia" w:hAnsiTheme="majorHAnsi" w:cstheme="majorBidi"/>
      <w:i/>
      <w:iCs/>
      <w:color w:val="272727" w:themeColor="text1" w:themeTint="D8"/>
      <w:sz w:val="21"/>
      <w:szCs w:val="21"/>
    </w:rPr>
  </w:style>
  <w:style w:type="table" w:customStyle="1" w:styleId="PBACTableStyle1">
    <w:name w:val="PBAC Table Style1"/>
    <w:basedOn w:val="TableGrid10"/>
    <w:uiPriority w:val="99"/>
    <w:rsid w:val="002638CA"/>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TimesNewRomanPSMT" w:hAnsi="TimesNewRomanPSM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TimesNewRomanPSMT" w:hAnsi="TimesNewRomanPSM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TimesNewRomanPSMT" w:hAnsi="TimesNewRomanPSM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SectionHeading">
    <w:name w:val="Section Heading"/>
    <w:basedOn w:val="Heading1"/>
    <w:link w:val="SectionHeadingChar"/>
    <w:qFormat/>
    <w:rsid w:val="002638CA"/>
    <w:pPr>
      <w:numPr>
        <w:numId w:val="0"/>
      </w:numPr>
      <w:ind w:left="2127" w:hanging="2127"/>
    </w:pPr>
    <w:rPr>
      <w:rFonts w:cstheme="minorHAnsi"/>
      <w:sz w:val="36"/>
      <w:szCs w:val="24"/>
    </w:rPr>
  </w:style>
  <w:style w:type="character" w:customStyle="1" w:styleId="SectionHeadingChar">
    <w:name w:val="Section Heading Char"/>
    <w:basedOn w:val="Heading1Char"/>
    <w:link w:val="SectionHeading"/>
    <w:rsid w:val="002638CA"/>
    <w:rPr>
      <w:rFonts w:ascii="Franklin Gothic Medium" w:eastAsiaTheme="majorEastAsia" w:hAnsi="Franklin Gothic Medium" w:cstheme="minorHAnsi"/>
      <w:sz w:val="36"/>
      <w:szCs w:val="24"/>
    </w:rPr>
  </w:style>
  <w:style w:type="paragraph" w:customStyle="1" w:styleId="pf0">
    <w:name w:val="pf0"/>
    <w:basedOn w:val="Normal"/>
    <w:rsid w:val="002638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638CA"/>
    <w:rPr>
      <w:color w:val="2B579A"/>
      <w:shd w:val="clear" w:color="auto" w:fill="E1DFDD"/>
    </w:rPr>
  </w:style>
  <w:style w:type="paragraph" w:styleId="ListBullet">
    <w:name w:val="List Bullet"/>
    <w:basedOn w:val="Normal"/>
    <w:uiPriority w:val="99"/>
    <w:unhideWhenUsed/>
    <w:rsid w:val="002638CA"/>
    <w:pPr>
      <w:numPr>
        <w:numId w:val="10"/>
      </w:numPr>
      <w:spacing w:after="120" w:line="240" w:lineRule="auto"/>
      <w:contextualSpacing/>
    </w:pPr>
    <w:rPr>
      <w:rFonts w:asciiTheme="minorHAnsi" w:hAnsiTheme="minorHAnsi"/>
      <w:sz w:val="20"/>
    </w:rPr>
  </w:style>
  <w:style w:type="table" w:customStyle="1" w:styleId="TableGrid11">
    <w:name w:val="Table Grid11"/>
    <w:basedOn w:val="TableNormal"/>
    <w:next w:val="TableGrid"/>
    <w:uiPriority w:val="59"/>
    <w:rsid w:val="002638CA"/>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638CA"/>
  </w:style>
  <w:style w:type="paragraph" w:styleId="TableofFigures">
    <w:name w:val="table of figures"/>
    <w:basedOn w:val="Normal"/>
    <w:next w:val="Normal"/>
    <w:uiPriority w:val="99"/>
    <w:unhideWhenUsed/>
    <w:rsid w:val="002638CA"/>
    <w:pPr>
      <w:spacing w:after="0"/>
    </w:pPr>
  </w:style>
  <w:style w:type="character" w:customStyle="1" w:styleId="cell">
    <w:name w:val="cell"/>
    <w:basedOn w:val="DefaultParagraphFont"/>
    <w:rsid w:val="002638CA"/>
  </w:style>
  <w:style w:type="character" w:customStyle="1" w:styleId="block">
    <w:name w:val="block"/>
    <w:basedOn w:val="DefaultParagraphFont"/>
    <w:rsid w:val="002638CA"/>
  </w:style>
  <w:style w:type="character" w:customStyle="1" w:styleId="quality-sign">
    <w:name w:val="quality-sign"/>
    <w:basedOn w:val="DefaultParagraphFont"/>
    <w:rsid w:val="002638CA"/>
  </w:style>
  <w:style w:type="character" w:customStyle="1" w:styleId="quality-text">
    <w:name w:val="quality-text"/>
    <w:basedOn w:val="DefaultParagraphFont"/>
    <w:rsid w:val="002638CA"/>
  </w:style>
  <w:style w:type="character" w:customStyle="1" w:styleId="label">
    <w:name w:val="label"/>
    <w:basedOn w:val="DefaultParagraphFont"/>
    <w:rsid w:val="002638CA"/>
  </w:style>
  <w:style w:type="paragraph" w:customStyle="1" w:styleId="first-letter">
    <w:name w:val="first-letter"/>
    <w:basedOn w:val="Normal"/>
    <w:uiPriority w:val="99"/>
    <w:semiHidden/>
    <w:rsid w:val="002638CA"/>
    <w:pPr>
      <w:spacing w:before="100" w:beforeAutospacing="1" w:after="100" w:afterAutospacing="1" w:line="240" w:lineRule="auto"/>
    </w:pPr>
    <w:rPr>
      <w:rFonts w:ascii="Times New Roman" w:eastAsiaTheme="minorEastAsia" w:hAnsi="Times New Roman" w:cs="Times New Roman"/>
      <w:sz w:val="24"/>
      <w:szCs w:val="24"/>
      <w:lang w:eastAsia="en-AU"/>
      <w14:ligatures w14:val="standardContextual"/>
    </w:rPr>
  </w:style>
  <w:style w:type="character" w:customStyle="1" w:styleId="cell-value">
    <w:name w:val="cell-value"/>
    <w:basedOn w:val="DefaultParagraphFont"/>
    <w:rsid w:val="002638CA"/>
  </w:style>
  <w:style w:type="character" w:customStyle="1" w:styleId="comma">
    <w:name w:val="comma"/>
    <w:basedOn w:val="DefaultParagraphFont"/>
    <w:rsid w:val="002638CA"/>
  </w:style>
  <w:style w:type="table" w:customStyle="1" w:styleId="HealthConsult1">
    <w:name w:val="HealthConsult1"/>
    <w:basedOn w:val="TableNormal"/>
    <w:next w:val="TableGrid"/>
    <w:uiPriority w:val="39"/>
    <w:rsid w:val="0026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customStyle="1" w:styleId="inline">
    <w:name w:val="inline"/>
    <w:basedOn w:val="Normal"/>
    <w:rsid w:val="00172C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Dash">
    <w:name w:val="TableDash"/>
    <w:basedOn w:val="TableText1"/>
    <w:rsid w:val="00CB60D5"/>
    <w:pPr>
      <w:numPr>
        <w:numId w:val="33"/>
      </w:numPr>
      <w:tabs>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CB60D5"/>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CB60D5"/>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CB60D5"/>
    <w:pPr>
      <w:numPr>
        <w:numId w:val="34"/>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paragraph">
    <w:name w:val="paragraph"/>
    <w:basedOn w:val="Normal"/>
    <w:rsid w:val="00D92D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D23"/>
  </w:style>
  <w:style w:type="character" w:customStyle="1" w:styleId="eop">
    <w:name w:val="eop"/>
    <w:basedOn w:val="DefaultParagraphFont"/>
    <w:rsid w:val="00D92D23"/>
  </w:style>
  <w:style w:type="paragraph" w:styleId="BodyText">
    <w:name w:val="Body Text"/>
    <w:basedOn w:val="Normal"/>
    <w:link w:val="BodyTextChar"/>
    <w:rsid w:val="00D92D23"/>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D92D23"/>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7607986">
      <w:bodyDiv w:val="1"/>
      <w:marLeft w:val="0"/>
      <w:marRight w:val="0"/>
      <w:marTop w:val="0"/>
      <w:marBottom w:val="0"/>
      <w:divBdr>
        <w:top w:val="none" w:sz="0" w:space="0" w:color="auto"/>
        <w:left w:val="none" w:sz="0" w:space="0" w:color="auto"/>
        <w:bottom w:val="none" w:sz="0" w:space="0" w:color="auto"/>
        <w:right w:val="none" w:sz="0" w:space="0" w:color="auto"/>
      </w:divBdr>
      <w:divsChild>
        <w:div w:id="2056193301">
          <w:marLeft w:val="0"/>
          <w:marRight w:val="0"/>
          <w:marTop w:val="0"/>
          <w:marBottom w:val="0"/>
          <w:divBdr>
            <w:top w:val="none" w:sz="0" w:space="0" w:color="auto"/>
            <w:left w:val="none" w:sz="0" w:space="0" w:color="auto"/>
            <w:bottom w:val="none" w:sz="0" w:space="0" w:color="auto"/>
            <w:right w:val="none" w:sz="0" w:space="0" w:color="auto"/>
          </w:divBdr>
          <w:divsChild>
            <w:div w:id="199903420">
              <w:marLeft w:val="0"/>
              <w:marRight w:val="0"/>
              <w:marTop w:val="0"/>
              <w:marBottom w:val="0"/>
              <w:divBdr>
                <w:top w:val="none" w:sz="0" w:space="0" w:color="auto"/>
                <w:left w:val="none" w:sz="0" w:space="0" w:color="auto"/>
                <w:bottom w:val="none" w:sz="0" w:space="0" w:color="auto"/>
                <w:right w:val="none" w:sz="0" w:space="0" w:color="auto"/>
              </w:divBdr>
              <w:divsChild>
                <w:div w:id="2557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5178848">
      <w:bodyDiv w:val="1"/>
      <w:marLeft w:val="0"/>
      <w:marRight w:val="0"/>
      <w:marTop w:val="0"/>
      <w:marBottom w:val="0"/>
      <w:divBdr>
        <w:top w:val="none" w:sz="0" w:space="0" w:color="auto"/>
        <w:left w:val="none" w:sz="0" w:space="0" w:color="auto"/>
        <w:bottom w:val="none" w:sz="0" w:space="0" w:color="auto"/>
        <w:right w:val="none" w:sz="0" w:space="0" w:color="auto"/>
      </w:divBdr>
      <w:divsChild>
        <w:div w:id="1468401081">
          <w:marLeft w:val="0"/>
          <w:marRight w:val="0"/>
          <w:marTop w:val="0"/>
          <w:marBottom w:val="0"/>
          <w:divBdr>
            <w:top w:val="none" w:sz="0" w:space="0" w:color="auto"/>
            <w:left w:val="none" w:sz="0" w:space="0" w:color="auto"/>
            <w:bottom w:val="none" w:sz="0" w:space="0" w:color="auto"/>
            <w:right w:val="none" w:sz="0" w:space="0" w:color="auto"/>
          </w:divBdr>
          <w:divsChild>
            <w:div w:id="1857959051">
              <w:marLeft w:val="0"/>
              <w:marRight w:val="0"/>
              <w:marTop w:val="0"/>
              <w:marBottom w:val="0"/>
              <w:divBdr>
                <w:top w:val="none" w:sz="0" w:space="0" w:color="auto"/>
                <w:left w:val="none" w:sz="0" w:space="0" w:color="auto"/>
                <w:bottom w:val="none" w:sz="0" w:space="0" w:color="auto"/>
                <w:right w:val="none" w:sz="0" w:space="0" w:color="auto"/>
              </w:divBdr>
              <w:divsChild>
                <w:div w:id="6257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8876">
      <w:bodyDiv w:val="1"/>
      <w:marLeft w:val="0"/>
      <w:marRight w:val="0"/>
      <w:marTop w:val="0"/>
      <w:marBottom w:val="0"/>
      <w:divBdr>
        <w:top w:val="none" w:sz="0" w:space="0" w:color="auto"/>
        <w:left w:val="none" w:sz="0" w:space="0" w:color="auto"/>
        <w:bottom w:val="none" w:sz="0" w:space="0" w:color="auto"/>
        <w:right w:val="none" w:sz="0" w:space="0" w:color="auto"/>
      </w:divBdr>
    </w:div>
    <w:div w:id="130565277">
      <w:bodyDiv w:val="1"/>
      <w:marLeft w:val="0"/>
      <w:marRight w:val="0"/>
      <w:marTop w:val="0"/>
      <w:marBottom w:val="0"/>
      <w:divBdr>
        <w:top w:val="none" w:sz="0" w:space="0" w:color="auto"/>
        <w:left w:val="none" w:sz="0" w:space="0" w:color="auto"/>
        <w:bottom w:val="none" w:sz="0" w:space="0" w:color="auto"/>
        <w:right w:val="none" w:sz="0" w:space="0" w:color="auto"/>
      </w:divBdr>
      <w:divsChild>
        <w:div w:id="2054886328">
          <w:marLeft w:val="0"/>
          <w:marRight w:val="0"/>
          <w:marTop w:val="0"/>
          <w:marBottom w:val="0"/>
          <w:divBdr>
            <w:top w:val="none" w:sz="0" w:space="0" w:color="auto"/>
            <w:left w:val="none" w:sz="0" w:space="0" w:color="auto"/>
            <w:bottom w:val="none" w:sz="0" w:space="0" w:color="auto"/>
            <w:right w:val="none" w:sz="0" w:space="0" w:color="auto"/>
          </w:divBdr>
          <w:divsChild>
            <w:div w:id="102388742">
              <w:marLeft w:val="0"/>
              <w:marRight w:val="0"/>
              <w:marTop w:val="0"/>
              <w:marBottom w:val="0"/>
              <w:divBdr>
                <w:top w:val="none" w:sz="0" w:space="0" w:color="auto"/>
                <w:left w:val="none" w:sz="0" w:space="0" w:color="auto"/>
                <w:bottom w:val="none" w:sz="0" w:space="0" w:color="auto"/>
                <w:right w:val="none" w:sz="0" w:space="0" w:color="auto"/>
              </w:divBdr>
              <w:divsChild>
                <w:div w:id="1112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71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77">
          <w:marLeft w:val="0"/>
          <w:marRight w:val="0"/>
          <w:marTop w:val="0"/>
          <w:marBottom w:val="0"/>
          <w:divBdr>
            <w:top w:val="none" w:sz="0" w:space="0" w:color="auto"/>
            <w:left w:val="none" w:sz="0" w:space="0" w:color="auto"/>
            <w:bottom w:val="none" w:sz="0" w:space="0" w:color="auto"/>
            <w:right w:val="none" w:sz="0" w:space="0" w:color="auto"/>
          </w:divBdr>
          <w:divsChild>
            <w:div w:id="163327961">
              <w:marLeft w:val="0"/>
              <w:marRight w:val="0"/>
              <w:marTop w:val="0"/>
              <w:marBottom w:val="0"/>
              <w:divBdr>
                <w:top w:val="none" w:sz="0" w:space="0" w:color="auto"/>
                <w:left w:val="none" w:sz="0" w:space="0" w:color="auto"/>
                <w:bottom w:val="none" w:sz="0" w:space="0" w:color="auto"/>
                <w:right w:val="none" w:sz="0" w:space="0" w:color="auto"/>
              </w:divBdr>
              <w:divsChild>
                <w:div w:id="1156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0698">
      <w:bodyDiv w:val="1"/>
      <w:marLeft w:val="0"/>
      <w:marRight w:val="0"/>
      <w:marTop w:val="0"/>
      <w:marBottom w:val="0"/>
      <w:divBdr>
        <w:top w:val="none" w:sz="0" w:space="0" w:color="auto"/>
        <w:left w:val="none" w:sz="0" w:space="0" w:color="auto"/>
        <w:bottom w:val="none" w:sz="0" w:space="0" w:color="auto"/>
        <w:right w:val="none" w:sz="0" w:space="0" w:color="auto"/>
      </w:divBdr>
      <w:divsChild>
        <w:div w:id="29763253">
          <w:marLeft w:val="0"/>
          <w:marRight w:val="0"/>
          <w:marTop w:val="0"/>
          <w:marBottom w:val="0"/>
          <w:divBdr>
            <w:top w:val="none" w:sz="0" w:space="0" w:color="auto"/>
            <w:left w:val="none" w:sz="0" w:space="0" w:color="auto"/>
            <w:bottom w:val="none" w:sz="0" w:space="0" w:color="auto"/>
            <w:right w:val="none" w:sz="0" w:space="0" w:color="auto"/>
          </w:divBdr>
          <w:divsChild>
            <w:div w:id="1470629498">
              <w:marLeft w:val="0"/>
              <w:marRight w:val="0"/>
              <w:marTop w:val="0"/>
              <w:marBottom w:val="0"/>
              <w:divBdr>
                <w:top w:val="none" w:sz="0" w:space="0" w:color="auto"/>
                <w:left w:val="none" w:sz="0" w:space="0" w:color="auto"/>
                <w:bottom w:val="none" w:sz="0" w:space="0" w:color="auto"/>
                <w:right w:val="none" w:sz="0" w:space="0" w:color="auto"/>
              </w:divBdr>
              <w:divsChild>
                <w:div w:id="2999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77088773">
      <w:bodyDiv w:val="1"/>
      <w:marLeft w:val="0"/>
      <w:marRight w:val="0"/>
      <w:marTop w:val="0"/>
      <w:marBottom w:val="0"/>
      <w:divBdr>
        <w:top w:val="none" w:sz="0" w:space="0" w:color="auto"/>
        <w:left w:val="none" w:sz="0" w:space="0" w:color="auto"/>
        <w:bottom w:val="none" w:sz="0" w:space="0" w:color="auto"/>
        <w:right w:val="none" w:sz="0" w:space="0" w:color="auto"/>
      </w:divBdr>
    </w:div>
    <w:div w:id="178086091">
      <w:bodyDiv w:val="1"/>
      <w:marLeft w:val="0"/>
      <w:marRight w:val="0"/>
      <w:marTop w:val="0"/>
      <w:marBottom w:val="0"/>
      <w:divBdr>
        <w:top w:val="none" w:sz="0" w:space="0" w:color="auto"/>
        <w:left w:val="none" w:sz="0" w:space="0" w:color="auto"/>
        <w:bottom w:val="none" w:sz="0" w:space="0" w:color="auto"/>
        <w:right w:val="none" w:sz="0" w:space="0" w:color="auto"/>
      </w:divBdr>
      <w:divsChild>
        <w:div w:id="557471480">
          <w:marLeft w:val="0"/>
          <w:marRight w:val="0"/>
          <w:marTop w:val="0"/>
          <w:marBottom w:val="0"/>
          <w:divBdr>
            <w:top w:val="none" w:sz="0" w:space="0" w:color="auto"/>
            <w:left w:val="none" w:sz="0" w:space="0" w:color="auto"/>
            <w:bottom w:val="none" w:sz="0" w:space="0" w:color="auto"/>
            <w:right w:val="none" w:sz="0" w:space="0" w:color="auto"/>
          </w:divBdr>
          <w:divsChild>
            <w:div w:id="908003876">
              <w:marLeft w:val="0"/>
              <w:marRight w:val="0"/>
              <w:marTop w:val="0"/>
              <w:marBottom w:val="0"/>
              <w:divBdr>
                <w:top w:val="none" w:sz="0" w:space="0" w:color="auto"/>
                <w:left w:val="none" w:sz="0" w:space="0" w:color="auto"/>
                <w:bottom w:val="none" w:sz="0" w:space="0" w:color="auto"/>
                <w:right w:val="none" w:sz="0" w:space="0" w:color="auto"/>
              </w:divBdr>
              <w:divsChild>
                <w:div w:id="1878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0919175">
      <w:bodyDiv w:val="1"/>
      <w:marLeft w:val="0"/>
      <w:marRight w:val="0"/>
      <w:marTop w:val="0"/>
      <w:marBottom w:val="0"/>
      <w:divBdr>
        <w:top w:val="none" w:sz="0" w:space="0" w:color="auto"/>
        <w:left w:val="none" w:sz="0" w:space="0" w:color="auto"/>
        <w:bottom w:val="none" w:sz="0" w:space="0" w:color="auto"/>
        <w:right w:val="none" w:sz="0" w:space="0" w:color="auto"/>
      </w:divBdr>
      <w:divsChild>
        <w:div w:id="1140345344">
          <w:marLeft w:val="0"/>
          <w:marRight w:val="0"/>
          <w:marTop w:val="0"/>
          <w:marBottom w:val="0"/>
          <w:divBdr>
            <w:top w:val="none" w:sz="0" w:space="0" w:color="auto"/>
            <w:left w:val="none" w:sz="0" w:space="0" w:color="auto"/>
            <w:bottom w:val="none" w:sz="0" w:space="0" w:color="auto"/>
            <w:right w:val="none" w:sz="0" w:space="0" w:color="auto"/>
          </w:divBdr>
          <w:divsChild>
            <w:div w:id="1970353634">
              <w:marLeft w:val="0"/>
              <w:marRight w:val="0"/>
              <w:marTop w:val="0"/>
              <w:marBottom w:val="0"/>
              <w:divBdr>
                <w:top w:val="none" w:sz="0" w:space="0" w:color="auto"/>
                <w:left w:val="none" w:sz="0" w:space="0" w:color="auto"/>
                <w:bottom w:val="none" w:sz="0" w:space="0" w:color="auto"/>
                <w:right w:val="none" w:sz="0" w:space="0" w:color="auto"/>
              </w:divBdr>
              <w:divsChild>
                <w:div w:id="288055356">
                  <w:marLeft w:val="0"/>
                  <w:marRight w:val="0"/>
                  <w:marTop w:val="0"/>
                  <w:marBottom w:val="0"/>
                  <w:divBdr>
                    <w:top w:val="none" w:sz="0" w:space="0" w:color="auto"/>
                    <w:left w:val="none" w:sz="0" w:space="0" w:color="auto"/>
                    <w:bottom w:val="none" w:sz="0" w:space="0" w:color="auto"/>
                    <w:right w:val="none" w:sz="0" w:space="0" w:color="auto"/>
                  </w:divBdr>
                  <w:divsChild>
                    <w:div w:id="20265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1185834">
      <w:bodyDiv w:val="1"/>
      <w:marLeft w:val="0"/>
      <w:marRight w:val="0"/>
      <w:marTop w:val="0"/>
      <w:marBottom w:val="0"/>
      <w:divBdr>
        <w:top w:val="none" w:sz="0" w:space="0" w:color="auto"/>
        <w:left w:val="none" w:sz="0" w:space="0" w:color="auto"/>
        <w:bottom w:val="none" w:sz="0" w:space="0" w:color="auto"/>
        <w:right w:val="none" w:sz="0" w:space="0" w:color="auto"/>
      </w:divBdr>
      <w:divsChild>
        <w:div w:id="1880505482">
          <w:marLeft w:val="0"/>
          <w:marRight w:val="0"/>
          <w:marTop w:val="0"/>
          <w:marBottom w:val="0"/>
          <w:divBdr>
            <w:top w:val="none" w:sz="0" w:space="0" w:color="auto"/>
            <w:left w:val="none" w:sz="0" w:space="0" w:color="auto"/>
            <w:bottom w:val="none" w:sz="0" w:space="0" w:color="auto"/>
            <w:right w:val="none" w:sz="0" w:space="0" w:color="auto"/>
          </w:divBdr>
          <w:divsChild>
            <w:div w:id="499194134">
              <w:marLeft w:val="0"/>
              <w:marRight w:val="0"/>
              <w:marTop w:val="0"/>
              <w:marBottom w:val="0"/>
              <w:divBdr>
                <w:top w:val="none" w:sz="0" w:space="0" w:color="auto"/>
                <w:left w:val="none" w:sz="0" w:space="0" w:color="auto"/>
                <w:bottom w:val="none" w:sz="0" w:space="0" w:color="auto"/>
                <w:right w:val="none" w:sz="0" w:space="0" w:color="auto"/>
              </w:divBdr>
              <w:divsChild>
                <w:div w:id="1750271104">
                  <w:marLeft w:val="0"/>
                  <w:marRight w:val="0"/>
                  <w:marTop w:val="0"/>
                  <w:marBottom w:val="0"/>
                  <w:divBdr>
                    <w:top w:val="none" w:sz="0" w:space="0" w:color="auto"/>
                    <w:left w:val="none" w:sz="0" w:space="0" w:color="auto"/>
                    <w:bottom w:val="none" w:sz="0" w:space="0" w:color="auto"/>
                    <w:right w:val="none" w:sz="0" w:space="0" w:color="auto"/>
                  </w:divBdr>
                  <w:divsChild>
                    <w:div w:id="16995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9778212">
      <w:bodyDiv w:val="1"/>
      <w:marLeft w:val="0"/>
      <w:marRight w:val="0"/>
      <w:marTop w:val="0"/>
      <w:marBottom w:val="0"/>
      <w:divBdr>
        <w:top w:val="none" w:sz="0" w:space="0" w:color="auto"/>
        <w:left w:val="none" w:sz="0" w:space="0" w:color="auto"/>
        <w:bottom w:val="none" w:sz="0" w:space="0" w:color="auto"/>
        <w:right w:val="none" w:sz="0" w:space="0" w:color="auto"/>
      </w:divBdr>
      <w:divsChild>
        <w:div w:id="41373682">
          <w:marLeft w:val="0"/>
          <w:marRight w:val="0"/>
          <w:marTop w:val="0"/>
          <w:marBottom w:val="0"/>
          <w:divBdr>
            <w:top w:val="none" w:sz="0" w:space="0" w:color="auto"/>
            <w:left w:val="none" w:sz="0" w:space="0" w:color="auto"/>
            <w:bottom w:val="none" w:sz="0" w:space="0" w:color="auto"/>
            <w:right w:val="none" w:sz="0" w:space="0" w:color="auto"/>
          </w:divBdr>
          <w:divsChild>
            <w:div w:id="1332871675">
              <w:marLeft w:val="0"/>
              <w:marRight w:val="0"/>
              <w:marTop w:val="0"/>
              <w:marBottom w:val="0"/>
              <w:divBdr>
                <w:top w:val="none" w:sz="0" w:space="0" w:color="auto"/>
                <w:left w:val="none" w:sz="0" w:space="0" w:color="auto"/>
                <w:bottom w:val="none" w:sz="0" w:space="0" w:color="auto"/>
                <w:right w:val="none" w:sz="0" w:space="0" w:color="auto"/>
              </w:divBdr>
              <w:divsChild>
                <w:div w:id="7619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1651">
      <w:bodyDiv w:val="1"/>
      <w:marLeft w:val="0"/>
      <w:marRight w:val="0"/>
      <w:marTop w:val="0"/>
      <w:marBottom w:val="0"/>
      <w:divBdr>
        <w:top w:val="none" w:sz="0" w:space="0" w:color="auto"/>
        <w:left w:val="none" w:sz="0" w:space="0" w:color="auto"/>
        <w:bottom w:val="none" w:sz="0" w:space="0" w:color="auto"/>
        <w:right w:val="none" w:sz="0" w:space="0" w:color="auto"/>
      </w:divBdr>
      <w:divsChild>
        <w:div w:id="720716725">
          <w:marLeft w:val="0"/>
          <w:marRight w:val="0"/>
          <w:marTop w:val="0"/>
          <w:marBottom w:val="0"/>
          <w:divBdr>
            <w:top w:val="none" w:sz="0" w:space="0" w:color="auto"/>
            <w:left w:val="none" w:sz="0" w:space="0" w:color="auto"/>
            <w:bottom w:val="none" w:sz="0" w:space="0" w:color="auto"/>
            <w:right w:val="none" w:sz="0" w:space="0" w:color="auto"/>
          </w:divBdr>
          <w:divsChild>
            <w:div w:id="1461921692">
              <w:marLeft w:val="0"/>
              <w:marRight w:val="0"/>
              <w:marTop w:val="0"/>
              <w:marBottom w:val="0"/>
              <w:divBdr>
                <w:top w:val="none" w:sz="0" w:space="0" w:color="auto"/>
                <w:left w:val="none" w:sz="0" w:space="0" w:color="auto"/>
                <w:bottom w:val="none" w:sz="0" w:space="0" w:color="auto"/>
                <w:right w:val="none" w:sz="0" w:space="0" w:color="auto"/>
              </w:divBdr>
              <w:divsChild>
                <w:div w:id="12478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87706">
      <w:bodyDiv w:val="1"/>
      <w:marLeft w:val="0"/>
      <w:marRight w:val="0"/>
      <w:marTop w:val="0"/>
      <w:marBottom w:val="0"/>
      <w:divBdr>
        <w:top w:val="none" w:sz="0" w:space="0" w:color="auto"/>
        <w:left w:val="none" w:sz="0" w:space="0" w:color="auto"/>
        <w:bottom w:val="none" w:sz="0" w:space="0" w:color="auto"/>
        <w:right w:val="none" w:sz="0" w:space="0" w:color="auto"/>
      </w:divBdr>
      <w:divsChild>
        <w:div w:id="1837332986">
          <w:marLeft w:val="0"/>
          <w:marRight w:val="0"/>
          <w:marTop w:val="0"/>
          <w:marBottom w:val="0"/>
          <w:divBdr>
            <w:top w:val="none" w:sz="0" w:space="0" w:color="auto"/>
            <w:left w:val="none" w:sz="0" w:space="0" w:color="auto"/>
            <w:bottom w:val="none" w:sz="0" w:space="0" w:color="auto"/>
            <w:right w:val="none" w:sz="0" w:space="0" w:color="auto"/>
          </w:divBdr>
          <w:divsChild>
            <w:div w:id="829053524">
              <w:marLeft w:val="0"/>
              <w:marRight w:val="0"/>
              <w:marTop w:val="0"/>
              <w:marBottom w:val="0"/>
              <w:divBdr>
                <w:top w:val="none" w:sz="0" w:space="0" w:color="auto"/>
                <w:left w:val="none" w:sz="0" w:space="0" w:color="auto"/>
                <w:bottom w:val="none" w:sz="0" w:space="0" w:color="auto"/>
                <w:right w:val="none" w:sz="0" w:space="0" w:color="auto"/>
              </w:divBdr>
              <w:divsChild>
                <w:div w:id="1285770620">
                  <w:marLeft w:val="0"/>
                  <w:marRight w:val="0"/>
                  <w:marTop w:val="0"/>
                  <w:marBottom w:val="0"/>
                  <w:divBdr>
                    <w:top w:val="none" w:sz="0" w:space="0" w:color="auto"/>
                    <w:left w:val="none" w:sz="0" w:space="0" w:color="auto"/>
                    <w:bottom w:val="none" w:sz="0" w:space="0" w:color="auto"/>
                    <w:right w:val="none" w:sz="0" w:space="0" w:color="auto"/>
                  </w:divBdr>
                  <w:divsChild>
                    <w:div w:id="4771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7484612">
      <w:bodyDiv w:val="1"/>
      <w:marLeft w:val="0"/>
      <w:marRight w:val="0"/>
      <w:marTop w:val="0"/>
      <w:marBottom w:val="0"/>
      <w:divBdr>
        <w:top w:val="none" w:sz="0" w:space="0" w:color="auto"/>
        <w:left w:val="none" w:sz="0" w:space="0" w:color="auto"/>
        <w:bottom w:val="none" w:sz="0" w:space="0" w:color="auto"/>
        <w:right w:val="none" w:sz="0" w:space="0" w:color="auto"/>
      </w:divBdr>
      <w:divsChild>
        <w:div w:id="1313949391">
          <w:marLeft w:val="0"/>
          <w:marRight w:val="0"/>
          <w:marTop w:val="0"/>
          <w:marBottom w:val="0"/>
          <w:divBdr>
            <w:top w:val="none" w:sz="0" w:space="0" w:color="auto"/>
            <w:left w:val="none" w:sz="0" w:space="0" w:color="auto"/>
            <w:bottom w:val="none" w:sz="0" w:space="0" w:color="auto"/>
            <w:right w:val="none" w:sz="0" w:space="0" w:color="auto"/>
          </w:divBdr>
          <w:divsChild>
            <w:div w:id="802116582">
              <w:marLeft w:val="0"/>
              <w:marRight w:val="0"/>
              <w:marTop w:val="0"/>
              <w:marBottom w:val="0"/>
              <w:divBdr>
                <w:top w:val="none" w:sz="0" w:space="0" w:color="auto"/>
                <w:left w:val="none" w:sz="0" w:space="0" w:color="auto"/>
                <w:bottom w:val="none" w:sz="0" w:space="0" w:color="auto"/>
                <w:right w:val="none" w:sz="0" w:space="0" w:color="auto"/>
              </w:divBdr>
              <w:divsChild>
                <w:div w:id="1765758793">
                  <w:marLeft w:val="0"/>
                  <w:marRight w:val="0"/>
                  <w:marTop w:val="0"/>
                  <w:marBottom w:val="0"/>
                  <w:divBdr>
                    <w:top w:val="none" w:sz="0" w:space="0" w:color="auto"/>
                    <w:left w:val="none" w:sz="0" w:space="0" w:color="auto"/>
                    <w:bottom w:val="none" w:sz="0" w:space="0" w:color="auto"/>
                    <w:right w:val="none" w:sz="0" w:space="0" w:color="auto"/>
                  </w:divBdr>
                  <w:divsChild>
                    <w:div w:id="18226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7310966">
      <w:bodyDiv w:val="1"/>
      <w:marLeft w:val="0"/>
      <w:marRight w:val="0"/>
      <w:marTop w:val="0"/>
      <w:marBottom w:val="0"/>
      <w:divBdr>
        <w:top w:val="none" w:sz="0" w:space="0" w:color="auto"/>
        <w:left w:val="none" w:sz="0" w:space="0" w:color="auto"/>
        <w:bottom w:val="none" w:sz="0" w:space="0" w:color="auto"/>
        <w:right w:val="none" w:sz="0" w:space="0" w:color="auto"/>
      </w:divBdr>
      <w:divsChild>
        <w:div w:id="760443813">
          <w:marLeft w:val="0"/>
          <w:marRight w:val="0"/>
          <w:marTop w:val="0"/>
          <w:marBottom w:val="0"/>
          <w:divBdr>
            <w:top w:val="none" w:sz="0" w:space="0" w:color="auto"/>
            <w:left w:val="none" w:sz="0" w:space="0" w:color="auto"/>
            <w:bottom w:val="none" w:sz="0" w:space="0" w:color="auto"/>
            <w:right w:val="none" w:sz="0" w:space="0" w:color="auto"/>
          </w:divBdr>
          <w:divsChild>
            <w:div w:id="1165974489">
              <w:marLeft w:val="0"/>
              <w:marRight w:val="0"/>
              <w:marTop w:val="0"/>
              <w:marBottom w:val="0"/>
              <w:divBdr>
                <w:top w:val="none" w:sz="0" w:space="0" w:color="auto"/>
                <w:left w:val="none" w:sz="0" w:space="0" w:color="auto"/>
                <w:bottom w:val="none" w:sz="0" w:space="0" w:color="auto"/>
                <w:right w:val="none" w:sz="0" w:space="0" w:color="auto"/>
              </w:divBdr>
              <w:divsChild>
                <w:div w:id="1069501937">
                  <w:marLeft w:val="0"/>
                  <w:marRight w:val="0"/>
                  <w:marTop w:val="0"/>
                  <w:marBottom w:val="0"/>
                  <w:divBdr>
                    <w:top w:val="none" w:sz="0" w:space="0" w:color="auto"/>
                    <w:left w:val="none" w:sz="0" w:space="0" w:color="auto"/>
                    <w:bottom w:val="none" w:sz="0" w:space="0" w:color="auto"/>
                    <w:right w:val="none" w:sz="0" w:space="0" w:color="auto"/>
                  </w:divBdr>
                  <w:divsChild>
                    <w:div w:id="6060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5560">
      <w:bodyDiv w:val="1"/>
      <w:marLeft w:val="0"/>
      <w:marRight w:val="0"/>
      <w:marTop w:val="0"/>
      <w:marBottom w:val="0"/>
      <w:divBdr>
        <w:top w:val="none" w:sz="0" w:space="0" w:color="auto"/>
        <w:left w:val="none" w:sz="0" w:space="0" w:color="auto"/>
        <w:bottom w:val="none" w:sz="0" w:space="0" w:color="auto"/>
        <w:right w:val="none" w:sz="0" w:space="0" w:color="auto"/>
      </w:divBdr>
      <w:divsChild>
        <w:div w:id="429470587">
          <w:marLeft w:val="0"/>
          <w:marRight w:val="0"/>
          <w:marTop w:val="0"/>
          <w:marBottom w:val="0"/>
          <w:divBdr>
            <w:top w:val="none" w:sz="0" w:space="0" w:color="auto"/>
            <w:left w:val="none" w:sz="0" w:space="0" w:color="auto"/>
            <w:bottom w:val="none" w:sz="0" w:space="0" w:color="auto"/>
            <w:right w:val="none" w:sz="0" w:space="0" w:color="auto"/>
          </w:divBdr>
          <w:divsChild>
            <w:div w:id="1599487841">
              <w:marLeft w:val="0"/>
              <w:marRight w:val="0"/>
              <w:marTop w:val="0"/>
              <w:marBottom w:val="0"/>
              <w:divBdr>
                <w:top w:val="none" w:sz="0" w:space="0" w:color="auto"/>
                <w:left w:val="none" w:sz="0" w:space="0" w:color="auto"/>
                <w:bottom w:val="none" w:sz="0" w:space="0" w:color="auto"/>
                <w:right w:val="none" w:sz="0" w:space="0" w:color="auto"/>
              </w:divBdr>
              <w:divsChild>
                <w:div w:id="15229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3686">
      <w:bodyDiv w:val="1"/>
      <w:marLeft w:val="0"/>
      <w:marRight w:val="0"/>
      <w:marTop w:val="0"/>
      <w:marBottom w:val="0"/>
      <w:divBdr>
        <w:top w:val="none" w:sz="0" w:space="0" w:color="auto"/>
        <w:left w:val="none" w:sz="0" w:space="0" w:color="auto"/>
        <w:bottom w:val="none" w:sz="0" w:space="0" w:color="auto"/>
        <w:right w:val="none" w:sz="0" w:space="0" w:color="auto"/>
      </w:divBdr>
      <w:divsChild>
        <w:div w:id="118114456">
          <w:marLeft w:val="0"/>
          <w:marRight w:val="0"/>
          <w:marTop w:val="0"/>
          <w:marBottom w:val="0"/>
          <w:divBdr>
            <w:top w:val="none" w:sz="0" w:space="0" w:color="auto"/>
            <w:left w:val="none" w:sz="0" w:space="0" w:color="auto"/>
            <w:bottom w:val="none" w:sz="0" w:space="0" w:color="auto"/>
            <w:right w:val="none" w:sz="0" w:space="0" w:color="auto"/>
          </w:divBdr>
          <w:divsChild>
            <w:div w:id="1527981559">
              <w:marLeft w:val="0"/>
              <w:marRight w:val="0"/>
              <w:marTop w:val="0"/>
              <w:marBottom w:val="0"/>
              <w:divBdr>
                <w:top w:val="none" w:sz="0" w:space="0" w:color="auto"/>
                <w:left w:val="none" w:sz="0" w:space="0" w:color="auto"/>
                <w:bottom w:val="none" w:sz="0" w:space="0" w:color="auto"/>
                <w:right w:val="none" w:sz="0" w:space="0" w:color="auto"/>
              </w:divBdr>
              <w:divsChild>
                <w:div w:id="1651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1181">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2747969">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0597638">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2928964">
      <w:bodyDiv w:val="1"/>
      <w:marLeft w:val="0"/>
      <w:marRight w:val="0"/>
      <w:marTop w:val="0"/>
      <w:marBottom w:val="0"/>
      <w:divBdr>
        <w:top w:val="none" w:sz="0" w:space="0" w:color="auto"/>
        <w:left w:val="none" w:sz="0" w:space="0" w:color="auto"/>
        <w:bottom w:val="none" w:sz="0" w:space="0" w:color="auto"/>
        <w:right w:val="none" w:sz="0" w:space="0" w:color="auto"/>
      </w:divBdr>
    </w:div>
    <w:div w:id="665674608">
      <w:bodyDiv w:val="1"/>
      <w:marLeft w:val="0"/>
      <w:marRight w:val="0"/>
      <w:marTop w:val="0"/>
      <w:marBottom w:val="0"/>
      <w:divBdr>
        <w:top w:val="none" w:sz="0" w:space="0" w:color="auto"/>
        <w:left w:val="none" w:sz="0" w:space="0" w:color="auto"/>
        <w:bottom w:val="none" w:sz="0" w:space="0" w:color="auto"/>
        <w:right w:val="none" w:sz="0" w:space="0" w:color="auto"/>
      </w:divBdr>
    </w:div>
    <w:div w:id="671220827">
      <w:bodyDiv w:val="1"/>
      <w:marLeft w:val="0"/>
      <w:marRight w:val="0"/>
      <w:marTop w:val="0"/>
      <w:marBottom w:val="0"/>
      <w:divBdr>
        <w:top w:val="none" w:sz="0" w:space="0" w:color="auto"/>
        <w:left w:val="none" w:sz="0" w:space="0" w:color="auto"/>
        <w:bottom w:val="none" w:sz="0" w:space="0" w:color="auto"/>
        <w:right w:val="none" w:sz="0" w:space="0" w:color="auto"/>
      </w:divBdr>
      <w:divsChild>
        <w:div w:id="2039158860">
          <w:marLeft w:val="0"/>
          <w:marRight w:val="0"/>
          <w:marTop w:val="0"/>
          <w:marBottom w:val="0"/>
          <w:divBdr>
            <w:top w:val="none" w:sz="0" w:space="0" w:color="auto"/>
            <w:left w:val="none" w:sz="0" w:space="0" w:color="auto"/>
            <w:bottom w:val="none" w:sz="0" w:space="0" w:color="auto"/>
            <w:right w:val="none" w:sz="0" w:space="0" w:color="auto"/>
          </w:divBdr>
          <w:divsChild>
            <w:div w:id="1265261127">
              <w:marLeft w:val="0"/>
              <w:marRight w:val="0"/>
              <w:marTop w:val="0"/>
              <w:marBottom w:val="0"/>
              <w:divBdr>
                <w:top w:val="none" w:sz="0" w:space="0" w:color="auto"/>
                <w:left w:val="none" w:sz="0" w:space="0" w:color="auto"/>
                <w:bottom w:val="none" w:sz="0" w:space="0" w:color="auto"/>
                <w:right w:val="none" w:sz="0" w:space="0" w:color="auto"/>
              </w:divBdr>
              <w:divsChild>
                <w:div w:id="986594680">
                  <w:marLeft w:val="0"/>
                  <w:marRight w:val="0"/>
                  <w:marTop w:val="0"/>
                  <w:marBottom w:val="0"/>
                  <w:divBdr>
                    <w:top w:val="none" w:sz="0" w:space="0" w:color="auto"/>
                    <w:left w:val="none" w:sz="0" w:space="0" w:color="auto"/>
                    <w:bottom w:val="none" w:sz="0" w:space="0" w:color="auto"/>
                    <w:right w:val="none" w:sz="0" w:space="0" w:color="auto"/>
                  </w:divBdr>
                  <w:divsChild>
                    <w:div w:id="6869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0942">
      <w:bodyDiv w:val="1"/>
      <w:marLeft w:val="0"/>
      <w:marRight w:val="0"/>
      <w:marTop w:val="0"/>
      <w:marBottom w:val="0"/>
      <w:divBdr>
        <w:top w:val="none" w:sz="0" w:space="0" w:color="auto"/>
        <w:left w:val="none" w:sz="0" w:space="0" w:color="auto"/>
        <w:bottom w:val="none" w:sz="0" w:space="0" w:color="auto"/>
        <w:right w:val="none" w:sz="0" w:space="0" w:color="auto"/>
      </w:divBdr>
    </w:div>
    <w:div w:id="689336432">
      <w:bodyDiv w:val="1"/>
      <w:marLeft w:val="0"/>
      <w:marRight w:val="0"/>
      <w:marTop w:val="0"/>
      <w:marBottom w:val="0"/>
      <w:divBdr>
        <w:top w:val="none" w:sz="0" w:space="0" w:color="auto"/>
        <w:left w:val="none" w:sz="0" w:space="0" w:color="auto"/>
        <w:bottom w:val="none" w:sz="0" w:space="0" w:color="auto"/>
        <w:right w:val="none" w:sz="0" w:space="0" w:color="auto"/>
      </w:divBdr>
      <w:divsChild>
        <w:div w:id="260340052">
          <w:marLeft w:val="0"/>
          <w:marRight w:val="0"/>
          <w:marTop w:val="0"/>
          <w:marBottom w:val="0"/>
          <w:divBdr>
            <w:top w:val="none" w:sz="0" w:space="0" w:color="auto"/>
            <w:left w:val="none" w:sz="0" w:space="0" w:color="auto"/>
            <w:bottom w:val="none" w:sz="0" w:space="0" w:color="auto"/>
            <w:right w:val="none" w:sz="0" w:space="0" w:color="auto"/>
          </w:divBdr>
          <w:divsChild>
            <w:div w:id="418449709">
              <w:marLeft w:val="0"/>
              <w:marRight w:val="0"/>
              <w:marTop w:val="0"/>
              <w:marBottom w:val="0"/>
              <w:divBdr>
                <w:top w:val="none" w:sz="0" w:space="0" w:color="auto"/>
                <w:left w:val="none" w:sz="0" w:space="0" w:color="auto"/>
                <w:bottom w:val="none" w:sz="0" w:space="0" w:color="auto"/>
                <w:right w:val="none" w:sz="0" w:space="0" w:color="auto"/>
              </w:divBdr>
              <w:divsChild>
                <w:div w:id="574362142">
                  <w:marLeft w:val="0"/>
                  <w:marRight w:val="0"/>
                  <w:marTop w:val="0"/>
                  <w:marBottom w:val="0"/>
                  <w:divBdr>
                    <w:top w:val="none" w:sz="0" w:space="0" w:color="auto"/>
                    <w:left w:val="none" w:sz="0" w:space="0" w:color="auto"/>
                    <w:bottom w:val="none" w:sz="0" w:space="0" w:color="auto"/>
                    <w:right w:val="none" w:sz="0" w:space="0" w:color="auto"/>
                  </w:divBdr>
                  <w:divsChild>
                    <w:div w:id="6517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00317">
      <w:bodyDiv w:val="1"/>
      <w:marLeft w:val="0"/>
      <w:marRight w:val="0"/>
      <w:marTop w:val="0"/>
      <w:marBottom w:val="0"/>
      <w:divBdr>
        <w:top w:val="none" w:sz="0" w:space="0" w:color="auto"/>
        <w:left w:val="none" w:sz="0" w:space="0" w:color="auto"/>
        <w:bottom w:val="none" w:sz="0" w:space="0" w:color="auto"/>
        <w:right w:val="none" w:sz="0" w:space="0" w:color="auto"/>
      </w:divBdr>
      <w:divsChild>
        <w:div w:id="873738134">
          <w:marLeft w:val="0"/>
          <w:marRight w:val="0"/>
          <w:marTop w:val="0"/>
          <w:marBottom w:val="0"/>
          <w:divBdr>
            <w:top w:val="none" w:sz="0" w:space="0" w:color="auto"/>
            <w:left w:val="none" w:sz="0" w:space="0" w:color="auto"/>
            <w:bottom w:val="none" w:sz="0" w:space="0" w:color="auto"/>
            <w:right w:val="none" w:sz="0" w:space="0" w:color="auto"/>
          </w:divBdr>
          <w:divsChild>
            <w:div w:id="1218972918">
              <w:marLeft w:val="0"/>
              <w:marRight w:val="0"/>
              <w:marTop w:val="0"/>
              <w:marBottom w:val="0"/>
              <w:divBdr>
                <w:top w:val="none" w:sz="0" w:space="0" w:color="auto"/>
                <w:left w:val="none" w:sz="0" w:space="0" w:color="auto"/>
                <w:bottom w:val="none" w:sz="0" w:space="0" w:color="auto"/>
                <w:right w:val="none" w:sz="0" w:space="0" w:color="auto"/>
              </w:divBdr>
              <w:divsChild>
                <w:div w:id="1929608059">
                  <w:marLeft w:val="0"/>
                  <w:marRight w:val="0"/>
                  <w:marTop w:val="0"/>
                  <w:marBottom w:val="0"/>
                  <w:divBdr>
                    <w:top w:val="none" w:sz="0" w:space="0" w:color="auto"/>
                    <w:left w:val="none" w:sz="0" w:space="0" w:color="auto"/>
                    <w:bottom w:val="none" w:sz="0" w:space="0" w:color="auto"/>
                    <w:right w:val="none" w:sz="0" w:space="0" w:color="auto"/>
                  </w:divBdr>
                  <w:divsChild>
                    <w:div w:id="1485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6339151">
      <w:bodyDiv w:val="1"/>
      <w:marLeft w:val="0"/>
      <w:marRight w:val="0"/>
      <w:marTop w:val="0"/>
      <w:marBottom w:val="0"/>
      <w:divBdr>
        <w:top w:val="none" w:sz="0" w:space="0" w:color="auto"/>
        <w:left w:val="none" w:sz="0" w:space="0" w:color="auto"/>
        <w:bottom w:val="none" w:sz="0" w:space="0" w:color="auto"/>
        <w:right w:val="none" w:sz="0" w:space="0" w:color="auto"/>
      </w:divBdr>
    </w:div>
    <w:div w:id="796266047">
      <w:bodyDiv w:val="1"/>
      <w:marLeft w:val="0"/>
      <w:marRight w:val="0"/>
      <w:marTop w:val="0"/>
      <w:marBottom w:val="0"/>
      <w:divBdr>
        <w:top w:val="none" w:sz="0" w:space="0" w:color="auto"/>
        <w:left w:val="none" w:sz="0" w:space="0" w:color="auto"/>
        <w:bottom w:val="none" w:sz="0" w:space="0" w:color="auto"/>
        <w:right w:val="none" w:sz="0" w:space="0" w:color="auto"/>
      </w:divBdr>
      <w:divsChild>
        <w:div w:id="50084458">
          <w:marLeft w:val="0"/>
          <w:marRight w:val="0"/>
          <w:marTop w:val="0"/>
          <w:marBottom w:val="0"/>
          <w:divBdr>
            <w:top w:val="none" w:sz="0" w:space="0" w:color="auto"/>
            <w:left w:val="none" w:sz="0" w:space="0" w:color="auto"/>
            <w:bottom w:val="none" w:sz="0" w:space="0" w:color="auto"/>
            <w:right w:val="none" w:sz="0" w:space="0" w:color="auto"/>
          </w:divBdr>
          <w:divsChild>
            <w:div w:id="36591192">
              <w:marLeft w:val="0"/>
              <w:marRight w:val="0"/>
              <w:marTop w:val="0"/>
              <w:marBottom w:val="0"/>
              <w:divBdr>
                <w:top w:val="none" w:sz="0" w:space="0" w:color="auto"/>
                <w:left w:val="none" w:sz="0" w:space="0" w:color="auto"/>
                <w:bottom w:val="none" w:sz="0" w:space="0" w:color="auto"/>
                <w:right w:val="none" w:sz="0" w:space="0" w:color="auto"/>
              </w:divBdr>
            </w:div>
            <w:div w:id="160510452">
              <w:marLeft w:val="0"/>
              <w:marRight w:val="0"/>
              <w:marTop w:val="0"/>
              <w:marBottom w:val="0"/>
              <w:divBdr>
                <w:top w:val="none" w:sz="0" w:space="0" w:color="auto"/>
                <w:left w:val="none" w:sz="0" w:space="0" w:color="auto"/>
                <w:bottom w:val="none" w:sz="0" w:space="0" w:color="auto"/>
                <w:right w:val="none" w:sz="0" w:space="0" w:color="auto"/>
              </w:divBdr>
            </w:div>
            <w:div w:id="277181808">
              <w:marLeft w:val="0"/>
              <w:marRight w:val="0"/>
              <w:marTop w:val="0"/>
              <w:marBottom w:val="0"/>
              <w:divBdr>
                <w:top w:val="none" w:sz="0" w:space="0" w:color="auto"/>
                <w:left w:val="none" w:sz="0" w:space="0" w:color="auto"/>
                <w:bottom w:val="none" w:sz="0" w:space="0" w:color="auto"/>
                <w:right w:val="none" w:sz="0" w:space="0" w:color="auto"/>
              </w:divBdr>
            </w:div>
            <w:div w:id="698748975">
              <w:marLeft w:val="0"/>
              <w:marRight w:val="0"/>
              <w:marTop w:val="0"/>
              <w:marBottom w:val="0"/>
              <w:divBdr>
                <w:top w:val="none" w:sz="0" w:space="0" w:color="auto"/>
                <w:left w:val="none" w:sz="0" w:space="0" w:color="auto"/>
                <w:bottom w:val="none" w:sz="0" w:space="0" w:color="auto"/>
                <w:right w:val="none" w:sz="0" w:space="0" w:color="auto"/>
              </w:divBdr>
            </w:div>
            <w:div w:id="707611321">
              <w:marLeft w:val="0"/>
              <w:marRight w:val="0"/>
              <w:marTop w:val="0"/>
              <w:marBottom w:val="0"/>
              <w:divBdr>
                <w:top w:val="none" w:sz="0" w:space="0" w:color="auto"/>
                <w:left w:val="none" w:sz="0" w:space="0" w:color="auto"/>
                <w:bottom w:val="none" w:sz="0" w:space="0" w:color="auto"/>
                <w:right w:val="none" w:sz="0" w:space="0" w:color="auto"/>
              </w:divBdr>
            </w:div>
            <w:div w:id="882253601">
              <w:marLeft w:val="0"/>
              <w:marRight w:val="0"/>
              <w:marTop w:val="0"/>
              <w:marBottom w:val="0"/>
              <w:divBdr>
                <w:top w:val="none" w:sz="0" w:space="0" w:color="auto"/>
                <w:left w:val="none" w:sz="0" w:space="0" w:color="auto"/>
                <w:bottom w:val="none" w:sz="0" w:space="0" w:color="auto"/>
                <w:right w:val="none" w:sz="0" w:space="0" w:color="auto"/>
              </w:divBdr>
            </w:div>
            <w:div w:id="1870754764">
              <w:marLeft w:val="0"/>
              <w:marRight w:val="0"/>
              <w:marTop w:val="0"/>
              <w:marBottom w:val="0"/>
              <w:divBdr>
                <w:top w:val="none" w:sz="0" w:space="0" w:color="auto"/>
                <w:left w:val="none" w:sz="0" w:space="0" w:color="auto"/>
                <w:bottom w:val="none" w:sz="0" w:space="0" w:color="auto"/>
                <w:right w:val="none" w:sz="0" w:space="0" w:color="auto"/>
              </w:divBdr>
            </w:div>
            <w:div w:id="2045402790">
              <w:marLeft w:val="0"/>
              <w:marRight w:val="0"/>
              <w:marTop w:val="0"/>
              <w:marBottom w:val="0"/>
              <w:divBdr>
                <w:top w:val="none" w:sz="0" w:space="0" w:color="auto"/>
                <w:left w:val="none" w:sz="0" w:space="0" w:color="auto"/>
                <w:bottom w:val="none" w:sz="0" w:space="0" w:color="auto"/>
                <w:right w:val="none" w:sz="0" w:space="0" w:color="auto"/>
              </w:divBdr>
            </w:div>
          </w:divsChild>
        </w:div>
        <w:div w:id="471605822">
          <w:marLeft w:val="0"/>
          <w:marRight w:val="0"/>
          <w:marTop w:val="0"/>
          <w:marBottom w:val="0"/>
          <w:divBdr>
            <w:top w:val="none" w:sz="0" w:space="0" w:color="auto"/>
            <w:left w:val="none" w:sz="0" w:space="0" w:color="auto"/>
            <w:bottom w:val="none" w:sz="0" w:space="0" w:color="auto"/>
            <w:right w:val="none" w:sz="0" w:space="0" w:color="auto"/>
          </w:divBdr>
          <w:divsChild>
            <w:div w:id="401831217">
              <w:marLeft w:val="0"/>
              <w:marRight w:val="0"/>
              <w:marTop w:val="0"/>
              <w:marBottom w:val="0"/>
              <w:divBdr>
                <w:top w:val="none" w:sz="0" w:space="0" w:color="auto"/>
                <w:left w:val="none" w:sz="0" w:space="0" w:color="auto"/>
                <w:bottom w:val="none" w:sz="0" w:space="0" w:color="auto"/>
                <w:right w:val="none" w:sz="0" w:space="0" w:color="auto"/>
              </w:divBdr>
            </w:div>
            <w:div w:id="706679570">
              <w:marLeft w:val="0"/>
              <w:marRight w:val="0"/>
              <w:marTop w:val="0"/>
              <w:marBottom w:val="0"/>
              <w:divBdr>
                <w:top w:val="none" w:sz="0" w:space="0" w:color="auto"/>
                <w:left w:val="none" w:sz="0" w:space="0" w:color="auto"/>
                <w:bottom w:val="none" w:sz="0" w:space="0" w:color="auto"/>
                <w:right w:val="none" w:sz="0" w:space="0" w:color="auto"/>
              </w:divBdr>
            </w:div>
            <w:div w:id="795562061">
              <w:marLeft w:val="0"/>
              <w:marRight w:val="0"/>
              <w:marTop w:val="0"/>
              <w:marBottom w:val="0"/>
              <w:divBdr>
                <w:top w:val="none" w:sz="0" w:space="0" w:color="auto"/>
                <w:left w:val="none" w:sz="0" w:space="0" w:color="auto"/>
                <w:bottom w:val="none" w:sz="0" w:space="0" w:color="auto"/>
                <w:right w:val="none" w:sz="0" w:space="0" w:color="auto"/>
              </w:divBdr>
            </w:div>
            <w:div w:id="1163742015">
              <w:marLeft w:val="0"/>
              <w:marRight w:val="0"/>
              <w:marTop w:val="0"/>
              <w:marBottom w:val="0"/>
              <w:divBdr>
                <w:top w:val="none" w:sz="0" w:space="0" w:color="auto"/>
                <w:left w:val="none" w:sz="0" w:space="0" w:color="auto"/>
                <w:bottom w:val="none" w:sz="0" w:space="0" w:color="auto"/>
                <w:right w:val="none" w:sz="0" w:space="0" w:color="auto"/>
              </w:divBdr>
            </w:div>
            <w:div w:id="1296251474">
              <w:marLeft w:val="0"/>
              <w:marRight w:val="0"/>
              <w:marTop w:val="0"/>
              <w:marBottom w:val="0"/>
              <w:divBdr>
                <w:top w:val="none" w:sz="0" w:space="0" w:color="auto"/>
                <w:left w:val="none" w:sz="0" w:space="0" w:color="auto"/>
                <w:bottom w:val="none" w:sz="0" w:space="0" w:color="auto"/>
                <w:right w:val="none" w:sz="0" w:space="0" w:color="auto"/>
              </w:divBdr>
            </w:div>
            <w:div w:id="1753694241">
              <w:marLeft w:val="0"/>
              <w:marRight w:val="0"/>
              <w:marTop w:val="0"/>
              <w:marBottom w:val="0"/>
              <w:divBdr>
                <w:top w:val="none" w:sz="0" w:space="0" w:color="auto"/>
                <w:left w:val="none" w:sz="0" w:space="0" w:color="auto"/>
                <w:bottom w:val="none" w:sz="0" w:space="0" w:color="auto"/>
                <w:right w:val="none" w:sz="0" w:space="0" w:color="auto"/>
              </w:divBdr>
            </w:div>
            <w:div w:id="1893226376">
              <w:marLeft w:val="0"/>
              <w:marRight w:val="0"/>
              <w:marTop w:val="0"/>
              <w:marBottom w:val="0"/>
              <w:divBdr>
                <w:top w:val="none" w:sz="0" w:space="0" w:color="auto"/>
                <w:left w:val="none" w:sz="0" w:space="0" w:color="auto"/>
                <w:bottom w:val="none" w:sz="0" w:space="0" w:color="auto"/>
                <w:right w:val="none" w:sz="0" w:space="0" w:color="auto"/>
              </w:divBdr>
            </w:div>
            <w:div w:id="2083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2402001">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0726980">
      <w:bodyDiv w:val="1"/>
      <w:marLeft w:val="0"/>
      <w:marRight w:val="0"/>
      <w:marTop w:val="0"/>
      <w:marBottom w:val="0"/>
      <w:divBdr>
        <w:top w:val="none" w:sz="0" w:space="0" w:color="auto"/>
        <w:left w:val="none" w:sz="0" w:space="0" w:color="auto"/>
        <w:bottom w:val="none" w:sz="0" w:space="0" w:color="auto"/>
        <w:right w:val="none" w:sz="0" w:space="0" w:color="auto"/>
      </w:divBdr>
      <w:divsChild>
        <w:div w:id="1178302767">
          <w:marLeft w:val="0"/>
          <w:marRight w:val="0"/>
          <w:marTop w:val="0"/>
          <w:marBottom w:val="0"/>
          <w:divBdr>
            <w:top w:val="none" w:sz="0" w:space="0" w:color="auto"/>
            <w:left w:val="none" w:sz="0" w:space="0" w:color="auto"/>
            <w:bottom w:val="none" w:sz="0" w:space="0" w:color="auto"/>
            <w:right w:val="none" w:sz="0" w:space="0" w:color="auto"/>
          </w:divBdr>
          <w:divsChild>
            <w:div w:id="484929479">
              <w:marLeft w:val="0"/>
              <w:marRight w:val="0"/>
              <w:marTop w:val="0"/>
              <w:marBottom w:val="0"/>
              <w:divBdr>
                <w:top w:val="none" w:sz="0" w:space="0" w:color="auto"/>
                <w:left w:val="none" w:sz="0" w:space="0" w:color="auto"/>
                <w:bottom w:val="none" w:sz="0" w:space="0" w:color="auto"/>
                <w:right w:val="none" w:sz="0" w:space="0" w:color="auto"/>
              </w:divBdr>
              <w:divsChild>
                <w:div w:id="52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79924">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6838693">
      <w:bodyDiv w:val="1"/>
      <w:marLeft w:val="0"/>
      <w:marRight w:val="0"/>
      <w:marTop w:val="0"/>
      <w:marBottom w:val="0"/>
      <w:divBdr>
        <w:top w:val="none" w:sz="0" w:space="0" w:color="auto"/>
        <w:left w:val="none" w:sz="0" w:space="0" w:color="auto"/>
        <w:bottom w:val="none" w:sz="0" w:space="0" w:color="auto"/>
        <w:right w:val="none" w:sz="0" w:space="0" w:color="auto"/>
      </w:divBdr>
      <w:divsChild>
        <w:div w:id="1321081966">
          <w:marLeft w:val="0"/>
          <w:marRight w:val="0"/>
          <w:marTop w:val="0"/>
          <w:marBottom w:val="0"/>
          <w:divBdr>
            <w:top w:val="none" w:sz="0" w:space="0" w:color="auto"/>
            <w:left w:val="none" w:sz="0" w:space="0" w:color="auto"/>
            <w:bottom w:val="none" w:sz="0" w:space="0" w:color="auto"/>
            <w:right w:val="none" w:sz="0" w:space="0" w:color="auto"/>
          </w:divBdr>
          <w:divsChild>
            <w:div w:id="311299675">
              <w:marLeft w:val="0"/>
              <w:marRight w:val="0"/>
              <w:marTop w:val="0"/>
              <w:marBottom w:val="0"/>
              <w:divBdr>
                <w:top w:val="none" w:sz="0" w:space="0" w:color="auto"/>
                <w:left w:val="none" w:sz="0" w:space="0" w:color="auto"/>
                <w:bottom w:val="none" w:sz="0" w:space="0" w:color="auto"/>
                <w:right w:val="none" w:sz="0" w:space="0" w:color="auto"/>
              </w:divBdr>
              <w:divsChild>
                <w:div w:id="1631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6663623">
      <w:bodyDiv w:val="1"/>
      <w:marLeft w:val="0"/>
      <w:marRight w:val="0"/>
      <w:marTop w:val="0"/>
      <w:marBottom w:val="0"/>
      <w:divBdr>
        <w:top w:val="none" w:sz="0" w:space="0" w:color="auto"/>
        <w:left w:val="none" w:sz="0" w:space="0" w:color="auto"/>
        <w:bottom w:val="none" w:sz="0" w:space="0" w:color="auto"/>
        <w:right w:val="none" w:sz="0" w:space="0" w:color="auto"/>
      </w:divBdr>
      <w:divsChild>
        <w:div w:id="1139804966">
          <w:marLeft w:val="0"/>
          <w:marRight w:val="0"/>
          <w:marTop w:val="0"/>
          <w:marBottom w:val="0"/>
          <w:divBdr>
            <w:top w:val="none" w:sz="0" w:space="0" w:color="auto"/>
            <w:left w:val="none" w:sz="0" w:space="0" w:color="auto"/>
            <w:bottom w:val="none" w:sz="0" w:space="0" w:color="auto"/>
            <w:right w:val="none" w:sz="0" w:space="0" w:color="auto"/>
          </w:divBdr>
          <w:divsChild>
            <w:div w:id="1128203606">
              <w:marLeft w:val="0"/>
              <w:marRight w:val="0"/>
              <w:marTop w:val="0"/>
              <w:marBottom w:val="0"/>
              <w:divBdr>
                <w:top w:val="none" w:sz="0" w:space="0" w:color="auto"/>
                <w:left w:val="none" w:sz="0" w:space="0" w:color="auto"/>
                <w:bottom w:val="none" w:sz="0" w:space="0" w:color="auto"/>
                <w:right w:val="none" w:sz="0" w:space="0" w:color="auto"/>
              </w:divBdr>
              <w:divsChild>
                <w:div w:id="4113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42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39865385">
      <w:bodyDiv w:val="1"/>
      <w:marLeft w:val="0"/>
      <w:marRight w:val="0"/>
      <w:marTop w:val="0"/>
      <w:marBottom w:val="0"/>
      <w:divBdr>
        <w:top w:val="none" w:sz="0" w:space="0" w:color="auto"/>
        <w:left w:val="none" w:sz="0" w:space="0" w:color="auto"/>
        <w:bottom w:val="none" w:sz="0" w:space="0" w:color="auto"/>
        <w:right w:val="none" w:sz="0" w:space="0" w:color="auto"/>
      </w:divBdr>
      <w:divsChild>
        <w:div w:id="1413745720">
          <w:marLeft w:val="0"/>
          <w:marRight w:val="0"/>
          <w:marTop w:val="0"/>
          <w:marBottom w:val="0"/>
          <w:divBdr>
            <w:top w:val="none" w:sz="0" w:space="0" w:color="auto"/>
            <w:left w:val="none" w:sz="0" w:space="0" w:color="auto"/>
            <w:bottom w:val="none" w:sz="0" w:space="0" w:color="auto"/>
            <w:right w:val="none" w:sz="0" w:space="0" w:color="auto"/>
          </w:divBdr>
          <w:divsChild>
            <w:div w:id="834031981">
              <w:marLeft w:val="0"/>
              <w:marRight w:val="0"/>
              <w:marTop w:val="0"/>
              <w:marBottom w:val="0"/>
              <w:divBdr>
                <w:top w:val="none" w:sz="0" w:space="0" w:color="auto"/>
                <w:left w:val="none" w:sz="0" w:space="0" w:color="auto"/>
                <w:bottom w:val="none" w:sz="0" w:space="0" w:color="auto"/>
                <w:right w:val="none" w:sz="0" w:space="0" w:color="auto"/>
              </w:divBdr>
              <w:divsChild>
                <w:div w:id="19392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5376">
      <w:bodyDiv w:val="1"/>
      <w:marLeft w:val="0"/>
      <w:marRight w:val="0"/>
      <w:marTop w:val="0"/>
      <w:marBottom w:val="0"/>
      <w:divBdr>
        <w:top w:val="none" w:sz="0" w:space="0" w:color="auto"/>
        <w:left w:val="none" w:sz="0" w:space="0" w:color="auto"/>
        <w:bottom w:val="none" w:sz="0" w:space="0" w:color="auto"/>
        <w:right w:val="none" w:sz="0" w:space="0" w:color="auto"/>
      </w:divBdr>
    </w:div>
    <w:div w:id="1056590556">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2104890">
      <w:bodyDiv w:val="1"/>
      <w:marLeft w:val="0"/>
      <w:marRight w:val="0"/>
      <w:marTop w:val="0"/>
      <w:marBottom w:val="0"/>
      <w:divBdr>
        <w:top w:val="none" w:sz="0" w:space="0" w:color="auto"/>
        <w:left w:val="none" w:sz="0" w:space="0" w:color="auto"/>
        <w:bottom w:val="none" w:sz="0" w:space="0" w:color="auto"/>
        <w:right w:val="none" w:sz="0" w:space="0" w:color="auto"/>
      </w:divBdr>
      <w:divsChild>
        <w:div w:id="176819626">
          <w:marLeft w:val="0"/>
          <w:marRight w:val="0"/>
          <w:marTop w:val="0"/>
          <w:marBottom w:val="0"/>
          <w:divBdr>
            <w:top w:val="none" w:sz="0" w:space="0" w:color="auto"/>
            <w:left w:val="none" w:sz="0" w:space="0" w:color="auto"/>
            <w:bottom w:val="none" w:sz="0" w:space="0" w:color="auto"/>
            <w:right w:val="none" w:sz="0" w:space="0" w:color="auto"/>
          </w:divBdr>
          <w:divsChild>
            <w:div w:id="1278953310">
              <w:marLeft w:val="0"/>
              <w:marRight w:val="0"/>
              <w:marTop w:val="0"/>
              <w:marBottom w:val="0"/>
              <w:divBdr>
                <w:top w:val="none" w:sz="0" w:space="0" w:color="auto"/>
                <w:left w:val="none" w:sz="0" w:space="0" w:color="auto"/>
                <w:bottom w:val="none" w:sz="0" w:space="0" w:color="auto"/>
                <w:right w:val="none" w:sz="0" w:space="0" w:color="auto"/>
              </w:divBdr>
              <w:divsChild>
                <w:div w:id="997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8636598">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9817324">
      <w:bodyDiv w:val="1"/>
      <w:marLeft w:val="0"/>
      <w:marRight w:val="0"/>
      <w:marTop w:val="0"/>
      <w:marBottom w:val="0"/>
      <w:divBdr>
        <w:top w:val="none" w:sz="0" w:space="0" w:color="auto"/>
        <w:left w:val="none" w:sz="0" w:space="0" w:color="auto"/>
        <w:bottom w:val="none" w:sz="0" w:space="0" w:color="auto"/>
        <w:right w:val="none" w:sz="0" w:space="0" w:color="auto"/>
      </w:divBdr>
    </w:div>
    <w:div w:id="1363479214">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8087194">
      <w:bodyDiv w:val="1"/>
      <w:marLeft w:val="0"/>
      <w:marRight w:val="0"/>
      <w:marTop w:val="0"/>
      <w:marBottom w:val="0"/>
      <w:divBdr>
        <w:top w:val="none" w:sz="0" w:space="0" w:color="auto"/>
        <w:left w:val="none" w:sz="0" w:space="0" w:color="auto"/>
        <w:bottom w:val="none" w:sz="0" w:space="0" w:color="auto"/>
        <w:right w:val="none" w:sz="0" w:space="0" w:color="auto"/>
      </w:divBdr>
      <w:divsChild>
        <w:div w:id="1588071751">
          <w:marLeft w:val="0"/>
          <w:marRight w:val="0"/>
          <w:marTop w:val="0"/>
          <w:marBottom w:val="0"/>
          <w:divBdr>
            <w:top w:val="none" w:sz="0" w:space="0" w:color="auto"/>
            <w:left w:val="none" w:sz="0" w:space="0" w:color="auto"/>
            <w:bottom w:val="none" w:sz="0" w:space="0" w:color="auto"/>
            <w:right w:val="none" w:sz="0" w:space="0" w:color="auto"/>
          </w:divBdr>
          <w:divsChild>
            <w:div w:id="1594850485">
              <w:marLeft w:val="0"/>
              <w:marRight w:val="0"/>
              <w:marTop w:val="0"/>
              <w:marBottom w:val="0"/>
              <w:divBdr>
                <w:top w:val="none" w:sz="0" w:space="0" w:color="auto"/>
                <w:left w:val="none" w:sz="0" w:space="0" w:color="auto"/>
                <w:bottom w:val="none" w:sz="0" w:space="0" w:color="auto"/>
                <w:right w:val="none" w:sz="0" w:space="0" w:color="auto"/>
              </w:divBdr>
              <w:divsChild>
                <w:div w:id="1068306275">
                  <w:marLeft w:val="0"/>
                  <w:marRight w:val="0"/>
                  <w:marTop w:val="0"/>
                  <w:marBottom w:val="0"/>
                  <w:divBdr>
                    <w:top w:val="none" w:sz="0" w:space="0" w:color="auto"/>
                    <w:left w:val="none" w:sz="0" w:space="0" w:color="auto"/>
                    <w:bottom w:val="none" w:sz="0" w:space="0" w:color="auto"/>
                    <w:right w:val="none" w:sz="0" w:space="0" w:color="auto"/>
                  </w:divBdr>
                  <w:divsChild>
                    <w:div w:id="4625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9796">
      <w:bodyDiv w:val="1"/>
      <w:marLeft w:val="0"/>
      <w:marRight w:val="0"/>
      <w:marTop w:val="0"/>
      <w:marBottom w:val="0"/>
      <w:divBdr>
        <w:top w:val="none" w:sz="0" w:space="0" w:color="auto"/>
        <w:left w:val="none" w:sz="0" w:space="0" w:color="auto"/>
        <w:bottom w:val="none" w:sz="0" w:space="0" w:color="auto"/>
        <w:right w:val="none" w:sz="0" w:space="0" w:color="auto"/>
      </w:divBdr>
    </w:div>
    <w:div w:id="1506825107">
      <w:bodyDiv w:val="1"/>
      <w:marLeft w:val="0"/>
      <w:marRight w:val="0"/>
      <w:marTop w:val="0"/>
      <w:marBottom w:val="0"/>
      <w:divBdr>
        <w:top w:val="none" w:sz="0" w:space="0" w:color="auto"/>
        <w:left w:val="none" w:sz="0" w:space="0" w:color="auto"/>
        <w:bottom w:val="none" w:sz="0" w:space="0" w:color="auto"/>
        <w:right w:val="none" w:sz="0" w:space="0" w:color="auto"/>
      </w:divBdr>
    </w:div>
    <w:div w:id="1518619518">
      <w:bodyDiv w:val="1"/>
      <w:marLeft w:val="0"/>
      <w:marRight w:val="0"/>
      <w:marTop w:val="0"/>
      <w:marBottom w:val="0"/>
      <w:divBdr>
        <w:top w:val="none" w:sz="0" w:space="0" w:color="auto"/>
        <w:left w:val="none" w:sz="0" w:space="0" w:color="auto"/>
        <w:bottom w:val="none" w:sz="0" w:space="0" w:color="auto"/>
        <w:right w:val="none" w:sz="0" w:space="0" w:color="auto"/>
      </w:divBdr>
      <w:divsChild>
        <w:div w:id="1150558629">
          <w:marLeft w:val="0"/>
          <w:marRight w:val="0"/>
          <w:marTop w:val="0"/>
          <w:marBottom w:val="0"/>
          <w:divBdr>
            <w:top w:val="none" w:sz="0" w:space="0" w:color="auto"/>
            <w:left w:val="none" w:sz="0" w:space="0" w:color="auto"/>
            <w:bottom w:val="none" w:sz="0" w:space="0" w:color="auto"/>
            <w:right w:val="none" w:sz="0" w:space="0" w:color="auto"/>
          </w:divBdr>
          <w:divsChild>
            <w:div w:id="1933314834">
              <w:marLeft w:val="0"/>
              <w:marRight w:val="0"/>
              <w:marTop w:val="0"/>
              <w:marBottom w:val="0"/>
              <w:divBdr>
                <w:top w:val="none" w:sz="0" w:space="0" w:color="auto"/>
                <w:left w:val="none" w:sz="0" w:space="0" w:color="auto"/>
                <w:bottom w:val="none" w:sz="0" w:space="0" w:color="auto"/>
                <w:right w:val="none" w:sz="0" w:space="0" w:color="auto"/>
              </w:divBdr>
              <w:divsChild>
                <w:div w:id="2026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18368339">
      <w:bodyDiv w:val="1"/>
      <w:marLeft w:val="0"/>
      <w:marRight w:val="0"/>
      <w:marTop w:val="0"/>
      <w:marBottom w:val="0"/>
      <w:divBdr>
        <w:top w:val="none" w:sz="0" w:space="0" w:color="auto"/>
        <w:left w:val="none" w:sz="0" w:space="0" w:color="auto"/>
        <w:bottom w:val="none" w:sz="0" w:space="0" w:color="auto"/>
        <w:right w:val="none" w:sz="0" w:space="0" w:color="auto"/>
      </w:divBdr>
      <w:divsChild>
        <w:div w:id="699820485">
          <w:marLeft w:val="0"/>
          <w:marRight w:val="0"/>
          <w:marTop w:val="0"/>
          <w:marBottom w:val="0"/>
          <w:divBdr>
            <w:top w:val="none" w:sz="0" w:space="0" w:color="auto"/>
            <w:left w:val="none" w:sz="0" w:space="0" w:color="auto"/>
            <w:bottom w:val="none" w:sz="0" w:space="0" w:color="auto"/>
            <w:right w:val="none" w:sz="0" w:space="0" w:color="auto"/>
          </w:divBdr>
          <w:divsChild>
            <w:div w:id="1992982034">
              <w:marLeft w:val="0"/>
              <w:marRight w:val="0"/>
              <w:marTop w:val="0"/>
              <w:marBottom w:val="0"/>
              <w:divBdr>
                <w:top w:val="none" w:sz="0" w:space="0" w:color="auto"/>
                <w:left w:val="none" w:sz="0" w:space="0" w:color="auto"/>
                <w:bottom w:val="none" w:sz="0" w:space="0" w:color="auto"/>
                <w:right w:val="none" w:sz="0" w:space="0" w:color="auto"/>
              </w:divBdr>
              <w:divsChild>
                <w:div w:id="453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4355695">
      <w:bodyDiv w:val="1"/>
      <w:marLeft w:val="0"/>
      <w:marRight w:val="0"/>
      <w:marTop w:val="0"/>
      <w:marBottom w:val="0"/>
      <w:divBdr>
        <w:top w:val="none" w:sz="0" w:space="0" w:color="auto"/>
        <w:left w:val="none" w:sz="0" w:space="0" w:color="auto"/>
        <w:bottom w:val="none" w:sz="0" w:space="0" w:color="auto"/>
        <w:right w:val="none" w:sz="0" w:space="0" w:color="auto"/>
      </w:divBdr>
      <w:divsChild>
        <w:div w:id="493497680">
          <w:marLeft w:val="0"/>
          <w:marRight w:val="0"/>
          <w:marTop w:val="0"/>
          <w:marBottom w:val="0"/>
          <w:divBdr>
            <w:top w:val="none" w:sz="0" w:space="0" w:color="auto"/>
            <w:left w:val="none" w:sz="0" w:space="0" w:color="auto"/>
            <w:bottom w:val="none" w:sz="0" w:space="0" w:color="auto"/>
            <w:right w:val="none" w:sz="0" w:space="0" w:color="auto"/>
          </w:divBdr>
          <w:divsChild>
            <w:div w:id="169226638">
              <w:marLeft w:val="0"/>
              <w:marRight w:val="0"/>
              <w:marTop w:val="0"/>
              <w:marBottom w:val="0"/>
              <w:divBdr>
                <w:top w:val="none" w:sz="0" w:space="0" w:color="auto"/>
                <w:left w:val="none" w:sz="0" w:space="0" w:color="auto"/>
                <w:bottom w:val="none" w:sz="0" w:space="0" w:color="auto"/>
                <w:right w:val="none" w:sz="0" w:space="0" w:color="auto"/>
              </w:divBdr>
              <w:divsChild>
                <w:div w:id="8257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7158">
      <w:bodyDiv w:val="1"/>
      <w:marLeft w:val="0"/>
      <w:marRight w:val="0"/>
      <w:marTop w:val="0"/>
      <w:marBottom w:val="0"/>
      <w:divBdr>
        <w:top w:val="none" w:sz="0" w:space="0" w:color="auto"/>
        <w:left w:val="none" w:sz="0" w:space="0" w:color="auto"/>
        <w:bottom w:val="none" w:sz="0" w:space="0" w:color="auto"/>
        <w:right w:val="none" w:sz="0" w:space="0" w:color="auto"/>
      </w:divBdr>
      <w:divsChild>
        <w:div w:id="585187732">
          <w:marLeft w:val="0"/>
          <w:marRight w:val="0"/>
          <w:marTop w:val="0"/>
          <w:marBottom w:val="0"/>
          <w:divBdr>
            <w:top w:val="none" w:sz="0" w:space="0" w:color="auto"/>
            <w:left w:val="none" w:sz="0" w:space="0" w:color="auto"/>
            <w:bottom w:val="none" w:sz="0" w:space="0" w:color="auto"/>
            <w:right w:val="none" w:sz="0" w:space="0" w:color="auto"/>
          </w:divBdr>
          <w:divsChild>
            <w:div w:id="675963762">
              <w:marLeft w:val="0"/>
              <w:marRight w:val="0"/>
              <w:marTop w:val="0"/>
              <w:marBottom w:val="0"/>
              <w:divBdr>
                <w:top w:val="none" w:sz="0" w:space="0" w:color="auto"/>
                <w:left w:val="none" w:sz="0" w:space="0" w:color="auto"/>
                <w:bottom w:val="none" w:sz="0" w:space="0" w:color="auto"/>
                <w:right w:val="none" w:sz="0" w:space="0" w:color="auto"/>
              </w:divBdr>
              <w:divsChild>
                <w:div w:id="594097103">
                  <w:marLeft w:val="0"/>
                  <w:marRight w:val="0"/>
                  <w:marTop w:val="0"/>
                  <w:marBottom w:val="0"/>
                  <w:divBdr>
                    <w:top w:val="none" w:sz="0" w:space="0" w:color="auto"/>
                    <w:left w:val="none" w:sz="0" w:space="0" w:color="auto"/>
                    <w:bottom w:val="none" w:sz="0" w:space="0" w:color="auto"/>
                    <w:right w:val="none" w:sz="0" w:space="0" w:color="auto"/>
                  </w:divBdr>
                  <w:divsChild>
                    <w:div w:id="15930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3085">
      <w:bodyDiv w:val="1"/>
      <w:marLeft w:val="0"/>
      <w:marRight w:val="0"/>
      <w:marTop w:val="0"/>
      <w:marBottom w:val="0"/>
      <w:divBdr>
        <w:top w:val="none" w:sz="0" w:space="0" w:color="auto"/>
        <w:left w:val="none" w:sz="0" w:space="0" w:color="auto"/>
        <w:bottom w:val="none" w:sz="0" w:space="0" w:color="auto"/>
        <w:right w:val="none" w:sz="0" w:space="0" w:color="auto"/>
      </w:divBdr>
      <w:divsChild>
        <w:div w:id="1564214605">
          <w:marLeft w:val="0"/>
          <w:marRight w:val="0"/>
          <w:marTop w:val="0"/>
          <w:marBottom w:val="0"/>
          <w:divBdr>
            <w:top w:val="none" w:sz="0" w:space="0" w:color="auto"/>
            <w:left w:val="none" w:sz="0" w:space="0" w:color="auto"/>
            <w:bottom w:val="none" w:sz="0" w:space="0" w:color="auto"/>
            <w:right w:val="none" w:sz="0" w:space="0" w:color="auto"/>
          </w:divBdr>
          <w:divsChild>
            <w:div w:id="985357498">
              <w:marLeft w:val="0"/>
              <w:marRight w:val="0"/>
              <w:marTop w:val="0"/>
              <w:marBottom w:val="0"/>
              <w:divBdr>
                <w:top w:val="none" w:sz="0" w:space="0" w:color="auto"/>
                <w:left w:val="none" w:sz="0" w:space="0" w:color="auto"/>
                <w:bottom w:val="none" w:sz="0" w:space="0" w:color="auto"/>
                <w:right w:val="none" w:sz="0" w:space="0" w:color="auto"/>
              </w:divBdr>
              <w:divsChild>
                <w:div w:id="373580341">
                  <w:marLeft w:val="0"/>
                  <w:marRight w:val="0"/>
                  <w:marTop w:val="0"/>
                  <w:marBottom w:val="0"/>
                  <w:divBdr>
                    <w:top w:val="none" w:sz="0" w:space="0" w:color="auto"/>
                    <w:left w:val="none" w:sz="0" w:space="0" w:color="auto"/>
                    <w:bottom w:val="none" w:sz="0" w:space="0" w:color="auto"/>
                    <w:right w:val="none" w:sz="0" w:space="0" w:color="auto"/>
                  </w:divBdr>
                  <w:divsChild>
                    <w:div w:id="19189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22557">
      <w:bodyDiv w:val="1"/>
      <w:marLeft w:val="0"/>
      <w:marRight w:val="0"/>
      <w:marTop w:val="0"/>
      <w:marBottom w:val="0"/>
      <w:divBdr>
        <w:top w:val="none" w:sz="0" w:space="0" w:color="auto"/>
        <w:left w:val="none" w:sz="0" w:space="0" w:color="auto"/>
        <w:bottom w:val="none" w:sz="0" w:space="0" w:color="auto"/>
        <w:right w:val="none" w:sz="0" w:space="0" w:color="auto"/>
      </w:divBdr>
      <w:divsChild>
        <w:div w:id="769200202">
          <w:marLeft w:val="288"/>
          <w:marRight w:val="0"/>
          <w:marTop w:val="115"/>
          <w:marBottom w:val="0"/>
          <w:divBdr>
            <w:top w:val="none" w:sz="0" w:space="0" w:color="auto"/>
            <w:left w:val="none" w:sz="0" w:space="0" w:color="auto"/>
            <w:bottom w:val="none" w:sz="0" w:space="0" w:color="auto"/>
            <w:right w:val="none" w:sz="0" w:space="0" w:color="auto"/>
          </w:divBdr>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9808571">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8596540">
      <w:bodyDiv w:val="1"/>
      <w:marLeft w:val="0"/>
      <w:marRight w:val="0"/>
      <w:marTop w:val="0"/>
      <w:marBottom w:val="0"/>
      <w:divBdr>
        <w:top w:val="none" w:sz="0" w:space="0" w:color="auto"/>
        <w:left w:val="none" w:sz="0" w:space="0" w:color="auto"/>
        <w:bottom w:val="none" w:sz="0" w:space="0" w:color="auto"/>
        <w:right w:val="none" w:sz="0" w:space="0" w:color="auto"/>
      </w:divBdr>
      <w:divsChild>
        <w:div w:id="134372975">
          <w:marLeft w:val="0"/>
          <w:marRight w:val="0"/>
          <w:marTop w:val="0"/>
          <w:marBottom w:val="0"/>
          <w:divBdr>
            <w:top w:val="none" w:sz="0" w:space="0" w:color="auto"/>
            <w:left w:val="none" w:sz="0" w:space="0" w:color="auto"/>
            <w:bottom w:val="none" w:sz="0" w:space="0" w:color="auto"/>
            <w:right w:val="none" w:sz="0" w:space="0" w:color="auto"/>
          </w:divBdr>
          <w:divsChild>
            <w:div w:id="1116604080">
              <w:marLeft w:val="0"/>
              <w:marRight w:val="0"/>
              <w:marTop w:val="0"/>
              <w:marBottom w:val="0"/>
              <w:divBdr>
                <w:top w:val="none" w:sz="0" w:space="0" w:color="auto"/>
                <w:left w:val="none" w:sz="0" w:space="0" w:color="auto"/>
                <w:bottom w:val="none" w:sz="0" w:space="0" w:color="auto"/>
                <w:right w:val="none" w:sz="0" w:space="0" w:color="auto"/>
              </w:divBdr>
              <w:divsChild>
                <w:div w:id="13122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23178012">
      <w:bodyDiv w:val="1"/>
      <w:marLeft w:val="0"/>
      <w:marRight w:val="0"/>
      <w:marTop w:val="0"/>
      <w:marBottom w:val="0"/>
      <w:divBdr>
        <w:top w:val="none" w:sz="0" w:space="0" w:color="auto"/>
        <w:left w:val="none" w:sz="0" w:space="0" w:color="auto"/>
        <w:bottom w:val="none" w:sz="0" w:space="0" w:color="auto"/>
        <w:right w:val="none" w:sz="0" w:space="0" w:color="auto"/>
      </w:divBdr>
    </w:div>
    <w:div w:id="1938830435">
      <w:bodyDiv w:val="1"/>
      <w:marLeft w:val="0"/>
      <w:marRight w:val="0"/>
      <w:marTop w:val="0"/>
      <w:marBottom w:val="0"/>
      <w:divBdr>
        <w:top w:val="none" w:sz="0" w:space="0" w:color="auto"/>
        <w:left w:val="none" w:sz="0" w:space="0" w:color="auto"/>
        <w:bottom w:val="none" w:sz="0" w:space="0" w:color="auto"/>
        <w:right w:val="none" w:sz="0" w:space="0" w:color="auto"/>
      </w:divBdr>
      <w:divsChild>
        <w:div w:id="765493173">
          <w:marLeft w:val="0"/>
          <w:marRight w:val="0"/>
          <w:marTop w:val="0"/>
          <w:marBottom w:val="0"/>
          <w:divBdr>
            <w:top w:val="none" w:sz="0" w:space="0" w:color="auto"/>
            <w:left w:val="none" w:sz="0" w:space="0" w:color="auto"/>
            <w:bottom w:val="none" w:sz="0" w:space="0" w:color="auto"/>
            <w:right w:val="none" w:sz="0" w:space="0" w:color="auto"/>
          </w:divBdr>
          <w:divsChild>
            <w:div w:id="1530335244">
              <w:marLeft w:val="0"/>
              <w:marRight w:val="0"/>
              <w:marTop w:val="0"/>
              <w:marBottom w:val="0"/>
              <w:divBdr>
                <w:top w:val="none" w:sz="0" w:space="0" w:color="auto"/>
                <w:left w:val="none" w:sz="0" w:space="0" w:color="auto"/>
                <w:bottom w:val="none" w:sz="0" w:space="0" w:color="auto"/>
                <w:right w:val="none" w:sz="0" w:space="0" w:color="auto"/>
              </w:divBdr>
              <w:divsChild>
                <w:div w:id="1753314084">
                  <w:marLeft w:val="0"/>
                  <w:marRight w:val="0"/>
                  <w:marTop w:val="0"/>
                  <w:marBottom w:val="0"/>
                  <w:divBdr>
                    <w:top w:val="none" w:sz="0" w:space="0" w:color="auto"/>
                    <w:left w:val="none" w:sz="0" w:space="0" w:color="auto"/>
                    <w:bottom w:val="none" w:sz="0" w:space="0" w:color="auto"/>
                    <w:right w:val="none" w:sz="0" w:space="0" w:color="auto"/>
                  </w:divBdr>
                  <w:divsChild>
                    <w:div w:id="646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71608">
      <w:bodyDiv w:val="1"/>
      <w:marLeft w:val="0"/>
      <w:marRight w:val="0"/>
      <w:marTop w:val="0"/>
      <w:marBottom w:val="0"/>
      <w:divBdr>
        <w:top w:val="none" w:sz="0" w:space="0" w:color="auto"/>
        <w:left w:val="none" w:sz="0" w:space="0" w:color="auto"/>
        <w:bottom w:val="none" w:sz="0" w:space="0" w:color="auto"/>
        <w:right w:val="none" w:sz="0" w:space="0" w:color="auto"/>
      </w:divBdr>
      <w:divsChild>
        <w:div w:id="1110080487">
          <w:marLeft w:val="0"/>
          <w:marRight w:val="0"/>
          <w:marTop w:val="0"/>
          <w:marBottom w:val="0"/>
          <w:divBdr>
            <w:top w:val="none" w:sz="0" w:space="0" w:color="auto"/>
            <w:left w:val="none" w:sz="0" w:space="0" w:color="auto"/>
            <w:bottom w:val="none" w:sz="0" w:space="0" w:color="auto"/>
            <w:right w:val="none" w:sz="0" w:space="0" w:color="auto"/>
          </w:divBdr>
          <w:divsChild>
            <w:div w:id="1425223468">
              <w:marLeft w:val="0"/>
              <w:marRight w:val="0"/>
              <w:marTop w:val="0"/>
              <w:marBottom w:val="0"/>
              <w:divBdr>
                <w:top w:val="none" w:sz="0" w:space="0" w:color="auto"/>
                <w:left w:val="none" w:sz="0" w:space="0" w:color="auto"/>
                <w:bottom w:val="none" w:sz="0" w:space="0" w:color="auto"/>
                <w:right w:val="none" w:sz="0" w:space="0" w:color="auto"/>
              </w:divBdr>
              <w:divsChild>
                <w:div w:id="482084670">
                  <w:marLeft w:val="0"/>
                  <w:marRight w:val="0"/>
                  <w:marTop w:val="0"/>
                  <w:marBottom w:val="0"/>
                  <w:divBdr>
                    <w:top w:val="none" w:sz="0" w:space="0" w:color="auto"/>
                    <w:left w:val="none" w:sz="0" w:space="0" w:color="auto"/>
                    <w:bottom w:val="none" w:sz="0" w:space="0" w:color="auto"/>
                    <w:right w:val="none" w:sz="0" w:space="0" w:color="auto"/>
                  </w:divBdr>
                  <w:divsChild>
                    <w:div w:id="17991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1082726">
      <w:bodyDiv w:val="1"/>
      <w:marLeft w:val="0"/>
      <w:marRight w:val="0"/>
      <w:marTop w:val="0"/>
      <w:marBottom w:val="0"/>
      <w:divBdr>
        <w:top w:val="none" w:sz="0" w:space="0" w:color="auto"/>
        <w:left w:val="none" w:sz="0" w:space="0" w:color="auto"/>
        <w:bottom w:val="none" w:sz="0" w:space="0" w:color="auto"/>
        <w:right w:val="none" w:sz="0" w:space="0" w:color="auto"/>
      </w:divBdr>
      <w:divsChild>
        <w:div w:id="1828017047">
          <w:marLeft w:val="0"/>
          <w:marRight w:val="0"/>
          <w:marTop w:val="0"/>
          <w:marBottom w:val="0"/>
          <w:divBdr>
            <w:top w:val="none" w:sz="0" w:space="0" w:color="auto"/>
            <w:left w:val="none" w:sz="0" w:space="0" w:color="auto"/>
            <w:bottom w:val="none" w:sz="0" w:space="0" w:color="auto"/>
            <w:right w:val="none" w:sz="0" w:space="0" w:color="auto"/>
          </w:divBdr>
          <w:divsChild>
            <w:div w:id="1851069638">
              <w:marLeft w:val="0"/>
              <w:marRight w:val="0"/>
              <w:marTop w:val="0"/>
              <w:marBottom w:val="0"/>
              <w:divBdr>
                <w:top w:val="none" w:sz="0" w:space="0" w:color="auto"/>
                <w:left w:val="none" w:sz="0" w:space="0" w:color="auto"/>
                <w:bottom w:val="none" w:sz="0" w:space="0" w:color="auto"/>
                <w:right w:val="none" w:sz="0" w:space="0" w:color="auto"/>
              </w:divBdr>
              <w:divsChild>
                <w:div w:id="580335613">
                  <w:marLeft w:val="0"/>
                  <w:marRight w:val="0"/>
                  <w:marTop w:val="0"/>
                  <w:marBottom w:val="0"/>
                  <w:divBdr>
                    <w:top w:val="none" w:sz="0" w:space="0" w:color="auto"/>
                    <w:left w:val="none" w:sz="0" w:space="0" w:color="auto"/>
                    <w:bottom w:val="none" w:sz="0" w:space="0" w:color="auto"/>
                    <w:right w:val="none" w:sz="0" w:space="0" w:color="auto"/>
                  </w:divBdr>
                  <w:divsChild>
                    <w:div w:id="16822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1570">
      <w:bodyDiv w:val="1"/>
      <w:marLeft w:val="0"/>
      <w:marRight w:val="0"/>
      <w:marTop w:val="0"/>
      <w:marBottom w:val="0"/>
      <w:divBdr>
        <w:top w:val="none" w:sz="0" w:space="0" w:color="auto"/>
        <w:left w:val="none" w:sz="0" w:space="0" w:color="auto"/>
        <w:bottom w:val="none" w:sz="0" w:space="0" w:color="auto"/>
        <w:right w:val="none" w:sz="0" w:space="0" w:color="auto"/>
      </w:divBdr>
      <w:divsChild>
        <w:div w:id="384917484">
          <w:marLeft w:val="0"/>
          <w:marRight w:val="0"/>
          <w:marTop w:val="0"/>
          <w:marBottom w:val="0"/>
          <w:divBdr>
            <w:top w:val="none" w:sz="0" w:space="0" w:color="auto"/>
            <w:left w:val="none" w:sz="0" w:space="0" w:color="auto"/>
            <w:bottom w:val="none" w:sz="0" w:space="0" w:color="auto"/>
            <w:right w:val="none" w:sz="0" w:space="0" w:color="auto"/>
          </w:divBdr>
          <w:divsChild>
            <w:div w:id="487669628">
              <w:marLeft w:val="0"/>
              <w:marRight w:val="0"/>
              <w:marTop w:val="0"/>
              <w:marBottom w:val="0"/>
              <w:divBdr>
                <w:top w:val="none" w:sz="0" w:space="0" w:color="auto"/>
                <w:left w:val="none" w:sz="0" w:space="0" w:color="auto"/>
                <w:bottom w:val="none" w:sz="0" w:space="0" w:color="auto"/>
                <w:right w:val="none" w:sz="0" w:space="0" w:color="auto"/>
              </w:divBdr>
              <w:divsChild>
                <w:div w:id="1537742073">
                  <w:marLeft w:val="0"/>
                  <w:marRight w:val="0"/>
                  <w:marTop w:val="0"/>
                  <w:marBottom w:val="0"/>
                  <w:divBdr>
                    <w:top w:val="none" w:sz="0" w:space="0" w:color="auto"/>
                    <w:left w:val="none" w:sz="0" w:space="0" w:color="auto"/>
                    <w:bottom w:val="none" w:sz="0" w:space="0" w:color="auto"/>
                    <w:right w:val="none" w:sz="0" w:space="0" w:color="auto"/>
                  </w:divBdr>
                  <w:divsChild>
                    <w:div w:id="3495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52724275">
      <w:bodyDiv w:val="1"/>
      <w:marLeft w:val="0"/>
      <w:marRight w:val="0"/>
      <w:marTop w:val="0"/>
      <w:marBottom w:val="0"/>
      <w:divBdr>
        <w:top w:val="none" w:sz="0" w:space="0" w:color="auto"/>
        <w:left w:val="none" w:sz="0" w:space="0" w:color="auto"/>
        <w:bottom w:val="none" w:sz="0" w:space="0" w:color="auto"/>
        <w:right w:val="none" w:sz="0" w:space="0" w:color="auto"/>
      </w:divBdr>
      <w:divsChild>
        <w:div w:id="2131245840">
          <w:marLeft w:val="0"/>
          <w:marRight w:val="0"/>
          <w:marTop w:val="0"/>
          <w:marBottom w:val="0"/>
          <w:divBdr>
            <w:top w:val="none" w:sz="0" w:space="0" w:color="auto"/>
            <w:left w:val="none" w:sz="0" w:space="0" w:color="auto"/>
            <w:bottom w:val="none" w:sz="0" w:space="0" w:color="auto"/>
            <w:right w:val="none" w:sz="0" w:space="0" w:color="auto"/>
          </w:divBdr>
          <w:divsChild>
            <w:div w:id="2146510861">
              <w:marLeft w:val="0"/>
              <w:marRight w:val="0"/>
              <w:marTop w:val="0"/>
              <w:marBottom w:val="0"/>
              <w:divBdr>
                <w:top w:val="none" w:sz="0" w:space="0" w:color="auto"/>
                <w:left w:val="none" w:sz="0" w:space="0" w:color="auto"/>
                <w:bottom w:val="none" w:sz="0" w:space="0" w:color="auto"/>
                <w:right w:val="none" w:sz="0" w:space="0" w:color="auto"/>
              </w:divBdr>
              <w:divsChild>
                <w:div w:id="2044819808">
                  <w:marLeft w:val="0"/>
                  <w:marRight w:val="0"/>
                  <w:marTop w:val="0"/>
                  <w:marBottom w:val="0"/>
                  <w:divBdr>
                    <w:top w:val="none" w:sz="0" w:space="0" w:color="auto"/>
                    <w:left w:val="none" w:sz="0" w:space="0" w:color="auto"/>
                    <w:bottom w:val="none" w:sz="0" w:space="0" w:color="auto"/>
                    <w:right w:val="none" w:sz="0" w:space="0" w:color="auto"/>
                  </w:divBdr>
                  <w:divsChild>
                    <w:div w:id="4174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20444">
      <w:bodyDiv w:val="1"/>
      <w:marLeft w:val="0"/>
      <w:marRight w:val="0"/>
      <w:marTop w:val="0"/>
      <w:marBottom w:val="0"/>
      <w:divBdr>
        <w:top w:val="none" w:sz="0" w:space="0" w:color="auto"/>
        <w:left w:val="none" w:sz="0" w:space="0" w:color="auto"/>
        <w:bottom w:val="none" w:sz="0" w:space="0" w:color="auto"/>
        <w:right w:val="none" w:sz="0" w:space="0" w:color="auto"/>
      </w:divBdr>
      <w:divsChild>
        <w:div w:id="372310449">
          <w:marLeft w:val="0"/>
          <w:marRight w:val="0"/>
          <w:marTop w:val="0"/>
          <w:marBottom w:val="0"/>
          <w:divBdr>
            <w:top w:val="none" w:sz="0" w:space="0" w:color="auto"/>
            <w:left w:val="none" w:sz="0" w:space="0" w:color="auto"/>
            <w:bottom w:val="none" w:sz="0" w:space="0" w:color="auto"/>
            <w:right w:val="none" w:sz="0" w:space="0" w:color="auto"/>
          </w:divBdr>
          <w:divsChild>
            <w:div w:id="690061098">
              <w:marLeft w:val="0"/>
              <w:marRight w:val="0"/>
              <w:marTop w:val="0"/>
              <w:marBottom w:val="0"/>
              <w:divBdr>
                <w:top w:val="none" w:sz="0" w:space="0" w:color="auto"/>
                <w:left w:val="none" w:sz="0" w:space="0" w:color="auto"/>
                <w:bottom w:val="none" w:sz="0" w:space="0" w:color="auto"/>
                <w:right w:val="none" w:sz="0" w:space="0" w:color="auto"/>
              </w:divBdr>
              <w:divsChild>
                <w:div w:id="61948760">
                  <w:marLeft w:val="0"/>
                  <w:marRight w:val="0"/>
                  <w:marTop w:val="0"/>
                  <w:marBottom w:val="0"/>
                  <w:divBdr>
                    <w:top w:val="none" w:sz="0" w:space="0" w:color="auto"/>
                    <w:left w:val="none" w:sz="0" w:space="0" w:color="auto"/>
                    <w:bottom w:val="none" w:sz="0" w:space="0" w:color="auto"/>
                    <w:right w:val="none" w:sz="0" w:space="0" w:color="auto"/>
                  </w:divBdr>
                  <w:divsChild>
                    <w:div w:id="4914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9201">
      <w:bodyDiv w:val="1"/>
      <w:marLeft w:val="0"/>
      <w:marRight w:val="0"/>
      <w:marTop w:val="0"/>
      <w:marBottom w:val="0"/>
      <w:divBdr>
        <w:top w:val="none" w:sz="0" w:space="0" w:color="auto"/>
        <w:left w:val="none" w:sz="0" w:space="0" w:color="auto"/>
        <w:bottom w:val="none" w:sz="0" w:space="0" w:color="auto"/>
        <w:right w:val="none" w:sz="0" w:space="0" w:color="auto"/>
      </w:divBdr>
      <w:divsChild>
        <w:div w:id="1290670701">
          <w:marLeft w:val="0"/>
          <w:marRight w:val="0"/>
          <w:marTop w:val="0"/>
          <w:marBottom w:val="0"/>
          <w:divBdr>
            <w:top w:val="none" w:sz="0" w:space="0" w:color="auto"/>
            <w:left w:val="none" w:sz="0" w:space="0" w:color="auto"/>
            <w:bottom w:val="none" w:sz="0" w:space="0" w:color="auto"/>
            <w:right w:val="none" w:sz="0" w:space="0" w:color="auto"/>
          </w:divBdr>
          <w:divsChild>
            <w:div w:id="2106879436">
              <w:marLeft w:val="0"/>
              <w:marRight w:val="0"/>
              <w:marTop w:val="0"/>
              <w:marBottom w:val="0"/>
              <w:divBdr>
                <w:top w:val="none" w:sz="0" w:space="0" w:color="auto"/>
                <w:left w:val="none" w:sz="0" w:space="0" w:color="auto"/>
                <w:bottom w:val="none" w:sz="0" w:space="0" w:color="auto"/>
                <w:right w:val="none" w:sz="0" w:space="0" w:color="auto"/>
              </w:divBdr>
              <w:divsChild>
                <w:div w:id="18541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msac.gov.au/internet/msac/publishing.nsf/Content/Home-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9.health.gov.au/mbs/search.cfm?q=TN.8.2&amp;Submit=&amp;sopt=S"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nkinghub.elsevier.com/retrieve/pii/S1098301520343564" TargetMode="External"/><Relationship Id="rId1" Type="http://schemas.openxmlformats.org/officeDocument/2006/relationships/hyperlink" Target="https://www.aihw.gov.au/reports/heart-stroke-vascular-diseases/hsvd-facts/contents/heart-stroke-and-vascular-disease-subtypes/heart-failure-and-cardiomyopathy"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'[LVAD Section 3 model 05.09.2023.xlsm]OS Extrapolation'!$D$517</c:f>
              <c:strCache>
                <c:ptCount val="1"/>
                <c:pt idx="0">
                  <c:v>KM data</c:v>
                </c:pt>
              </c:strCache>
            </c:strRef>
          </c:tx>
          <c:spPr>
            <a:ln w="28575" cap="rnd">
              <a:solidFill>
                <a:schemeClr val="accent1"/>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Extrapolation'!$D$518:$D$998</c:f>
              <c:numCache>
                <c:formatCode>0.00</c:formatCode>
                <c:ptCount val="481"/>
                <c:pt idx="0">
                  <c:v>1</c:v>
                </c:pt>
                <c:pt idx="1">
                  <c:v>0.96392072983451071</c:v>
                </c:pt>
                <c:pt idx="2">
                  <c:v>0.92815437999575201</c:v>
                </c:pt>
                <c:pt idx="3">
                  <c:v>0.90492902362416339</c:v>
                </c:pt>
                <c:pt idx="4">
                  <c:v>0.89289263508546324</c:v>
                </c:pt>
                <c:pt idx="5">
                  <c:v>0.8739108293548129</c:v>
                </c:pt>
                <c:pt idx="6">
                  <c:v>0.86082302689875201</c:v>
                </c:pt>
                <c:pt idx="7">
                  <c:v>0.85189656558400129</c:v>
                </c:pt>
                <c:pt idx="8">
                  <c:v>0.84159166760575965</c:v>
                </c:pt>
                <c:pt idx="9">
                  <c:v>0.83023499654184651</c:v>
                </c:pt>
                <c:pt idx="10">
                  <c:v>0.82054176504584175</c:v>
                </c:pt>
                <c:pt idx="11">
                  <c:v>0.81299797344966163</c:v>
                </c:pt>
                <c:pt idx="12">
                  <c:v>0.80396283521575529</c:v>
                </c:pt>
                <c:pt idx="13">
                  <c:v>0.79476572347627084</c:v>
                </c:pt>
                <c:pt idx="14">
                  <c:v>0.78226329410173001</c:v>
                </c:pt>
                <c:pt idx="15">
                  <c:v>0.76307007791313586</c:v>
                </c:pt>
                <c:pt idx="16">
                  <c:v>0.75364119999427415</c:v>
                </c:pt>
                <c:pt idx="17">
                  <c:v>0.74631408095683172</c:v>
                </c:pt>
                <c:pt idx="18">
                  <c:v>0.74113092307721817</c:v>
                </c:pt>
                <c:pt idx="19">
                  <c:v>0.73982977601335975</c:v>
                </c:pt>
                <c:pt idx="20">
                  <c:v>0.7382433808984592</c:v>
                </c:pt>
                <c:pt idx="21">
                  <c:v>0.73602691905179685</c:v>
                </c:pt>
                <c:pt idx="22">
                  <c:v>0.73319346305963495</c:v>
                </c:pt>
                <c:pt idx="23">
                  <c:v>0.73143058517965398</c:v>
                </c:pt>
                <c:pt idx="24">
                  <c:v>0.725645022229222</c:v>
                </c:pt>
                <c:pt idx="25">
                  <c:v>0.71855570681941361</c:v>
                </c:pt>
                <c:pt idx="26">
                  <c:v>0.71240638618627139</c:v>
                </c:pt>
                <c:pt idx="27">
                  <c:v>0.70800392338627427</c:v>
                </c:pt>
                <c:pt idx="28">
                  <c:v>0.70475472152382124</c:v>
                </c:pt>
                <c:pt idx="29">
                  <c:v>0.70079370223152226</c:v>
                </c:pt>
                <c:pt idx="30">
                  <c:v>0.69060423695731155</c:v>
                </c:pt>
                <c:pt idx="31">
                  <c:v>0.68391310807820116</c:v>
                </c:pt>
                <c:pt idx="32">
                  <c:v>0.67773867416879008</c:v>
                </c:pt>
                <c:pt idx="33">
                  <c:v>0.67085096335195726</c:v>
                </c:pt>
                <c:pt idx="34">
                  <c:v>0.65858370940519673</c:v>
                </c:pt>
                <c:pt idx="35">
                  <c:v>0.65215066291051749</c:v>
                </c:pt>
                <c:pt idx="36">
                  <c:v>0.64823686284879711</c:v>
                </c:pt>
                <c:pt idx="37">
                  <c:v>0.64416533088820538</c:v>
                </c:pt>
                <c:pt idx="38">
                  <c:v>0.6407456723067595</c:v>
                </c:pt>
                <c:pt idx="39">
                  <c:v>0.63651794488950975</c:v>
                </c:pt>
                <c:pt idx="40">
                  <c:v>0.62990529998718747</c:v>
                </c:pt>
                <c:pt idx="41">
                  <c:v>0.61590655547996764</c:v>
                </c:pt>
                <c:pt idx="42">
                  <c:v>0.60623257369504757</c:v>
                </c:pt>
                <c:pt idx="43">
                  <c:v>0.59951957830716862</c:v>
                </c:pt>
                <c:pt idx="44">
                  <c:v>0.59552264218388418</c:v>
                </c:pt>
                <c:pt idx="45">
                  <c:v>0.59433692782405523</c:v>
                </c:pt>
                <c:pt idx="46">
                  <c:v>0.58973754672236289</c:v>
                </c:pt>
                <c:pt idx="47">
                  <c:v>0.58538991124992035</c:v>
                </c:pt>
                <c:pt idx="48">
                  <c:v>0.58501222581830525</c:v>
                </c:pt>
                <c:pt idx="49">
                  <c:v>0.58398586531582808</c:v>
                </c:pt>
                <c:pt idx="50">
                  <c:v>0.58194420441438299</c:v>
                </c:pt>
                <c:pt idx="51">
                  <c:v>0.57772972061592365</c:v>
                </c:pt>
                <c:pt idx="52">
                  <c:v>0.5673093899336511</c:v>
                </c:pt>
                <c:pt idx="53">
                  <c:v>0.55866524631261971</c:v>
                </c:pt>
                <c:pt idx="54">
                  <c:v>0.55199215566418247</c:v>
                </c:pt>
                <c:pt idx="55">
                  <c:v>0.54748575069552829</c:v>
                </c:pt>
                <c:pt idx="56">
                  <c:v>0.54526114199942521</c:v>
                </c:pt>
                <c:pt idx="57">
                  <c:v>0.54406164241779953</c:v>
                </c:pt>
                <c:pt idx="58">
                  <c:v>0.54092361454941651</c:v>
                </c:pt>
                <c:pt idx="59">
                  <c:v>0.53235020713163272</c:v>
                </c:pt>
                <c:pt idx="60">
                  <c:v>0.52348558195969552</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numCache>
            </c:numRef>
          </c:val>
          <c:smooth val="0"/>
          <c:extLst>
            <c:ext xmlns:c16="http://schemas.microsoft.com/office/drawing/2014/chart" uri="{C3380CC4-5D6E-409C-BE32-E72D297353CC}">
              <c16:uniqueId val="{00000000-6155-4274-A35C-424ECAB274DC}"/>
            </c:ext>
          </c:extLst>
        </c:ser>
        <c:ser>
          <c:idx val="1"/>
          <c:order val="1"/>
          <c:tx>
            <c:strRef>
              <c:f>'[LVAD Section 3 model 05.09.2023.xlsm]OS Extrapolation'!$F$517</c:f>
              <c:strCache>
                <c:ptCount val="1"/>
                <c:pt idx="0">
                  <c:v>Exponential</c:v>
                </c:pt>
              </c:strCache>
            </c:strRef>
          </c:tx>
          <c:spPr>
            <a:ln w="28575" cap="rnd">
              <a:solidFill>
                <a:schemeClr val="accent2"/>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Extrapolation'!$F$518:$F$998</c:f>
              <c:numCache>
                <c:formatCode>General</c:formatCode>
                <c:ptCount val="481"/>
                <c:pt idx="0" formatCode="0">
                  <c:v>1</c:v>
                </c:pt>
                <c:pt idx="1">
                  <c:v>0.98803091997432024</c:v>
                </c:pt>
                <c:pt idx="2">
                  <c:v>0.97620509882530171</c:v>
                </c:pt>
                <c:pt idx="3">
                  <c:v>0.96452082187598509</c:v>
                </c:pt>
                <c:pt idx="4">
                  <c:v>0.95297639497251707</c:v>
                </c:pt>
                <c:pt idx="5">
                  <c:v>0.94157014423850716</c:v>
                </c:pt>
                <c:pt idx="6">
                  <c:v>0.9303004158323257</c:v>
                </c:pt>
                <c:pt idx="7">
                  <c:v>0.9191655757073055</c:v>
                </c:pt>
                <c:pt idx="8">
                  <c:v>0.90816400937481478</c:v>
                </c:pt>
                <c:pt idx="9">
                  <c:v>0.89729412167016542</c:v>
                </c:pt>
                <c:pt idx="10">
                  <c:v>0.88655433652132332</c:v>
                </c:pt>
                <c:pt idx="11">
                  <c:v>0.87594309672038617</c:v>
                </c:pt>
                <c:pt idx="12">
                  <c:v>0.86545886369779812</c:v>
                </c:pt>
                <c:pt idx="13">
                  <c:v>0.85510011729926538</c:v>
                </c:pt>
                <c:pt idx="14">
                  <c:v>0.84486535556534237</c:v>
                </c:pt>
                <c:pt idx="15">
                  <c:v>0.83475309451365642</c:v>
                </c:pt>
                <c:pt idx="16">
                  <c:v>0.82476186792373862</c:v>
                </c:pt>
                <c:pt idx="17">
                  <c:v>0.81489022712443038</c:v>
                </c:pt>
                <c:pt idx="18">
                  <c:v>0.80513674078383368</c:v>
                </c:pt>
                <c:pt idx="19">
                  <c:v>0.79549999470177712</c:v>
                </c:pt>
                <c:pt idx="20">
                  <c:v>0.78597859160476369</c:v>
                </c:pt>
                <c:pt idx="21">
                  <c:v>0.77657115094337525</c:v>
                </c:pt>
                <c:pt idx="22">
                  <c:v>0.76727630869209984</c:v>
                </c:pt>
                <c:pt idx="23">
                  <c:v>0.75809271715155591</c:v>
                </c:pt>
                <c:pt idx="24">
                  <c:v>0.74901904475308401</c:v>
                </c:pt>
                <c:pt idx="25">
                  <c:v>0.74005397586567612</c:v>
                </c:pt>
                <c:pt idx="26">
                  <c:v>0.73119621060521744</c:v>
                </c:pt>
                <c:pt idx="27">
                  <c:v>0.72244446464600975</c:v>
                </c:pt>
                <c:pt idx="28">
                  <c:v>0.71379746903455232</c:v>
                </c:pt>
                <c:pt idx="29">
                  <c:v>0.70525397000555012</c:v>
                </c:pt>
                <c:pt idx="30">
                  <c:v>0.69681272880012535</c:v>
                </c:pt>
                <c:pt idx="31">
                  <c:v>0.68847252148620441</c:v>
                </c:pt>
                <c:pt idx="32">
                  <c:v>0.6802321387810546</c:v>
                </c:pt>
                <c:pt idx="33">
                  <c:v>0.67209038587594483</c:v>
                </c:pt>
                <c:pt idx="34">
                  <c:v>0.66404608226290573</c:v>
                </c:pt>
                <c:pt idx="35">
                  <c:v>0.65609806156356187</c:v>
                </c:pt>
                <c:pt idx="36">
                  <c:v>0.64824517136001425</c:v>
                </c:pt>
                <c:pt idx="37">
                  <c:v>0.64048627302774574</c:v>
                </c:pt>
                <c:pt idx="38">
                  <c:v>0.63282024157052741</c:v>
                </c:pt>
                <c:pt idx="39">
                  <c:v>0.62524596545729971</c:v>
                </c:pt>
                <c:pt idx="40">
                  <c:v>0.61776234646100792</c:v>
                </c:pt>
                <c:pt idx="41">
                  <c:v>0.61036829949936444</c:v>
                </c:pt>
                <c:pt idx="42">
                  <c:v>0.6030627524775185</c:v>
                </c:pt>
                <c:pt idx="43">
                  <c:v>0.59584464613260846</c:v>
                </c:pt>
                <c:pt idx="44">
                  <c:v>0.58871293388017443</c:v>
                </c:pt>
                <c:pt idx="45">
                  <c:v>0.58166658166240992</c:v>
                </c:pt>
                <c:pt idx="46">
                  <c:v>0.57470456779822898</c:v>
                </c:pt>
                <c:pt idx="47">
                  <c:v>0.56782588283512836</c:v>
                </c:pt>
                <c:pt idx="48">
                  <c:v>0.56102952940282247</c:v>
                </c:pt>
                <c:pt idx="49">
                  <c:v>0.55431452206863052</c:v>
                </c:pt>
                <c:pt idx="50">
                  <c:v>0.54767988719459471</c:v>
                </c:pt>
                <c:pt idx="51">
                  <c:v>0.54112466279630733</c:v>
                </c:pt>
                <c:pt idx="52">
                  <c:v>0.53464789840342941</c:v>
                </c:pt>
                <c:pt idx="53">
                  <c:v>0.52824865492187734</c:v>
                </c:pt>
                <c:pt idx="54">
                  <c:v>0.52192600449765969</c:v>
                </c:pt>
                <c:pt idx="55">
                  <c:v>0.51567903038234397</c:v>
                </c:pt>
                <c:pt idx="56">
                  <c:v>0.50950682680013271</c:v>
                </c:pt>
                <c:pt idx="57">
                  <c:v>0.50340849881653182</c:v>
                </c:pt>
                <c:pt idx="58">
                  <c:v>0.49738316220858947</c:v>
                </c:pt>
                <c:pt idx="59">
                  <c:v>0.49142994333668916</c:v>
                </c:pt>
                <c:pt idx="60">
                  <c:v>0.48554797901787711</c:v>
                </c:pt>
                <c:pt idx="61">
                  <c:v>0.47973641640070508</c:v>
                </c:pt>
                <c:pt idx="62">
                  <c:v>0.47399441284157223</c:v>
                </c:pt>
                <c:pt idx="63">
                  <c:v>0.46832113578254636</c:v>
                </c:pt>
                <c:pt idx="64">
                  <c:v>0.46271576263064784</c:v>
                </c:pt>
                <c:pt idx="65">
                  <c:v>0.45717748063857822</c:v>
                </c:pt>
                <c:pt idx="66">
                  <c:v>0.45170548678687644</c:v>
                </c:pt>
                <c:pt idx="67">
                  <c:v>0.44629898766748571</c:v>
                </c:pt>
                <c:pt idx="68">
                  <c:v>0.44095719936871375</c:v>
                </c:pt>
                <c:pt idx="69">
                  <c:v>0.43567934736156999</c:v>
                </c:pt>
                <c:pt idx="70">
                  <c:v>0.43046466638746339</c:v>
                </c:pt>
                <c:pt idx="71">
                  <c:v>0.42531240034724432</c:v>
                </c:pt>
                <c:pt idx="72">
                  <c:v>0.42022180219157423</c:v>
                </c:pt>
                <c:pt idx="73">
                  <c:v>0.41519213381260794</c:v>
                </c:pt>
                <c:pt idx="74">
                  <c:v>0.41022266593697215</c:v>
                </c:pt>
                <c:pt idx="75">
                  <c:v>0.40531267802002485</c:v>
                </c:pt>
                <c:pt idx="76">
                  <c:v>0.40046145814138062</c:v>
                </c:pt>
                <c:pt idx="77">
                  <c:v>0.39566830290168603</c:v>
                </c:pt>
                <c:pt idx="78">
                  <c:v>0.39093251732063089</c:v>
                </c:pt>
                <c:pt idx="79">
                  <c:v>0.3862534147361798</c:v>
                </c:pt>
                <c:pt idx="80">
                  <c:v>0.38163031670501041</c:v>
                </c:pt>
                <c:pt idx="81">
                  <c:v>0.37706255290414264</c:v>
                </c:pt>
                <c:pt idx="82">
                  <c:v>0.37254946103374587</c:v>
                </c:pt>
                <c:pt idx="83">
                  <c:v>0.36809038672110911</c:v>
                </c:pt>
                <c:pt idx="84">
                  <c:v>0.36368468342576077</c:v>
                </c:pt>
                <c:pt idx="85">
                  <c:v>0.35933171234572386</c:v>
                </c:pt>
                <c:pt idx="86">
                  <c:v>0.35503084232489335</c:v>
                </c:pt>
                <c:pt idx="87">
                  <c:v>0.3507814497615222</c:v>
                </c:pt>
                <c:pt idx="88">
                  <c:v>0.3465829185178026</c:v>
                </c:pt>
                <c:pt idx="89">
                  <c:v>0.34243463983052941</c:v>
                </c:pt>
                <c:pt idx="90">
                  <c:v>0.33833601222283299</c:v>
                </c:pt>
                <c:pt idx="91">
                  <c:v>0.33428644141696856</c:v>
                </c:pt>
                <c:pt idx="92">
                  <c:v>0.33028534024814915</c:v>
                </c:pt>
                <c:pt idx="93">
                  <c:v>0.32633212857941024</c:v>
                </c:pt>
                <c:pt idx="94">
                  <c:v>0.32242623321749286</c:v>
                </c:pt>
                <c:pt idx="95">
                  <c:v>0.3185670878297342</c:v>
                </c:pt>
                <c:pt idx="96">
                  <c:v>0.31475413286195242</c:v>
                </c:pt>
                <c:pt idx="97">
                  <c:v>0.31098681545731421</c:v>
                </c:pt>
                <c:pt idx="98">
                  <c:v>0.30726458937617429</c:v>
                </c:pt>
                <c:pt idx="99">
                  <c:v>0.30358691491687329</c:v>
                </c:pt>
                <c:pt idx="100">
                  <c:v>0.29995325883748397</c:v>
                </c:pt>
                <c:pt idx="101">
                  <c:v>0.29636309427849472</c:v>
                </c:pt>
                <c:pt idx="102">
                  <c:v>0.29281590068641739</c:v>
                </c:pt>
                <c:pt idx="103">
                  <c:v>0.28931116373831017</c:v>
                </c:pt>
                <c:pt idx="104">
                  <c:v>0.2858483752672038</c:v>
                </c:pt>
                <c:pt idx="105">
                  <c:v>0.28242703318842011</c:v>
                </c:pt>
                <c:pt idx="106">
                  <c:v>0.2790466414267726</c:v>
                </c:pt>
                <c:pt idx="107">
                  <c:v>0.27570670984463841</c:v>
                </c:pt>
                <c:pt idx="108">
                  <c:v>0.27240675417089111</c:v>
                </c:pt>
                <c:pt idx="109">
                  <c:v>0.26914629593068401</c:v>
                </c:pt>
                <c:pt idx="110">
                  <c:v>0.26592486237607438</c:v>
                </c:pt>
                <c:pt idx="111">
                  <c:v>0.26274198641747731</c:v>
                </c:pt>
                <c:pt idx="112">
                  <c:v>0.25959720655594049</c:v>
                </c:pt>
                <c:pt idx="113">
                  <c:v>0.25649006681622949</c:v>
                </c:pt>
                <c:pt idx="114">
                  <c:v>0.25342011668071412</c:v>
                </c:pt>
                <c:pt idx="115">
                  <c:v>0.25038691102404559</c:v>
                </c:pt>
                <c:pt idx="116">
                  <c:v>0.24739001004861602</c:v>
                </c:pt>
                <c:pt idx="117">
                  <c:v>0.24442897922079043</c:v>
                </c:pt>
                <c:pt idx="118">
                  <c:v>0.24150338920790151</c:v>
                </c:pt>
                <c:pt idx="119">
                  <c:v>0.23861281581599927</c:v>
                </c:pt>
                <c:pt idx="120">
                  <c:v>0.23575683992834481</c:v>
                </c:pt>
                <c:pt idx="121">
                  <c:v>0.23293504744464108</c:v>
                </c:pt>
                <c:pt idx="122">
                  <c:v>0.23014702922099067</c:v>
                </c:pt>
                <c:pt idx="123">
                  <c:v>0.22739238101057219</c:v>
                </c:pt>
                <c:pt idx="124">
                  <c:v>0.22467070340502682</c:v>
                </c:pt>
                <c:pt idx="125">
                  <c:v>0.2219816017765463</c:v>
                </c:pt>
                <c:pt idx="126">
                  <c:v>0.21932468622065424</c:v>
                </c:pt>
                <c:pt idx="127">
                  <c:v>0.21669957149967214</c:v>
                </c:pt>
                <c:pt idx="128">
                  <c:v>0.21410587698686206</c:v>
                </c:pt>
                <c:pt idx="129">
                  <c:v>0.21154322661123798</c:v>
                </c:pt>
                <c:pt idx="130">
                  <c:v>0.20901124880303756</c:v>
                </c:pt>
                <c:pt idx="131">
                  <c:v>0.20650957643984677</c:v>
                </c:pt>
                <c:pt idx="132">
                  <c:v>0.204037846793369</c:v>
                </c:pt>
                <c:pt idx="133">
                  <c:v>0.20159570147683181</c:v>
                </c:pt>
                <c:pt idx="134">
                  <c:v>0.19918278639302256</c:v>
                </c:pt>
                <c:pt idx="135">
                  <c:v>0.19679875168294661</c:v>
                </c:pt>
                <c:pt idx="136">
                  <c:v>0.19444325167509954</c:v>
                </c:pt>
                <c:pt idx="137">
                  <c:v>0.19211594483534691</c:v>
                </c:pt>
                <c:pt idx="138">
                  <c:v>0.18981649371740358</c:v>
                </c:pt>
                <c:pt idx="139">
                  <c:v>0.187544564913906</c:v>
                </c:pt>
                <c:pt idx="140">
                  <c:v>0.18529982900807018</c:v>
                </c:pt>
                <c:pt idx="141">
                  <c:v>0.18308196052592782</c:v>
                </c:pt>
                <c:pt idx="142">
                  <c:v>0.18089063788913465</c:v>
                </c:pt>
                <c:pt idx="143">
                  <c:v>0.17872554336834334</c:v>
                </c:pt>
                <c:pt idx="144">
                  <c:v>0.17658636303713457</c:v>
                </c:pt>
                <c:pt idx="145">
                  <c:v>0.17447278672649938</c:v>
                </c:pt>
                <c:pt idx="146">
                  <c:v>0.17238450797986654</c:v>
                </c:pt>
                <c:pt idx="147">
                  <c:v>0.17032122400866812</c:v>
                </c:pt>
                <c:pt idx="148">
                  <c:v>0.16828263564843662</c:v>
                </c:pt>
                <c:pt idx="149">
                  <c:v>0.1662684473154282</c:v>
                </c:pt>
                <c:pt idx="150">
                  <c:v>0.16427836696376433</c:v>
                </c:pt>
                <c:pt idx="151">
                  <c:v>0.16231210604308705</c:v>
                </c:pt>
                <c:pt idx="152">
                  <c:v>0.16036937945672072</c:v>
                </c:pt>
                <c:pt idx="153">
                  <c:v>0.15844990552033464</c:v>
                </c:pt>
                <c:pt idx="154">
                  <c:v>0.15655340592110037</c:v>
                </c:pt>
                <c:pt idx="155">
                  <c:v>0.15467960567733799</c:v>
                </c:pt>
                <c:pt idx="156">
                  <c:v>0.15282823309864535</c:v>
                </c:pt>
                <c:pt idx="157">
                  <c:v>0.15099901974650445</c:v>
                </c:pt>
                <c:pt idx="158">
                  <c:v>0.14919170039535934</c:v>
                </c:pt>
                <c:pt idx="159">
                  <c:v>0.14740601299416006</c:v>
                </c:pt>
                <c:pt idx="160">
                  <c:v>0.14564169862836654</c:v>
                </c:pt>
                <c:pt idx="161">
                  <c:v>0.14389850148240768</c:v>
                </c:pt>
                <c:pt idx="162">
                  <c:v>0.14217616880258935</c:v>
                </c:pt>
                <c:pt idx="163">
                  <c:v>0.14047445086044663</c:v>
                </c:pt>
                <c:pt idx="164">
                  <c:v>0.13879310091653452</c:v>
                </c:pt>
                <c:pt idx="165">
                  <c:v>0.13713187518465228</c:v>
                </c:pt>
                <c:pt idx="166">
                  <c:v>0.13549053279649567</c:v>
                </c:pt>
                <c:pt idx="167">
                  <c:v>0.13386883576673245</c:v>
                </c:pt>
                <c:pt idx="168">
                  <c:v>0.13226654895849582</c:v>
                </c:pt>
                <c:pt idx="169">
                  <c:v>0.13068344004929114</c:v>
                </c:pt>
                <c:pt idx="170">
                  <c:v>0.12911927949731003</c:v>
                </c:pt>
                <c:pt idx="171">
                  <c:v>0.1275738405081486</c:v>
                </c:pt>
                <c:pt idx="172">
                  <c:v>0.12604689900192328</c:v>
                </c:pt>
                <c:pt idx="173">
                  <c:v>0.12453823358078046</c:v>
                </c:pt>
                <c:pt idx="174">
                  <c:v>0.12304762549679535</c:v>
                </c:pt>
                <c:pt idx="175">
                  <c:v>0.1215748586202543</c:v>
                </c:pt>
                <c:pt idx="176">
                  <c:v>0.12011971940831781</c:v>
                </c:pt>
                <c:pt idx="177">
                  <c:v>0.11868199687405744</c:v>
                </c:pt>
                <c:pt idx="178">
                  <c:v>0.1172614825558644</c:v>
                </c:pt>
                <c:pt idx="179">
                  <c:v>0.11585797048722339</c:v>
                </c:pt>
                <c:pt idx="180">
                  <c:v>0.114471257166849</c:v>
                </c:pt>
                <c:pt idx="181">
                  <c:v>0.1131011415291788</c:v>
                </c:pt>
                <c:pt idx="182">
                  <c:v>0.11174742491522036</c:v>
                </c:pt>
                <c:pt idx="183">
                  <c:v>0.11040991104374642</c:v>
                </c:pt>
                <c:pt idx="184">
                  <c:v>0.10908840598283567</c:v>
                </c:pt>
                <c:pt idx="185">
                  <c:v>0.10778271812175325</c:v>
                </c:pt>
                <c:pt idx="186">
                  <c:v>0.10649265814316873</c:v>
                </c:pt>
                <c:pt idx="187">
                  <c:v>0.10521803899570577</c:v>
                </c:pt>
                <c:pt idx="188">
                  <c:v>0.1039586758668211</c:v>
                </c:pt>
                <c:pt idx="189">
                  <c:v>0.10271438615600739</c:v>
                </c:pt>
                <c:pt idx="190">
                  <c:v>0.1014849894483176</c:v>
                </c:pt>
                <c:pt idx="191">
                  <c:v>0.1002703074882054</c:v>
                </c:pt>
                <c:pt idx="192">
                  <c:v>9.9070164153679585E-2</c:v>
                </c:pt>
                <c:pt idx="193">
                  <c:v>9.788438543076694E-2</c:v>
                </c:pt>
                <c:pt idx="194">
                  <c:v>9.671279938828159E-2</c:v>
                </c:pt>
                <c:pt idx="195">
                  <c:v>9.5555236152895767E-2</c:v>
                </c:pt>
                <c:pt idx="196">
                  <c:v>9.4411527884509017E-2</c:v>
                </c:pt>
                <c:pt idx="197">
                  <c:v>9.3281508751912656E-2</c:v>
                </c:pt>
                <c:pt idx="198">
                  <c:v>9.2165014908744847E-2</c:v>
                </c:pt>
                <c:pt idx="199">
                  <c:v>9.1061884469734136E-2</c:v>
                </c:pt>
                <c:pt idx="200">
                  <c:v>8.9971957487226667E-2</c:v>
                </c:pt>
                <c:pt idx="201">
                  <c:v>8.8895075927995018E-2</c:v>
                </c:pt>
                <c:pt idx="202">
                  <c:v>8.7831083650323952E-2</c:v>
                </c:pt>
                <c:pt idx="203">
                  <c:v>8.6779826381371078E-2</c:v>
                </c:pt>
                <c:pt idx="204">
                  <c:v>8.5741151694797832E-2</c:v>
                </c:pt>
                <c:pt idx="205">
                  <c:v>8.4714908988668874E-2</c:v>
                </c:pt>
                <c:pt idx="206">
                  <c:v>8.370094946361531E-2</c:v>
                </c:pt>
                <c:pt idx="207">
                  <c:v>8.2699126101259943E-2</c:v>
                </c:pt>
                <c:pt idx="208">
                  <c:v>8.1709293642900166E-2</c:v>
                </c:pt>
                <c:pt idx="209">
                  <c:v>8.0731308568446555E-2</c:v>
                </c:pt>
                <c:pt idx="210">
                  <c:v>7.9765029075612948E-2</c:v>
                </c:pt>
                <c:pt idx="211">
                  <c:v>7.881031505935629E-2</c:v>
                </c:pt>
                <c:pt idx="212">
                  <c:v>7.7867028091561805E-2</c:v>
                </c:pt>
                <c:pt idx="213">
                  <c:v>7.6935031400972076E-2</c:v>
                </c:pt>
                <c:pt idx="214">
                  <c:v>7.6014189853355632E-2</c:v>
                </c:pt>
                <c:pt idx="215">
                  <c:v>7.5104369931913592E-2</c:v>
                </c:pt>
                <c:pt idx="216">
                  <c:v>7.4205439717920291E-2</c:v>
                </c:pt>
                <c:pt idx="217">
                  <c:v>7.3317268871595731E-2</c:v>
                </c:pt>
                <c:pt idx="218">
                  <c:v>7.2439728613207341E-2</c:v>
                </c:pt>
                <c:pt idx="219">
                  <c:v>7.1572691704397326E-2</c:v>
                </c:pt>
                <c:pt idx="220">
                  <c:v>7.0716032429734108E-2</c:v>
                </c:pt>
                <c:pt idx="221">
                  <c:v>6.9869626578484043E-2</c:v>
                </c:pt>
                <c:pt idx="222">
                  <c:v>6.903335142660183E-2</c:v>
                </c:pt>
                <c:pt idx="223">
                  <c:v>6.8207085718935939E-2</c:v>
                </c:pt>
                <c:pt idx="224">
                  <c:v>6.7390709651647618E-2</c:v>
                </c:pt>
                <c:pt idx="225">
                  <c:v>6.658410485483969E-2</c:v>
                </c:pt>
                <c:pt idx="226">
                  <c:v>6.5787154375393869E-2</c:v>
                </c:pt>
                <c:pt idx="227">
                  <c:v>6.499974266001303E-2</c:v>
                </c:pt>
                <c:pt idx="228">
                  <c:v>6.4221755538466763E-2</c:v>
                </c:pt>
                <c:pt idx="229">
                  <c:v>6.3453080207037202E-2</c:v>
                </c:pt>
                <c:pt idx="230">
                  <c:v>6.2693605212163314E-2</c:v>
                </c:pt>
                <c:pt idx="231">
                  <c:v>6.1943220434280542E-2</c:v>
                </c:pt>
                <c:pt idx="232">
                  <c:v>6.1201817071854334E-2</c:v>
                </c:pt>
                <c:pt idx="233">
                  <c:v>6.0469287625604287E-2</c:v>
                </c:pt>
                <c:pt idx="234">
                  <c:v>5.9745525882917594E-2</c:v>
                </c:pt>
                <c:pt idx="235">
                  <c:v>5.9030426902448627E-2</c:v>
                </c:pt>
                <c:pt idx="236">
                  <c:v>5.8323886998903167E-2</c:v>
                </c:pt>
                <c:pt idx="237">
                  <c:v>5.7625803728004611E-2</c:v>
                </c:pt>
                <c:pt idx="238">
                  <c:v>5.6936075871639999E-2</c:v>
                </c:pt>
                <c:pt idx="239">
                  <c:v>5.6254603423184175E-2</c:v>
                </c:pt>
                <c:pt idx="240">
                  <c:v>5.5581287572999197E-2</c:v>
                </c:pt>
                <c:pt idx="241">
                  <c:v>5.4916030694107665E-2</c:v>
                </c:pt>
                <c:pt idx="242">
                  <c:v>5.4258736328037196E-2</c:v>
                </c:pt>
                <c:pt idx="243">
                  <c:v>5.3609309170834674E-2</c:v>
                </c:pt>
                <c:pt idx="244">
                  <c:v>5.296765505924754E-2</c:v>
                </c:pt>
                <c:pt idx="245">
                  <c:v>5.2333680957070819E-2</c:v>
                </c:pt>
                <c:pt idx="246">
                  <c:v>5.1707294941657232E-2</c:v>
                </c:pt>
                <c:pt idx="247">
                  <c:v>5.1088406190589131E-2</c:v>
                </c:pt>
                <c:pt idx="248">
                  <c:v>5.0476924968509522E-2</c:v>
                </c:pt>
                <c:pt idx="249">
                  <c:v>4.9872762614111214E-2</c:v>
                </c:pt>
                <c:pt idx="250">
                  <c:v>4.9275831527281176E-2</c:v>
                </c:pt>
                <c:pt idx="251">
                  <c:v>4.8686045156399252E-2</c:v>
                </c:pt>
                <c:pt idx="252">
                  <c:v>4.8103317985788444E-2</c:v>
                </c:pt>
                <c:pt idx="253">
                  <c:v>4.7527565523315829E-2</c:v>
                </c:pt>
                <c:pt idx="254">
                  <c:v>4.6958704288141521E-2</c:v>
                </c:pt>
                <c:pt idx="255">
                  <c:v>4.6396651798614533E-2</c:v>
                </c:pt>
                <c:pt idx="256">
                  <c:v>4.5841326560313311E-2</c:v>
                </c:pt>
                <c:pt idx="257">
                  <c:v>4.5292648054229591E-2</c:v>
                </c:pt>
                <c:pt idx="258">
                  <c:v>4.4750536725093583E-2</c:v>
                </c:pt>
                <c:pt idx="259">
                  <c:v>4.4214913969838808E-2</c:v>
                </c:pt>
                <c:pt idx="260">
                  <c:v>4.3685702126205275E-2</c:v>
                </c:pt>
                <c:pt idx="261">
                  <c:v>4.3162824461478705E-2</c:v>
                </c:pt>
                <c:pt idx="262">
                  <c:v>4.2646205161364914E-2</c:v>
                </c:pt>
                <c:pt idx="263">
                  <c:v>4.2135769318996971E-2</c:v>
                </c:pt>
                <c:pt idx="264">
                  <c:v>4.1631442924074329E-2</c:v>
                </c:pt>
                <c:pt idx="265">
                  <c:v>4.1133152852131552E-2</c:v>
                </c:pt>
                <c:pt idx="266">
                  <c:v>4.0640826853935885E-2</c:v>
                </c:pt>
                <c:pt idx="267">
                  <c:v>4.0154393545011324E-2</c:v>
                </c:pt>
                <c:pt idx="268">
                  <c:v>3.9673782395288459E-2</c:v>
                </c:pt>
                <c:pt idx="269">
                  <c:v>3.9198923718877836E-2</c:v>
                </c:pt>
                <c:pt idx="270">
                  <c:v>3.8729748663966085E-2</c:v>
                </c:pt>
                <c:pt idx="271">
                  <c:v>3.8266189202832604E-2</c:v>
                </c:pt>
                <c:pt idx="272">
                  <c:v>3.7808178121986107E-2</c:v>
                </c:pt>
                <c:pt idx="273">
                  <c:v>3.7355649012418897E-2</c:v>
                </c:pt>
                <c:pt idx="274">
                  <c:v>3.6908536259978059E-2</c:v>
                </c:pt>
                <c:pt idx="275">
                  <c:v>3.6466775035851669E-2</c:v>
                </c:pt>
                <c:pt idx="276">
                  <c:v>3.6030301287169109E-2</c:v>
                </c:pt>
                <c:pt idx="277">
                  <c:v>3.5599051727713625E-2</c:v>
                </c:pt>
                <c:pt idx="278">
                  <c:v>3.5172963828746302E-2</c:v>
                </c:pt>
                <c:pt idx="279">
                  <c:v>3.4751975809939703E-2</c:v>
                </c:pt>
                <c:pt idx="280">
                  <c:v>3.4336026630420048E-2</c:v>
                </c:pt>
                <c:pt idx="281">
                  <c:v>3.3925055979916685E-2</c:v>
                </c:pt>
                <c:pt idx="282">
                  <c:v>3.3519004270017388E-2</c:v>
                </c:pt>
                <c:pt idx="283">
                  <c:v>3.3117812625528459E-2</c:v>
                </c:pt>
                <c:pt idx="284">
                  <c:v>3.2721422875938037E-2</c:v>
                </c:pt>
                <c:pt idx="285">
                  <c:v>3.2329777546981839E-2</c:v>
                </c:pt>
                <c:pt idx="286">
                  <c:v>3.1942819852309581E-2</c:v>
                </c:pt>
                <c:pt idx="287">
                  <c:v>3.156049368525142E-2</c:v>
                </c:pt>
                <c:pt idx="288">
                  <c:v>3.1182743610682684E-2</c:v>
                </c:pt>
                <c:pt idx="289">
                  <c:v>3.0809514856986176E-2</c:v>
                </c:pt>
                <c:pt idx="290">
                  <c:v>3.0440753308110535E-2</c:v>
                </c:pt>
                <c:pt idx="291">
                  <c:v>3.0076405495723792E-2</c:v>
                </c:pt>
                <c:pt idx="292">
                  <c:v>2.9716418591460673E-2</c:v>
                </c:pt>
                <c:pt idx="293">
                  <c:v>2.936074039926289E-2</c:v>
                </c:pt>
                <c:pt idx="294">
                  <c:v>2.90093193478109E-2</c:v>
                </c:pt>
                <c:pt idx="295">
                  <c:v>2.8662104483046458E-2</c:v>
                </c:pt>
                <c:pt idx="296">
                  <c:v>2.8319045460784474E-2</c:v>
                </c:pt>
                <c:pt idx="297">
                  <c:v>2.7980092539413491E-2</c:v>
                </c:pt>
                <c:pt idx="298">
                  <c:v>2.7645196572683321E-2</c:v>
                </c:pt>
                <c:pt idx="299">
                  <c:v>2.7314309002579223E-2</c:v>
                </c:pt>
                <c:pt idx="300">
                  <c:v>2.6987381852281212E-2</c:v>
                </c:pt>
                <c:pt idx="301">
                  <c:v>2.6664367719207677E-2</c:v>
                </c:pt>
                <c:pt idx="302">
                  <c:v>2.6345219768142334E-2</c:v>
                </c:pt>
                <c:pt idx="303">
                  <c:v>2.6029891724443314E-2</c:v>
                </c:pt>
                <c:pt idx="304">
                  <c:v>2.5718337867333681E-2</c:v>
                </c:pt>
                <c:pt idx="305">
                  <c:v>2.5410513023272088E-2</c:v>
                </c:pt>
                <c:pt idx="306">
                  <c:v>2.5106372559402974E-2</c:v>
                </c:pt>
                <c:pt idx="307">
                  <c:v>2.4805872377084946E-2</c:v>
                </c:pt>
                <c:pt idx="308">
                  <c:v>2.4508968905496826E-2</c:v>
                </c:pt>
                <c:pt idx="309">
                  <c:v>2.421561909532003E-2</c:v>
                </c:pt>
                <c:pt idx="310">
                  <c:v>2.3925780412496774E-2</c:v>
                </c:pt>
                <c:pt idx="311">
                  <c:v>2.3639410832062755E-2</c:v>
                </c:pt>
                <c:pt idx="312">
                  <c:v>2.3356468832053882E-2</c:v>
                </c:pt>
                <c:pt idx="313">
                  <c:v>2.3076913387485729E-2</c:v>
                </c:pt>
                <c:pt idx="314">
                  <c:v>2.2800703964405238E-2</c:v>
                </c:pt>
                <c:pt idx="315">
                  <c:v>2.2527800514013433E-2</c:v>
                </c:pt>
                <c:pt idx="316">
                  <c:v>2.2258163466858664E-2</c:v>
                </c:pt>
                <c:pt idx="317">
                  <c:v>2.1991753727099168E-2</c:v>
                </c:pt>
                <c:pt idx="318">
                  <c:v>2.1728532666834482E-2</c:v>
                </c:pt>
                <c:pt idx="319">
                  <c:v>2.1468462120504541E-2</c:v>
                </c:pt>
                <c:pt idx="320">
                  <c:v>2.1211504379355942E-2</c:v>
                </c:pt>
                <c:pt idx="321">
                  <c:v>2.095762218597438E-2</c:v>
                </c:pt>
                <c:pt idx="322">
                  <c:v>2.0706778728882488E-2</c:v>
                </c:pt>
                <c:pt idx="323">
                  <c:v>2.0458937637202454E-2</c:v>
                </c:pt>
                <c:pt idx="324">
                  <c:v>2.0214062975382384E-2</c:v>
                </c:pt>
                <c:pt idx="325">
                  <c:v>1.9972119237985909E-2</c:v>
                </c:pt>
                <c:pt idx="326">
                  <c:v>1.9733071344544034E-2</c:v>
                </c:pt>
                <c:pt idx="327">
                  <c:v>1.9496884634468744E-2</c:v>
                </c:pt>
                <c:pt idx="328">
                  <c:v>1.9263524862027336E-2</c:v>
                </c:pt>
                <c:pt idx="329">
                  <c:v>1.9032958191377066E-2</c:v>
                </c:pt>
                <c:pt idx="330">
                  <c:v>1.8805151191659052E-2</c:v>
                </c:pt>
                <c:pt idx="331">
                  <c:v>1.8580070832151085E-2</c:v>
                </c:pt>
                <c:pt idx="332">
                  <c:v>1.8357684477478264E-2</c:v>
                </c:pt>
                <c:pt idx="333">
                  <c:v>1.8137959882881145E-2</c:v>
                </c:pt>
                <c:pt idx="334">
                  <c:v>1.7920865189540384E-2</c:v>
                </c:pt>
                <c:pt idx="335">
                  <c:v>1.7706368919957353E-2</c:v>
                </c:pt>
                <c:pt idx="336">
                  <c:v>1.7494439973390175E-2</c:v>
                </c:pt>
                <c:pt idx="337">
                  <c:v>1.7285047621344213E-2</c:v>
                </c:pt>
                <c:pt idx="338">
                  <c:v>1.7078161503116671E-2</c:v>
                </c:pt>
                <c:pt idx="339">
                  <c:v>1.687375162139438E-2</c:v>
                </c:pt>
                <c:pt idx="340">
                  <c:v>1.6671788337904465E-2</c:v>
                </c:pt>
                <c:pt idx="341">
                  <c:v>1.6472242369116888E-2</c:v>
                </c:pt>
                <c:pt idx="342">
                  <c:v>1.6275084781998534E-2</c:v>
                </c:pt>
                <c:pt idx="343">
                  <c:v>1.6080286989818081E-2</c:v>
                </c:pt>
                <c:pt idx="344">
                  <c:v>1.588782074800105E-2</c:v>
                </c:pt>
                <c:pt idx="345">
                  <c:v>1.5697658150034568E-2</c:v>
                </c:pt>
                <c:pt idx="346">
                  <c:v>1.5509771623421036E-2</c:v>
                </c:pt>
                <c:pt idx="347">
                  <c:v>1.5324133925680303E-2</c:v>
                </c:pt>
                <c:pt idx="348">
                  <c:v>1.5140718140399599E-2</c:v>
                </c:pt>
                <c:pt idx="349">
                  <c:v>1.4959497673330893E-2</c:v>
                </c:pt>
                <c:pt idx="350">
                  <c:v>1.4780446248534822E-2</c:v>
                </c:pt>
                <c:pt idx="351">
                  <c:v>1.4603537904570862E-2</c:v>
                </c:pt>
                <c:pt idx="352">
                  <c:v>1.4428746990733004E-2</c:v>
                </c:pt>
                <c:pt idx="353">
                  <c:v>1.4256048163330631E-2</c:v>
                </c:pt>
                <c:pt idx="354">
                  <c:v>1.408541638201378E-2</c:v>
                </c:pt>
                <c:pt idx="355">
                  <c:v>1.3916826906142446E-2</c:v>
                </c:pt>
                <c:pt idx="356">
                  <c:v>1.3750255291199292E-2</c:v>
                </c:pt>
                <c:pt idx="357">
                  <c:v>1.3585677385245397E-2</c:v>
                </c:pt>
                <c:pt idx="358">
                  <c:v>1.3423069325418325E-2</c:v>
                </c:pt>
                <c:pt idx="359">
                  <c:v>1.3262407534472156E-2</c:v>
                </c:pt>
                <c:pt idx="360">
                  <c:v>1.3103668717358878E-2</c:v>
                </c:pt>
                <c:pt idx="361">
                  <c:v>1.2946829857850811E-2</c:v>
                </c:pt>
                <c:pt idx="362">
                  <c:v>1.2791868215203332E-2</c:v>
                </c:pt>
                <c:pt idx="363">
                  <c:v>1.2638761320857613E-2</c:v>
                </c:pt>
                <c:pt idx="364">
                  <c:v>1.248748697518281E-2</c:v>
                </c:pt>
                <c:pt idx="365">
                  <c:v>1.2338023244257212E-2</c:v>
                </c:pt>
                <c:pt idx="366">
                  <c:v>1.2190348456687998E-2</c:v>
                </c:pt>
                <c:pt idx="367">
                  <c:v>1.2044441200468976E-2</c:v>
                </c:pt>
                <c:pt idx="368">
                  <c:v>1.1900280319875977E-2</c:v>
                </c:pt>
                <c:pt idx="369">
                  <c:v>1.1757844912399357E-2</c:v>
                </c:pt>
                <c:pt idx="370">
                  <c:v>1.1617114325713315E-2</c:v>
                </c:pt>
                <c:pt idx="371">
                  <c:v>1.147806815468138E-2</c:v>
                </c:pt>
                <c:pt idx="372">
                  <c:v>1.1340686238397801E-2</c:v>
                </c:pt>
                <c:pt idx="373">
                  <c:v>1.1204948657264291E-2</c:v>
                </c:pt>
                <c:pt idx="374">
                  <c:v>1.1070835730101859E-2</c:v>
                </c:pt>
                <c:pt idx="375">
                  <c:v>1.0938328011297113E-2</c:v>
                </c:pt>
                <c:pt idx="376">
                  <c:v>1.0807406287982772E-2</c:v>
                </c:pt>
                <c:pt idx="377">
                  <c:v>1.0678051577251869E-2</c:v>
                </c:pt>
                <c:pt idx="378">
                  <c:v>1.0550245123405404E-2</c:v>
                </c:pt>
                <c:pt idx="379">
                  <c:v>1.0423968395232824E-2</c:v>
                </c:pt>
                <c:pt idx="380">
                  <c:v>1.0299203083325135E-2</c:v>
                </c:pt>
                <c:pt idx="381">
                  <c:v>1.0175931097420087E-2</c:v>
                </c:pt>
                <c:pt idx="382">
                  <c:v>1.005413456377926E-2</c:v>
                </c:pt>
                <c:pt idx="383">
                  <c:v>9.9337958225964307E-3</c:v>
                </c:pt>
                <c:pt idx="384">
                  <c:v>9.8148974254370185E-3</c:v>
                </c:pt>
                <c:pt idx="385">
                  <c:v>9.6974221327081229E-3</c:v>
                </c:pt>
                <c:pt idx="386">
                  <c:v>9.5813529111589395E-3</c:v>
                </c:pt>
                <c:pt idx="387">
                  <c:v>9.4666729314109976E-3</c:v>
                </c:pt>
                <c:pt idx="388">
                  <c:v>9.3533655655180011E-3</c:v>
                </c:pt>
                <c:pt idx="389">
                  <c:v>9.2414143845548843E-3</c:v>
                </c:pt>
                <c:pt idx="390">
                  <c:v>9.1308031562356787E-3</c:v>
                </c:pt>
                <c:pt idx="391">
                  <c:v>9.0215158425599618E-3</c:v>
                </c:pt>
                <c:pt idx="392">
                  <c:v>8.9135365974874221E-3</c:v>
                </c:pt>
                <c:pt idx="393">
                  <c:v>8.8068497646402767E-3</c:v>
                </c:pt>
                <c:pt idx="394">
                  <c:v>8.7014398750331571E-3</c:v>
                </c:pt>
                <c:pt idx="395">
                  <c:v>8.597291644830243E-3</c:v>
                </c:pt>
                <c:pt idx="396">
                  <c:v>8.4943899731291603E-3</c:v>
                </c:pt>
                <c:pt idx="397">
                  <c:v>8.3927199397714515E-3</c:v>
                </c:pt>
                <c:pt idx="398">
                  <c:v>8.2922668031792067E-3</c:v>
                </c:pt>
                <c:pt idx="399">
                  <c:v>8.1930159982176662E-3</c:v>
                </c:pt>
                <c:pt idx="400">
                  <c:v>8.0949531340833228E-3</c:v>
                </c:pt>
                <c:pt idx="401">
                  <c:v>7.9980639922173583E-3</c:v>
                </c:pt>
                <c:pt idx="402">
                  <c:v>7.9023345242439993E-3</c:v>
                </c:pt>
                <c:pt idx="403">
                  <c:v>7.80775084993363E-3</c:v>
                </c:pt>
                <c:pt idx="404">
                  <c:v>7.714299255190204E-3</c:v>
                </c:pt>
                <c:pt idx="405">
                  <c:v>7.6219661900627962E-3</c:v>
                </c:pt>
                <c:pt idx="406">
                  <c:v>7.5307382667809076E-3</c:v>
                </c:pt>
                <c:pt idx="407">
                  <c:v>7.4406022578133568E-3</c:v>
                </c:pt>
                <c:pt idx="408">
                  <c:v>7.3515450939503338E-3</c:v>
                </c:pt>
                <c:pt idx="409">
                  <c:v>7.2635538624084475E-3</c:v>
                </c:pt>
                <c:pt idx="410">
                  <c:v>7.1766158049584514E-3</c:v>
                </c:pt>
                <c:pt idx="411">
                  <c:v>7.090718316075344E-3</c:v>
                </c:pt>
                <c:pt idx="412">
                  <c:v>7.0058489411106836E-3</c:v>
                </c:pt>
                <c:pt idx="413">
                  <c:v>6.9219953744867049E-3</c:v>
                </c:pt>
                <c:pt idx="414">
                  <c:v>6.8391454579120933E-3</c:v>
                </c:pt>
                <c:pt idx="415">
                  <c:v>6.7572871786190777E-3</c:v>
                </c:pt>
                <c:pt idx="416">
                  <c:v>6.6764086676216854E-3</c:v>
                </c:pt>
                <c:pt idx="417">
                  <c:v>6.5964981979947787E-3</c:v>
                </c:pt>
                <c:pt idx="418">
                  <c:v>6.5175441831737315E-3</c:v>
                </c:pt>
                <c:pt idx="419">
                  <c:v>6.4395351752744197E-3</c:v>
                </c:pt>
                <c:pt idx="420">
                  <c:v>6.3624598634333795E-3</c:v>
                </c:pt>
                <c:pt idx="421">
                  <c:v>6.2863070721677688E-3</c:v>
                </c:pt>
                <c:pt idx="422">
                  <c:v>6.2110657597550011E-3</c:v>
                </c:pt>
                <c:pt idx="423">
                  <c:v>6.1367250166317324E-3</c:v>
                </c:pt>
                <c:pt idx="424">
                  <c:v>6.0632740638120759E-3</c:v>
                </c:pt>
                <c:pt idx="425">
                  <c:v>5.9907022513246795E-3</c:v>
                </c:pt>
                <c:pt idx="426">
                  <c:v>5.9189990566685582E-3</c:v>
                </c:pt>
                <c:pt idx="427">
                  <c:v>5.8481540832873687E-3</c:v>
                </c:pt>
                <c:pt idx="428">
                  <c:v>5.7781570590619948E-3</c:v>
                </c:pt>
                <c:pt idx="429">
                  <c:v>5.7089978348211345E-3</c:v>
                </c:pt>
                <c:pt idx="430">
                  <c:v>5.6406663828697272E-3</c:v>
                </c:pt>
                <c:pt idx="431">
                  <c:v>5.5731527955350021E-3</c:v>
                </c:pt>
                <c:pt idx="432">
                  <c:v>5.5064472837299018E-3</c:v>
                </c:pt>
                <c:pt idx="433">
                  <c:v>5.4405401755337505E-3</c:v>
                </c:pt>
                <c:pt idx="434">
                  <c:v>5.3754219147898602E-3</c:v>
                </c:pt>
                <c:pt idx="435">
                  <c:v>5.3110830597199515E-3</c:v>
                </c:pt>
                <c:pt idx="436">
                  <c:v>5.2475142815551308E-3</c:v>
                </c:pt>
                <c:pt idx="437">
                  <c:v>5.1847063631832984E-3</c:v>
                </c:pt>
                <c:pt idx="438">
                  <c:v>5.1226501978127057E-3</c:v>
                </c:pt>
                <c:pt idx="439">
                  <c:v>5.0613367876515252E-3</c:v>
                </c:pt>
                <c:pt idx="440">
                  <c:v>5.0007572426032064E-3</c:v>
                </c:pt>
                <c:pt idx="441">
                  <c:v>4.9409027789774898E-3</c:v>
                </c:pt>
                <c:pt idx="442">
                  <c:v>4.881764718216804E-3</c:v>
                </c:pt>
                <c:pt idx="443">
                  <c:v>4.8233344856379303E-3</c:v>
                </c:pt>
                <c:pt idx="444">
                  <c:v>4.7656036091887084E-3</c:v>
                </c:pt>
                <c:pt idx="445">
                  <c:v>4.7085637182196598E-3</c:v>
                </c:pt>
                <c:pt idx="446">
                  <c:v>4.6522065422702754E-3</c:v>
                </c:pt>
                <c:pt idx="447">
                  <c:v>4.5965239098698547E-3</c:v>
                </c:pt>
                <c:pt idx="448">
                  <c:v>4.5415077473526713E-3</c:v>
                </c:pt>
                <c:pt idx="449">
                  <c:v>4.4871500776873623E-3</c:v>
                </c:pt>
                <c:pt idx="450">
                  <c:v>4.4334430193202863E-3</c:v>
                </c:pt>
                <c:pt idx="451">
                  <c:v>4.3803787850327496E-3</c:v>
                </c:pt>
                <c:pt idx="452">
                  <c:v>4.3279496808119053E-3</c:v>
                </c:pt>
                <c:pt idx="453">
                  <c:v>4.2761481047351524E-3</c:v>
                </c:pt>
                <c:pt idx="454">
                  <c:v>4.2249665458679178E-3</c:v>
                </c:pt>
                <c:pt idx="455">
                  <c:v>4.1743975831746039E-3</c:v>
                </c:pt>
                <c:pt idx="456">
                  <c:v>4.1244338844425854E-3</c:v>
                </c:pt>
                <c:pt idx="457">
                  <c:v>4.0750682052190668E-3</c:v>
                </c:pt>
                <c:pt idx="458">
                  <c:v>4.0262933877606953E-3</c:v>
                </c:pt>
                <c:pt idx="459">
                  <c:v>3.9781023599957223E-3</c:v>
                </c:pt>
                <c:pt idx="460">
                  <c:v>3.9304881344985904E-3</c:v>
                </c:pt>
                <c:pt idx="461">
                  <c:v>3.8834438074767915E-3</c:v>
                </c:pt>
                <c:pt idx="462">
                  <c:v>3.8369625577698704E-3</c:v>
                </c:pt>
                <c:pt idx="463">
                  <c:v>3.7910376458603853E-3</c:v>
                </c:pt>
                <c:pt idx="464">
                  <c:v>3.7456624128967206E-3</c:v>
                </c:pt>
                <c:pt idx="465">
                  <c:v>3.7008302797275783E-3</c:v>
                </c:pt>
                <c:pt idx="466">
                  <c:v>3.6565347459480593E-3</c:v>
                </c:pt>
                <c:pt idx="467">
                  <c:v>3.6127693889571278E-3</c:v>
                </c:pt>
                <c:pt idx="468">
                  <c:v>3.5695278630263763E-3</c:v>
                </c:pt>
                <c:pt idx="469">
                  <c:v>3.5268038983799193E-3</c:v>
                </c:pt>
                <c:pt idx="470">
                  <c:v>3.4845913002853304E-3</c:v>
                </c:pt>
                <c:pt idx="471">
                  <c:v>3.4428839481554269E-3</c:v>
                </c:pt>
                <c:pt idx="472">
                  <c:v>3.4016757946608261E-3</c:v>
                </c:pt>
                <c:pt idx="473">
                  <c:v>3.360960864853115E-3</c:v>
                </c:pt>
                <c:pt idx="474">
                  <c:v>3.32073325529851E-3</c:v>
                </c:pt>
                <c:pt idx="475">
                  <c:v>3.2809871332219053E-3</c:v>
                </c:pt>
                <c:pt idx="476">
                  <c:v>3.2417167356611461E-3</c:v>
                </c:pt>
                <c:pt idx="477">
                  <c:v>3.2029163686314349E-3</c:v>
                </c:pt>
                <c:pt idx="478">
                  <c:v>3.1645804062997249E-3</c:v>
                </c:pt>
                <c:pt idx="479">
                  <c:v>3.1267032901690249E-3</c:v>
                </c:pt>
                <c:pt idx="480">
                  <c:v>3.0892795282724352E-3</c:v>
                </c:pt>
              </c:numCache>
            </c:numRef>
          </c:val>
          <c:smooth val="0"/>
          <c:extLst>
            <c:ext xmlns:c16="http://schemas.microsoft.com/office/drawing/2014/chart" uri="{C3380CC4-5D6E-409C-BE32-E72D297353CC}">
              <c16:uniqueId val="{00000001-6155-4274-A35C-424ECAB274DC}"/>
            </c:ext>
          </c:extLst>
        </c:ser>
        <c:ser>
          <c:idx val="2"/>
          <c:order val="2"/>
          <c:tx>
            <c:strRef>
              <c:f>'[LVAD Section 3 model 05.09.2023.xlsm]OS Extrapolation'!$G$517</c:f>
              <c:strCache>
                <c:ptCount val="1"/>
                <c:pt idx="0">
                  <c:v>Gompertz</c:v>
                </c:pt>
              </c:strCache>
            </c:strRef>
          </c:tx>
          <c:spPr>
            <a:ln w="28575" cap="rnd">
              <a:solidFill>
                <a:schemeClr val="accent3"/>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Extrapolation'!$G$518:$G$998</c:f>
              <c:numCache>
                <c:formatCode>General</c:formatCode>
                <c:ptCount val="481"/>
                <c:pt idx="0" formatCode="0">
                  <c:v>1</c:v>
                </c:pt>
                <c:pt idx="1">
                  <c:v>0.9808830154118664</c:v>
                </c:pt>
                <c:pt idx="2">
                  <c:v>0.96260997842287377</c:v>
                </c:pt>
                <c:pt idx="3">
                  <c:v>0.94513505653094043</c:v>
                </c:pt>
                <c:pt idx="4">
                  <c:v>0.92841539704129683</c:v>
                </c:pt>
                <c:pt idx="5">
                  <c:v>0.91241090337427999</c:v>
                </c:pt>
                <c:pt idx="6">
                  <c:v>0.89708403023217564</c:v>
                </c:pt>
                <c:pt idx="7">
                  <c:v>0.8823995958723867</c:v>
                </c:pt>
                <c:pt idx="8">
                  <c:v>0.86832460991143234</c:v>
                </c:pt>
                <c:pt idx="9">
                  <c:v>0.8548281152422037</c:v>
                </c:pt>
                <c:pt idx="10">
                  <c:v>0.84188104278776565</c:v>
                </c:pt>
                <c:pt idx="11">
                  <c:v>0.82945607794078036</c:v>
                </c:pt>
                <c:pt idx="12">
                  <c:v>0.81752753765004227</c:v>
                </c:pt>
                <c:pt idx="13">
                  <c:v>0.80607125721619843</c:v>
                </c:pt>
                <c:pt idx="14">
                  <c:v>0.79506448594879853</c:v>
                </c:pt>
                <c:pt idx="15">
                  <c:v>0.78448579091755655</c:v>
                </c:pt>
                <c:pt idx="16">
                  <c:v>0.77431496810314726</c:v>
                </c:pt>
                <c:pt idx="17">
                  <c:v>0.76453296031791751</c:v>
                </c:pt>
                <c:pt idx="18">
                  <c:v>0.75512178132536556</c:v>
                </c:pt>
                <c:pt idx="19">
                  <c:v>0.74606444563985586</c:v>
                </c:pt>
                <c:pt idx="20">
                  <c:v>0.73734490353540583</c:v>
                </c:pt>
                <c:pt idx="21">
                  <c:v>0.72894798083508172</c:v>
                </c:pt>
                <c:pt idx="22">
                  <c:v>0.72085932309105294</c:v>
                </c:pt>
                <c:pt idx="23">
                  <c:v>0.71306534380012165</c:v>
                </c:pt>
                <c:pt idx="24">
                  <c:v>0.70555317633096681</c:v>
                </c:pt>
                <c:pt idx="25">
                  <c:v>0.69831062926774823</c:v>
                </c:pt>
                <c:pt idx="26">
                  <c:v>0.69132614490043054</c:v>
                </c:pt>
                <c:pt idx="27">
                  <c:v>0.68458876061547624</c:v>
                </c:pt>
                <c:pt idx="28">
                  <c:v>0.67808807296166984</c:v>
                </c:pt>
                <c:pt idx="29">
                  <c:v>0.67181420418498705</c:v>
                </c:pt>
                <c:pt idx="30">
                  <c:v>0.66575777104381106</c:v>
                </c:pt>
                <c:pt idx="31">
                  <c:v>0.65990985573159899</c:v>
                </c:pt>
                <c:pt idx="32">
                  <c:v>0.65426197874846359</c:v>
                </c:pt>
                <c:pt idx="33">
                  <c:v>0.64880607357621178</c:v>
                </c:pt>
                <c:pt idx="34">
                  <c:v>0.64353446302327932</c:v>
                </c:pt>
                <c:pt idx="35">
                  <c:v>0.63843983711685393</c:v>
                </c:pt>
                <c:pt idx="36">
                  <c:v>0.63351523242936458</c:v>
                </c:pt>
                <c:pt idx="37">
                  <c:v>0.62875401273554643</c:v>
                </c:pt>
                <c:pt idx="38">
                  <c:v>0.62414985090453057</c:v>
                </c:pt>
                <c:pt idx="39">
                  <c:v>0.61969671193893949</c:v>
                </c:pt>
                <c:pt idx="40">
                  <c:v>0.61538883707986158</c:v>
                </c:pt>
                <c:pt idx="41">
                  <c:v>0.61122072890287438</c:v>
                </c:pt>
                <c:pt idx="42">
                  <c:v>0.607187137336062</c:v>
                </c:pt>
                <c:pt idx="43">
                  <c:v>0.60328304653625697</c:v>
                </c:pt>
                <c:pt idx="44">
                  <c:v>0.5995036625645852</c:v>
                </c:pt>
                <c:pt idx="45">
                  <c:v>0.59584440180684095</c:v>
                </c:pt>
                <c:pt idx="46">
                  <c:v>0.59230088008829873</c:v>
                </c:pt>
                <c:pt idx="47">
                  <c:v>0.58886890243632151</c:v>
                </c:pt>
                <c:pt idx="48">
                  <c:v>0.58554445344756967</c:v>
                </c:pt>
                <c:pt idx="49">
                  <c:v>0.58232368821978453</c:v>
                </c:pt>
                <c:pt idx="50">
                  <c:v>0.57920292381103866</c:v>
                </c:pt>
                <c:pt idx="51">
                  <c:v>0.57617863119202828</c:v>
                </c:pt>
                <c:pt idx="52">
                  <c:v>0.5732474276594588</c:v>
                </c:pt>
                <c:pt idx="53">
                  <c:v>0.57040606968085483</c:v>
                </c:pt>
                <c:pt idx="54">
                  <c:v>0.56765144614322882</c:v>
                </c:pt>
                <c:pt idx="55">
                  <c:v>0.56498057197998497</c:v>
                </c:pt>
                <c:pt idx="56">
                  <c:v>0.56239058215222482</c:v>
                </c:pt>
                <c:pt idx="57">
                  <c:v>0.5598787259622795</c:v>
                </c:pt>
                <c:pt idx="58">
                  <c:v>0.55744236167882388</c:v>
                </c:pt>
                <c:pt idx="59">
                  <c:v>0.5550789514543405</c:v>
                </c:pt>
                <c:pt idx="60">
                  <c:v>0.55278605651701385</c:v>
                </c:pt>
                <c:pt idx="61">
                  <c:v>0.55056133262034956</c:v>
                </c:pt>
                <c:pt idx="62">
                  <c:v>0.54840252573492976</c:v>
                </c:pt>
                <c:pt idx="63">
                  <c:v>0.54630746796776519</c:v>
                </c:pt>
                <c:pt idx="64">
                  <c:v>0.5442740736956635</c:v>
                </c:pt>
                <c:pt idx="65">
                  <c:v>0.54230033589993143</c:v>
                </c:pt>
                <c:pt idx="66">
                  <c:v>0.54038432269055903</c:v>
                </c:pt>
                <c:pt idx="67">
                  <c:v>0.53852417400880526</c:v>
                </c:pt>
                <c:pt idx="68">
                  <c:v>0.53671809849782115</c:v>
                </c:pt>
                <c:pt idx="69">
                  <c:v>0.53496437053161461</c:v>
                </c:pt>
                <c:pt idx="70">
                  <c:v>0.53326132739327703</c:v>
                </c:pt>
                <c:pt idx="71">
                  <c:v>0.53160736659397279</c:v>
                </c:pt>
                <c:pt idx="72">
                  <c:v>0.53000094332472469</c:v>
                </c:pt>
                <c:pt idx="73">
                  <c:v>0.52844056803353046</c:v>
                </c:pt>
                <c:pt idx="74">
                  <c:v>0.52692480412081144</c:v>
                </c:pt>
                <c:pt idx="75">
                  <c:v>0.52545226574662496</c:v>
                </c:pt>
                <c:pt idx="76">
                  <c:v>0.52402161574347972</c:v>
                </c:pt>
                <c:pt idx="77">
                  <c:v>0.52263156362896901</c:v>
                </c:pt>
                <c:pt idx="78">
                  <c:v>0.52128086371278759</c:v>
                </c:pt>
                <c:pt idx="79">
                  <c:v>0.51996831329302939</c:v>
                </c:pt>
                <c:pt idx="80">
                  <c:v>0.51869275093696643</c:v>
                </c:pt>
                <c:pt idx="81">
                  <c:v>0.51745305484180015</c:v>
                </c:pt>
                <c:pt idx="82">
                  <c:v>0.51624814127113949</c:v>
                </c:pt>
                <c:pt idx="83">
                  <c:v>0.51507696306321582</c:v>
                </c:pt>
                <c:pt idx="84">
                  <c:v>0.5139385082070741</c:v>
                </c:pt>
                <c:pt idx="85">
                  <c:v>0.51283179848320415</c:v>
                </c:pt>
                <c:pt idx="86">
                  <c:v>0.51175588816527595</c:v>
                </c:pt>
                <c:pt idx="87">
                  <c:v>0.51070986277983954</c:v>
                </c:pt>
                <c:pt idx="88">
                  <c:v>0.50969283792102804</c:v>
                </c:pt>
                <c:pt idx="89">
                  <c:v>0.50870395811747171</c:v>
                </c:pt>
                <c:pt idx="90">
                  <c:v>0.50774239574878877</c:v>
                </c:pt>
                <c:pt idx="91">
                  <c:v>0.50680735000916821</c:v>
                </c:pt>
                <c:pt idx="92">
                  <c:v>0.50589804591569842</c:v>
                </c:pt>
                <c:pt idx="93">
                  <c:v>0.50501373335922595</c:v>
                </c:pt>
                <c:pt idx="94">
                  <c:v>0.50415368619565237</c:v>
                </c:pt>
                <c:pt idx="95">
                  <c:v>0.50331720137569158</c:v>
                </c:pt>
                <c:pt idx="96">
                  <c:v>0.50250359811121903</c:v>
                </c:pt>
                <c:pt idx="97">
                  <c:v>0.50171221707644564</c:v>
                </c:pt>
                <c:pt idx="98">
                  <c:v>0.50094241964224517</c:v>
                </c:pt>
                <c:pt idx="99">
                  <c:v>0.5001935871420532</c:v>
                </c:pt>
                <c:pt idx="100">
                  <c:v>0.49946512016784234</c:v>
                </c:pt>
                <c:pt idx="101">
                  <c:v>0.49875643789475577</c:v>
                </c:pt>
                <c:pt idx="102">
                  <c:v>0.49806697743305728</c:v>
                </c:pt>
                <c:pt idx="103">
                  <c:v>0.49739619320612843</c:v>
                </c:pt>
                <c:pt idx="104">
                  <c:v>0.49674355635330525</c:v>
                </c:pt>
                <c:pt idx="105">
                  <c:v>0.49610855415641592</c:v>
                </c:pt>
                <c:pt idx="106">
                  <c:v>0.49549068948893515</c:v>
                </c:pt>
                <c:pt idx="107">
                  <c:v>0.4948894802867283</c:v>
                </c:pt>
                <c:pt idx="108">
                  <c:v>0.49430445903941189</c:v>
                </c:pt>
                <c:pt idx="109">
                  <c:v>0.49373517230140568</c:v>
                </c:pt>
                <c:pt idx="110">
                  <c:v>0.49318118022179813</c:v>
                </c:pt>
                <c:pt idx="111">
                  <c:v>0.49264205609219247</c:v>
                </c:pt>
                <c:pt idx="112">
                  <c:v>0.4921173859117412</c:v>
                </c:pt>
                <c:pt idx="113">
                  <c:v>0.49160676796861702</c:v>
                </c:pt>
                <c:pt idx="114">
                  <c:v>0.49110981243720497</c:v>
                </c:pt>
                <c:pt idx="115">
                  <c:v>0.49062614099033675</c:v>
                </c:pt>
                <c:pt idx="116">
                  <c:v>0.49015538642591955</c:v>
                </c:pt>
                <c:pt idx="117">
                  <c:v>0.48969719230734615</c:v>
                </c:pt>
                <c:pt idx="118">
                  <c:v>0.48925121261709992</c:v>
                </c:pt>
                <c:pt idx="119">
                  <c:v>0.488817111422998</c:v>
                </c:pt>
                <c:pt idx="120">
                  <c:v>0.48839456255654368</c:v>
                </c:pt>
                <c:pt idx="121">
                  <c:v>0.48798324930288139</c:v>
                </c:pt>
                <c:pt idx="122">
                  <c:v>0.48758286410187462</c:v>
                </c:pt>
                <c:pt idx="123">
                  <c:v>0.48719310825984841</c:v>
                </c:pt>
                <c:pt idx="124">
                  <c:v>0.48681369167155808</c:v>
                </c:pt>
                <c:pt idx="125">
                  <c:v>0.48644433255197106</c:v>
                </c:pt>
                <c:pt idx="126">
                  <c:v>0.48608475717746086</c:v>
                </c:pt>
                <c:pt idx="127">
                  <c:v>0.48573469963603744</c:v>
                </c:pt>
                <c:pt idx="128">
                  <c:v>0.48539390158625112</c:v>
                </c:pt>
                <c:pt idx="129">
                  <c:v>0.4850621120244254</c:v>
                </c:pt>
                <c:pt idx="130">
                  <c:v>0.48473908705988955</c:v>
                </c:pt>
                <c:pt idx="131">
                  <c:v>0.48442458969789659</c:v>
                </c:pt>
                <c:pt idx="132">
                  <c:v>0.48411838962992648</c:v>
                </c:pt>
                <c:pt idx="133">
                  <c:v>0.48382026303108666</c:v>
                </c:pt>
                <c:pt idx="134">
                  <c:v>0.4835299923643378</c:v>
                </c:pt>
                <c:pt idx="135">
                  <c:v>0.48324736619128011</c:v>
                </c:pt>
                <c:pt idx="136">
                  <c:v>0.48297217898925182</c:v>
                </c:pt>
                <c:pt idx="137">
                  <c:v>0.48270423097449905</c:v>
                </c:pt>
                <c:pt idx="138">
                  <c:v>0.48244332793118833</c:v>
                </c:pt>
                <c:pt idx="139">
                  <c:v>0.48218928104604147</c:v>
                </c:pt>
                <c:pt idx="140">
                  <c:v>0.48194190674838455</c:v>
                </c:pt>
                <c:pt idx="141">
                  <c:v>0.48170102655540836</c:v>
                </c:pt>
                <c:pt idx="142">
                  <c:v>0.48146646692244877</c:v>
                </c:pt>
                <c:pt idx="143">
                  <c:v>0.4812380590981023</c:v>
                </c:pt>
                <c:pt idx="144">
                  <c:v>0.48101563898400079</c:v>
                </c:pt>
                <c:pt idx="145">
                  <c:v>0.4807990469990755</c:v>
                </c:pt>
                <c:pt idx="146">
                  <c:v>0.48058812794814793</c:v>
                </c:pt>
                <c:pt idx="147">
                  <c:v>0.48038273089469374</c:v>
                </c:pt>
                <c:pt idx="148">
                  <c:v>0.48018270903762794</c:v>
                </c:pt>
                <c:pt idx="149">
                  <c:v>0.47998791959197079</c:v>
                </c:pt>
                <c:pt idx="150">
                  <c:v>0.47979822367325575</c:v>
                </c:pt>
                <c:pt idx="151">
                  <c:v>0.479613486185548</c:v>
                </c:pt>
                <c:pt idx="152">
                  <c:v>0.47943357571294737</c:v>
                </c:pt>
                <c:pt idx="153">
                  <c:v>0.47925836441445457</c:v>
                </c:pt>
                <c:pt idx="154">
                  <c:v>0.47908772792208337</c:v>
                </c:pt>
                <c:pt idx="155">
                  <c:v>0.47892154524210728</c:v>
                </c:pt>
                <c:pt idx="156">
                  <c:v>0.47875969865933382</c:v>
                </c:pt>
                <c:pt idx="157">
                  <c:v>0.47860207364430107</c:v>
                </c:pt>
                <c:pt idx="158">
                  <c:v>0.47844855876330006</c:v>
                </c:pt>
                <c:pt idx="159">
                  <c:v>0.47829904559112452</c:v>
                </c:pt>
                <c:pt idx="160">
                  <c:v>0.4781534286264581</c:v>
                </c:pt>
                <c:pt idx="161">
                  <c:v>0.47801160520981079</c:v>
                </c:pt>
                <c:pt idx="162">
                  <c:v>0.47787347544391789</c:v>
                </c:pt>
                <c:pt idx="163">
                  <c:v>0.47773894211652135</c:v>
                </c:pt>
                <c:pt idx="164">
                  <c:v>0.47760791062545482</c:v>
                </c:pt>
                <c:pt idx="165">
                  <c:v>0.47748028890595534</c:v>
                </c:pt>
                <c:pt idx="166">
                  <c:v>0.47735598736013024</c:v>
                </c:pt>
                <c:pt idx="167">
                  <c:v>0.47723491878850804</c:v>
                </c:pt>
                <c:pt idx="168">
                  <c:v>0.47711699832360621</c:v>
                </c:pt>
                <c:pt idx="169">
                  <c:v>0.47700214336545066</c:v>
                </c:pt>
                <c:pt idx="170">
                  <c:v>0.47689027351898355</c:v>
                </c:pt>
                <c:pt idx="171">
                  <c:v>0.47678131053330014</c:v>
                </c:pt>
                <c:pt idx="172">
                  <c:v>0.4766751782426546</c:v>
                </c:pt>
                <c:pt idx="173">
                  <c:v>0.47657180250918063</c:v>
                </c:pt>
                <c:pt idx="174">
                  <c:v>0.4764711111672707</c:v>
                </c:pt>
                <c:pt idx="175">
                  <c:v>0.47637303396956304</c:v>
                </c:pt>
                <c:pt idx="176">
                  <c:v>0.47627750253448503</c:v>
                </c:pt>
                <c:pt idx="177">
                  <c:v>0.47618445029530504</c:v>
                </c:pt>
                <c:pt idx="178">
                  <c:v>0.47609381245064497</c:v>
                </c:pt>
                <c:pt idx="179">
                  <c:v>0.47600552591640877</c:v>
                </c:pt>
                <c:pt idx="180">
                  <c:v>0.47591952927908304</c:v>
                </c:pt>
                <c:pt idx="181">
                  <c:v>0.47583576275036682</c:v>
                </c:pt>
                <c:pt idx="182">
                  <c:v>0.4757541681230914</c:v>
                </c:pt>
                <c:pt idx="183">
                  <c:v>0.47567468872838803</c:v>
                </c:pt>
                <c:pt idx="184">
                  <c:v>0.47559726939406877</c:v>
                </c:pt>
                <c:pt idx="185">
                  <c:v>0.47552185640418043</c:v>
                </c:pt>
                <c:pt idx="186">
                  <c:v>0.47544839745969869</c:v>
                </c:pt>
                <c:pt idx="187">
                  <c:v>0.4753768416403264</c:v>
                </c:pt>
                <c:pt idx="188">
                  <c:v>0.47530713936736346</c:v>
                </c:pt>
                <c:pt idx="189">
                  <c:v>0.47523924236761594</c:v>
                </c:pt>
                <c:pt idx="190">
                  <c:v>0.47517310363831411</c:v>
                </c:pt>
                <c:pt idx="191">
                  <c:v>0.47510867741300783</c:v>
                </c:pt>
                <c:pt idx="192">
                  <c:v>0.47504591912841221</c:v>
                </c:pt>
                <c:pt idx="193">
                  <c:v>0.47498478539217348</c:v>
                </c:pt>
                <c:pt idx="194">
                  <c:v>0.47492523395152964</c:v>
                </c:pt>
                <c:pt idx="195">
                  <c:v>0.47486722366283812</c:v>
                </c:pt>
                <c:pt idx="196">
                  <c:v>0.47481071446194623</c:v>
                </c:pt>
                <c:pt idx="197">
                  <c:v>0.47475566733537866</c:v>
                </c:pt>
                <c:pt idx="198">
                  <c:v>0.47470204429231905</c:v>
                </c:pt>
                <c:pt idx="199">
                  <c:v>0.47464980833736203</c:v>
                </c:pt>
                <c:pt idx="200">
                  <c:v>0.47459892344401339</c:v>
                </c:pt>
                <c:pt idx="201">
                  <c:v>0.47454935452891728</c:v>
                </c:pt>
                <c:pt idx="202">
                  <c:v>0.47450106742678855</c:v>
                </c:pt>
                <c:pt idx="203">
                  <c:v>0.47445402886603044</c:v>
                </c:pt>
                <c:pt idx="204">
                  <c:v>0.47440820644501841</c:v>
                </c:pt>
                <c:pt idx="205">
                  <c:v>0.47436356860902951</c:v>
                </c:pt>
                <c:pt idx="206">
                  <c:v>0.47432008462780118</c:v>
                </c:pt>
                <c:pt idx="207">
                  <c:v>0.47427772457369882</c:v>
                </c:pt>
                <c:pt idx="208">
                  <c:v>0.47423645930047698</c:v>
                </c:pt>
                <c:pt idx="209">
                  <c:v>0.4741962604226162</c:v>
                </c:pt>
                <c:pt idx="210">
                  <c:v>0.47415710029521985</c:v>
                </c:pt>
                <c:pt idx="211">
                  <c:v>0.47411895199445392</c:v>
                </c:pt>
                <c:pt idx="212">
                  <c:v>0.47408178929851646</c:v>
                </c:pt>
                <c:pt idx="213">
                  <c:v>0.47404558666911972</c:v>
                </c:pt>
                <c:pt idx="214">
                  <c:v>0.47401031923347176</c:v>
                </c:pt>
                <c:pt idx="215">
                  <c:v>0.47397596276674336</c:v>
                </c:pt>
                <c:pt idx="216">
                  <c:v>0.47394249367500646</c:v>
                </c:pt>
                <c:pt idx="217">
                  <c:v>0.47390988897863079</c:v>
                </c:pt>
                <c:pt idx="218">
                  <c:v>0.47387812629612669</c:v>
                </c:pt>
                <c:pt idx="219">
                  <c:v>0.47384718382842045</c:v>
                </c:pt>
                <c:pt idx="220">
                  <c:v>0.4738170403435516</c:v>
                </c:pt>
                <c:pt idx="221">
                  <c:v>0.47378767516177928</c:v>
                </c:pt>
                <c:pt idx="222">
                  <c:v>0.47375906814108704</c:v>
                </c:pt>
                <c:pt idx="223">
                  <c:v>0.47373119966307481</c:v>
                </c:pt>
                <c:pt idx="224">
                  <c:v>0.47370405061922705</c:v>
                </c:pt>
                <c:pt idx="225">
                  <c:v>0.47367760239754775</c:v>
                </c:pt>
                <c:pt idx="226">
                  <c:v>0.47365183686955076</c:v>
                </c:pt>
                <c:pt idx="227">
                  <c:v>0.47362673637759717</c:v>
                </c:pt>
                <c:pt idx="228">
                  <c:v>0.4736022837225688</c:v>
                </c:pt>
                <c:pt idx="229">
                  <c:v>0.47357846215186977</c:v>
                </c:pt>
                <c:pt idx="230">
                  <c:v>0.47355525534774656</c:v>
                </c:pt>
                <c:pt idx="231">
                  <c:v>0.47353264741591783</c:v>
                </c:pt>
                <c:pt idx="232">
                  <c:v>0.47351062287450635</c:v>
                </c:pt>
                <c:pt idx="233">
                  <c:v>0.47348916664326329</c:v>
                </c:pt>
                <c:pt idx="234">
                  <c:v>0.47346826403307857</c:v>
                </c:pt>
                <c:pt idx="235">
                  <c:v>0.47344790073576865</c:v>
                </c:pt>
                <c:pt idx="236">
                  <c:v>0.47342806281413408</c:v>
                </c:pt>
                <c:pt idx="237">
                  <c:v>0.47340873669228001</c:v>
                </c:pt>
                <c:pt idx="238">
                  <c:v>0.47338990914619228</c:v>
                </c:pt>
                <c:pt idx="239">
                  <c:v>0.47337156729456242</c:v>
                </c:pt>
                <c:pt idx="240">
                  <c:v>0.4733536985898541</c:v>
                </c:pt>
                <c:pt idx="241">
                  <c:v>0.47333629080960576</c:v>
                </c:pt>
                <c:pt idx="242">
                  <c:v>0.47331933204796173</c:v>
                </c:pt>
                <c:pt idx="243">
                  <c:v>0.4733028107074273</c:v>
                </c:pt>
                <c:pt idx="244">
                  <c:v>0.47328671549083945</c:v>
                </c:pt>
                <c:pt idx="245">
                  <c:v>0.47327103539354964</c:v>
                </c:pt>
                <c:pt idx="246">
                  <c:v>0.47325575969581235</c:v>
                </c:pt>
                <c:pt idx="247">
                  <c:v>0.47324087795537245</c:v>
                </c:pt>
                <c:pt idx="248">
                  <c:v>0.47322638000024864</c:v>
                </c:pt>
                <c:pt idx="249">
                  <c:v>0.47321225592170524</c:v>
                </c:pt>
                <c:pt idx="250">
                  <c:v>0.47319849606740882</c:v>
                </c:pt>
                <c:pt idx="251">
                  <c:v>0.47318509103476442</c:v>
                </c:pt>
                <c:pt idx="252">
                  <c:v>0.47317203166442612</c:v>
                </c:pt>
                <c:pt idx="253">
                  <c:v>0.47315930903397796</c:v>
                </c:pt>
                <c:pt idx="254">
                  <c:v>0.47314691445177981</c:v>
                </c:pt>
                <c:pt idx="255">
                  <c:v>0.47313483945097529</c:v>
                </c:pt>
                <c:pt idx="256">
                  <c:v>0.47312307578365537</c:v>
                </c:pt>
                <c:pt idx="257">
                  <c:v>0.47311161541517555</c:v>
                </c:pt>
                <c:pt idx="258">
                  <c:v>0.47310045051862121</c:v>
                </c:pt>
                <c:pt idx="259">
                  <c:v>0.47308957346941749</c:v>
                </c:pt>
                <c:pt idx="260">
                  <c:v>0.47307897684008055</c:v>
                </c:pt>
                <c:pt idx="261">
                  <c:v>0.47306865339510512</c:v>
                </c:pt>
                <c:pt idx="262">
                  <c:v>0.47305859608598649</c:v>
                </c:pt>
                <c:pt idx="263">
                  <c:v>0.47304879804637134</c:v>
                </c:pt>
                <c:pt idx="264">
                  <c:v>0.47303925258733626</c:v>
                </c:pt>
                <c:pt idx="265">
                  <c:v>0.47302995319278834</c:v>
                </c:pt>
                <c:pt idx="266">
                  <c:v>0.47302089351498644</c:v>
                </c:pt>
                <c:pt idx="267">
                  <c:v>0.47301206737017903</c:v>
                </c:pt>
                <c:pt idx="268">
                  <c:v>0.47300346873435517</c:v>
                </c:pt>
                <c:pt idx="269">
                  <c:v>0.47299509173910709</c:v>
                </c:pt>
                <c:pt idx="270">
                  <c:v>0.47298693066759995</c:v>
                </c:pt>
                <c:pt idx="271">
                  <c:v>0.47297897995064658</c:v>
                </c:pt>
                <c:pt idx="272">
                  <c:v>0.47297123416288439</c:v>
                </c:pt>
                <c:pt idx="273">
                  <c:v>0.47296368801905203</c:v>
                </c:pt>
                <c:pt idx="274">
                  <c:v>0.47295633637036244</c:v>
                </c:pt>
                <c:pt idx="275">
                  <c:v>0.47294917420097093</c:v>
                </c:pt>
                <c:pt idx="276">
                  <c:v>0.47294219662453413</c:v>
                </c:pt>
                <c:pt idx="277">
                  <c:v>0.47293539888085956</c:v>
                </c:pt>
                <c:pt idx="278">
                  <c:v>0.47292877633264113</c:v>
                </c:pt>
                <c:pt idx="279">
                  <c:v>0.47292232446228033</c:v>
                </c:pt>
                <c:pt idx="280">
                  <c:v>0.47291603886878952</c:v>
                </c:pt>
                <c:pt idx="281">
                  <c:v>0.47290991526477599</c:v>
                </c:pt>
                <c:pt idx="282">
                  <c:v>0.47290394947350384</c:v>
                </c:pt>
                <c:pt idx="283">
                  <c:v>0.47289813742603276</c:v>
                </c:pt>
                <c:pt idx="284">
                  <c:v>0.47289247515843058</c:v>
                </c:pt>
                <c:pt idx="285">
                  <c:v>0.47288695880905851</c:v>
                </c:pt>
                <c:pt idx="286">
                  <c:v>0.47288158461592639</c:v>
                </c:pt>
                <c:pt idx="287">
                  <c:v>0.47287634891411717</c:v>
                </c:pt>
                <c:pt idx="288">
                  <c:v>0.47287124813327758</c:v>
                </c:pt>
                <c:pt idx="289">
                  <c:v>0.47286627879517423</c:v>
                </c:pt>
                <c:pt idx="290">
                  <c:v>0.47286143751131293</c:v>
                </c:pt>
                <c:pt idx="291">
                  <c:v>0.47285672098061998</c:v>
                </c:pt>
                <c:pt idx="292">
                  <c:v>0.47285212598718307</c:v>
                </c:pt>
                <c:pt idx="293">
                  <c:v>0.47284764939805118</c:v>
                </c:pt>
                <c:pt idx="294">
                  <c:v>0.47284328816109139</c:v>
                </c:pt>
                <c:pt idx="295">
                  <c:v>0.47283903930290083</c:v>
                </c:pt>
                <c:pt idx="296">
                  <c:v>0.47283489992677363</c:v>
                </c:pt>
                <c:pt idx="297">
                  <c:v>0.47283086721071932</c:v>
                </c:pt>
                <c:pt idx="298">
                  <c:v>0.47282693840553325</c:v>
                </c:pt>
                <c:pt idx="299">
                  <c:v>0.47282311083291761</c:v>
                </c:pt>
                <c:pt idx="300">
                  <c:v>0.47281938188364919</c:v>
                </c:pt>
                <c:pt idx="301">
                  <c:v>0.47281574901579682</c:v>
                </c:pt>
                <c:pt idx="302">
                  <c:v>0.47281220975298321</c:v>
                </c:pt>
                <c:pt idx="303">
                  <c:v>0.47280876168269276</c:v>
                </c:pt>
                <c:pt idx="304">
                  <c:v>0.4728054024546226</c:v>
                </c:pt>
                <c:pt idx="305">
                  <c:v>0.47280212977907682</c:v>
                </c:pt>
                <c:pt idx="306">
                  <c:v>0.47279894142540185</c:v>
                </c:pt>
                <c:pt idx="307">
                  <c:v>0.4727958352204622</c:v>
                </c:pt>
                <c:pt idx="308">
                  <c:v>0.47279280904715609</c:v>
                </c:pt>
                <c:pt idx="309">
                  <c:v>0.47278986084296937</c:v>
                </c:pt>
                <c:pt idx="310">
                  <c:v>0.4727869885985661</c:v>
                </c:pt>
                <c:pt idx="311">
                  <c:v>0.47278419035641683</c:v>
                </c:pt>
                <c:pt idx="312">
                  <c:v>0.47278146420946138</c:v>
                </c:pt>
                <c:pt idx="313">
                  <c:v>0.4727788082998064</c:v>
                </c:pt>
                <c:pt idx="314">
                  <c:v>0.47277622081745668</c:v>
                </c:pt>
                <c:pt idx="315">
                  <c:v>0.47277369999907959</c:v>
                </c:pt>
                <c:pt idx="316">
                  <c:v>0.47277124412680077</c:v>
                </c:pt>
                <c:pt idx="317">
                  <c:v>0.47276885152703141</c:v>
                </c:pt>
                <c:pt idx="318">
                  <c:v>0.47276652056932578</c:v>
                </c:pt>
                <c:pt idx="319">
                  <c:v>0.47276424966526809</c:v>
                </c:pt>
                <c:pt idx="320">
                  <c:v>0.47276203726738836</c:v>
                </c:pt>
                <c:pt idx="321">
                  <c:v>0.47275988186810597</c:v>
                </c:pt>
                <c:pt idx="322">
                  <c:v>0.47275778199870117</c:v>
                </c:pt>
                <c:pt idx="323">
                  <c:v>0.47275573622831202</c:v>
                </c:pt>
                <c:pt idx="324">
                  <c:v>0.47275374316295843</c:v>
                </c:pt>
                <c:pt idx="325">
                  <c:v>0.47275180144459072</c:v>
                </c:pt>
                <c:pt idx="326">
                  <c:v>0.4727499097501629</c:v>
                </c:pt>
                <c:pt idx="327">
                  <c:v>0.47274806679072995</c:v>
                </c:pt>
                <c:pt idx="328">
                  <c:v>0.47274627131056834</c:v>
                </c:pt>
                <c:pt idx="329">
                  <c:v>0.47274452208631901</c:v>
                </c:pt>
                <c:pt idx="330">
                  <c:v>0.47274281792615336</c:v>
                </c:pt>
                <c:pt idx="331">
                  <c:v>0.47274115766895958</c:v>
                </c:pt>
                <c:pt idx="332">
                  <c:v>0.4727395401835508</c:v>
                </c:pt>
                <c:pt idx="333">
                  <c:v>0.47273796436789339</c:v>
                </c:pt>
                <c:pt idx="334">
                  <c:v>0.47273642914835534</c:v>
                </c:pt>
                <c:pt idx="335">
                  <c:v>0.47273493347897372</c:v>
                </c:pt>
                <c:pt idx="336">
                  <c:v>0.47273347634074142</c:v>
                </c:pt>
                <c:pt idx="337">
                  <c:v>0.47273205674091218</c:v>
                </c:pt>
                <c:pt idx="338">
                  <c:v>0.4727306737123233</c:v>
                </c:pt>
                <c:pt idx="339">
                  <c:v>0.47272932631273634</c:v>
                </c:pt>
                <c:pt idx="340">
                  <c:v>0.47272801362419414</c:v>
                </c:pt>
                <c:pt idx="341">
                  <c:v>0.47272673475239529</c:v>
                </c:pt>
                <c:pt idx="342">
                  <c:v>0.47272548882608373</c:v>
                </c:pt>
                <c:pt idx="343">
                  <c:v>0.47272427499645536</c:v>
                </c:pt>
                <c:pt idx="344">
                  <c:v>0.47272309243657845</c:v>
                </c:pt>
                <c:pt idx="345">
                  <c:v>0.47272194034083032</c:v>
                </c:pt>
                <c:pt idx="346">
                  <c:v>0.47272081792434806</c:v>
                </c:pt>
                <c:pt idx="347">
                  <c:v>0.47271972442249294</c:v>
                </c:pt>
                <c:pt idx="348">
                  <c:v>0.47271865909032945</c:v>
                </c:pt>
                <c:pt idx="349">
                  <c:v>0.47271762120211741</c:v>
                </c:pt>
                <c:pt idx="350">
                  <c:v>0.47271661005081711</c:v>
                </c:pt>
                <c:pt idx="351">
                  <c:v>0.47271562494760716</c:v>
                </c:pt>
                <c:pt idx="352">
                  <c:v>0.4727146652214152</c:v>
                </c:pt>
                <c:pt idx="353">
                  <c:v>0.47271373021846003</c:v>
                </c:pt>
                <c:pt idx="354">
                  <c:v>0.47271281930180636</c:v>
                </c:pt>
                <c:pt idx="355">
                  <c:v>0.47271193185093019</c:v>
                </c:pt>
                <c:pt idx="356">
                  <c:v>0.4727110672612963</c:v>
                </c:pt>
                <c:pt idx="357">
                  <c:v>0.47271022494394577</c:v>
                </c:pt>
                <c:pt idx="358">
                  <c:v>0.47270940432509473</c:v>
                </c:pt>
                <c:pt idx="359">
                  <c:v>0.47270860484574317</c:v>
                </c:pt>
                <c:pt idx="360">
                  <c:v>0.4727078259612939</c:v>
                </c:pt>
                <c:pt idx="361">
                  <c:v>0.47270706714118171</c:v>
                </c:pt>
                <c:pt idx="362">
                  <c:v>0.47270632786851108</c:v>
                </c:pt>
                <c:pt idx="363">
                  <c:v>0.47270560763970454</c:v>
                </c:pt>
                <c:pt idx="364">
                  <c:v>0.47270490596415904</c:v>
                </c:pt>
                <c:pt idx="365">
                  <c:v>0.4727042223639118</c:v>
                </c:pt>
                <c:pt idx="366">
                  <c:v>0.47270355637331457</c:v>
                </c:pt>
                <c:pt idx="367">
                  <c:v>0.47270290753871602</c:v>
                </c:pt>
                <c:pt idx="368">
                  <c:v>0.47270227541815296</c:v>
                </c:pt>
                <c:pt idx="369">
                  <c:v>0.47270165958104887</c:v>
                </c:pt>
                <c:pt idx="370">
                  <c:v>0.47270105960792058</c:v>
                </c:pt>
                <c:pt idx="371">
                  <c:v>0.47270047509009244</c:v>
                </c:pt>
                <c:pt idx="372">
                  <c:v>0.47269990562941777</c:v>
                </c:pt>
                <c:pt idx="373">
                  <c:v>0.4726993508380074</c:v>
                </c:pt>
                <c:pt idx="374">
                  <c:v>0.47269881033796574</c:v>
                </c:pt>
                <c:pt idx="375">
                  <c:v>0.47269828376113282</c:v>
                </c:pt>
                <c:pt idx="376">
                  <c:v>0.47269777074883379</c:v>
                </c:pt>
                <c:pt idx="377">
                  <c:v>0.47269727095163427</c:v>
                </c:pt>
                <c:pt idx="378">
                  <c:v>0.47269678402910237</c:v>
                </c:pt>
                <c:pt idx="379">
                  <c:v>0.47269630964957671</c:v>
                </c:pt>
                <c:pt idx="380">
                  <c:v>0.47269584748994037</c:v>
                </c:pt>
                <c:pt idx="381">
                  <c:v>0.47269539723540077</c:v>
                </c:pt>
                <c:pt idx="382">
                  <c:v>0.47269495857927524</c:v>
                </c:pt>
                <c:pt idx="383">
                  <c:v>0.47269453122278199</c:v>
                </c:pt>
                <c:pt idx="384">
                  <c:v>0.47269411487483642</c:v>
                </c:pt>
                <c:pt idx="385">
                  <c:v>0.47269370925185311</c:v>
                </c:pt>
                <c:pt idx="386">
                  <c:v>0.47269331407755233</c:v>
                </c:pt>
                <c:pt idx="387">
                  <c:v>0.47269292908277177</c:v>
                </c:pt>
                <c:pt idx="388">
                  <c:v>0.47269255400528354</c:v>
                </c:pt>
                <c:pt idx="389">
                  <c:v>0.47269218858961493</c:v>
                </c:pt>
                <c:pt idx="390">
                  <c:v>0.47269183258687503</c:v>
                </c:pt>
                <c:pt idx="391">
                  <c:v>0.47269148575458436</c:v>
                </c:pt>
                <c:pt idx="392">
                  <c:v>0.47269114785651056</c:v>
                </c:pt>
                <c:pt idx="393">
                  <c:v>0.47269081866250662</c:v>
                </c:pt>
                <c:pt idx="394">
                  <c:v>0.4726904979483546</c:v>
                </c:pt>
                <c:pt idx="395">
                  <c:v>0.47269018549561298</c:v>
                </c:pt>
                <c:pt idx="396">
                  <c:v>0.47268988109146715</c:v>
                </c:pt>
                <c:pt idx="397">
                  <c:v>0.47268958452858523</c:v>
                </c:pt>
                <c:pt idx="398">
                  <c:v>0.4726892956049763</c:v>
                </c:pt>
                <c:pt idx="399">
                  <c:v>0.472689014123853</c:v>
                </c:pt>
                <c:pt idx="400">
                  <c:v>0.47268873989349741</c:v>
                </c:pt>
                <c:pt idx="401">
                  <c:v>0.47268847272713066</c:v>
                </c:pt>
                <c:pt idx="402">
                  <c:v>0.47268821244278514</c:v>
                </c:pt>
                <c:pt idx="403">
                  <c:v>0.47268795886318121</c:v>
                </c:pt>
                <c:pt idx="404">
                  <c:v>0.47268771181560593</c:v>
                </c:pt>
                <c:pt idx="405">
                  <c:v>0.47268747113179566</c:v>
                </c:pt>
                <c:pt idx="406">
                  <c:v>0.47268723664782136</c:v>
                </c:pt>
                <c:pt idx="407">
                  <c:v>0.47268700820397686</c:v>
                </c:pt>
                <c:pt idx="408">
                  <c:v>0.47268678564467026</c:v>
                </c:pt>
                <c:pt idx="409">
                  <c:v>0.47268656881831755</c:v>
                </c:pt>
                <c:pt idx="410">
                  <c:v>0.47268635757724003</c:v>
                </c:pt>
                <c:pt idx="411">
                  <c:v>0.47268615177756285</c:v>
                </c:pt>
                <c:pt idx="412">
                  <c:v>0.47268595127911772</c:v>
                </c:pt>
                <c:pt idx="413">
                  <c:v>0.47268575594534701</c:v>
                </c:pt>
                <c:pt idx="414">
                  <c:v>0.47268556564321101</c:v>
                </c:pt>
                <c:pt idx="415">
                  <c:v>0.47268538024309698</c:v>
                </c:pt>
                <c:pt idx="416">
                  <c:v>0.47268519961873112</c:v>
                </c:pt>
                <c:pt idx="417">
                  <c:v>0.47268502364709247</c:v>
                </c:pt>
                <c:pt idx="418">
                  <c:v>0.47268485220832929</c:v>
                </c:pt>
                <c:pt idx="419">
                  <c:v>0.47268468518567697</c:v>
                </c:pt>
                <c:pt idx="420">
                  <c:v>0.4726845224653789</c:v>
                </c:pt>
                <c:pt idx="421">
                  <c:v>0.4726843639366089</c:v>
                </c:pt>
                <c:pt idx="422">
                  <c:v>0.47268420949139561</c:v>
                </c:pt>
                <c:pt idx="423">
                  <c:v>0.47268405902454907</c:v>
                </c:pt>
                <c:pt idx="424">
                  <c:v>0.47268391243358893</c:v>
                </c:pt>
                <c:pt idx="425">
                  <c:v>0.47268376961867492</c:v>
                </c:pt>
                <c:pt idx="426">
                  <c:v>0.47268363048253836</c:v>
                </c:pt>
                <c:pt idx="427">
                  <c:v>0.47268349493041656</c:v>
                </c:pt>
                <c:pt idx="428">
                  <c:v>0.47268336286998758</c:v>
                </c:pt>
                <c:pt idx="429">
                  <c:v>0.47268323421130776</c:v>
                </c:pt>
                <c:pt idx="430">
                  <c:v>0.47268310886675063</c:v>
                </c:pt>
                <c:pt idx="431">
                  <c:v>0.47268298675094661</c:v>
                </c:pt>
                <c:pt idx="432">
                  <c:v>0.47268286778072544</c:v>
                </c:pt>
                <c:pt idx="433">
                  <c:v>0.47268275187505926</c:v>
                </c:pt>
                <c:pt idx="434">
                  <c:v>0.47268263895500734</c:v>
                </c:pt>
                <c:pt idx="435">
                  <c:v>0.47268252894366269</c:v>
                </c:pt>
                <c:pt idx="436">
                  <c:v>0.4726824217660992</c:v>
                </c:pt>
                <c:pt idx="437">
                  <c:v>0.47268231734932092</c:v>
                </c:pt>
                <c:pt idx="438">
                  <c:v>0.47268221562221224</c:v>
                </c:pt>
                <c:pt idx="439">
                  <c:v>0.47268211651548947</c:v>
                </c:pt>
                <c:pt idx="440">
                  <c:v>0.47268201996165365</c:v>
                </c:pt>
                <c:pt idx="441">
                  <c:v>0.47268192589494451</c:v>
                </c:pt>
                <c:pt idx="442">
                  <c:v>0.47268183425129578</c:v>
                </c:pt>
                <c:pt idx="443">
                  <c:v>0.47268174496829141</c:v>
                </c:pt>
                <c:pt idx="444">
                  <c:v>0.4726816579851234</c:v>
                </c:pt>
                <c:pt idx="445">
                  <c:v>0.47268157324254995</c:v>
                </c:pt>
                <c:pt idx="446">
                  <c:v>0.47268149068285531</c:v>
                </c:pt>
                <c:pt idx="447">
                  <c:v>0.47268141024981031</c:v>
                </c:pt>
                <c:pt idx="448">
                  <c:v>0.47268133188863459</c:v>
                </c:pt>
                <c:pt idx="449">
                  <c:v>0.47268125554595863</c:v>
                </c:pt>
                <c:pt idx="450">
                  <c:v>0.47268118116978763</c:v>
                </c:pt>
                <c:pt idx="451">
                  <c:v>0.47268110870946634</c:v>
                </c:pt>
                <c:pt idx="452">
                  <c:v>0.47268103811564427</c:v>
                </c:pt>
                <c:pt idx="453">
                  <c:v>0.47268096934024206</c:v>
                </c:pt>
                <c:pt idx="454">
                  <c:v>0.47268090233641907</c:v>
                </c:pt>
                <c:pt idx="455">
                  <c:v>0.47268083705854103</c:v>
                </c:pt>
                <c:pt idx="456">
                  <c:v>0.47268077346214932</c:v>
                </c:pt>
                <c:pt idx="457">
                  <c:v>0.47268071150393037</c:v>
                </c:pt>
                <c:pt idx="458">
                  <c:v>0.47268065114168661</c:v>
                </c:pt>
                <c:pt idx="459">
                  <c:v>0.4726805923343072</c:v>
                </c:pt>
                <c:pt idx="460">
                  <c:v>0.47268053504174035</c:v>
                </c:pt>
                <c:pt idx="461">
                  <c:v>0.47268047922496603</c:v>
                </c:pt>
                <c:pt idx="462">
                  <c:v>0.47268042484596934</c:v>
                </c:pt>
                <c:pt idx="463">
                  <c:v>0.47268037186771461</c:v>
                </c:pt>
                <c:pt idx="464">
                  <c:v>0.47268032025411999</c:v>
                </c:pt>
                <c:pt idx="465">
                  <c:v>0.47268026997003337</c:v>
                </c:pt>
                <c:pt idx="466">
                  <c:v>0.47268022098120799</c:v>
                </c:pt>
                <c:pt idx="467">
                  <c:v>0.47268017325427919</c:v>
                </c:pt>
                <c:pt idx="468">
                  <c:v>0.47268012675674176</c:v>
                </c:pt>
                <c:pt idx="469">
                  <c:v>0.47268008145692803</c:v>
                </c:pt>
                <c:pt idx="470">
                  <c:v>0.47268003732398578</c:v>
                </c:pt>
                <c:pt idx="471">
                  <c:v>0.47267999432785762</c:v>
                </c:pt>
                <c:pt idx="472">
                  <c:v>0.47267995243926053</c:v>
                </c:pt>
                <c:pt idx="473">
                  <c:v>0.47267991162966555</c:v>
                </c:pt>
                <c:pt idx="474">
                  <c:v>0.4726798718712788</c:v>
                </c:pt>
                <c:pt idx="475">
                  <c:v>0.47267983313702228</c:v>
                </c:pt>
                <c:pt idx="476">
                  <c:v>0.47267979540051547</c:v>
                </c:pt>
                <c:pt idx="477">
                  <c:v>0.47267975863605743</c:v>
                </c:pt>
                <c:pt idx="478">
                  <c:v>0.47267972281860926</c:v>
                </c:pt>
                <c:pt idx="479">
                  <c:v>0.47267968792377696</c:v>
                </c:pt>
                <c:pt idx="480">
                  <c:v>0.47267965392779504</c:v>
                </c:pt>
              </c:numCache>
            </c:numRef>
          </c:val>
          <c:smooth val="0"/>
          <c:extLst>
            <c:ext xmlns:c16="http://schemas.microsoft.com/office/drawing/2014/chart" uri="{C3380CC4-5D6E-409C-BE32-E72D297353CC}">
              <c16:uniqueId val="{00000002-6155-4274-A35C-424ECAB274DC}"/>
            </c:ext>
          </c:extLst>
        </c:ser>
        <c:ser>
          <c:idx val="3"/>
          <c:order val="3"/>
          <c:tx>
            <c:strRef>
              <c:f>'[LVAD Section 3 model 05.09.2023.xlsm]OS Extrapolation'!$H$517</c:f>
              <c:strCache>
                <c:ptCount val="1"/>
                <c:pt idx="0">
                  <c:v>Loglog</c:v>
                </c:pt>
              </c:strCache>
            </c:strRef>
          </c:tx>
          <c:spPr>
            <a:ln w="28575" cap="rnd">
              <a:solidFill>
                <a:schemeClr val="accent4"/>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Extrapolation'!$H$518:$H$998</c:f>
              <c:numCache>
                <c:formatCode>General</c:formatCode>
                <c:ptCount val="481"/>
                <c:pt idx="0" formatCode="0">
                  <c:v>1</c:v>
                </c:pt>
                <c:pt idx="1">
                  <c:v>0.9651364312719003</c:v>
                </c:pt>
                <c:pt idx="2">
                  <c:v>0.94212803315190041</c:v>
                </c:pt>
                <c:pt idx="3">
                  <c:v>0.92268075325324173</c:v>
                </c:pt>
                <c:pt idx="4">
                  <c:v>0.90542310064975007</c:v>
                </c:pt>
                <c:pt idx="5">
                  <c:v>0.88973836036560205</c:v>
                </c:pt>
                <c:pt idx="6">
                  <c:v>0.87527440943663448</c:v>
                </c:pt>
                <c:pt idx="7">
                  <c:v>0.8618033022936602</c:v>
                </c:pt>
                <c:pt idx="8">
                  <c:v>0.84916539993506424</c:v>
                </c:pt>
                <c:pt idx="9">
                  <c:v>0.83724267881257153</c:v>
                </c:pt>
                <c:pt idx="10">
                  <c:v>0.82594435753243733</c:v>
                </c:pt>
                <c:pt idx="11">
                  <c:v>0.81519846658819972</c:v>
                </c:pt>
                <c:pt idx="12">
                  <c:v>0.8049465753671563</c:v>
                </c:pt>
                <c:pt idx="13">
                  <c:v>0.79514032383337008</c:v>
                </c:pt>
                <c:pt idx="14">
                  <c:v>0.7857390470092328</c:v>
                </c:pt>
                <c:pt idx="15">
                  <c:v>0.77670809284922737</c:v>
                </c:pt>
                <c:pt idx="16">
                  <c:v>0.76801759743133324</c:v>
                </c:pt>
                <c:pt idx="17">
                  <c:v>0.75964157175224578</c:v>
                </c:pt>
                <c:pt idx="18">
                  <c:v>0.75155720682972071</c:v>
                </c:pt>
                <c:pt idx="19">
                  <c:v>0.74374433547018537</c:v>
                </c:pt>
                <c:pt idx="20">
                  <c:v>0.73618500884934712</c:v>
                </c:pt>
                <c:pt idx="21">
                  <c:v>0.72886315880351393</c:v>
                </c:pt>
                <c:pt idx="22">
                  <c:v>0.72176432516399314</c:v>
                </c:pt>
                <c:pt idx="23">
                  <c:v>0.71487543317901336</c:v>
                </c:pt>
                <c:pt idx="24">
                  <c:v>0.70818461001761457</c:v>
                </c:pt>
                <c:pt idx="25">
                  <c:v>0.70168103213311916</c:v>
                </c:pt>
                <c:pt idx="26">
                  <c:v>0.69535479725833149</c:v>
                </c:pt>
                <c:pt idx="27">
                  <c:v>0.68919681625609308</c:v>
                </c:pt>
                <c:pt idx="28">
                  <c:v>0.68319872112001279</c:v>
                </c:pt>
                <c:pt idx="29">
                  <c:v>0.67735278622092221</c:v>
                </c:pt>
                <c:pt idx="30">
                  <c:v>0.67165186050027281</c:v>
                </c:pt>
                <c:pt idx="31">
                  <c:v>0.66608930877478989</c:v>
                </c:pt>
                <c:pt idx="32">
                  <c:v>0.66065896067439778</c:v>
                </c:pt>
                <c:pt idx="33">
                  <c:v>0.65535506601426763</c:v>
                </c:pt>
                <c:pt idx="34">
                  <c:v>0.6501722556211309</c:v>
                </c:pt>
                <c:pt idx="35">
                  <c:v>0.64510550680783108</c:v>
                </c:pt>
                <c:pt idx="36">
                  <c:v>0.64015011282894618</c:v>
                </c:pt>
                <c:pt idx="37">
                  <c:v>0.63530165576201814</c:v>
                </c:pt>
                <c:pt idx="38">
                  <c:v>0.63055598234938048</c:v>
                </c:pt>
                <c:pt idx="39">
                  <c:v>0.62590918240929116</c:v>
                </c:pt>
                <c:pt idx="40">
                  <c:v>0.62135756948549614</c:v>
                </c:pt>
                <c:pt idx="41">
                  <c:v>0.61689766345415653</c:v>
                </c:pt>
                <c:pt idx="42">
                  <c:v>0.6125261748483356</c:v>
                </c:pt>
                <c:pt idx="43">
                  <c:v>0.60823999069460899</c:v>
                </c:pt>
                <c:pt idx="44">
                  <c:v>0.60403616168511054</c:v>
                </c:pt>
                <c:pt idx="45">
                  <c:v>0.59991189053249183</c:v>
                </c:pt>
                <c:pt idx="46">
                  <c:v>0.59586452137566359</c:v>
                </c:pt>
                <c:pt idx="47">
                  <c:v>0.59189153012147133</c:v>
                </c:pt>
                <c:pt idx="48">
                  <c:v>0.58799051562215965</c:v>
                </c:pt>
                <c:pt idx="49">
                  <c:v>0.58415919160102647</c:v>
                </c:pt>
                <c:pt idx="50">
                  <c:v>0.58039537924943341</c:v>
                </c:pt>
                <c:pt idx="51">
                  <c:v>0.57669700042757455</c:v>
                </c:pt>
                <c:pt idx="52">
                  <c:v>0.57306207140938736</c:v>
                </c:pt>
                <c:pt idx="53">
                  <c:v>0.56948869711888694</c:v>
                </c:pt>
                <c:pt idx="54">
                  <c:v>0.56597506581118917</c:v>
                </c:pt>
                <c:pt idx="55">
                  <c:v>0.56251944415670141</c:v>
                </c:pt>
                <c:pt idx="56">
                  <c:v>0.55912017269149916</c:v>
                </c:pt>
                <c:pt idx="57">
                  <c:v>0.55577566160088765</c:v>
                </c:pt>
                <c:pt idx="58">
                  <c:v>0.55248438680662992</c:v>
                </c:pt>
                <c:pt idx="59">
                  <c:v>0.5492448863313929</c:v>
                </c:pt>
                <c:pt idx="60">
                  <c:v>0.54605575691665664</c:v>
                </c:pt>
                <c:pt idx="61">
                  <c:v>0.54291565087272708</c:v>
                </c:pt>
                <c:pt idx="62">
                  <c:v>0.5398232731415934</c:v>
                </c:pt>
                <c:pt idx="63">
                  <c:v>0.53677737855525021</c:v>
                </c:pt>
                <c:pt idx="64">
                  <c:v>0.53377676927376738</c:v>
                </c:pt>
                <c:pt idx="65">
                  <c:v>0.53082029238886752</c:v>
                </c:pt>
                <c:pt idx="66">
                  <c:v>0.52790683768010005</c:v>
                </c:pt>
                <c:pt idx="67">
                  <c:v>0.5250353355118752</c:v>
                </c:pt>
                <c:pt idx="68">
                  <c:v>0.52220475486068119</c:v>
                </c:pt>
                <c:pt idx="69">
                  <c:v>0.51941410146275868</c:v>
                </c:pt>
                <c:pt idx="70">
                  <c:v>0.51666241607335328</c:v>
                </c:pt>
                <c:pt idx="71">
                  <c:v>0.51394877282943707</c:v>
                </c:pt>
                <c:pt idx="72">
                  <c:v>0.51127227770848027</c:v>
                </c:pt>
                <c:pt idx="73">
                  <c:v>0.50863206707647579</c:v>
                </c:pt>
                <c:pt idx="74">
                  <c:v>0.50602730631898363</c:v>
                </c:pt>
                <c:pt idx="75">
                  <c:v>0.50345718854947352</c:v>
                </c:pt>
                <c:pt idx="76">
                  <c:v>0.50092093338970267</c:v>
                </c:pt>
                <c:pt idx="77">
                  <c:v>0.49841778581728835</c:v>
                </c:pt>
                <c:pt idx="78">
                  <c:v>0.49594701507601385</c:v>
                </c:pt>
                <c:pt idx="79">
                  <c:v>0.49350791364475416</c:v>
                </c:pt>
                <c:pt idx="80">
                  <c:v>0.49109979626122341</c:v>
                </c:pt>
                <c:pt idx="81">
                  <c:v>0.48872199899703378</c:v>
                </c:pt>
                <c:pt idx="82">
                  <c:v>0.48637387838081864</c:v>
                </c:pt>
                <c:pt idx="83">
                  <c:v>0.48405481056641336</c:v>
                </c:pt>
                <c:pt idx="84">
                  <c:v>0.48176419054330849</c:v>
                </c:pt>
                <c:pt idx="85">
                  <c:v>0.47950143138678897</c:v>
                </c:pt>
                <c:pt idx="86">
                  <c:v>0.47726596354536022</c:v>
                </c:pt>
                <c:pt idx="87">
                  <c:v>0.47505723416323076</c:v>
                </c:pt>
                <c:pt idx="88">
                  <c:v>0.47287470643577822</c:v>
                </c:pt>
                <c:pt idx="89">
                  <c:v>0.47071785899606622</c:v>
                </c:pt>
                <c:pt idx="90">
                  <c:v>0.46858618533061536</c:v>
                </c:pt>
                <c:pt idx="91">
                  <c:v>0.46647919322275178</c:v>
                </c:pt>
                <c:pt idx="92">
                  <c:v>0.4643964042219676</c:v>
                </c:pt>
                <c:pt idx="93">
                  <c:v>0.46233735313783392</c:v>
                </c:pt>
                <c:pt idx="94">
                  <c:v>0.46030158755710165</c:v>
                </c:pt>
                <c:pt idx="95">
                  <c:v>0.45828866738271362</c:v>
                </c:pt>
                <c:pt idx="96">
                  <c:v>0.45629816439353438</c:v>
                </c:pt>
                <c:pt idx="97">
                  <c:v>0.45432966182368006</c:v>
                </c:pt>
                <c:pt idx="98">
                  <c:v>0.45238275396039962</c:v>
                </c:pt>
                <c:pt idx="99">
                  <c:v>0.45045704575952794</c:v>
                </c:pt>
                <c:pt idx="100">
                  <c:v>0.44855215247758662</c:v>
                </c:pt>
                <c:pt idx="101">
                  <c:v>0.44666769931966921</c:v>
                </c:pt>
                <c:pt idx="102">
                  <c:v>0.44480332110229887</c:v>
                </c:pt>
                <c:pt idx="103">
                  <c:v>0.44295866193049327</c:v>
                </c:pt>
                <c:pt idx="104">
                  <c:v>0.44113337488832027</c:v>
                </c:pt>
                <c:pt idx="105">
                  <c:v>0.43932712174226779</c:v>
                </c:pt>
                <c:pt idx="106">
                  <c:v>0.43753957265679194</c:v>
                </c:pt>
                <c:pt idx="107">
                  <c:v>0.43577040592144423</c:v>
                </c:pt>
                <c:pt idx="108">
                  <c:v>0.4340193076890122</c:v>
                </c:pt>
                <c:pt idx="109">
                  <c:v>0.4322859717241419</c:v>
                </c:pt>
                <c:pt idx="110">
                  <c:v>0.43057009916193933</c:v>
                </c:pt>
                <c:pt idx="111">
                  <c:v>0.4288713982760749</c:v>
                </c:pt>
                <c:pt idx="112">
                  <c:v>0.42718958425594444</c:v>
                </c:pt>
                <c:pt idx="113">
                  <c:v>0.42552437899246315</c:v>
                </c:pt>
                <c:pt idx="114">
                  <c:v>0.42387551087209013</c:v>
                </c:pt>
                <c:pt idx="115">
                  <c:v>0.4222427145787076</c:v>
                </c:pt>
                <c:pt idx="116">
                  <c:v>0.42062573090299332</c:v>
                </c:pt>
                <c:pt idx="117">
                  <c:v>0.41902430655895018</c:v>
                </c:pt>
                <c:pt idx="118">
                  <c:v>0.41743819400726806</c:v>
                </c:pt>
                <c:pt idx="119">
                  <c:v>0.41586715128521612</c:v>
                </c:pt>
                <c:pt idx="120">
                  <c:v>0.41431094184277512</c:v>
                </c:pt>
                <c:pt idx="121">
                  <c:v>0.4127693343847369</c:v>
                </c:pt>
                <c:pt idx="122">
                  <c:v>0.41124210271851036</c:v>
                </c:pt>
                <c:pt idx="123">
                  <c:v>0.40972902560738772</c:v>
                </c:pt>
                <c:pt idx="124">
                  <c:v>0.40822988662903631</c:v>
                </c:pt>
                <c:pt idx="125">
                  <c:v>0.40674447403899461</c:v>
                </c:pt>
                <c:pt idx="126">
                  <c:v>0.40527258063895905</c:v>
                </c:pt>
                <c:pt idx="127">
                  <c:v>0.40381400364966252</c:v>
                </c:pt>
                <c:pt idx="128">
                  <c:v>0.40236854458815197</c:v>
                </c:pt>
                <c:pt idx="129">
                  <c:v>0.40093600914928323</c:v>
                </c:pt>
                <c:pt idx="130">
                  <c:v>0.39951620709126123</c:v>
                </c:pt>
                <c:pt idx="131">
                  <c:v>0.39810895212505848</c:v>
                </c:pt>
                <c:pt idx="132">
                  <c:v>0.39671406180755653</c:v>
                </c:pt>
                <c:pt idx="133">
                  <c:v>0.39533135743826053</c:v>
                </c:pt>
                <c:pt idx="134">
                  <c:v>0.39396066395944257</c:v>
                </c:pt>
                <c:pt idx="135">
                  <c:v>0.39260180985958032</c:v>
                </c:pt>
                <c:pt idx="136">
                  <c:v>0.39125462707995895</c:v>
                </c:pt>
                <c:pt idx="137">
                  <c:v>0.38991895092431417</c:v>
                </c:pt>
                <c:pt idx="138">
                  <c:v>0.38859461997139672</c:v>
                </c:pt>
                <c:pt idx="139">
                  <c:v>0.38728147599034723</c:v>
                </c:pt>
                <c:pt idx="140">
                  <c:v>0.38597936385877196</c:v>
                </c:pt>
                <c:pt idx="141">
                  <c:v>0.38468813148341791</c:v>
                </c:pt>
                <c:pt idx="142">
                  <c:v>0.38340762972334752</c:v>
                </c:pt>
                <c:pt idx="143">
                  <c:v>0.38213771231552096</c:v>
                </c:pt>
                <c:pt idx="144">
                  <c:v>0.38087823580269325</c:v>
                </c:pt>
                <c:pt idx="145">
                  <c:v>0.37962905946354314</c:v>
                </c:pt>
                <c:pt idx="146">
                  <c:v>0.37839004524494885</c:v>
                </c:pt>
                <c:pt idx="147">
                  <c:v>0.37716105769633468</c:v>
                </c:pt>
                <c:pt idx="148">
                  <c:v>0.37594196390600942</c:v>
                </c:pt>
                <c:pt idx="149">
                  <c:v>0.37473263343942875</c:v>
                </c:pt>
                <c:pt idx="150">
                  <c:v>0.37353293827930822</c:v>
                </c:pt>
                <c:pt idx="151">
                  <c:v>0.3723427527675236</c:v>
                </c:pt>
                <c:pt idx="152">
                  <c:v>0.37116195354873355</c:v>
                </c:pt>
                <c:pt idx="153">
                  <c:v>0.36999041951566425</c:v>
                </c:pt>
                <c:pt idx="154">
                  <c:v>0.36882803175599727</c:v>
                </c:pt>
                <c:pt idx="155">
                  <c:v>0.36767467350080518</c:v>
                </c:pt>
                <c:pt idx="156">
                  <c:v>0.36653023007448066</c:v>
                </c:pt>
                <c:pt idx="157">
                  <c:v>0.36539458884610743</c:v>
                </c:pt>
                <c:pt idx="158">
                  <c:v>0.36426763918222493</c:v>
                </c:pt>
                <c:pt idx="159">
                  <c:v>0.36314927240093653</c:v>
                </c:pt>
                <c:pt idx="160">
                  <c:v>0.36203938172731864</c:v>
                </c:pt>
                <c:pt idx="161">
                  <c:v>0.3609378622500849</c:v>
                </c:pt>
                <c:pt idx="162">
                  <c:v>0.35984461087946346</c:v>
                </c:pt>
                <c:pt idx="163">
                  <c:v>0.35875952630624841</c:v>
                </c:pt>
                <c:pt idx="164">
                  <c:v>0.35768250896198434</c:v>
                </c:pt>
                <c:pt idx="165">
                  <c:v>0.35661346098024832</c:v>
                </c:pt>
                <c:pt idx="166">
                  <c:v>0.35555228615899198</c:v>
                </c:pt>
                <c:pt idx="167">
                  <c:v>0.35449888992391076</c:v>
                </c:pt>
                <c:pt idx="168">
                  <c:v>0.35345317929280512</c:v>
                </c:pt>
                <c:pt idx="169">
                  <c:v>0.3524150628409029</c:v>
                </c:pt>
                <c:pt idx="170">
                  <c:v>0.35138445066711183</c:v>
                </c:pt>
                <c:pt idx="171">
                  <c:v>0.35036125436117227</c:v>
                </c:pt>
                <c:pt idx="172">
                  <c:v>0.34934538697168155</c:v>
                </c:pt>
                <c:pt idx="173">
                  <c:v>0.34833676297496269</c:v>
                </c:pt>
                <c:pt idx="174">
                  <c:v>0.34733529824475068</c:v>
                </c:pt>
                <c:pt idx="175">
                  <c:v>0.34634091002267087</c:v>
                </c:pt>
                <c:pt idx="176">
                  <c:v>0.34535351688948507</c:v>
                </c:pt>
                <c:pt idx="177">
                  <c:v>0.34437303873708086</c:v>
                </c:pt>
                <c:pt idx="178">
                  <c:v>0.34339939674118247</c:v>
                </c:pt>
                <c:pt idx="179">
                  <c:v>0.34243251333476005</c:v>
                </c:pt>
                <c:pt idx="180">
                  <c:v>0.34147231218211616</c:v>
                </c:pt>
                <c:pt idx="181">
                  <c:v>0.34051871815362994</c:v>
                </c:pt>
                <c:pt idx="182">
                  <c:v>0.33957165730113825</c:v>
                </c:pt>
                <c:pt idx="183">
                  <c:v>0.33863105683393391</c:v>
                </c:pt>
                <c:pt idx="184">
                  <c:v>0.33769684509536529</c:v>
                </c:pt>
                <c:pt idx="185">
                  <c:v>0.33676895154001585</c:v>
                </c:pt>
                <c:pt idx="186">
                  <c:v>0.33584730671144969</c:v>
                </c:pt>
                <c:pt idx="187">
                  <c:v>0.33493184222050443</c:v>
                </c:pt>
                <c:pt idx="188">
                  <c:v>0.33402249072411566</c:v>
                </c:pt>
                <c:pt idx="189">
                  <c:v>0.33311918590465894</c:v>
                </c:pt>
                <c:pt idx="190">
                  <c:v>0.33222186244979224</c:v>
                </c:pt>
                <c:pt idx="191">
                  <c:v>0.33133045603278566</c:v>
                </c:pt>
                <c:pt idx="192">
                  <c:v>0.33044490329332449</c:v>
                </c:pt>
                <c:pt idx="193">
                  <c:v>0.32956514181877139</c:v>
                </c:pt>
                <c:pt idx="194">
                  <c:v>0.3286911101258751</c:v>
                </c:pt>
                <c:pt idx="195">
                  <c:v>0.32782274764291314</c:v>
                </c:pt>
                <c:pt idx="196">
                  <c:v>0.32695999469225562</c:v>
                </c:pt>
                <c:pt idx="197">
                  <c:v>0.32610279247333929</c:v>
                </c:pt>
                <c:pt idx="198">
                  <c:v>0.3252510830460395</c:v>
                </c:pt>
                <c:pt idx="199">
                  <c:v>0.32440480931442955</c:v>
                </c:pt>
                <c:pt idx="200">
                  <c:v>0.32356391501091675</c:v>
                </c:pt>
                <c:pt idx="201">
                  <c:v>0.32272834468074402</c:v>
                </c:pt>
                <c:pt idx="202">
                  <c:v>0.32189804366684821</c:v>
                </c:pt>
                <c:pt idx="203">
                  <c:v>0.32107295809506475</c:v>
                </c:pt>
                <c:pt idx="204">
                  <c:v>0.32025303485966872</c:v>
                </c:pt>
                <c:pt idx="205">
                  <c:v>0.31943822160924429</c:v>
                </c:pt>
                <c:pt idx="206">
                  <c:v>0.31862846673287332</c:v>
                </c:pt>
                <c:pt idx="207">
                  <c:v>0.31782371934663373</c:v>
                </c:pt>
                <c:pt idx="208">
                  <c:v>0.3170239292804008</c:v>
                </c:pt>
                <c:pt idx="209">
                  <c:v>0.31622904706494231</c:v>
                </c:pt>
                <c:pt idx="210">
                  <c:v>0.3154390239192999</c:v>
                </c:pt>
                <c:pt idx="211">
                  <c:v>0.31465381173844936</c:v>
                </c:pt>
                <c:pt idx="212">
                  <c:v>0.31387336308123293</c:v>
                </c:pt>
                <c:pt idx="213">
                  <c:v>0.31309763115855521</c:v>
                </c:pt>
                <c:pt idx="214">
                  <c:v>0.31232656982183682</c:v>
                </c:pt>
                <c:pt idx="215">
                  <c:v>0.31156013355171963</c:v>
                </c:pt>
                <c:pt idx="216">
                  <c:v>0.31079827744701538</c:v>
                </c:pt>
                <c:pt idx="217">
                  <c:v>0.31004095721389313</c:v>
                </c:pt>
                <c:pt idx="218">
                  <c:v>0.30928812915529852</c:v>
                </c:pt>
                <c:pt idx="219">
                  <c:v>0.30853975016059887</c:v>
                </c:pt>
                <c:pt idx="220">
                  <c:v>0.30779577769544925</c:v>
                </c:pt>
                <c:pt idx="221">
                  <c:v>0.30705616979187317</c:v>
                </c:pt>
                <c:pt idx="222">
                  <c:v>0.30632088503855209</c:v>
                </c:pt>
                <c:pt idx="223">
                  <c:v>0.30558988257131992</c:v>
                </c:pt>
                <c:pt idx="224">
                  <c:v>0.30486312206385657</c:v>
                </c:pt>
                <c:pt idx="225">
                  <c:v>0.30414056371857451</c:v>
                </c:pt>
                <c:pt idx="226">
                  <c:v>0.30342216825769647</c:v>
                </c:pt>
                <c:pt idx="227">
                  <c:v>0.30270789691451599</c:v>
                </c:pt>
                <c:pt idx="228">
                  <c:v>0.30199771142483944</c:v>
                </c:pt>
                <c:pt idx="229">
                  <c:v>0.30129157401860313</c:v>
                </c:pt>
                <c:pt idx="230">
                  <c:v>0.30058944741166166</c:v>
                </c:pt>
                <c:pt idx="231">
                  <c:v>0.29989129479774435</c:v>
                </c:pt>
                <c:pt idx="232">
                  <c:v>0.29919707984057414</c:v>
                </c:pt>
                <c:pt idx="233">
                  <c:v>0.29850676666614623</c:v>
                </c:pt>
                <c:pt idx="234">
                  <c:v>0.29782031985516194</c:v>
                </c:pt>
                <c:pt idx="235">
                  <c:v>0.29713770443561455</c:v>
                </c:pt>
                <c:pt idx="236">
                  <c:v>0.29645888587552321</c:v>
                </c:pt>
                <c:pt idx="237">
                  <c:v>0.29578383007581183</c:v>
                </c:pt>
                <c:pt idx="238">
                  <c:v>0.29511250336332823</c:v>
                </c:pt>
                <c:pt idx="239">
                  <c:v>0.2944448724840027</c:v>
                </c:pt>
                <c:pt idx="240">
                  <c:v>0.29378090459614004</c:v>
                </c:pt>
                <c:pt idx="241">
                  <c:v>0.29312056726384333</c:v>
                </c:pt>
                <c:pt idx="242">
                  <c:v>0.29246382845056712</c:v>
                </c:pt>
                <c:pt idx="243">
                  <c:v>0.29181065651279453</c:v>
                </c:pt>
                <c:pt idx="244">
                  <c:v>0.29116102019383866</c:v>
                </c:pt>
                <c:pt idx="245">
                  <c:v>0.29051488861776231</c:v>
                </c:pt>
                <c:pt idx="246">
                  <c:v>0.28987223128341599</c:v>
                </c:pt>
                <c:pt idx="247">
                  <c:v>0.28923301805858947</c:v>
                </c:pt>
                <c:pt idx="248">
                  <c:v>0.28859721917427528</c:v>
                </c:pt>
                <c:pt idx="249">
                  <c:v>0.28796480521904183</c:v>
                </c:pt>
                <c:pt idx="250">
                  <c:v>0.28733574713351279</c:v>
                </c:pt>
                <c:pt idx="251">
                  <c:v>0.28671001620495123</c:v>
                </c:pt>
                <c:pt idx="252">
                  <c:v>0.28608758406194579</c:v>
                </c:pt>
                <c:pt idx="253">
                  <c:v>0.28546842266919614</c:v>
                </c:pt>
                <c:pt idx="254">
                  <c:v>0.2848525043223965</c:v>
                </c:pt>
                <c:pt idx="255">
                  <c:v>0.28423980164321466</c:v>
                </c:pt>
                <c:pt idx="256">
                  <c:v>0.28363028757436343</c:v>
                </c:pt>
                <c:pt idx="257">
                  <c:v>0.28302393537476417</c:v>
                </c:pt>
                <c:pt idx="258">
                  <c:v>0.28242071861479939</c:v>
                </c:pt>
                <c:pt idx="259">
                  <c:v>0.28182061117165202</c:v>
                </c:pt>
                <c:pt idx="260">
                  <c:v>0.28122358722473079</c:v>
                </c:pt>
                <c:pt idx="261">
                  <c:v>0.28062962125117874</c:v>
                </c:pt>
                <c:pt idx="262">
                  <c:v>0.28003868802146353</c:v>
                </c:pt>
                <c:pt idx="263">
                  <c:v>0.27945076259504764</c:v>
                </c:pt>
                <c:pt idx="264">
                  <c:v>0.27886582031613688</c:v>
                </c:pt>
                <c:pt idx="265">
                  <c:v>0.2782838368095053</c:v>
                </c:pt>
                <c:pt idx="266">
                  <c:v>0.27770478797639542</c:v>
                </c:pt>
                <c:pt idx="267">
                  <c:v>0.27712864999049119</c:v>
                </c:pt>
                <c:pt idx="268">
                  <c:v>0.27655539929396322</c:v>
                </c:pt>
                <c:pt idx="269">
                  <c:v>0.27598501259358421</c:v>
                </c:pt>
                <c:pt idx="270">
                  <c:v>0.27541746685691265</c:v>
                </c:pt>
                <c:pt idx="271">
                  <c:v>0.27485273930854465</c:v>
                </c:pt>
                <c:pt idx="272">
                  <c:v>0.2742908074264313</c:v>
                </c:pt>
                <c:pt idx="273">
                  <c:v>0.27373164893826035</c:v>
                </c:pt>
                <c:pt idx="274">
                  <c:v>0.27317524181790165</c:v>
                </c:pt>
                <c:pt idx="275">
                  <c:v>0.27262156428191386</c:v>
                </c:pt>
                <c:pt idx="276">
                  <c:v>0.27207059478611262</c:v>
                </c:pt>
                <c:pt idx="277">
                  <c:v>0.27152231202219718</c:v>
                </c:pt>
                <c:pt idx="278">
                  <c:v>0.27097669491443599</c:v>
                </c:pt>
                <c:pt idx="279">
                  <c:v>0.2704337226164088</c:v>
                </c:pt>
                <c:pt idx="280">
                  <c:v>0.26989337450780471</c:v>
                </c:pt>
                <c:pt idx="281">
                  <c:v>0.26935563019127484</c:v>
                </c:pt>
                <c:pt idx="282">
                  <c:v>0.26882046948933902</c:v>
                </c:pt>
                <c:pt idx="283">
                  <c:v>0.26828787244134433</c:v>
                </c:pt>
                <c:pt idx="284">
                  <c:v>0.26775781930047532</c:v>
                </c:pt>
                <c:pt idx="285">
                  <c:v>0.26723029053081493</c:v>
                </c:pt>
                <c:pt idx="286">
                  <c:v>0.26670526680445467</c:v>
                </c:pt>
                <c:pt idx="287">
                  <c:v>0.26618272899865292</c:v>
                </c:pt>
                <c:pt idx="288">
                  <c:v>0.26566265819304108</c:v>
                </c:pt>
                <c:pt idx="289">
                  <c:v>0.26514503566687625</c:v>
                </c:pt>
                <c:pt idx="290">
                  <c:v>0.26462984289633912</c:v>
                </c:pt>
                <c:pt idx="291">
                  <c:v>0.26411706155187714</c:v>
                </c:pt>
                <c:pt idx="292">
                  <c:v>0.26360667349559097</c:v>
                </c:pt>
                <c:pt idx="293">
                  <c:v>0.26309866077866439</c:v>
                </c:pt>
                <c:pt idx="294">
                  <c:v>0.26259300563883603</c:v>
                </c:pt>
                <c:pt idx="295">
                  <c:v>0.2620896904979127</c:v>
                </c:pt>
                <c:pt idx="296">
                  <c:v>0.26158869795932282</c:v>
                </c:pt>
                <c:pt idx="297">
                  <c:v>0.2610900108057102</c:v>
                </c:pt>
                <c:pt idx="298">
                  <c:v>0.26059361199656622</c:v>
                </c:pt>
                <c:pt idx="299">
                  <c:v>0.26009948466590066</c:v>
                </c:pt>
                <c:pt idx="300">
                  <c:v>0.25960761211994987</c:v>
                </c:pt>
                <c:pt idx="301">
                  <c:v>0.25911797783492163</c:v>
                </c:pt>
                <c:pt idx="302">
                  <c:v>0.25863056545477631</c:v>
                </c:pt>
                <c:pt idx="303">
                  <c:v>0.25814535878904343</c:v>
                </c:pt>
                <c:pt idx="304">
                  <c:v>0.25766234181067266</c:v>
                </c:pt>
                <c:pt idx="305">
                  <c:v>0.2571814986539192</c:v>
                </c:pt>
                <c:pt idx="306">
                  <c:v>0.25670281361226266</c:v>
                </c:pt>
                <c:pt idx="307">
                  <c:v>0.25622627113635837</c:v>
                </c:pt>
                <c:pt idx="308">
                  <c:v>0.25575185583202137</c:v>
                </c:pt>
                <c:pt idx="309">
                  <c:v>0.25527955245824174</c:v>
                </c:pt>
                <c:pt idx="310">
                  <c:v>0.25480934592523091</c:v>
                </c:pt>
                <c:pt idx="311">
                  <c:v>0.25434122129249864</c:v>
                </c:pt>
                <c:pt idx="312">
                  <c:v>0.25387516376695962</c:v>
                </c:pt>
                <c:pt idx="313">
                  <c:v>0.25341115870106967</c:v>
                </c:pt>
                <c:pt idx="314">
                  <c:v>0.2529491915909905</c:v>
                </c:pt>
                <c:pt idx="315">
                  <c:v>0.25248924807478296</c:v>
                </c:pt>
                <c:pt idx="316">
                  <c:v>0.252031313930628</c:v>
                </c:pt>
                <c:pt idx="317">
                  <c:v>0.2515753750750746</c:v>
                </c:pt>
                <c:pt idx="318">
                  <c:v>0.25112141756131484</c:v>
                </c:pt>
                <c:pt idx="319">
                  <c:v>0.25066942757748517</c:v>
                </c:pt>
                <c:pt idx="320">
                  <c:v>0.25021939144499333</c:v>
                </c:pt>
                <c:pt idx="321">
                  <c:v>0.24977129561687059</c:v>
                </c:pt>
                <c:pt idx="322">
                  <c:v>0.2493251266761492</c:v>
                </c:pt>
                <c:pt idx="323">
                  <c:v>0.24888087133426393</c:v>
                </c:pt>
                <c:pt idx="324">
                  <c:v>0.24843851642947742</c:v>
                </c:pt>
                <c:pt idx="325">
                  <c:v>0.24799804892533034</c:v>
                </c:pt>
                <c:pt idx="326">
                  <c:v>0.24755945590911277</c:v>
                </c:pt>
                <c:pt idx="327">
                  <c:v>0.24712272459035992</c:v>
                </c:pt>
                <c:pt idx="328">
                  <c:v>0.2466878422993696</c:v>
                </c:pt>
                <c:pt idx="329">
                  <c:v>0.24625479648574161</c:v>
                </c:pt>
                <c:pt idx="330">
                  <c:v>0.2458235747169388</c:v>
                </c:pt>
                <c:pt idx="331">
                  <c:v>0.24539416467686942</c:v>
                </c:pt>
                <c:pt idx="332">
                  <c:v>0.24496655416448995</c:v>
                </c:pt>
                <c:pt idx="333">
                  <c:v>0.24454073109242885</c:v>
                </c:pt>
                <c:pt idx="334">
                  <c:v>0.24411668348563034</c:v>
                </c:pt>
                <c:pt idx="335">
                  <c:v>0.24369439948001753</c:v>
                </c:pt>
                <c:pt idx="336">
                  <c:v>0.24327386732117542</c:v>
                </c:pt>
                <c:pt idx="337">
                  <c:v>0.24285507536305262</c:v>
                </c:pt>
                <c:pt idx="338">
                  <c:v>0.24243801206668239</c:v>
                </c:pt>
                <c:pt idx="339">
                  <c:v>0.24202266599892178</c:v>
                </c:pt>
                <c:pt idx="340">
                  <c:v>0.24160902583120838</c:v>
                </c:pt>
                <c:pt idx="341">
                  <c:v>0.2411970803383359</c:v>
                </c:pt>
                <c:pt idx="342">
                  <c:v>0.24078681839724675</c:v>
                </c:pt>
                <c:pt idx="343">
                  <c:v>0.24037822898584163</c:v>
                </c:pt>
                <c:pt idx="344">
                  <c:v>0.23997130118180646</c:v>
                </c:pt>
                <c:pt idx="345">
                  <c:v>0.23956602416145562</c:v>
                </c:pt>
                <c:pt idx="346">
                  <c:v>0.23916238719859192</c:v>
                </c:pt>
                <c:pt idx="347">
                  <c:v>0.23876037966338245</c:v>
                </c:pt>
                <c:pt idx="348">
                  <c:v>0.23835999102125008</c:v>
                </c:pt>
                <c:pt idx="349">
                  <c:v>0.23796121083178082</c:v>
                </c:pt>
                <c:pt idx="350">
                  <c:v>0.23756402874764659</c:v>
                </c:pt>
                <c:pt idx="351">
                  <c:v>0.2371684345135423</c:v>
                </c:pt>
                <c:pt idx="352">
                  <c:v>0.23677441796513882</c:v>
                </c:pt>
                <c:pt idx="353">
                  <c:v>0.23638196902804953</c:v>
                </c:pt>
                <c:pt idx="354">
                  <c:v>0.23599107771681202</c:v>
                </c:pt>
                <c:pt idx="355">
                  <c:v>0.23560173413388297</c:v>
                </c:pt>
                <c:pt idx="356">
                  <c:v>0.23521392846864761</c:v>
                </c:pt>
                <c:pt idx="357">
                  <c:v>0.23482765099644284</c:v>
                </c:pt>
                <c:pt idx="358">
                  <c:v>0.23444289207759289</c:v>
                </c:pt>
                <c:pt idx="359">
                  <c:v>0.2340596421564593</c:v>
                </c:pt>
                <c:pt idx="360">
                  <c:v>0.23367789176050308</c:v>
                </c:pt>
                <c:pt idx="361">
                  <c:v>0.23329763149935992</c:v>
                </c:pt>
                <c:pt idx="362">
                  <c:v>0.23291885206392796</c:v>
                </c:pt>
                <c:pt idx="363">
                  <c:v>0.23254154422546797</c:v>
                </c:pt>
                <c:pt idx="364">
                  <c:v>0.23216569883471561</c:v>
                </c:pt>
                <c:pt idx="365">
                  <c:v>0.23179130682100535</c:v>
                </c:pt>
                <c:pt idx="366">
                  <c:v>0.2314183591914071</c:v>
                </c:pt>
                <c:pt idx="367">
                  <c:v>0.2310468470298733</c:v>
                </c:pt>
                <c:pt idx="368">
                  <c:v>0.23067676149639799</c:v>
                </c:pt>
                <c:pt idx="369">
                  <c:v>0.23030809382618725</c:v>
                </c:pt>
                <c:pt idx="370">
                  <c:v>0.22994083532884049</c:v>
                </c:pt>
                <c:pt idx="371">
                  <c:v>0.22957497738754234</c:v>
                </c:pt>
                <c:pt idx="372">
                  <c:v>0.22921051145826568</c:v>
                </c:pt>
                <c:pt idx="373">
                  <c:v>0.22884742906898514</c:v>
                </c:pt>
                <c:pt idx="374">
                  <c:v>0.2284857218189007</c:v>
                </c:pt>
                <c:pt idx="375">
                  <c:v>0.22812538137767172</c:v>
                </c:pt>
                <c:pt idx="376">
                  <c:v>0.22776639948466096</c:v>
                </c:pt>
                <c:pt idx="377">
                  <c:v>0.22740876794818859</c:v>
                </c:pt>
                <c:pt idx="378">
                  <c:v>0.22705247864479589</c:v>
                </c:pt>
                <c:pt idx="379">
                  <c:v>0.22669752351851821</c:v>
                </c:pt>
                <c:pt idx="380">
                  <c:v>0.22634389458016807</c:v>
                </c:pt>
                <c:pt idx="381">
                  <c:v>0.22599158390662688</c:v>
                </c:pt>
                <c:pt idx="382">
                  <c:v>0.22564058364014641</c:v>
                </c:pt>
                <c:pt idx="383">
                  <c:v>0.22529088598765856</c:v>
                </c:pt>
                <c:pt idx="384">
                  <c:v>0.22494248322009477</c:v>
                </c:pt>
                <c:pt idx="385">
                  <c:v>0.22459536767171376</c:v>
                </c:pt>
                <c:pt idx="386">
                  <c:v>0.22424953173943771</c:v>
                </c:pt>
                <c:pt idx="387">
                  <c:v>0.22390496788219746</c:v>
                </c:pt>
                <c:pt idx="388">
                  <c:v>0.2235616686202857</c:v>
                </c:pt>
                <c:pt idx="389">
                  <c:v>0.22321962653471836</c:v>
                </c:pt>
                <c:pt idx="390">
                  <c:v>0.22287883426660415</c:v>
                </c:pt>
                <c:pt idx="391">
                  <c:v>0.22253928451652238</c:v>
                </c:pt>
                <c:pt idx="392">
                  <c:v>0.22220097004390821</c:v>
                </c:pt>
                <c:pt idx="393">
                  <c:v>0.22186388366644572</c:v>
                </c:pt>
                <c:pt idx="394">
                  <c:v>0.221528018259469</c:v>
                </c:pt>
                <c:pt idx="395">
                  <c:v>0.22119336675537038</c:v>
                </c:pt>
                <c:pt idx="396">
                  <c:v>0.22085992214301597</c:v>
                </c:pt>
                <c:pt idx="397">
                  <c:v>0.22052767746716889</c:v>
                </c:pt>
                <c:pt idx="398">
                  <c:v>0.22019662582791957</c:v>
                </c:pt>
                <c:pt idx="399">
                  <c:v>0.21986676038012284</c:v>
                </c:pt>
                <c:pt idx="400">
                  <c:v>0.21953807433284225</c:v>
                </c:pt>
                <c:pt idx="401">
                  <c:v>0.21921056094880129</c:v>
                </c:pt>
                <c:pt idx="402">
                  <c:v>0.21888421354384147</c:v>
                </c:pt>
                <c:pt idx="403">
                  <c:v>0.21855902548638662</c:v>
                </c:pt>
                <c:pt idx="404">
                  <c:v>0.21823499019691431</c:v>
                </c:pt>
                <c:pt idx="405">
                  <c:v>0.21791210114743345</c:v>
                </c:pt>
                <c:pt idx="406">
                  <c:v>0.21759035186096831</c:v>
                </c:pt>
                <c:pt idx="407">
                  <c:v>0.21726973591104914</c:v>
                </c:pt>
                <c:pt idx="408">
                  <c:v>0.21695024692120837</c:v>
                </c:pt>
                <c:pt idx="409">
                  <c:v>0.21663187856448354</c:v>
                </c:pt>
                <c:pt idx="410">
                  <c:v>0.21631462456292608</c:v>
                </c:pt>
                <c:pt idx="411">
                  <c:v>0.21599847868711572</c:v>
                </c:pt>
                <c:pt idx="412">
                  <c:v>0.21568343475568127</c:v>
                </c:pt>
                <c:pt idx="413">
                  <c:v>0.21536948663482683</c:v>
                </c:pt>
                <c:pt idx="414">
                  <c:v>0.21505662823786381</c:v>
                </c:pt>
                <c:pt idx="415">
                  <c:v>0.21474485352474842</c:v>
                </c:pt>
                <c:pt idx="416">
                  <c:v>0.21443415650162509</c:v>
                </c:pt>
                <c:pt idx="417">
                  <c:v>0.21412453122037478</c:v>
                </c:pt>
                <c:pt idx="418">
                  <c:v>0.21381597177816911</c:v>
                </c:pt>
                <c:pt idx="419">
                  <c:v>0.2135084723170296</c:v>
                </c:pt>
                <c:pt idx="420">
                  <c:v>0.21320202702339228</c:v>
                </c:pt>
                <c:pt idx="421">
                  <c:v>0.21289663012767707</c:v>
                </c:pt>
                <c:pt idx="422">
                  <c:v>0.2125922759038629</c:v>
                </c:pt>
                <c:pt idx="423">
                  <c:v>0.21228895866906733</c:v>
                </c:pt>
                <c:pt idx="424">
                  <c:v>0.21198667278313107</c:v>
                </c:pt>
                <c:pt idx="425">
                  <c:v>0.21168541264820784</c:v>
                </c:pt>
                <c:pt idx="426">
                  <c:v>0.21138517270835841</c:v>
                </c:pt>
                <c:pt idx="427">
                  <c:v>0.21108594744915021</c:v>
                </c:pt>
                <c:pt idx="428">
                  <c:v>0.21078773139726067</c:v>
                </c:pt>
                <c:pt idx="429">
                  <c:v>0.21049051912008579</c:v>
                </c:pt>
                <c:pt idx="430">
                  <c:v>0.21019430522535329</c:v>
                </c:pt>
                <c:pt idx="431">
                  <c:v>0.20989908436073954</c:v>
                </c:pt>
                <c:pt idx="432">
                  <c:v>0.20960485121349215</c:v>
                </c:pt>
                <c:pt idx="433">
                  <c:v>0.20931160051005546</c:v>
                </c:pt>
                <c:pt idx="434">
                  <c:v>0.20901932701570156</c:v>
                </c:pt>
                <c:pt idx="435">
                  <c:v>0.20872802553416475</c:v>
                </c:pt>
                <c:pt idx="436">
                  <c:v>0.20843769090728084</c:v>
                </c:pt>
                <c:pt idx="437">
                  <c:v>0.20814831801462991</c:v>
                </c:pt>
                <c:pt idx="438">
                  <c:v>0.20785990177318367</c:v>
                </c:pt>
                <c:pt idx="439">
                  <c:v>0.20757243713695656</c:v>
                </c:pt>
                <c:pt idx="440">
                  <c:v>0.20728591909666097</c:v>
                </c:pt>
                <c:pt idx="441">
                  <c:v>0.20700034267936604</c:v>
                </c:pt>
                <c:pt idx="442">
                  <c:v>0.20671570294816111</c:v>
                </c:pt>
                <c:pt idx="443">
                  <c:v>0.20643199500182188</c:v>
                </c:pt>
                <c:pt idx="444">
                  <c:v>0.20614921397448135</c:v>
                </c:pt>
                <c:pt idx="445">
                  <c:v>0.20586735503530368</c:v>
                </c:pt>
                <c:pt idx="446">
                  <c:v>0.2055864133881623</c:v>
                </c:pt>
                <c:pt idx="447">
                  <c:v>0.20530638427132109</c:v>
                </c:pt>
                <c:pt idx="448">
                  <c:v>0.20502726295711973</c:v>
                </c:pt>
                <c:pt idx="449">
                  <c:v>0.20474904475166203</c:v>
                </c:pt>
                <c:pt idx="450">
                  <c:v>0.20447172499450808</c:v>
                </c:pt>
                <c:pt idx="451">
                  <c:v>0.20419529905836942</c:v>
                </c:pt>
                <c:pt idx="452">
                  <c:v>0.20391976234880824</c:v>
                </c:pt>
                <c:pt idx="453">
                  <c:v>0.20364511030393914</c:v>
                </c:pt>
                <c:pt idx="454">
                  <c:v>0.20337133839413499</c:v>
                </c:pt>
                <c:pt idx="455">
                  <c:v>0.20309844212173517</c:v>
                </c:pt>
                <c:pt idx="456">
                  <c:v>0.20282641702075774</c:v>
                </c:pt>
                <c:pt idx="457">
                  <c:v>0.20255525865661445</c:v>
                </c:pt>
                <c:pt idx="458">
                  <c:v>0.20228496262582893</c:v>
                </c:pt>
                <c:pt idx="459">
                  <c:v>0.20201552455575772</c:v>
                </c:pt>
                <c:pt idx="460">
                  <c:v>0.20174694010431504</c:v>
                </c:pt>
                <c:pt idx="461">
                  <c:v>0.20147920495969962</c:v>
                </c:pt>
                <c:pt idx="462">
                  <c:v>0.20121231484012514</c:v>
                </c:pt>
                <c:pt idx="463">
                  <c:v>0.20094626549355374</c:v>
                </c:pt>
                <c:pt idx="464">
                  <c:v>0.20068105269743161</c:v>
                </c:pt>
                <c:pt idx="465">
                  <c:v>0.20041667225842813</c:v>
                </c:pt>
                <c:pt idx="466">
                  <c:v>0.20015312001217769</c:v>
                </c:pt>
                <c:pt idx="467">
                  <c:v>0.19989039182302432</c:v>
                </c:pt>
                <c:pt idx="468">
                  <c:v>0.19962848358376864</c:v>
                </c:pt>
                <c:pt idx="469">
                  <c:v>0.19936739121541813</c:v>
                </c:pt>
                <c:pt idx="470">
                  <c:v>0.19910711066693967</c:v>
                </c:pt>
                <c:pt idx="471">
                  <c:v>0.19884763791501495</c:v>
                </c:pt>
                <c:pt idx="472">
                  <c:v>0.19858896896379827</c:v>
                </c:pt>
                <c:pt idx="473">
                  <c:v>0.19833109984467717</c:v>
                </c:pt>
                <c:pt idx="474">
                  <c:v>0.19807402661603532</c:v>
                </c:pt>
                <c:pt idx="475">
                  <c:v>0.19781774536301813</c:v>
                </c:pt>
                <c:pt idx="476">
                  <c:v>0.19756225219730081</c:v>
                </c:pt>
                <c:pt idx="477">
                  <c:v>0.19730754325685881</c:v>
                </c:pt>
                <c:pt idx="478">
                  <c:v>0.19705361470574081</c:v>
                </c:pt>
                <c:pt idx="479">
                  <c:v>0.1968004627338438</c:v>
                </c:pt>
                <c:pt idx="480">
                  <c:v>0.19654808355669096</c:v>
                </c:pt>
              </c:numCache>
            </c:numRef>
          </c:val>
          <c:smooth val="0"/>
          <c:extLst>
            <c:ext xmlns:c16="http://schemas.microsoft.com/office/drawing/2014/chart" uri="{C3380CC4-5D6E-409C-BE32-E72D297353CC}">
              <c16:uniqueId val="{00000003-6155-4274-A35C-424ECAB274DC}"/>
            </c:ext>
          </c:extLst>
        </c:ser>
        <c:ser>
          <c:idx val="4"/>
          <c:order val="4"/>
          <c:tx>
            <c:strRef>
              <c:f>'[LVAD Section 3 model 05.09.2023.xlsm]OS Extrapolation'!$I$517</c:f>
              <c:strCache>
                <c:ptCount val="1"/>
                <c:pt idx="0">
                  <c:v>Weibull</c:v>
                </c:pt>
              </c:strCache>
            </c:strRef>
          </c:tx>
          <c:spPr>
            <a:ln w="28575" cap="rnd">
              <a:solidFill>
                <a:schemeClr val="accent5"/>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Extrapolation'!$I$518:$I$998</c:f>
              <c:numCache>
                <c:formatCode>General</c:formatCode>
                <c:ptCount val="481"/>
                <c:pt idx="0" formatCode="0">
                  <c:v>1</c:v>
                </c:pt>
                <c:pt idx="1">
                  <c:v>0.95781206219920945</c:v>
                </c:pt>
                <c:pt idx="2">
                  <c:v>0.93460185671528573</c:v>
                </c:pt>
                <c:pt idx="3">
                  <c:v>0.91573538244783892</c:v>
                </c:pt>
                <c:pt idx="4">
                  <c:v>0.89931081627093656</c:v>
                </c:pt>
                <c:pt idx="5">
                  <c:v>0.88453739378887852</c:v>
                </c:pt>
                <c:pt idx="6">
                  <c:v>0.87098910431826226</c:v>
                </c:pt>
                <c:pt idx="7">
                  <c:v>0.85840290787181495</c:v>
                </c:pt>
                <c:pt idx="8">
                  <c:v>0.846601820839184</c:v>
                </c:pt>
                <c:pt idx="9">
                  <c:v>0.8354594598616838</c:v>
                </c:pt>
                <c:pt idx="10">
                  <c:v>0.82488153392583152</c:v>
                </c:pt>
                <c:pt idx="11">
                  <c:v>0.81479528803182411</c:v>
                </c:pt>
                <c:pt idx="12">
                  <c:v>0.8051430665317697</c:v>
                </c:pt>
                <c:pt idx="13">
                  <c:v>0.79587817786970982</c:v>
                </c:pt>
                <c:pt idx="14">
                  <c:v>0.78696212364002194</c:v>
                </c:pt>
                <c:pt idx="15">
                  <c:v>0.77836267632235001</c:v>
                </c:pt>
                <c:pt idx="16">
                  <c:v>0.77005250640304568</c:v>
                </c:pt>
                <c:pt idx="17">
                  <c:v>0.76200817728472692</c:v>
                </c:pt>
                <c:pt idx="18">
                  <c:v>0.75420939358125016</c:v>
                </c:pt>
                <c:pt idx="19">
                  <c:v>0.74663842836879657</c:v>
                </c:pt>
                <c:pt idx="20">
                  <c:v>0.73927967959824747</c:v>
                </c:pt>
                <c:pt idx="21">
                  <c:v>0.73211932152942605</c:v>
                </c:pt>
                <c:pt idx="22">
                  <c:v>0.7251450272692217</c:v>
                </c:pt>
                <c:pt idx="23">
                  <c:v>0.71834574533075946</c:v>
                </c:pt>
                <c:pt idx="24">
                  <c:v>0.71171151780008457</c:v>
                </c:pt>
                <c:pt idx="25">
                  <c:v>0.70523333094832508</c:v>
                </c:pt>
                <c:pt idx="26">
                  <c:v>0.69890299143100176</c:v>
                </c:pt>
                <c:pt idx="27">
                  <c:v>0.69271302287423653</c:v>
                </c:pt>
                <c:pt idx="28">
                  <c:v>0.68665657885819342</c:v>
                </c:pt>
                <c:pt idx="29">
                  <c:v>0.6807273692036645</c:v>
                </c:pt>
                <c:pt idx="30">
                  <c:v>0.67491959713826599</c:v>
                </c:pt>
                <c:pt idx="31">
                  <c:v>0.66922790542641475</c:v>
                </c:pt>
                <c:pt idx="32">
                  <c:v>0.66364732993564746</c:v>
                </c:pt>
                <c:pt idx="33">
                  <c:v>0.65817325941178872</c:v>
                </c:pt>
                <c:pt idx="34">
                  <c:v>0.65280140046922919</c:v>
                </c:pt>
                <c:pt idx="35">
                  <c:v>0.64752774698622262</c:v>
                </c:pt>
                <c:pt idx="36">
                  <c:v>0.64234855324053952</c:v>
                </c:pt>
                <c:pt idx="37">
                  <c:v>0.63726031023682761</c:v>
                </c:pt>
                <c:pt idx="38">
                  <c:v>0.63225972477018144</c:v>
                </c:pt>
                <c:pt idx="39">
                  <c:v>0.62734370084573943</c:v>
                </c:pt>
                <c:pt idx="40">
                  <c:v>0.62250932313536356</c:v>
                </c:pt>
                <c:pt idx="41">
                  <c:v>0.61775384220254315</c:v>
                </c:pt>
                <c:pt idx="42">
                  <c:v>0.61307466126786514</c:v>
                </c:pt>
                <c:pt idx="43">
                  <c:v>0.60846932432142942</c:v>
                </c:pt>
                <c:pt idx="44">
                  <c:v>0.6039355054168809</c:v>
                </c:pt>
                <c:pt idx="45">
                  <c:v>0.59947099900531986</c:v>
                </c:pt>
                <c:pt idx="46">
                  <c:v>0.5950737111871427</c:v>
                </c:pt>
                <c:pt idx="47">
                  <c:v>0.59074165177650562</c:v>
                </c:pt>
                <c:pt idx="48">
                  <c:v>0.58647292708718313</c:v>
                </c:pt>
                <c:pt idx="49">
                  <c:v>0.5822657333605179</c:v>
                </c:pt>
                <c:pt idx="50">
                  <c:v>0.57811835076633111</c:v>
                </c:pt>
                <c:pt idx="51">
                  <c:v>0.57402913791633614</c:v>
                </c:pt>
                <c:pt idx="52">
                  <c:v>0.56999652683704471</c:v>
                </c:pt>
                <c:pt idx="53">
                  <c:v>0.56601901835555557</c:v>
                </c:pt>
                <c:pt idx="54">
                  <c:v>0.56209517785713248</c:v>
                </c:pt>
                <c:pt idx="55">
                  <c:v>0.55822363137826303</c:v>
                </c:pt>
                <c:pt idx="56">
                  <c:v>0.55440306200302503</c:v>
                </c:pt>
                <c:pt idx="57">
                  <c:v>0.55063220653420131</c:v>
                </c:pt>
                <c:pt idx="58">
                  <c:v>0.54690985241372236</c:v>
                </c:pt>
                <c:pt idx="59">
                  <c:v>0.54323483486977175</c:v>
                </c:pt>
                <c:pt idx="60">
                  <c:v>0.53960603427029941</c:v>
                </c:pt>
                <c:pt idx="61">
                  <c:v>0.5360223736648011</c:v>
                </c:pt>
                <c:pt idx="62">
                  <c:v>0.53248281649810014</c:v>
                </c:pt>
                <c:pt idx="63">
                  <c:v>0.52898636448149927</c:v>
                </c:pt>
                <c:pt idx="64">
                  <c:v>0.52553205560814031</c:v>
                </c:pt>
                <c:pt idx="65">
                  <c:v>0.52211896230069388</c:v>
                </c:pt>
                <c:pt idx="66">
                  <c:v>0.51874618968064701</c:v>
                </c:pt>
                <c:pt idx="67">
                  <c:v>0.51541287394947988</c:v>
                </c:pt>
                <c:pt idx="68">
                  <c:v>0.51211818087293004</c:v>
                </c:pt>
                <c:pt idx="69">
                  <c:v>0.50886130436035715</c:v>
                </c:pt>
                <c:pt idx="70">
                  <c:v>0.50564146513194086</c:v>
                </c:pt>
                <c:pt idx="71">
                  <c:v>0.50245790946710533</c:v>
                </c:pt>
                <c:pt idx="72">
                  <c:v>0.49930990802813918</c:v>
                </c:pt>
                <c:pt idx="73">
                  <c:v>0.49619675475350922</c:v>
                </c:pt>
                <c:pt idx="74">
                  <c:v>0.49311776581583783</c:v>
                </c:pt>
                <c:pt idx="75">
                  <c:v>0.4900722786399424</c:v>
                </c:pt>
                <c:pt idx="76">
                  <c:v>0.4870596509767135</c:v>
                </c:pt>
                <c:pt idx="77">
                  <c:v>0.48407926002896762</c:v>
                </c:pt>
                <c:pt idx="78">
                  <c:v>0.48113050162571358</c:v>
                </c:pt>
                <c:pt idx="79">
                  <c:v>0.47821278944156687</c:v>
                </c:pt>
                <c:pt idx="80">
                  <c:v>0.47532555425829959</c:v>
                </c:pt>
                <c:pt idx="81">
                  <c:v>0.47246824326575393</c:v>
                </c:pt>
                <c:pt idx="82">
                  <c:v>0.46964031939955903</c:v>
                </c:pt>
                <c:pt idx="83">
                  <c:v>0.46684126071328585</c:v>
                </c:pt>
                <c:pt idx="84">
                  <c:v>0.46407055978285888</c:v>
                </c:pt>
                <c:pt idx="85">
                  <c:v>0.46132772314119858</c:v>
                </c:pt>
                <c:pt idx="86">
                  <c:v>0.45861227074122562</c:v>
                </c:pt>
                <c:pt idx="87">
                  <c:v>0.45592373544548553</c:v>
                </c:pt>
                <c:pt idx="88">
                  <c:v>0.4532616625407892</c:v>
                </c:pt>
                <c:pt idx="89">
                  <c:v>0.45062560927636575</c:v>
                </c:pt>
                <c:pt idx="90">
                  <c:v>0.44801514442414159</c:v>
                </c:pt>
                <c:pt idx="91">
                  <c:v>0.44542984785984963</c:v>
                </c:pt>
                <c:pt idx="92">
                  <c:v>0.44286931016376424</c:v>
                </c:pt>
                <c:pt idx="93">
                  <c:v>0.4403331322399382</c:v>
                </c:pt>
                <c:pt idx="94">
                  <c:v>0.43782092495289338</c:v>
                </c:pt>
                <c:pt idx="95">
                  <c:v>0.43533230878079132</c:v>
                </c:pt>
                <c:pt idx="96">
                  <c:v>0.43286691348416712</c:v>
                </c:pt>
                <c:pt idx="97">
                  <c:v>0.43042437778937459</c:v>
                </c:pt>
                <c:pt idx="98">
                  <c:v>0.42800434908594448</c:v>
                </c:pt>
                <c:pt idx="99">
                  <c:v>0.4256064831371088</c:v>
                </c:pt>
                <c:pt idx="100">
                  <c:v>0.42323044380278851</c:v>
                </c:pt>
                <c:pt idx="101">
                  <c:v>0.4208759027743964</c:v>
                </c:pt>
                <c:pt idx="102">
                  <c:v>0.41854253932082713</c:v>
                </c:pt>
                <c:pt idx="103">
                  <c:v>0.41623004004506958</c:v>
                </c:pt>
                <c:pt idx="104">
                  <c:v>0.41393809865089137</c:v>
                </c:pt>
                <c:pt idx="105">
                  <c:v>0.41166641571908769</c:v>
                </c:pt>
                <c:pt idx="106">
                  <c:v>0.40941469849281542</c:v>
                </c:pt>
                <c:pt idx="107">
                  <c:v>0.40718266067156234</c:v>
                </c:pt>
                <c:pt idx="108">
                  <c:v>0.40497002221332423</c:v>
                </c:pt>
                <c:pt idx="109">
                  <c:v>0.40277650914459351</c:v>
                </c:pt>
                <c:pt idx="110">
                  <c:v>0.40060185337777826</c:v>
                </c:pt>
                <c:pt idx="111">
                  <c:v>0.39844579253570034</c:v>
                </c:pt>
                <c:pt idx="112">
                  <c:v>0.39630806978283273</c:v>
                </c:pt>
                <c:pt idx="113">
                  <c:v>0.39418843366296397</c:v>
                </c:pt>
                <c:pt idx="114">
                  <c:v>0.39208663794298737</c:v>
                </c:pt>
                <c:pt idx="115">
                  <c:v>0.39000244146253199</c:v>
                </c:pt>
                <c:pt idx="116">
                  <c:v>0.38793560798917121</c:v>
                </c:pt>
                <c:pt idx="117">
                  <c:v>0.3858859060789524</c:v>
                </c:pt>
                <c:pt idx="118">
                  <c:v>0.38385310894201158</c:v>
                </c:pt>
                <c:pt idx="119">
                  <c:v>0.38183699431304302</c:v>
                </c:pt>
                <c:pt idx="120">
                  <c:v>0.37983734432641231</c:v>
                </c:pt>
                <c:pt idx="121">
                  <c:v>0.37785394539570621</c:v>
                </c:pt>
                <c:pt idx="122">
                  <c:v>0.37588658809753123</c:v>
                </c:pt>
                <c:pt idx="123">
                  <c:v>0.37393506705937035</c:v>
                </c:pt>
                <c:pt idx="124">
                  <c:v>0.37199918085133121</c:v>
                </c:pt>
                <c:pt idx="125">
                  <c:v>0.37007873188161849</c:v>
                </c:pt>
                <c:pt idx="126">
                  <c:v>0.36817352629557082</c:v>
                </c:pt>
                <c:pt idx="127">
                  <c:v>0.36628337387811699</c:v>
                </c:pt>
                <c:pt idx="128">
                  <c:v>0.36440808795951002</c:v>
                </c:pt>
                <c:pt idx="129">
                  <c:v>0.36254748532419945</c:v>
                </c:pt>
                <c:pt idx="130">
                  <c:v>0.36070138612272196</c:v>
                </c:pt>
                <c:pt idx="131">
                  <c:v>0.35886961378647947</c:v>
                </c:pt>
                <c:pt idx="132">
                  <c:v>0.35705199494529521</c:v>
                </c:pt>
                <c:pt idx="133">
                  <c:v>0.35524835934763388</c:v>
                </c:pt>
                <c:pt idx="134">
                  <c:v>0.35345853978338226</c:v>
                </c:pt>
                <c:pt idx="135">
                  <c:v>0.35168237200908692</c:v>
                </c:pt>
                <c:pt idx="136">
                  <c:v>0.34991969467555845</c:v>
                </c:pt>
                <c:pt idx="137">
                  <c:v>0.34817034925774371</c:v>
                </c:pt>
                <c:pt idx="138">
                  <c:v>0.34643417998678538</c:v>
                </c:pt>
                <c:pt idx="139">
                  <c:v>0.34471103378418244</c:v>
                </c:pt>
                <c:pt idx="140">
                  <c:v>0.3430007601979706</c:v>
                </c:pt>
                <c:pt idx="141">
                  <c:v>0.34130321134085079</c:v>
                </c:pt>
                <c:pt idx="142">
                  <c:v>0.33961824183019124</c:v>
                </c:pt>
                <c:pt idx="143">
                  <c:v>0.33794570872982943</c:v>
                </c:pt>
                <c:pt idx="144">
                  <c:v>0.33628547149361576</c:v>
                </c:pt>
                <c:pt idx="145">
                  <c:v>0.33463739191063024</c:v>
                </c:pt>
                <c:pt idx="146">
                  <c:v>0.33300133405201016</c:v>
                </c:pt>
                <c:pt idx="147">
                  <c:v>0.33137716421933566</c:v>
                </c:pt>
                <c:pt idx="148">
                  <c:v>0.32976475089451379</c:v>
                </c:pt>
                <c:pt idx="149">
                  <c:v>0.32816396469110715</c:v>
                </c:pt>
                <c:pt idx="150">
                  <c:v>0.32657467830706083</c:v>
                </c:pt>
                <c:pt idx="151">
                  <c:v>0.32499676647877229</c:v>
                </c:pt>
                <c:pt idx="152">
                  <c:v>0.32343010593646249</c:v>
                </c:pt>
                <c:pt idx="153">
                  <c:v>0.32187457536080061</c:v>
                </c:pt>
                <c:pt idx="154">
                  <c:v>0.32033005534074016</c:v>
                </c:pt>
                <c:pt idx="155">
                  <c:v>0.31879642833252436</c:v>
                </c:pt>
                <c:pt idx="156">
                  <c:v>0.31727357861982231</c:v>
                </c:pt>
                <c:pt idx="157">
                  <c:v>0.31576139227495631</c:v>
                </c:pt>
                <c:pt idx="158">
                  <c:v>0.31425975712118498</c:v>
                </c:pt>
                <c:pt idx="159">
                  <c:v>0.31276856269600756</c:v>
                </c:pt>
                <c:pt idx="160">
                  <c:v>0.3112877002154521</c:v>
                </c:pt>
                <c:pt idx="161">
                  <c:v>0.3098170625393199</c:v>
                </c:pt>
                <c:pt idx="162">
                  <c:v>0.30835654413735281</c:v>
                </c:pt>
                <c:pt idx="163">
                  <c:v>0.30690604105629082</c:v>
                </c:pt>
                <c:pt idx="164">
                  <c:v>0.30546545088779742</c:v>
                </c:pt>
                <c:pt idx="165">
                  <c:v>0.3040346727372184</c:v>
                </c:pt>
                <c:pt idx="166">
                  <c:v>0.30261360719315072</c:v>
                </c:pt>
                <c:pt idx="167">
                  <c:v>0.3012021562977969</c:v>
                </c:pt>
                <c:pt idx="168">
                  <c:v>0.299800223518077</c:v>
                </c:pt>
                <c:pt idx="169">
                  <c:v>0.29840771371747588</c:v>
                </c:pt>
                <c:pt idx="170">
                  <c:v>0.29702453312860549</c:v>
                </c:pt>
                <c:pt idx="171">
                  <c:v>0.29565058932645488</c:v>
                </c:pt>
                <c:pt idx="172">
                  <c:v>0.2942857912023103</c:v>
                </c:pt>
                <c:pt idx="173">
                  <c:v>0.29293004893832469</c:v>
                </c:pt>
                <c:pt idx="174">
                  <c:v>0.29158327398271644</c:v>
                </c:pt>
                <c:pt idx="175">
                  <c:v>0.29024537902557629</c:v>
                </c:pt>
                <c:pt idx="176">
                  <c:v>0.2889162779752682</c:v>
                </c:pt>
                <c:pt idx="177">
                  <c:v>0.28759588593540208</c:v>
                </c:pt>
                <c:pt idx="178">
                  <c:v>0.28628411918236568</c:v>
                </c:pt>
                <c:pt idx="179">
                  <c:v>0.28498089514339475</c:v>
                </c:pt>
                <c:pt idx="180">
                  <c:v>0.28368613237516888</c:v>
                </c:pt>
                <c:pt idx="181">
                  <c:v>0.28239975054291622</c:v>
                </c:pt>
                <c:pt idx="182">
                  <c:v>0.28112167040001323</c:v>
                </c:pt>
                <c:pt idx="183">
                  <c:v>0.27985181376806234</c:v>
                </c:pt>
                <c:pt idx="184">
                  <c:v>0.2785901035174399</c:v>
                </c:pt>
                <c:pt idx="185">
                  <c:v>0.27733646354829228</c:v>
                </c:pt>
                <c:pt idx="186">
                  <c:v>0.27609081877197511</c:v>
                </c:pt>
                <c:pt idx="187">
                  <c:v>0.27485309509292011</c:v>
                </c:pt>
                <c:pt idx="188">
                  <c:v>0.27362321939091588</c:v>
                </c:pt>
                <c:pt idx="189">
                  <c:v>0.2724011195037927</c:v>
                </c:pt>
                <c:pt idx="190">
                  <c:v>0.27118672421050233</c:v>
                </c:pt>
                <c:pt idx="191">
                  <c:v>0.26997996321457601</c:v>
                </c:pt>
                <c:pt idx="192">
                  <c:v>0.26878076712795712</c:v>
                </c:pt>
                <c:pt idx="193">
                  <c:v>0.26758906745519201</c:v>
                </c:pt>
                <c:pt idx="194">
                  <c:v>0.26640479657797417</c:v>
                </c:pt>
                <c:pt idx="195">
                  <c:v>0.26522788774002887</c:v>
                </c:pt>
                <c:pt idx="196">
                  <c:v>0.26405827503233081</c:v>
                </c:pt>
                <c:pt idx="197">
                  <c:v>0.26289589337864389</c:v>
                </c:pt>
                <c:pt idx="198">
                  <c:v>0.26174067852137933</c:v>
                </c:pt>
                <c:pt idx="199">
                  <c:v>0.26059256700775546</c:v>
                </c:pt>
                <c:pt idx="200">
                  <c:v>0.25945149617625957</c:v>
                </c:pt>
                <c:pt idx="201">
                  <c:v>0.25831740414339854</c:v>
                </c:pt>
                <c:pt idx="202">
                  <c:v>0.2571902297907333</c:v>
                </c:pt>
                <c:pt idx="203">
                  <c:v>0.25606991275218804</c:v>
                </c:pt>
                <c:pt idx="204">
                  <c:v>0.2549563934016274</c:v>
                </c:pt>
                <c:pt idx="205">
                  <c:v>0.25384961284069635</c:v>
                </c:pt>
                <c:pt idx="206">
                  <c:v>0.25274951288691466</c:v>
                </c:pt>
                <c:pt idx="207">
                  <c:v>0.25165603606201831</c:v>
                </c:pt>
                <c:pt idx="208">
                  <c:v>0.25056912558054278</c:v>
                </c:pt>
                <c:pt idx="209">
                  <c:v>0.24948872533864463</c:v>
                </c:pt>
                <c:pt idx="210">
                  <c:v>0.24841477990314931</c:v>
                </c:pt>
                <c:pt idx="211">
                  <c:v>0.24734723450082602</c:v>
                </c:pt>
                <c:pt idx="212">
                  <c:v>0.24628603500787877</c:v>
                </c:pt>
                <c:pt idx="213">
                  <c:v>0.24523112793965171</c:v>
                </c:pt>
                <c:pt idx="214">
                  <c:v>0.24418246044054273</c:v>
                </c:pt>
                <c:pt idx="215">
                  <c:v>0.24313998027411651</c:v>
                </c:pt>
                <c:pt idx="216">
                  <c:v>0.24210363581341968</c:v>
                </c:pt>
                <c:pt idx="217">
                  <c:v>0.24107337603148674</c:v>
                </c:pt>
                <c:pt idx="218">
                  <c:v>0.2400491504920321</c:v>
                </c:pt>
                <c:pt idx="219">
                  <c:v>0.23903090934032883</c:v>
                </c:pt>
                <c:pt idx="220">
                  <c:v>0.23801860329426558</c:v>
                </c:pt>
                <c:pt idx="221">
                  <c:v>0.23701218363557772</c:v>
                </c:pt>
                <c:pt idx="222">
                  <c:v>0.236011602201249</c:v>
                </c:pt>
                <c:pt idx="223">
                  <c:v>0.2350168113750819</c:v>
                </c:pt>
                <c:pt idx="224">
                  <c:v>0.2340277640794283</c:v>
                </c:pt>
                <c:pt idx="225">
                  <c:v>0.23304441376707943</c:v>
                </c:pt>
                <c:pt idx="226">
                  <c:v>0.23206671441331267</c:v>
                </c:pt>
                <c:pt idx="227">
                  <c:v>0.23109462050808829</c:v>
                </c:pt>
                <c:pt idx="228">
                  <c:v>0.23012808704839402</c:v>
                </c:pt>
                <c:pt idx="229">
                  <c:v>0.22916706953073529</c:v>
                </c:pt>
                <c:pt idx="230">
                  <c:v>0.2282115239437662</c:v>
                </c:pt>
                <c:pt idx="231">
                  <c:v>0.22726140676105838</c:v>
                </c:pt>
                <c:pt idx="232">
                  <c:v>0.22631667493400462</c:v>
                </c:pt>
                <c:pt idx="233">
                  <c:v>0.22537728588485528</c:v>
                </c:pt>
                <c:pt idx="234">
                  <c:v>0.22444319749988129</c:v>
                </c:pt>
                <c:pt idx="235">
                  <c:v>0.22351436812266598</c:v>
                </c:pt>
                <c:pt idx="236">
                  <c:v>0.22259075654751745</c:v>
                </c:pt>
                <c:pt idx="237">
                  <c:v>0.22167232201300294</c:v>
                </c:pt>
                <c:pt idx="238">
                  <c:v>0.22075902419559942</c:v>
                </c:pt>
                <c:pt idx="239">
                  <c:v>0.21985082320346086</c:v>
                </c:pt>
                <c:pt idx="240">
                  <c:v>0.21894767957029632</c:v>
                </c:pt>
                <c:pt idx="241">
                  <c:v>0.21804955424935898</c:v>
                </c:pt>
                <c:pt idx="242">
                  <c:v>0.21715640860754315</c:v>
                </c:pt>
                <c:pt idx="243">
                  <c:v>0.21626820441958586</c:v>
                </c:pt>
                <c:pt idx="244">
                  <c:v>0.21538490386237058</c:v>
                </c:pt>
                <c:pt idx="245">
                  <c:v>0.21450646950933402</c:v>
                </c:pt>
                <c:pt idx="246">
                  <c:v>0.21363286432496947</c:v>
                </c:pt>
                <c:pt idx="247">
                  <c:v>0.21276405165942713</c:v>
                </c:pt>
                <c:pt idx="248">
                  <c:v>0.2118999952432094</c:v>
                </c:pt>
                <c:pt idx="249">
                  <c:v>0.21104065918195819</c:v>
                </c:pt>
                <c:pt idx="250">
                  <c:v>0.21018600795133149</c:v>
                </c:pt>
                <c:pt idx="251">
                  <c:v>0.209336006391971</c:v>
                </c:pt>
                <c:pt idx="252">
                  <c:v>0.20849061970455438</c:v>
                </c:pt>
                <c:pt idx="253">
                  <c:v>0.20764981344493266</c:v>
                </c:pt>
                <c:pt idx="254">
                  <c:v>0.20681355351935085</c:v>
                </c:pt>
                <c:pt idx="255">
                  <c:v>0.20598180617975081</c:v>
                </c:pt>
                <c:pt idx="256">
                  <c:v>0.20515453801915171</c:v>
                </c:pt>
                <c:pt idx="257">
                  <c:v>0.20433171596711089</c:v>
                </c:pt>
                <c:pt idx="258">
                  <c:v>0.20351330728525946</c:v>
                </c:pt>
                <c:pt idx="259">
                  <c:v>0.20269927956291264</c:v>
                </c:pt>
                <c:pt idx="260">
                  <c:v>0.20188960071275502</c:v>
                </c:pt>
                <c:pt idx="261">
                  <c:v>0.20108423896659569</c:v>
                </c:pt>
                <c:pt idx="262">
                  <c:v>0.20028316287119571</c:v>
                </c:pt>
                <c:pt idx="263">
                  <c:v>0.19948634128416187</c:v>
                </c:pt>
                <c:pt idx="264">
                  <c:v>0.19869374336991147</c:v>
                </c:pt>
                <c:pt idx="265">
                  <c:v>0.19790533859569928</c:v>
                </c:pt>
                <c:pt idx="266">
                  <c:v>0.19712109672771341</c:v>
                </c:pt>
                <c:pt idx="267">
                  <c:v>0.196340987827232</c:v>
                </c:pt>
                <c:pt idx="268">
                  <c:v>0.19556498224684304</c:v>
                </c:pt>
                <c:pt idx="269">
                  <c:v>0.19479305062672558</c:v>
                </c:pt>
                <c:pt idx="270">
                  <c:v>0.19402516389099042</c:v>
                </c:pt>
                <c:pt idx="271">
                  <c:v>0.19326129324408009</c:v>
                </c:pt>
                <c:pt idx="272">
                  <c:v>0.19250141016722577</c:v>
                </c:pt>
                <c:pt idx="273">
                  <c:v>0.19174548641496064</c:v>
                </c:pt>
                <c:pt idx="274">
                  <c:v>0.19099349401168961</c:v>
                </c:pt>
                <c:pt idx="275">
                  <c:v>0.19024540524831193</c:v>
                </c:pt>
                <c:pt idx="276">
                  <c:v>0.18950119267889837</c:v>
                </c:pt>
                <c:pt idx="277">
                  <c:v>0.18876082911741907</c:v>
                </c:pt>
                <c:pt idx="278">
                  <c:v>0.18802428763452506</c:v>
                </c:pt>
                <c:pt idx="279">
                  <c:v>0.18729154155437688</c:v>
                </c:pt>
                <c:pt idx="280">
                  <c:v>0.18656256445152536</c:v>
                </c:pt>
                <c:pt idx="281">
                  <c:v>0.18583733014783888</c:v>
                </c:pt>
                <c:pt idx="282">
                  <c:v>0.1851158127094788</c:v>
                </c:pt>
                <c:pt idx="283">
                  <c:v>0.18439798644392238</c:v>
                </c:pt>
                <c:pt idx="284">
                  <c:v>0.18368382589702897</c:v>
                </c:pt>
                <c:pt idx="285">
                  <c:v>0.18297330585015348</c:v>
                </c:pt>
                <c:pt idx="286">
                  <c:v>0.18226640131730296</c:v>
                </c:pt>
                <c:pt idx="287">
                  <c:v>0.18156308754233516</c:v>
                </c:pt>
                <c:pt idx="288">
                  <c:v>0.18086333999620277</c:v>
                </c:pt>
                <c:pt idx="289">
                  <c:v>0.18016713437423473</c:v>
                </c:pt>
                <c:pt idx="290">
                  <c:v>0.17947444659346279</c:v>
                </c:pt>
                <c:pt idx="291">
                  <c:v>0.17878525278998456</c:v>
                </c:pt>
                <c:pt idx="292">
                  <c:v>0.1780995293163693</c:v>
                </c:pt>
                <c:pt idx="293">
                  <c:v>0.17741725273909917</c:v>
                </c:pt>
                <c:pt idx="294">
                  <c:v>0.17673839983605086</c:v>
                </c:pt>
                <c:pt idx="295">
                  <c:v>0.17606294759401273</c:v>
                </c:pt>
                <c:pt idx="296">
                  <c:v>0.17539087320624064</c:v>
                </c:pt>
                <c:pt idx="297">
                  <c:v>0.17472215407004699</c:v>
                </c:pt>
                <c:pt idx="298">
                  <c:v>0.17405676778442794</c:v>
                </c:pt>
                <c:pt idx="299">
                  <c:v>0.1733946921477231</c:v>
                </c:pt>
                <c:pt idx="300">
                  <c:v>0.17273590515531051</c:v>
                </c:pt>
                <c:pt idx="301">
                  <c:v>0.17208038499733455</c:v>
                </c:pt>
                <c:pt idx="302">
                  <c:v>0.1714281100564666</c:v>
                </c:pt>
                <c:pt idx="303">
                  <c:v>0.17077905890569964</c:v>
                </c:pt>
                <c:pt idx="304">
                  <c:v>0.17013321030617121</c:v>
                </c:pt>
                <c:pt idx="305">
                  <c:v>0.1694905432050213</c:v>
                </c:pt>
                <c:pt idx="306">
                  <c:v>0.16885103673327823</c:v>
                </c:pt>
                <c:pt idx="307">
                  <c:v>0.16821467020377578</c:v>
                </c:pt>
                <c:pt idx="308">
                  <c:v>0.16758142310909999</c:v>
                </c:pt>
                <c:pt idx="309">
                  <c:v>0.16695127511956412</c:v>
                </c:pt>
                <c:pt idx="310">
                  <c:v>0.16632420608121368</c:v>
                </c:pt>
                <c:pt idx="311">
                  <c:v>0.16570019601385796</c:v>
                </c:pt>
                <c:pt idx="312">
                  <c:v>0.16507922510912987</c:v>
                </c:pt>
                <c:pt idx="313">
                  <c:v>0.16446127372857353</c:v>
                </c:pt>
                <c:pt idx="314">
                  <c:v>0.16384632240175742</c:v>
                </c:pt>
                <c:pt idx="315">
                  <c:v>0.1632343518244147</c:v>
                </c:pt>
                <c:pt idx="316">
                  <c:v>0.16262534285660829</c:v>
                </c:pt>
                <c:pt idx="317">
                  <c:v>0.16201927652092263</c:v>
                </c:pt>
                <c:pt idx="318">
                  <c:v>0.16141613400067908</c:v>
                </c:pt>
                <c:pt idx="319">
                  <c:v>0.16081589663817686</c:v>
                </c:pt>
                <c:pt idx="320">
                  <c:v>0.16021854593295712</c:v>
                </c:pt>
                <c:pt idx="321">
                  <c:v>0.15962406354009151</c:v>
                </c:pt>
                <c:pt idx="322">
                  <c:v>0.15903243126849415</c:v>
                </c:pt>
                <c:pt idx="323">
                  <c:v>0.15844363107925546</c:v>
                </c:pt>
                <c:pt idx="324">
                  <c:v>0.15785764508399966</c:v>
                </c:pt>
                <c:pt idx="325">
                  <c:v>0.15727445554326386</c:v>
                </c:pt>
                <c:pt idx="326">
                  <c:v>0.15669404486489907</c:v>
                </c:pt>
                <c:pt idx="327">
                  <c:v>0.15611639560249313</c:v>
                </c:pt>
                <c:pt idx="328">
                  <c:v>0.15554149045381369</c:v>
                </c:pt>
                <c:pt idx="329">
                  <c:v>0.15496931225927366</c:v>
                </c:pt>
                <c:pt idx="330">
                  <c:v>0.15439984400041451</c:v>
                </c:pt>
                <c:pt idx="331">
                  <c:v>0.15383306879841252</c:v>
                </c:pt>
                <c:pt idx="332">
                  <c:v>0.1532689699126033</c:v>
                </c:pt>
                <c:pt idx="333">
                  <c:v>0.15270753073902521</c:v>
                </c:pt>
                <c:pt idx="334">
                  <c:v>0.15214873480898367</c:v>
                </c:pt>
                <c:pt idx="335">
                  <c:v>0.15159256578763322</c:v>
                </c:pt>
                <c:pt idx="336">
                  <c:v>0.15103900747257704</c:v>
                </c:pt>
                <c:pt idx="337">
                  <c:v>0.15048804379248804</c:v>
                </c:pt>
                <c:pt idx="338">
                  <c:v>0.14993965880574375</c:v>
                </c:pt>
                <c:pt idx="339">
                  <c:v>0.14939383669908263</c:v>
                </c:pt>
                <c:pt idx="340">
                  <c:v>0.1488505617862747</c:v>
                </c:pt>
                <c:pt idx="341">
                  <c:v>0.14830981850681235</c:v>
                </c:pt>
                <c:pt idx="342">
                  <c:v>0.14777159142461496</c:v>
                </c:pt>
                <c:pt idx="343">
                  <c:v>0.14723586522675183</c:v>
                </c:pt>
                <c:pt idx="344">
                  <c:v>0.14670262472218207</c:v>
                </c:pt>
                <c:pt idx="345">
                  <c:v>0.14617185484050874</c:v>
                </c:pt>
                <c:pt idx="346">
                  <c:v>0.14564354063075066</c:v>
                </c:pt>
                <c:pt idx="347">
                  <c:v>0.1451176672601279</c:v>
                </c:pt>
                <c:pt idx="348">
                  <c:v>0.14459422001286446</c:v>
                </c:pt>
                <c:pt idx="349">
                  <c:v>0.14407318428900523</c:v>
                </c:pt>
                <c:pt idx="350">
                  <c:v>0.14355454560324793</c:v>
                </c:pt>
                <c:pt idx="351">
                  <c:v>0.14303828958378914</c:v>
                </c:pt>
                <c:pt idx="352">
                  <c:v>0.14252440197118646</c:v>
                </c:pt>
                <c:pt idx="353">
                  <c:v>0.14201286861723261</c:v>
                </c:pt>
                <c:pt idx="354">
                  <c:v>0.14150367548384554</c:v>
                </c:pt>
                <c:pt idx="355">
                  <c:v>0.14099680864197117</c:v>
                </c:pt>
                <c:pt idx="356">
                  <c:v>0.14049225427050041</c:v>
                </c:pt>
                <c:pt idx="357">
                  <c:v>0.13998999865519862</c:v>
                </c:pt>
                <c:pt idx="358">
                  <c:v>0.13949002818764925</c:v>
                </c:pt>
                <c:pt idx="359">
                  <c:v>0.13899232936421069</c:v>
                </c:pt>
                <c:pt idx="360">
                  <c:v>0.13849688878498384</c:v>
                </c:pt>
                <c:pt idx="361">
                  <c:v>0.13800369315279573</c:v>
                </c:pt>
                <c:pt idx="362">
                  <c:v>0.13751272927219155</c:v>
                </c:pt>
                <c:pt idx="363">
                  <c:v>0.1370239840484431</c:v>
                </c:pt>
                <c:pt idx="364">
                  <c:v>0.1365374444865653</c:v>
                </c:pt>
                <c:pt idx="365">
                  <c:v>0.13605309769034765</c:v>
                </c:pt>
                <c:pt idx="366">
                  <c:v>0.13557093086139607</c:v>
                </c:pt>
                <c:pt idx="367">
                  <c:v>0.13509093129818606</c:v>
                </c:pt>
                <c:pt idx="368">
                  <c:v>0.13461308639512809</c:v>
                </c:pt>
                <c:pt idx="369">
                  <c:v>0.13413738364164349</c:v>
                </c:pt>
                <c:pt idx="370">
                  <c:v>0.13366381062125121</c:v>
                </c:pt>
                <c:pt idx="371">
                  <c:v>0.13319235501066673</c:v>
                </c:pt>
                <c:pt idx="372">
                  <c:v>0.13272300457891034</c:v>
                </c:pt>
                <c:pt idx="373">
                  <c:v>0.13225574718642641</c:v>
                </c:pt>
                <c:pt idx="374">
                  <c:v>0.13179057078421391</c:v>
                </c:pt>
                <c:pt idx="375">
                  <c:v>0.13132746341296533</c:v>
                </c:pt>
                <c:pt idx="376">
                  <c:v>0.13086641320221759</c:v>
                </c:pt>
                <c:pt idx="377">
                  <c:v>0.13040740836951259</c:v>
                </c:pt>
                <c:pt idx="378">
                  <c:v>0.12995043721956615</c:v>
                </c:pt>
                <c:pt idx="379">
                  <c:v>0.12949548814344872</c:v>
                </c:pt>
                <c:pt idx="380">
                  <c:v>0.12904254961777414</c:v>
                </c:pt>
                <c:pt idx="381">
                  <c:v>0.12859161020389881</c:v>
                </c:pt>
                <c:pt idx="382">
                  <c:v>0.12814265854712903</c:v>
                </c:pt>
                <c:pt idx="383">
                  <c:v>0.12769568337593928</c:v>
                </c:pt>
                <c:pt idx="384">
                  <c:v>0.12725067350119701</c:v>
                </c:pt>
                <c:pt idx="385">
                  <c:v>0.12680761781539904</c:v>
                </c:pt>
                <c:pt idx="386">
                  <c:v>0.12636650529191559</c:v>
                </c:pt>
                <c:pt idx="387">
                  <c:v>0.12592732498424131</c:v>
                </c:pt>
                <c:pt idx="388">
                  <c:v>0.1254900660252585</c:v>
                </c:pt>
                <c:pt idx="389">
                  <c:v>0.12505471762650544</c:v>
                </c:pt>
                <c:pt idx="390">
                  <c:v>0.1246212690774542</c:v>
                </c:pt>
                <c:pt idx="391">
                  <c:v>0.12418970974479807</c:v>
                </c:pt>
                <c:pt idx="392">
                  <c:v>0.12376002907174445</c:v>
                </c:pt>
                <c:pt idx="393">
                  <c:v>0.12333221657731765</c:v>
                </c:pt>
                <c:pt idx="394">
                  <c:v>0.12290626185566858</c:v>
                </c:pt>
                <c:pt idx="395">
                  <c:v>0.12248215457539334</c:v>
                </c:pt>
                <c:pt idx="396">
                  <c:v>0.12205988447885809</c:v>
                </c:pt>
                <c:pt idx="397">
                  <c:v>0.12163944138153193</c:v>
                </c:pt>
                <c:pt idx="398">
                  <c:v>0.12122081517132831</c:v>
                </c:pt>
                <c:pt idx="399">
                  <c:v>0.12080399580795172</c:v>
                </c:pt>
                <c:pt idx="400">
                  <c:v>0.12038897332225396</c:v>
                </c:pt>
                <c:pt idx="401">
                  <c:v>0.1199757378155954</c:v>
                </c:pt>
                <c:pt idx="402">
                  <c:v>0.11956427945921497</c:v>
                </c:pt>
                <c:pt idx="403">
                  <c:v>0.11915458849360661</c:v>
                </c:pt>
                <c:pt idx="404">
                  <c:v>0.11874665522790129</c:v>
                </c:pt>
                <c:pt idx="405">
                  <c:v>0.11834047003925902</c:v>
                </c:pt>
                <c:pt idx="406">
                  <c:v>0.11793602337226293</c:v>
                </c:pt>
                <c:pt idx="407">
                  <c:v>0.117533305738325</c:v>
                </c:pt>
                <c:pt idx="408">
                  <c:v>0.11713230771509407</c:v>
                </c:pt>
                <c:pt idx="409">
                  <c:v>0.11673301994587301</c:v>
                </c:pt>
                <c:pt idx="410">
                  <c:v>0.11633543313904124</c:v>
                </c:pt>
                <c:pt idx="411">
                  <c:v>0.11593953806748289</c:v>
                </c:pt>
                <c:pt idx="412">
                  <c:v>0.11554532556802233</c:v>
                </c:pt>
                <c:pt idx="413">
                  <c:v>0.11515278654086553</c:v>
                </c:pt>
                <c:pt idx="414">
                  <c:v>0.11476191194904679</c:v>
                </c:pt>
                <c:pt idx="415">
                  <c:v>0.1143726928178815</c:v>
                </c:pt>
                <c:pt idx="416">
                  <c:v>0.11398512023442613</c:v>
                </c:pt>
                <c:pt idx="417">
                  <c:v>0.11359918534694205</c:v>
                </c:pt>
                <c:pt idx="418">
                  <c:v>0.11321487936436649</c:v>
                </c:pt>
                <c:pt idx="419">
                  <c:v>0.11283219355578861</c:v>
                </c:pt>
                <c:pt idx="420">
                  <c:v>0.11245111924993065</c:v>
                </c:pt>
                <c:pt idx="421">
                  <c:v>0.11207164783463607</c:v>
                </c:pt>
                <c:pt idx="422">
                  <c:v>0.11169377075636129</c:v>
                </c:pt>
                <c:pt idx="423">
                  <c:v>0.11131747951967463</c:v>
                </c:pt>
                <c:pt idx="424">
                  <c:v>0.11094276568675823</c:v>
                </c:pt>
                <c:pt idx="425">
                  <c:v>0.1105696208769178</c:v>
                </c:pt>
                <c:pt idx="426">
                  <c:v>0.11019803676609603</c:v>
                </c:pt>
                <c:pt idx="427">
                  <c:v>0.1098280050863909</c:v>
                </c:pt>
                <c:pt idx="428">
                  <c:v>0.10945951762557979</c:v>
                </c:pt>
                <c:pt idx="429">
                  <c:v>0.10909256622664805</c:v>
                </c:pt>
                <c:pt idx="430">
                  <c:v>0.10872714278732323</c:v>
                </c:pt>
                <c:pt idx="431">
                  <c:v>0.10836323925961305</c:v>
                </c:pt>
                <c:pt idx="432">
                  <c:v>0.10800084764934839</c:v>
                </c:pt>
                <c:pt idx="433">
                  <c:v>0.10763996001573276</c:v>
                </c:pt>
                <c:pt idx="434">
                  <c:v>0.10728056847089315</c:v>
                </c:pt>
                <c:pt idx="435">
                  <c:v>0.10692266517943874</c:v>
                </c:pt>
                <c:pt idx="436">
                  <c:v>0.10656624235802209</c:v>
                </c:pt>
                <c:pt idx="437">
                  <c:v>0.10621129227490547</c:v>
                </c:pt>
                <c:pt idx="438">
                  <c:v>0.10585780724953199</c:v>
                </c:pt>
                <c:pt idx="439">
                  <c:v>0.10550577965210065</c:v>
                </c:pt>
                <c:pt idx="440">
                  <c:v>0.10515520190314588</c:v>
                </c:pt>
                <c:pt idx="441">
                  <c:v>0.10480606647312098</c:v>
                </c:pt>
                <c:pt idx="442">
                  <c:v>0.10445836588198665</c:v>
                </c:pt>
                <c:pt idx="443">
                  <c:v>0.104112092698803</c:v>
                </c:pt>
                <c:pt idx="444">
                  <c:v>0.1037672395413258</c:v>
                </c:pt>
                <c:pt idx="445">
                  <c:v>0.10342379907560666</c:v>
                </c:pt>
                <c:pt idx="446">
                  <c:v>0.10308176401559803</c:v>
                </c:pt>
                <c:pt idx="447">
                  <c:v>0.10274112712276094</c:v>
                </c:pt>
                <c:pt idx="448">
                  <c:v>0.10240188120567807</c:v>
                </c:pt>
                <c:pt idx="449">
                  <c:v>0.10206401911966875</c:v>
                </c:pt>
                <c:pt idx="450">
                  <c:v>0.10172753376641068</c:v>
                </c:pt>
                <c:pt idx="451">
                  <c:v>0.10139241809356225</c:v>
                </c:pt>
                <c:pt idx="452">
                  <c:v>0.10105866509439072</c:v>
                </c:pt>
                <c:pt idx="453">
                  <c:v>0.10072626780740376</c:v>
                </c:pt>
                <c:pt idx="454">
                  <c:v>0.10039521931598386</c:v>
                </c:pt>
                <c:pt idx="455">
                  <c:v>0.10006551274802714</c:v>
                </c:pt>
                <c:pt idx="456">
                  <c:v>9.9737141275585153E-2</c:v>
                </c:pt>
                <c:pt idx="457">
                  <c:v>9.9410098114511444E-2</c:v>
                </c:pt>
                <c:pt idx="458">
                  <c:v>9.9084376524109272E-2</c:v>
                </c:pt>
                <c:pt idx="459">
                  <c:v>9.8759969806785253E-2</c:v>
                </c:pt>
                <c:pt idx="460">
                  <c:v>9.8436871307704676E-2</c:v>
                </c:pt>
                <c:pt idx="461">
                  <c:v>9.8115074414451636E-2</c:v>
                </c:pt>
                <c:pt idx="462">
                  <c:v>9.779457255669044E-2</c:v>
                </c:pt>
                <c:pt idx="463">
                  <c:v>9.747535920583271E-2</c:v>
                </c:pt>
                <c:pt idx="464">
                  <c:v>9.7157427874706048E-2</c:v>
                </c:pt>
                <c:pt idx="465">
                  <c:v>9.6840772117226512E-2</c:v>
                </c:pt>
                <c:pt idx="466">
                  <c:v>9.6525385528073909E-2</c:v>
                </c:pt>
                <c:pt idx="467">
                  <c:v>9.6211261742370879E-2</c:v>
                </c:pt>
                <c:pt idx="468">
                  <c:v>9.5898394435364784E-2</c:v>
                </c:pt>
                <c:pt idx="469">
                  <c:v>9.5586777322112085E-2</c:v>
                </c:pt>
                <c:pt idx="470">
                  <c:v>9.5276404157166317E-2</c:v>
                </c:pt>
                <c:pt idx="471">
                  <c:v>9.4967268734269514E-2</c:v>
                </c:pt>
                <c:pt idx="472">
                  <c:v>9.4659364886045094E-2</c:v>
                </c:pt>
                <c:pt idx="473">
                  <c:v>9.4352686483696116E-2</c:v>
                </c:pt>
                <c:pt idx="474">
                  <c:v>9.404722743670281E-2</c:v>
                </c:pt>
                <c:pt idx="475">
                  <c:v>9.37429816925274E-2</c:v>
                </c:pt>
                <c:pt idx="476">
                  <c:v>9.3439943236317435E-2</c:v>
                </c:pt>
                <c:pt idx="477">
                  <c:v>9.3138106090615583E-2</c:v>
                </c:pt>
                <c:pt idx="478">
                  <c:v>9.2837464315069257E-2</c:v>
                </c:pt>
                <c:pt idx="479">
                  <c:v>9.2538012006144657E-2</c:v>
                </c:pt>
                <c:pt idx="480">
                  <c:v>9.223974329684366E-2</c:v>
                </c:pt>
              </c:numCache>
            </c:numRef>
          </c:val>
          <c:smooth val="0"/>
          <c:extLst>
            <c:ext xmlns:c16="http://schemas.microsoft.com/office/drawing/2014/chart" uri="{C3380CC4-5D6E-409C-BE32-E72D297353CC}">
              <c16:uniqueId val="{00000004-6155-4274-A35C-424ECAB274DC}"/>
            </c:ext>
          </c:extLst>
        </c:ser>
        <c:ser>
          <c:idx val="5"/>
          <c:order val="5"/>
          <c:tx>
            <c:strRef>
              <c:f>'[LVAD Section 3 model 05.09.2023.xlsm]OS Extrapolation'!$J$517</c:f>
              <c:strCache>
                <c:ptCount val="1"/>
                <c:pt idx="0">
                  <c:v>Lognormal</c:v>
                </c:pt>
              </c:strCache>
            </c:strRef>
          </c:tx>
          <c:spPr>
            <a:ln w="28575" cap="rnd">
              <a:solidFill>
                <a:schemeClr val="accent6"/>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Extrapolation'!$J$518:$J$998</c:f>
              <c:numCache>
                <c:formatCode>0.000</c:formatCode>
                <c:ptCount val="481"/>
                <c:pt idx="0" formatCode="0">
                  <c:v>1</c:v>
                </c:pt>
                <c:pt idx="1">
                  <c:v>0.97575781610548873</c:v>
                </c:pt>
                <c:pt idx="2">
                  <c:v>0.95157918262601182</c:v>
                </c:pt>
                <c:pt idx="3">
                  <c:v>0.93021887523969715</c:v>
                </c:pt>
                <c:pt idx="4">
                  <c:v>0.91111062951258948</c:v>
                </c:pt>
                <c:pt idx="5">
                  <c:v>0.89379159251340934</c:v>
                </c:pt>
                <c:pt idx="6">
                  <c:v>0.87792713134007738</c:v>
                </c:pt>
                <c:pt idx="7">
                  <c:v>0.86327164159624381</c:v>
                </c:pt>
                <c:pt idx="8">
                  <c:v>0.84963978578694643</c:v>
                </c:pt>
                <c:pt idx="9">
                  <c:v>0.83688799309306561</c:v>
                </c:pt>
                <c:pt idx="10">
                  <c:v>0.82490250151385347</c:v>
                </c:pt>
                <c:pt idx="11">
                  <c:v>0.81359141761209652</c:v>
                </c:pt>
                <c:pt idx="12">
                  <c:v>0.80287928598590286</c:v>
                </c:pt>
                <c:pt idx="13">
                  <c:v>0.79270327125174112</c:v>
                </c:pt>
                <c:pt idx="14">
                  <c:v>0.78301040654152354</c:v>
                </c:pt>
                <c:pt idx="15">
                  <c:v>0.77375556674810486</c:v>
                </c:pt>
                <c:pt idx="16">
                  <c:v>0.76489994649269077</c:v>
                </c:pt>
                <c:pt idx="17">
                  <c:v>0.75640989739231546</c:v>
                </c:pt>
                <c:pt idx="18">
                  <c:v>0.7482560261811978</c:v>
                </c:pt>
                <c:pt idx="19">
                  <c:v>0.74041248557801032</c:v>
                </c:pt>
                <c:pt idx="20">
                  <c:v>0.73285640984627998</c:v>
                </c:pt>
                <c:pt idx="21">
                  <c:v>0.72556746053767707</c:v>
                </c:pt>
                <c:pt idx="22">
                  <c:v>0.71852745723168843</c:v>
                </c:pt>
                <c:pt idx="23">
                  <c:v>0.71172007461880182</c:v>
                </c:pt>
                <c:pt idx="24">
                  <c:v>0.70513059192729188</c:v>
                </c:pt>
                <c:pt idx="25">
                  <c:v>0.69874568405667903</c:v>
                </c:pt>
                <c:pt idx="26">
                  <c:v>0.69255324624477221</c:v>
                </c:pt>
                <c:pt idx="27">
                  <c:v>0.68654224592302171</c:v>
                </c:pt>
                <c:pt idx="28">
                  <c:v>0.6807025967865945</c:v>
                </c:pt>
                <c:pt idx="29">
                  <c:v>0.67502505114605615</c:v>
                </c:pt>
                <c:pt idx="30">
                  <c:v>0.66950110742461555</c:v>
                </c:pt>
                <c:pt idx="31">
                  <c:v>0.66412293028117619</c:v>
                </c:pt>
                <c:pt idx="32">
                  <c:v>0.65888328132006047</c:v>
                </c:pt>
                <c:pt idx="33">
                  <c:v>0.65377545872611931</c:v>
                </c:pt>
                <c:pt idx="34">
                  <c:v>0.64879324446323916</c:v>
                </c:pt>
                <c:pt idx="35">
                  <c:v>0.64393085791301763</c:v>
                </c:pt>
                <c:pt idx="36">
                  <c:v>0.63918291502212377</c:v>
                </c:pt>
                <c:pt idx="37">
                  <c:v>0.63454439218180414</c:v>
                </c:pt>
                <c:pt idx="38">
                  <c:v>0.63001059418895367</c:v>
                </c:pt>
                <c:pt idx="39">
                  <c:v>0.62557712574114333</c:v>
                </c:pt>
                <c:pt idx="40">
                  <c:v>0.62123986600260739</c:v>
                </c:pt>
                <c:pt idx="41">
                  <c:v>0.616994945848091</c:v>
                </c:pt>
                <c:pt idx="42">
                  <c:v>0.61283872744945644</c:v>
                </c:pt>
                <c:pt idx="43">
                  <c:v>0.60876778591830072</c:v>
                </c:pt>
                <c:pt idx="44">
                  <c:v>0.60477889275832031</c:v>
                </c:pt>
                <c:pt idx="45">
                  <c:v>0.60086900091519646</c:v>
                </c:pt>
                <c:pt idx="46">
                  <c:v>0.5970352312404994</c:v>
                </c:pt>
                <c:pt idx="47">
                  <c:v>0.5932748602104454</c:v>
                </c:pt>
                <c:pt idx="48">
                  <c:v>0.58958530876103254</c:v>
                </c:pt>
                <c:pt idx="49">
                  <c:v>0.5859641321187351</c:v>
                </c:pt>
                <c:pt idx="50">
                  <c:v>0.5824090105210411</c:v>
                </c:pt>
                <c:pt idx="51">
                  <c:v>0.57891774073409674</c:v>
                </c:pt>
                <c:pt idx="52">
                  <c:v>0.57548822828589041</c:v>
                </c:pt>
                <c:pt idx="53">
                  <c:v>0.57211848034306145</c:v>
                </c:pt>
                <c:pt idx="54">
                  <c:v>0.56880659916777776</c:v>
                </c:pt>
                <c:pt idx="55">
                  <c:v>0.56555077609838644</c:v>
                </c:pt>
                <c:pt idx="56">
                  <c:v>0.56234928600386114</c:v>
                </c:pt>
                <c:pt idx="57">
                  <c:v>0.55920048216758977</c:v>
                </c:pt>
                <c:pt idx="58">
                  <c:v>0.55610279156087228</c:v>
                </c:pt>
                <c:pt idx="59">
                  <c:v>0.55305471047073318</c:v>
                </c:pt>
                <c:pt idx="60">
                  <c:v>0.5500548004503768</c:v>
                </c:pt>
                <c:pt idx="61">
                  <c:v>0.54710168456388741</c:v>
                </c:pt>
                <c:pt idx="62">
                  <c:v>0.54419404389967596</c:v>
                </c:pt>
                <c:pt idx="63">
                  <c:v>0.54133061432973062</c:v>
                </c:pt>
                <c:pt idx="64">
                  <c:v>0.53851018349399804</c:v>
                </c:pt>
                <c:pt idx="65">
                  <c:v>0.53573158799123755</c:v>
                </c:pt>
                <c:pt idx="66">
                  <c:v>0.53299371075948154</c:v>
                </c:pt>
                <c:pt idx="67">
                  <c:v>0.53029547863083004</c:v>
                </c:pt>
                <c:pt idx="68">
                  <c:v>0.52763586004673746</c:v>
                </c:pt>
                <c:pt idx="69">
                  <c:v>0.52501386292121666</c:v>
                </c:pt>
                <c:pt idx="70">
                  <c:v>0.5224285326405359</c:v>
                </c:pt>
                <c:pt idx="71">
                  <c:v>0.51987895018899866</c:v>
                </c:pt>
                <c:pt idx="72">
                  <c:v>0.51736423039132251</c:v>
                </c:pt>
                <c:pt idx="73">
                  <c:v>0.5148835202629598</c:v>
                </c:pt>
                <c:pt idx="74">
                  <c:v>0.51243599746044322</c:v>
                </c:pt>
                <c:pt idx="75">
                  <c:v>0.51002086882452169</c:v>
                </c:pt>
                <c:pt idx="76">
                  <c:v>0.50763736900944689</c:v>
                </c:pt>
                <c:pt idx="77">
                  <c:v>0.5052847591923364</c:v>
                </c:pt>
                <c:pt idx="78">
                  <c:v>0.5029623258570215</c:v>
                </c:pt>
                <c:pt idx="79">
                  <c:v>0.50066937964725</c:v>
                </c:pt>
                <c:pt idx="80">
                  <c:v>0.49840525428452376</c:v>
                </c:pt>
                <c:pt idx="81">
                  <c:v>0.49616930554621652</c:v>
                </c:pt>
                <c:pt idx="82">
                  <c:v>0.49396091029996814</c:v>
                </c:pt>
                <c:pt idx="83">
                  <c:v>0.49177946559064822</c:v>
                </c:pt>
                <c:pt idx="84">
                  <c:v>0.48962438777647865</c:v>
                </c:pt>
                <c:pt idx="85">
                  <c:v>0.48749511171114757</c:v>
                </c:pt>
                <c:pt idx="86">
                  <c:v>0.48539108996899649</c:v>
                </c:pt>
                <c:pt idx="87">
                  <c:v>0.48331179211056741</c:v>
                </c:pt>
                <c:pt idx="88">
                  <c:v>0.48125670398600262</c:v>
                </c:pt>
                <c:pt idx="89">
                  <c:v>0.47922532707396437</c:v>
                </c:pt>
                <c:pt idx="90">
                  <c:v>0.47721717785391304</c:v>
                </c:pt>
                <c:pt idx="91">
                  <c:v>0.47523178720973469</c:v>
                </c:pt>
                <c:pt idx="92">
                  <c:v>0.47326869986284448</c:v>
                </c:pt>
                <c:pt idx="93">
                  <c:v>0.47132747383303042</c:v>
                </c:pt>
                <c:pt idx="94">
                  <c:v>0.46940767992541232</c:v>
                </c:pt>
                <c:pt idx="95">
                  <c:v>0.46750890124200806</c:v>
                </c:pt>
                <c:pt idx="96">
                  <c:v>0.4656307327164958</c:v>
                </c:pt>
                <c:pt idx="97">
                  <c:v>0.46377278067085725</c:v>
                </c:pt>
                <c:pt idx="98">
                  <c:v>0.46193466239267267</c:v>
                </c:pt>
                <c:pt idx="99">
                  <c:v>0.46011600573191902</c:v>
                </c:pt>
                <c:pt idx="100">
                  <c:v>0.45831644871619426</c:v>
                </c:pt>
                <c:pt idx="101">
                  <c:v>0.45653563918336715</c:v>
                </c:pt>
                <c:pt idx="102">
                  <c:v>0.45477323443070305</c:v>
                </c:pt>
                <c:pt idx="103">
                  <c:v>0.45302890087958958</c:v>
                </c:pt>
                <c:pt idx="104">
                  <c:v>0.4513023137550296</c:v>
                </c:pt>
                <c:pt idx="105">
                  <c:v>0.44959315677912615</c:v>
                </c:pt>
                <c:pt idx="106">
                  <c:v>0.44790112187782938</c:v>
                </c:pt>
                <c:pt idx="107">
                  <c:v>0.44622590890026104</c:v>
                </c:pt>
                <c:pt idx="108">
                  <c:v>0.4445672253499704</c:v>
                </c:pt>
                <c:pt idx="109">
                  <c:v>0.4429247861275184</c:v>
                </c:pt>
                <c:pt idx="110">
                  <c:v>0.44129831328381564</c:v>
                </c:pt>
                <c:pt idx="111">
                  <c:v>0.43968753578368347</c:v>
                </c:pt>
                <c:pt idx="112">
                  <c:v>0.43809218927912563</c:v>
                </c:pt>
                <c:pt idx="113">
                  <c:v>0.43651201589183919</c:v>
                </c:pt>
                <c:pt idx="114">
                  <c:v>0.43494676400451293</c:v>
                </c:pt>
                <c:pt idx="115">
                  <c:v>0.43339618806048852</c:v>
                </c:pt>
                <c:pt idx="116">
                  <c:v>0.43186004837138525</c:v>
                </c:pt>
                <c:pt idx="117">
                  <c:v>0.43033811093231122</c:v>
                </c:pt>
                <c:pt idx="118">
                  <c:v>0.4288301472443008</c:v>
                </c:pt>
                <c:pt idx="119">
                  <c:v>0.42733593414364401</c:v>
                </c:pt>
                <c:pt idx="120">
                  <c:v>0.42585525363778554</c:v>
                </c:pt>
                <c:pt idx="121">
                  <c:v>0.42438789274749333</c:v>
                </c:pt>
                <c:pt idx="122">
                  <c:v>0.42293364335501105</c:v>
                </c:pt>
                <c:pt idx="123">
                  <c:v>0.42149230205792032</c:v>
                </c:pt>
                <c:pt idx="124">
                  <c:v>0.42006367002845924</c:v>
                </c:pt>
                <c:pt idx="125">
                  <c:v>0.418647552878055</c:v>
                </c:pt>
                <c:pt idx="126">
                  <c:v>0.41724376052683476</c:v>
                </c:pt>
                <c:pt idx="127">
                  <c:v>0.4158521070779011</c:v>
                </c:pt>
                <c:pt idx="128">
                  <c:v>0.41447241069616292</c:v>
                </c:pt>
                <c:pt idx="129">
                  <c:v>0.41310449349152356</c:v>
                </c:pt>
                <c:pt idx="130">
                  <c:v>0.4117481814062397</c:v>
                </c:pt>
                <c:pt idx="131">
                  <c:v>0.41040330410627424</c:v>
                </c:pt>
                <c:pt idx="132">
                  <c:v>0.40906969487647193</c:v>
                </c:pt>
                <c:pt idx="133">
                  <c:v>0.40774719051939945</c:v>
                </c:pt>
                <c:pt idx="134">
                  <c:v>0.40643563125769488</c:v>
                </c:pt>
                <c:pt idx="135">
                  <c:v>0.40513486063978177</c:v>
                </c:pt>
                <c:pt idx="136">
                  <c:v>0.40384472544881211</c:v>
                </c:pt>
                <c:pt idx="137">
                  <c:v>0.40256507561470012</c:v>
                </c:pt>
                <c:pt idx="138">
                  <c:v>0.40129576412912815</c:v>
                </c:pt>
                <c:pt idx="139">
                  <c:v>0.40003664696340069</c:v>
                </c:pt>
                <c:pt idx="140">
                  <c:v>0.39878758298903305</c:v>
                </c:pt>
                <c:pt idx="141">
                  <c:v>0.39754843390096806</c:v>
                </c:pt>
                <c:pt idx="142">
                  <c:v>0.39631906414331486</c:v>
                </c:pt>
                <c:pt idx="143">
                  <c:v>0.39509934083751042</c:v>
                </c:pt>
                <c:pt idx="144">
                  <c:v>0.39388913371281231</c:v>
                </c:pt>
                <c:pt idx="145">
                  <c:v>0.39268831503902957</c:v>
                </c:pt>
                <c:pt idx="146">
                  <c:v>0.3914967595614065</c:v>
                </c:pt>
                <c:pt idx="147">
                  <c:v>0.39031434443757784</c:v>
                </c:pt>
                <c:pt idx="148">
                  <c:v>0.38914094917651576</c:v>
                </c:pt>
                <c:pt idx="149">
                  <c:v>0.38797645557939331</c:v>
                </c:pt>
                <c:pt idx="150">
                  <c:v>0.38682074768229446</c:v>
                </c:pt>
                <c:pt idx="151">
                  <c:v>0.38567371170069831</c:v>
                </c:pt>
                <c:pt idx="152">
                  <c:v>0.3845352359756764</c:v>
                </c:pt>
                <c:pt idx="153">
                  <c:v>0.38340521092173574</c:v>
                </c:pt>
                <c:pt idx="154">
                  <c:v>0.38228352897625018</c:v>
                </c:pt>
                <c:pt idx="155">
                  <c:v>0.38117008455042145</c:v>
                </c:pt>
                <c:pt idx="156">
                  <c:v>0.38006477398171468</c:v>
                </c:pt>
                <c:pt idx="157">
                  <c:v>0.37896749548771547</c:v>
                </c:pt>
                <c:pt idx="158">
                  <c:v>0.37787814912135753</c:v>
                </c:pt>
                <c:pt idx="159">
                  <c:v>0.37679663672747388</c:v>
                </c:pt>
                <c:pt idx="160">
                  <c:v>0.37572286190062121</c:v>
                </c:pt>
                <c:pt idx="161">
                  <c:v>0.37465672994413768</c:v>
                </c:pt>
                <c:pt idx="162">
                  <c:v>0.37359814783038792</c:v>
                </c:pt>
                <c:pt idx="163">
                  <c:v>0.37254702416215335</c:v>
                </c:pt>
                <c:pt idx="164">
                  <c:v>0.37150326913513276</c:v>
                </c:pt>
                <c:pt idx="165">
                  <c:v>0.37046679450151021</c:v>
                </c:pt>
                <c:pt idx="166">
                  <c:v>0.36943751353455612</c:v>
                </c:pt>
                <c:pt idx="167">
                  <c:v>0.36841534099422824</c:v>
                </c:pt>
                <c:pt idx="168">
                  <c:v>0.36740019309373484</c:v>
                </c:pt>
                <c:pt idx="169">
                  <c:v>0.36639198746703117</c:v>
                </c:pt>
                <c:pt idx="170">
                  <c:v>0.36539064313721803</c:v>
                </c:pt>
                <c:pt idx="171">
                  <c:v>0.36439608048580996</c:v>
                </c:pt>
                <c:pt idx="172">
                  <c:v>0.36340822122284766</c:v>
                </c:pt>
                <c:pt idx="173">
                  <c:v>0.36242698835782383</c:v>
                </c:pt>
                <c:pt idx="174">
                  <c:v>0.36145230617140001</c:v>
                </c:pt>
                <c:pt idx="175">
                  <c:v>0.36048410018788424</c:v>
                </c:pt>
                <c:pt idx="176">
                  <c:v>0.35952229714844863</c:v>
                </c:pt>
                <c:pt idx="177">
                  <c:v>0.35856682498506043</c:v>
                </c:pt>
                <c:pt idx="178">
                  <c:v>0.35761761279510718</c:v>
                </c:pt>
                <c:pt idx="179">
                  <c:v>0.35667459081668984</c:v>
                </c:pt>
                <c:pt idx="180">
                  <c:v>0.35573769040456671</c:v>
                </c:pt>
                <c:pt idx="181">
                  <c:v>0.35480684400672446</c:v>
                </c:pt>
                <c:pt idx="182">
                  <c:v>0.35388198514156011</c:v>
                </c:pt>
                <c:pt idx="183">
                  <c:v>0.35296304837565073</c:v>
                </c:pt>
                <c:pt idx="184">
                  <c:v>0.35204996930209798</c:v>
                </c:pt>
                <c:pt idx="185">
                  <c:v>0.35114268451942465</c:v>
                </c:pt>
                <c:pt idx="186">
                  <c:v>0.35024113161100945</c:v>
                </c:pt>
                <c:pt idx="187">
                  <c:v>0.34934524912504417</c:v>
                </c:pt>
                <c:pt idx="188">
                  <c:v>0.34845497655499402</c:v>
                </c:pt>
                <c:pt idx="189">
                  <c:v>0.34757025432054944</c:v>
                </c:pt>
                <c:pt idx="190">
                  <c:v>0.34669102374905414</c:v>
                </c:pt>
                <c:pt idx="191">
                  <c:v>0.34581722705739215</c:v>
                </c:pt>
                <c:pt idx="192">
                  <c:v>0.34494880733432498</c:v>
                </c:pt>
                <c:pt idx="193">
                  <c:v>0.34408570852326181</c:v>
                </c:pt>
                <c:pt idx="194">
                  <c:v>0.34322787540545185</c:v>
                </c:pt>
                <c:pt idx="195">
                  <c:v>0.34237525358358623</c:v>
                </c:pt>
                <c:pt idx="196">
                  <c:v>0.34152778946579676</c:v>
                </c:pt>
                <c:pt idx="197">
                  <c:v>0.34068543025004128</c:v>
                </c:pt>
                <c:pt idx="198">
                  <c:v>0.33984812390886421</c:v>
                </c:pt>
                <c:pt idx="199">
                  <c:v>0.33901581917452051</c:v>
                </c:pt>
                <c:pt idx="200">
                  <c:v>0.33818846552445292</c:v>
                </c:pt>
                <c:pt idx="201">
                  <c:v>0.33736601316711534</c:v>
                </c:pt>
                <c:pt idx="202">
                  <c:v>0.33654841302812744</c:v>
                </c:pt>
                <c:pt idx="203">
                  <c:v>0.33573561673675534</c:v>
                </c:pt>
                <c:pt idx="204">
                  <c:v>0.33492757661270767</c:v>
                </c:pt>
                <c:pt idx="205">
                  <c:v>0.33412424565323851</c:v>
                </c:pt>
                <c:pt idx="206">
                  <c:v>0.3333255775205487</c:v>
                </c:pt>
                <c:pt idx="207">
                  <c:v>0.33253152652947615</c:v>
                </c:pt>
                <c:pt idx="208">
                  <c:v>0.33174204763546933</c:v>
                </c:pt>
                <c:pt idx="209">
                  <c:v>0.33095709642283566</c:v>
                </c:pt>
                <c:pt idx="210">
                  <c:v>0.33017662909325485</c:v>
                </c:pt>
                <c:pt idx="211">
                  <c:v>0.32940060245455371</c:v>
                </c:pt>
                <c:pt idx="212">
                  <c:v>0.32862897390973256</c:v>
                </c:pt>
                <c:pt idx="213">
                  <c:v>0.3278617014462385</c:v>
                </c:pt>
                <c:pt idx="214">
                  <c:v>0.32709874362547697</c:v>
                </c:pt>
                <c:pt idx="215">
                  <c:v>0.32634005957255652</c:v>
                </c:pt>
                <c:pt idx="216">
                  <c:v>0.3255856089662611</c:v>
                </c:pt>
                <c:pt idx="217">
                  <c:v>0.32483535202924285</c:v>
                </c:pt>
                <c:pt idx="218">
                  <c:v>0.32408924951842866</c:v>
                </c:pt>
                <c:pt idx="219">
                  <c:v>0.32334726271563774</c:v>
                </c:pt>
                <c:pt idx="220">
                  <c:v>0.32260935341840236</c:v>
                </c:pt>
                <c:pt idx="221">
                  <c:v>0.32187548393098786</c:v>
                </c:pt>
                <c:pt idx="222">
                  <c:v>0.3211456170556044</c:v>
                </c:pt>
                <c:pt idx="223">
                  <c:v>0.32041971608380992</c:v>
                </c:pt>
                <c:pt idx="224">
                  <c:v>0.31969774478809454</c:v>
                </c:pt>
                <c:pt idx="225">
                  <c:v>0.31897966741364514</c:v>
                </c:pt>
                <c:pt idx="226">
                  <c:v>0.31826544867028428</c:v>
                </c:pt>
                <c:pt idx="227">
                  <c:v>0.31755505372457926</c:v>
                </c:pt>
                <c:pt idx="228">
                  <c:v>0.31684844819211588</c:v>
                </c:pt>
                <c:pt idx="229">
                  <c:v>0.31614559812993626</c:v>
                </c:pt>
                <c:pt idx="230">
                  <c:v>0.31544647002913162</c:v>
                </c:pt>
                <c:pt idx="231">
                  <c:v>0.31475103080759048</c:v>
                </c:pt>
                <c:pt idx="232">
                  <c:v>0.31405924780289629</c:v>
                </c:pt>
                <c:pt idx="233">
                  <c:v>0.31337108876537101</c:v>
                </c:pt>
                <c:pt idx="234">
                  <c:v>0.31268652185126156</c:v>
                </c:pt>
                <c:pt idx="235">
                  <c:v>0.31200551561606571</c:v>
                </c:pt>
                <c:pt idx="236">
                  <c:v>0.31132803900799277</c:v>
                </c:pt>
                <c:pt idx="237">
                  <c:v>0.31065406136155793</c:v>
                </c:pt>
                <c:pt idx="238">
                  <c:v>0.30998355239130471</c:v>
                </c:pt>
                <c:pt idx="239">
                  <c:v>0.30931648218565444</c:v>
                </c:pt>
                <c:pt idx="240">
                  <c:v>0.30865282120087834</c:v>
                </c:pt>
                <c:pt idx="241">
                  <c:v>0.30799254025519029</c:v>
                </c:pt>
                <c:pt idx="242">
                  <c:v>0.3073356105229561</c:v>
                </c:pt>
                <c:pt idx="243">
                  <c:v>0.3066820035290182</c:v>
                </c:pt>
                <c:pt idx="244">
                  <c:v>0.30603169114313167</c:v>
                </c:pt>
                <c:pt idx="245">
                  <c:v>0.30538464557450973</c:v>
                </c:pt>
                <c:pt idx="246">
                  <c:v>0.30474083936647567</c:v>
                </c:pt>
                <c:pt idx="247">
                  <c:v>0.30410024539121905</c:v>
                </c:pt>
                <c:pt idx="248">
                  <c:v>0.30346283684465392</c:v>
                </c:pt>
                <c:pt idx="249">
                  <c:v>0.30282858724137596</c:v>
                </c:pt>
                <c:pt idx="250">
                  <c:v>0.30219747040971723</c:v>
                </c:pt>
                <c:pt idx="251">
                  <c:v>0.30156946048689504</c:v>
                </c:pt>
                <c:pt idx="252">
                  <c:v>0.30094453191425496</c:v>
                </c:pt>
                <c:pt idx="253">
                  <c:v>0.30032265943260272</c:v>
                </c:pt>
                <c:pt idx="254">
                  <c:v>0.29970381807762614</c:v>
                </c:pt>
                <c:pt idx="255">
                  <c:v>0.29908798317540219</c:v>
                </c:pt>
                <c:pt idx="256">
                  <c:v>0.29847513033798978</c:v>
                </c:pt>
                <c:pt idx="257">
                  <c:v>0.29786523545910493</c:v>
                </c:pt>
                <c:pt idx="258">
                  <c:v>0.29725827470987709</c:v>
                </c:pt>
                <c:pt idx="259">
                  <c:v>0.29665422453468293</c:v>
                </c:pt>
                <c:pt idx="260">
                  <c:v>0.2960530616470598</c:v>
                </c:pt>
                <c:pt idx="261">
                  <c:v>0.29545476302569296</c:v>
                </c:pt>
                <c:pt idx="262">
                  <c:v>0.29485930591047804</c:v>
                </c:pt>
                <c:pt idx="263">
                  <c:v>0.29426666779865385</c:v>
                </c:pt>
                <c:pt idx="264">
                  <c:v>0.29367682644100879</c:v>
                </c:pt>
                <c:pt idx="265">
                  <c:v>0.29308975983815311</c:v>
                </c:pt>
                <c:pt idx="266">
                  <c:v>0.29250544623686192</c:v>
                </c:pt>
                <c:pt idx="267">
                  <c:v>0.29192386412648241</c:v>
                </c:pt>
                <c:pt idx="268">
                  <c:v>0.29134499223540655</c:v>
                </c:pt>
                <c:pt idx="269">
                  <c:v>0.29076880952760686</c:v>
                </c:pt>
                <c:pt idx="270">
                  <c:v>0.29019529519923459</c:v>
                </c:pt>
                <c:pt idx="271">
                  <c:v>0.2896244286752786</c:v>
                </c:pt>
                <c:pt idx="272">
                  <c:v>0.28905618960628332</c:v>
                </c:pt>
                <c:pt idx="273">
                  <c:v>0.28849055786512501</c:v>
                </c:pt>
                <c:pt idx="274">
                  <c:v>0.28792751354384505</c:v>
                </c:pt>
                <c:pt idx="275">
                  <c:v>0.287367036950539</c:v>
                </c:pt>
                <c:pt idx="276">
                  <c:v>0.2868091086062996</c:v>
                </c:pt>
                <c:pt idx="277">
                  <c:v>0.28625370924221394</c:v>
                </c:pt>
                <c:pt idx="278">
                  <c:v>0.2857008197964136</c:v>
                </c:pt>
                <c:pt idx="279">
                  <c:v>0.28515042141117319</c:v>
                </c:pt>
                <c:pt idx="280">
                  <c:v>0.28460249543006277</c:v>
                </c:pt>
                <c:pt idx="281">
                  <c:v>0.28405702339514671</c:v>
                </c:pt>
                <c:pt idx="282">
                  <c:v>0.28351398704423159</c:v>
                </c:pt>
                <c:pt idx="283">
                  <c:v>0.28297336830816122</c:v>
                </c:pt>
                <c:pt idx="284">
                  <c:v>0.28243514930815827</c:v>
                </c:pt>
                <c:pt idx="285">
                  <c:v>0.28189931235320997</c:v>
                </c:pt>
                <c:pt idx="286">
                  <c:v>0.2813658399374992</c:v>
                </c:pt>
                <c:pt idx="287">
                  <c:v>0.28083471473787835</c:v>
                </c:pt>
                <c:pt idx="288">
                  <c:v>0.28030591961138696</c:v>
                </c:pt>
                <c:pt idx="289">
                  <c:v>0.27977943759280854</c:v>
                </c:pt>
                <c:pt idx="290">
                  <c:v>0.27925525189227129</c:v>
                </c:pt>
                <c:pt idx="291">
                  <c:v>0.27873334589288601</c:v>
                </c:pt>
                <c:pt idx="292">
                  <c:v>0.27821370314842619</c:v>
                </c:pt>
                <c:pt idx="293">
                  <c:v>0.27769630738104367</c:v>
                </c:pt>
                <c:pt idx="294">
                  <c:v>0.27718114247902403</c:v>
                </c:pt>
                <c:pt idx="295">
                  <c:v>0.27666819249457797</c:v>
                </c:pt>
                <c:pt idx="296">
                  <c:v>0.27615744164167</c:v>
                </c:pt>
                <c:pt idx="297">
                  <c:v>0.2756488742938803</c:v>
                </c:pt>
                <c:pt idx="298">
                  <c:v>0.27514247498230504</c:v>
                </c:pt>
                <c:pt idx="299">
                  <c:v>0.2746382283934875</c:v>
                </c:pt>
                <c:pt idx="300">
                  <c:v>0.27413611936738436</c:v>
                </c:pt>
                <c:pt idx="301">
                  <c:v>0.27363613289536481</c:v>
                </c:pt>
                <c:pt idx="302">
                  <c:v>0.27313825411824122</c:v>
                </c:pt>
                <c:pt idx="303">
                  <c:v>0.27264246832433259</c:v>
                </c:pt>
                <c:pt idx="304">
                  <c:v>0.27214876094755713</c:v>
                </c:pt>
                <c:pt idx="305">
                  <c:v>0.27165711756555744</c:v>
                </c:pt>
                <c:pt idx="306">
                  <c:v>0.27116752389785381</c:v>
                </c:pt>
                <c:pt idx="307">
                  <c:v>0.27067996580402753</c:v>
                </c:pt>
                <c:pt idx="308">
                  <c:v>0.27019442928193305</c:v>
                </c:pt>
                <c:pt idx="309">
                  <c:v>0.2697109004659376</c:v>
                </c:pt>
                <c:pt idx="310">
                  <c:v>0.26922936562518995</c:v>
                </c:pt>
                <c:pt idx="311">
                  <c:v>0.2687498111619141</c:v>
                </c:pt>
                <c:pt idx="312">
                  <c:v>0.26827222360973124</c:v>
                </c:pt>
                <c:pt idx="313">
                  <c:v>0.26779658963200825</c:v>
                </c:pt>
                <c:pt idx="314">
                  <c:v>0.26732289602022896</c:v>
                </c:pt>
                <c:pt idx="315">
                  <c:v>0.26685112969239522</c:v>
                </c:pt>
                <c:pt idx="316">
                  <c:v>0.26638127769144793</c:v>
                </c:pt>
                <c:pt idx="317">
                  <c:v>0.26591332718371563</c:v>
                </c:pt>
                <c:pt idx="318">
                  <c:v>0.26544726545738495</c:v>
                </c:pt>
                <c:pt idx="319">
                  <c:v>0.26498307992099623</c:v>
                </c:pt>
                <c:pt idx="320">
                  <c:v>0.26452075810195996</c:v>
                </c:pt>
                <c:pt idx="321">
                  <c:v>0.26406028764509781</c:v>
                </c:pt>
                <c:pt idx="322">
                  <c:v>0.26360165631120402</c:v>
                </c:pt>
                <c:pt idx="323">
                  <c:v>0.26314485197563031</c:v>
                </c:pt>
                <c:pt idx="324">
                  <c:v>0.26268986262689031</c:v>
                </c:pt>
                <c:pt idx="325">
                  <c:v>0.26223667636528591</c:v>
                </c:pt>
                <c:pt idx="326">
                  <c:v>0.26178528140155455</c:v>
                </c:pt>
                <c:pt idx="327">
                  <c:v>0.26133566605553593</c:v>
                </c:pt>
                <c:pt idx="328">
                  <c:v>0.26088781875485878</c:v>
                </c:pt>
                <c:pt idx="329">
                  <c:v>0.26044172803364751</c:v>
                </c:pt>
                <c:pt idx="330">
                  <c:v>0.25999738253124738</c:v>
                </c:pt>
                <c:pt idx="331">
                  <c:v>0.25955477099096913</c:v>
                </c:pt>
                <c:pt idx="332">
                  <c:v>0.25911388225885179</c:v>
                </c:pt>
                <c:pt idx="333">
                  <c:v>0.2586747052824433</c:v>
                </c:pt>
                <c:pt idx="334">
                  <c:v>0.25823722910960001</c:v>
                </c:pt>
                <c:pt idx="335">
                  <c:v>0.25780144288730267</c:v>
                </c:pt>
                <c:pt idx="336">
                  <c:v>0.25736733586048954</c:v>
                </c:pt>
                <c:pt idx="337">
                  <c:v>0.25693489737090802</c:v>
                </c:pt>
                <c:pt idx="338">
                  <c:v>0.25650411685598085</c:v>
                </c:pt>
                <c:pt idx="339">
                  <c:v>0.25607498384769001</c:v>
                </c:pt>
                <c:pt idx="340">
                  <c:v>0.25564748797147629</c:v>
                </c:pt>
                <c:pt idx="341">
                  <c:v>0.25522161894515516</c:v>
                </c:pt>
                <c:pt idx="342">
                  <c:v>0.25479736657784635</c:v>
                </c:pt>
                <c:pt idx="343">
                  <c:v>0.25437472076892131</c:v>
                </c:pt>
                <c:pt idx="344">
                  <c:v>0.25395367150696391</c:v>
                </c:pt>
                <c:pt idx="345">
                  <c:v>0.25353420886874622</c:v>
                </c:pt>
                <c:pt idx="346">
                  <c:v>0.2531163230182194</c:v>
                </c:pt>
                <c:pt idx="347">
                  <c:v>0.25270000420551775</c:v>
                </c:pt>
                <c:pt idx="348">
                  <c:v>0.25228524276597786</c:v>
                </c:pt>
                <c:pt idx="349">
                  <c:v>0.25187202911917062</c:v>
                </c:pt>
                <c:pt idx="350">
                  <c:v>0.25146035376794795</c:v>
                </c:pt>
                <c:pt idx="351">
                  <c:v>0.25105020729750116</c:v>
                </c:pt>
                <c:pt idx="352">
                  <c:v>0.25064158037443451</c:v>
                </c:pt>
                <c:pt idx="353">
                  <c:v>0.25023446374584957</c:v>
                </c:pt>
                <c:pt idx="354">
                  <c:v>0.24982884823844365</c:v>
                </c:pt>
                <c:pt idx="355">
                  <c:v>0.24942472475762023</c:v>
                </c:pt>
                <c:pt idx="356">
                  <c:v>0.24902208428661199</c:v>
                </c:pt>
                <c:pt idx="357">
                  <c:v>0.24862091788561447</c:v>
                </c:pt>
                <c:pt idx="358">
                  <c:v>0.24822121669093389</c:v>
                </c:pt>
                <c:pt idx="359">
                  <c:v>0.24782297191414515</c:v>
                </c:pt>
                <c:pt idx="360">
                  <c:v>0.2474261748412615</c:v>
                </c:pt>
                <c:pt idx="361">
                  <c:v>0.2470308168319153</c:v>
                </c:pt>
                <c:pt idx="362">
                  <c:v>0.2466368893185501</c:v>
                </c:pt>
                <c:pt idx="363">
                  <c:v>0.24624438380562541</c:v>
                </c:pt>
                <c:pt idx="364">
                  <c:v>0.24585329186882787</c:v>
                </c:pt>
                <c:pt idx="365">
                  <c:v>0.24546360515429755</c:v>
                </c:pt>
                <c:pt idx="366">
                  <c:v>0.24507531537786276</c:v>
                </c:pt>
                <c:pt idx="367">
                  <c:v>0.24468841432428357</c:v>
                </c:pt>
                <c:pt idx="368">
                  <c:v>0.24430289384650938</c:v>
                </c:pt>
                <c:pt idx="369">
                  <c:v>0.24391874586494178</c:v>
                </c:pt>
                <c:pt idx="370">
                  <c:v>0.2435359623667106</c:v>
                </c:pt>
                <c:pt idx="371">
                  <c:v>0.24315453540495802</c:v>
                </c:pt>
                <c:pt idx="372">
                  <c:v>0.24277445709813272</c:v>
                </c:pt>
                <c:pt idx="373">
                  <c:v>0.24239571962929252</c:v>
                </c:pt>
                <c:pt idx="374">
                  <c:v>0.24201831524541761</c:v>
                </c:pt>
                <c:pt idx="375">
                  <c:v>0.24164223625673165</c:v>
                </c:pt>
                <c:pt idx="376">
                  <c:v>0.2412674750360313</c:v>
                </c:pt>
                <c:pt idx="377">
                  <c:v>0.2408940240180264</c:v>
                </c:pt>
                <c:pt idx="378">
                  <c:v>0.24052187569868688</c:v>
                </c:pt>
                <c:pt idx="379">
                  <c:v>0.24015102263459909</c:v>
                </c:pt>
                <c:pt idx="380">
                  <c:v>0.23978145744233026</c:v>
                </c:pt>
                <c:pt idx="381">
                  <c:v>0.23941317279780072</c:v>
                </c:pt>
                <c:pt idx="382">
                  <c:v>0.2390461614356657</c:v>
                </c:pt>
                <c:pt idx="383">
                  <c:v>0.23868041614870283</c:v>
                </c:pt>
                <c:pt idx="384">
                  <c:v>0.23831592978720928</c:v>
                </c:pt>
                <c:pt idx="385">
                  <c:v>0.23795269525840601</c:v>
                </c:pt>
                <c:pt idx="386">
                  <c:v>0.23759070552584993</c:v>
                </c:pt>
                <c:pt idx="387">
                  <c:v>0.23722995360885202</c:v>
                </c:pt>
                <c:pt idx="388">
                  <c:v>0.23687043258190588</c:v>
                </c:pt>
                <c:pt idx="389">
                  <c:v>0.23651213557412021</c:v>
                </c:pt>
                <c:pt idx="390">
                  <c:v>0.23615505576866036</c:v>
                </c:pt>
                <c:pt idx="391">
                  <c:v>0.23579918640219732</c:v>
                </c:pt>
                <c:pt idx="392">
                  <c:v>0.23544452076436184</c:v>
                </c:pt>
                <c:pt idx="393">
                  <c:v>0.23509105219720627</c:v>
                </c:pt>
                <c:pt idx="394">
                  <c:v>0.23473877409467458</c:v>
                </c:pt>
                <c:pt idx="395">
                  <c:v>0.23438767990207643</c:v>
                </c:pt>
                <c:pt idx="396">
                  <c:v>0.23403776311556945</c:v>
                </c:pt>
                <c:pt idx="397">
                  <c:v>0.23368901728164748</c:v>
                </c:pt>
                <c:pt idx="398">
                  <c:v>0.23334143599663559</c:v>
                </c:pt>
                <c:pt idx="399">
                  <c:v>0.2329950129061904</c:v>
                </c:pt>
                <c:pt idx="400">
                  <c:v>0.23264974170480757</c:v>
                </c:pt>
                <c:pt idx="401">
                  <c:v>0.23230561613533462</c:v>
                </c:pt>
                <c:pt idx="402">
                  <c:v>0.23196262998849038</c:v>
                </c:pt>
                <c:pt idx="403">
                  <c:v>0.23162077710238993</c:v>
                </c:pt>
                <c:pt idx="404">
                  <c:v>0.23128005136207452</c:v>
                </c:pt>
                <c:pt idx="405">
                  <c:v>0.23094044669905012</c:v>
                </c:pt>
                <c:pt idx="406">
                  <c:v>0.23060195709082687</c:v>
                </c:pt>
                <c:pt idx="407">
                  <c:v>0.23026457656046917</c:v>
                </c:pt>
                <c:pt idx="408">
                  <c:v>0.22992829917614777</c:v>
                </c:pt>
                <c:pt idx="409">
                  <c:v>0.22959311905069812</c:v>
                </c:pt>
                <c:pt idx="410">
                  <c:v>0.22925903034118533</c:v>
                </c:pt>
                <c:pt idx="411">
                  <c:v>0.22892602724847233</c:v>
                </c:pt>
                <c:pt idx="412">
                  <c:v>0.22859410401679403</c:v>
                </c:pt>
                <c:pt idx="413">
                  <c:v>0.22826325493333832</c:v>
                </c:pt>
                <c:pt idx="414">
                  <c:v>0.22793347432782862</c:v>
                </c:pt>
                <c:pt idx="415">
                  <c:v>0.22760475657211443</c:v>
                </c:pt>
                <c:pt idx="416">
                  <c:v>0.22727709607976498</c:v>
                </c:pt>
                <c:pt idx="417">
                  <c:v>0.22695048730566914</c:v>
                </c:pt>
                <c:pt idx="418">
                  <c:v>0.226624924745638</c:v>
                </c:pt>
                <c:pt idx="419">
                  <c:v>0.22630040293601483</c:v>
                </c:pt>
                <c:pt idx="420">
                  <c:v>0.22597691645328699</c:v>
                </c:pt>
                <c:pt idx="421">
                  <c:v>0.22565445991370392</c:v>
                </c:pt>
                <c:pt idx="422">
                  <c:v>0.22533302797289978</c:v>
                </c:pt>
                <c:pt idx="423">
                  <c:v>0.22501261532551997</c:v>
                </c:pt>
                <c:pt idx="424">
                  <c:v>0.22469321670485076</c:v>
                </c:pt>
                <c:pt idx="425">
                  <c:v>0.22437482688245647</c:v>
                </c:pt>
                <c:pt idx="426">
                  <c:v>0.22405744066781763</c:v>
                </c:pt>
                <c:pt idx="427">
                  <c:v>0.22374105290797508</c:v>
                </c:pt>
                <c:pt idx="428">
                  <c:v>0.22342565848717755</c:v>
                </c:pt>
                <c:pt idx="429">
                  <c:v>0.22311125232653362</c:v>
                </c:pt>
                <c:pt idx="430">
                  <c:v>0.22279782938366743</c:v>
                </c:pt>
                <c:pt idx="431">
                  <c:v>0.2224853846523791</c:v>
                </c:pt>
                <c:pt idx="432">
                  <c:v>0.22217391316230739</c:v>
                </c:pt>
                <c:pt idx="433">
                  <c:v>0.2218634099785981</c:v>
                </c:pt>
                <c:pt idx="434">
                  <c:v>0.22155387020157524</c:v>
                </c:pt>
                <c:pt idx="435">
                  <c:v>0.22124528896641571</c:v>
                </c:pt>
                <c:pt idx="436">
                  <c:v>0.22093766144282878</c:v>
                </c:pt>
                <c:pt idx="437">
                  <c:v>0.2206309828347377</c:v>
                </c:pt>
                <c:pt idx="438">
                  <c:v>0.2203252483799667</c:v>
                </c:pt>
                <c:pt idx="439">
                  <c:v>0.22002045334992959</c:v>
                </c:pt>
                <c:pt idx="440">
                  <c:v>0.21971659304932389</c:v>
                </c:pt>
                <c:pt idx="441">
                  <c:v>0.21941366281582586</c:v>
                </c:pt>
                <c:pt idx="442">
                  <c:v>0.21911165801979227</c:v>
                </c:pt>
                <c:pt idx="443">
                  <c:v>0.21881057406396209</c:v>
                </c:pt>
                <c:pt idx="444">
                  <c:v>0.21851040638316432</c:v>
                </c:pt>
                <c:pt idx="445">
                  <c:v>0.21821115044402695</c:v>
                </c:pt>
                <c:pt idx="446">
                  <c:v>0.21791280174469041</c:v>
                </c:pt>
                <c:pt idx="447">
                  <c:v>0.21761535581452418</c:v>
                </c:pt>
                <c:pt idx="448">
                  <c:v>0.21731880821384586</c:v>
                </c:pt>
                <c:pt idx="449">
                  <c:v>0.2170231545336434</c:v>
                </c:pt>
                <c:pt idx="450">
                  <c:v>0.2167283903953019</c:v>
                </c:pt>
                <c:pt idx="451">
                  <c:v>0.21643451145033077</c:v>
                </c:pt>
                <c:pt idx="452">
                  <c:v>0.21614151338009591</c:v>
                </c:pt>
                <c:pt idx="453">
                  <c:v>0.21584939189555519</c:v>
                </c:pt>
                <c:pt idx="454">
                  <c:v>0.21555814273699403</c:v>
                </c:pt>
                <c:pt idx="455">
                  <c:v>0.21526776167376738</c:v>
                </c:pt>
                <c:pt idx="456">
                  <c:v>0.21497824450404179</c:v>
                </c:pt>
                <c:pt idx="457">
                  <c:v>0.21468958705454244</c:v>
                </c:pt>
                <c:pt idx="458">
                  <c:v>0.21440178518030062</c:v>
                </c:pt>
                <c:pt idx="459">
                  <c:v>0.21411483476440585</c:v>
                </c:pt>
                <c:pt idx="460">
                  <c:v>0.21382873171775996</c:v>
                </c:pt>
                <c:pt idx="461">
                  <c:v>0.21354347197883361</c:v>
                </c:pt>
                <c:pt idx="462">
                  <c:v>0.21325905151342583</c:v>
                </c:pt>
                <c:pt idx="463">
                  <c:v>0.21297546631442588</c:v>
                </c:pt>
                <c:pt idx="464">
                  <c:v>0.21269271240157805</c:v>
                </c:pt>
                <c:pt idx="465">
                  <c:v>0.21241078582124806</c:v>
                </c:pt>
                <c:pt idx="466">
                  <c:v>0.21212968264619314</c:v>
                </c:pt>
                <c:pt idx="467">
                  <c:v>0.21184939897533384</c:v>
                </c:pt>
                <c:pt idx="468">
                  <c:v>0.2115699309335286</c:v>
                </c:pt>
                <c:pt idx="469">
                  <c:v>0.21129127467135012</c:v>
                </c:pt>
                <c:pt idx="470">
                  <c:v>0.21101342636486442</c:v>
                </c:pt>
                <c:pt idx="471">
                  <c:v>0.21073638221541324</c:v>
                </c:pt>
                <c:pt idx="472">
                  <c:v>0.21046013844939682</c:v>
                </c:pt>
                <c:pt idx="473">
                  <c:v>0.2101846913180605</c:v>
                </c:pt>
                <c:pt idx="474">
                  <c:v>0.20991003709728273</c:v>
                </c:pt>
                <c:pt idx="475">
                  <c:v>0.20963617208736607</c:v>
                </c:pt>
                <c:pt idx="476">
                  <c:v>0.20936309261282915</c:v>
                </c:pt>
                <c:pt idx="477">
                  <c:v>0.20909079502220251</c:v>
                </c:pt>
                <c:pt idx="478">
                  <c:v>0.20881927568782455</c:v>
                </c:pt>
                <c:pt idx="479">
                  <c:v>0.20854853100564186</c:v>
                </c:pt>
                <c:pt idx="480">
                  <c:v>0.20827855739500889</c:v>
                </c:pt>
              </c:numCache>
            </c:numRef>
          </c:val>
          <c:smooth val="0"/>
          <c:extLst>
            <c:ext xmlns:c16="http://schemas.microsoft.com/office/drawing/2014/chart" uri="{C3380CC4-5D6E-409C-BE32-E72D297353CC}">
              <c16:uniqueId val="{00000005-6155-4274-A35C-424ECAB274DC}"/>
            </c:ext>
          </c:extLst>
        </c:ser>
        <c:ser>
          <c:idx val="6"/>
          <c:order val="6"/>
          <c:tx>
            <c:strRef>
              <c:f>'[LVAD Section 3 model 05.09.2023.xlsm]OS Extrapolation'!$K$517</c:f>
              <c:strCache>
                <c:ptCount val="1"/>
                <c:pt idx="0">
                  <c:v>Gamma (generalised)</c:v>
                </c:pt>
              </c:strCache>
            </c:strRef>
          </c:tx>
          <c:spPr>
            <a:ln w="28575" cap="rnd">
              <a:solidFill>
                <a:schemeClr val="accent1">
                  <a:lumMod val="60000"/>
                </a:schemeClr>
              </a:solidFill>
              <a:round/>
            </a:ln>
            <a:effectLst/>
          </c:spPr>
          <c:marker>
            <c:symbol val="none"/>
          </c:marker>
          <c:cat>
            <c:numRef>
              <c:f>'[LVAD Section 3 model 05.09.2023.xlsm]OS Extrapolation'!$C$518:$C$998</c:f>
              <c:numCache>
                <c:formatCode>General</c:formatCode>
                <c:ptCount val="4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numCache>
            </c:numRef>
          </c:cat>
          <c:val>
            <c:numRef>
              <c:f>'[LVAD Section 3 model 05.09.2023.xlsm]OS Extrapolation'!$K$518:$K$998</c:f>
              <c:numCache>
                <c:formatCode>0.000</c:formatCode>
                <c:ptCount val="481"/>
                <c:pt idx="0" formatCode="0">
                  <c:v>1</c:v>
                </c:pt>
                <c:pt idx="1">
                  <c:v>0.95395902066322624</c:v>
                </c:pt>
                <c:pt idx="2">
                  <c:v>0.93109311047531484</c:v>
                </c:pt>
                <c:pt idx="3">
                  <c:v>0.91281379852849409</c:v>
                </c:pt>
                <c:pt idx="4">
                  <c:v>0.89701576448338372</c:v>
                </c:pt>
                <c:pt idx="5">
                  <c:v>0.8828532958381593</c:v>
                </c:pt>
                <c:pt idx="6">
                  <c:v>0.86988165841982301</c:v>
                </c:pt>
                <c:pt idx="7">
                  <c:v>0.85783142752109198</c:v>
                </c:pt>
                <c:pt idx="8">
                  <c:v>0.84652416819055121</c:v>
                </c:pt>
                <c:pt idx="9">
                  <c:v>0.83583417805242033</c:v>
                </c:pt>
                <c:pt idx="10">
                  <c:v>0.82566878262892751</c:v>
                </c:pt>
                <c:pt idx="11">
                  <c:v>0.81595722641759005</c:v>
                </c:pt>
                <c:pt idx="12">
                  <c:v>0.80664396897106483</c:v>
                </c:pt>
                <c:pt idx="13">
                  <c:v>0.79768441794301892</c:v>
                </c:pt>
                <c:pt idx="14">
                  <c:v>0.78904209416069582</c:v>
                </c:pt>
                <c:pt idx="15">
                  <c:v>0.78068668035108113</c:v>
                </c:pt>
                <c:pt idx="16">
                  <c:v>0.77259263766215247</c:v>
                </c:pt>
                <c:pt idx="17">
                  <c:v>0.76473819967977019</c:v>
                </c:pt>
                <c:pt idx="18">
                  <c:v>0.75710462484346319</c:v>
                </c:pt>
                <c:pt idx="19">
                  <c:v>0.74967563025448536</c:v>
                </c:pt>
                <c:pt idx="20">
                  <c:v>0.74243695565527179</c:v>
                </c:pt>
                <c:pt idx="21">
                  <c:v>0.73537602265528346</c:v>
                </c:pt>
                <c:pt idx="22">
                  <c:v>0.72848166486184351</c:v>
                </c:pt>
                <c:pt idx="23">
                  <c:v>0.72174391161657159</c:v>
                </c:pt>
                <c:pt idx="24">
                  <c:v>0.71515381282573576</c:v>
                </c:pt>
                <c:pt idx="25">
                  <c:v>0.70870329569166235</c:v>
                </c:pt>
                <c:pt idx="26">
                  <c:v>0.70238504649353772</c:v>
                </c:pt>
                <c:pt idx="27">
                  <c:v>0.69619241224395334</c:v>
                </c:pt>
                <c:pt idx="28">
                  <c:v>0.69011931826779072</c:v>
                </c:pt>
                <c:pt idx="29">
                  <c:v>0.68416019864928224</c:v>
                </c:pt>
                <c:pt idx="30">
                  <c:v>0.67830993716386279</c:v>
                </c:pt>
                <c:pt idx="31">
                  <c:v>0.672563816817497</c:v>
                </c:pt>
                <c:pt idx="32">
                  <c:v>0.666917476501935</c:v>
                </c:pt>
                <c:pt idx="33">
                  <c:v>0.66136687357129731</c:v>
                </c:pt>
                <c:pt idx="34">
                  <c:v>0.65590825137602127</c:v>
                </c:pt>
                <c:pt idx="35">
                  <c:v>0.65053811097085057</c:v>
                </c:pt>
                <c:pt idx="36">
                  <c:v>0.64525318635614026</c:v>
                </c:pt>
                <c:pt idx="37">
                  <c:v>0.64005042272517421</c:v>
                </c:pt>
                <c:pt idx="38">
                  <c:v>0.63492695728099646</c:v>
                </c:pt>
                <c:pt idx="39">
                  <c:v>0.62988010225945756</c:v>
                </c:pt>
                <c:pt idx="40">
                  <c:v>0.62490732985455033</c:v>
                </c:pt>
                <c:pt idx="41">
                  <c:v>0.62000625879051807</c:v>
                </c:pt>
                <c:pt idx="42">
                  <c:v>0.61517464232494623</c:v>
                </c:pt>
                <c:pt idx="43">
                  <c:v>0.61041035749978834</c:v>
                </c:pt>
                <c:pt idx="44">
                  <c:v>0.60571139548440978</c:v>
                </c:pt>
                <c:pt idx="45">
                  <c:v>0.6010758528773108</c:v>
                </c:pt>
                <c:pt idx="46">
                  <c:v>0.59650192385208256</c:v>
                </c:pt>
                <c:pt idx="47">
                  <c:v>0.59198789304900612</c:v>
                </c:pt>
                <c:pt idx="48">
                  <c:v>0.58753212912706543</c:v>
                </c:pt>
                <c:pt idx="49">
                  <c:v>0.58313307890247146</c:v>
                </c:pt>
                <c:pt idx="50">
                  <c:v>0.57878926200940217</c:v>
                </c:pt>
                <c:pt idx="51">
                  <c:v>0.57449926602685986</c:v>
                </c:pt>
                <c:pt idx="52">
                  <c:v>0.57026174202255353</c:v>
                </c:pt>
                <c:pt idx="53">
                  <c:v>0.56607540047074523</c:v>
                </c:pt>
                <c:pt idx="54">
                  <c:v>0.56193900750614922</c:v>
                </c:pt>
                <c:pt idx="55">
                  <c:v>0.55785138148048685</c:v>
                </c:pt>
                <c:pt idx="56">
                  <c:v>0.55381138979212441</c:v>
                </c:pt>
                <c:pt idx="57">
                  <c:v>0.54981794596262601</c:v>
                </c:pt>
                <c:pt idx="58">
                  <c:v>0.54587000693695675</c:v>
                </c:pt>
                <c:pt idx="59">
                  <c:v>0.54196657058663411</c:v>
                </c:pt>
                <c:pt idx="60">
                  <c:v>0.53810667339736051</c:v>
                </c:pt>
                <c:pt idx="61">
                  <c:v>0.53428938832463024</c:v>
                </c:pt>
                <c:pt idx="62">
                  <c:v>0.53051382280253145</c:v>
                </c:pt>
                <c:pt idx="63">
                  <c:v>0.5267791168924858</c:v>
                </c:pt>
                <c:pt idx="64">
                  <c:v>0.52308444155998945</c:v>
                </c:pt>
                <c:pt idx="65">
                  <c:v>0.51942899706863999</c:v>
                </c:pt>
                <c:pt idx="66">
                  <c:v>0.51581201148175493</c:v>
                </c:pt>
                <c:pt idx="67">
                  <c:v>0.51223273926283475</c:v>
                </c:pt>
                <c:pt idx="68">
                  <c:v>0.50869045996696483</c:v>
                </c:pt>
                <c:pt idx="69">
                  <c:v>0.50518447701596814</c:v>
                </c:pt>
                <c:pt idx="70">
                  <c:v>0.50171411655080589</c:v>
                </c:pt>
                <c:pt idx="71">
                  <c:v>0.49827872635530746</c:v>
                </c:pt>
                <c:pt idx="72">
                  <c:v>0.49487767484583445</c:v>
                </c:pt>
                <c:pt idx="73">
                  <c:v>0.49151035012197308</c:v>
                </c:pt>
                <c:pt idx="74">
                  <c:v>0.48817615907377299</c:v>
                </c:pt>
                <c:pt idx="75">
                  <c:v>0.48487452654142715</c:v>
                </c:pt>
                <c:pt idx="76">
                  <c:v>0.48160489452365107</c:v>
                </c:pt>
                <c:pt idx="77">
                  <c:v>0.47836672143132786</c:v>
                </c:pt>
                <c:pt idx="78">
                  <c:v>0.47515948138325759</c:v>
                </c:pt>
                <c:pt idx="79">
                  <c:v>0.47198266354112794</c:v>
                </c:pt>
                <c:pt idx="80">
                  <c:v>0.46883577148104116</c:v>
                </c:pt>
                <c:pt idx="81">
                  <c:v>0.46571832259914614</c:v>
                </c:pt>
                <c:pt idx="82">
                  <c:v>0.46262984754912506</c:v>
                </c:pt>
                <c:pt idx="83">
                  <c:v>0.45956988970944757</c:v>
                </c:pt>
                <c:pt idx="84">
                  <c:v>0.45653800467847483</c:v>
                </c:pt>
                <c:pt idx="85">
                  <c:v>0.45353375979563459</c:v>
                </c:pt>
                <c:pt idx="86">
                  <c:v>0.45055673368702931</c:v>
                </c:pt>
                <c:pt idx="87">
                  <c:v>0.44760651583394617</c:v>
                </c:pt>
                <c:pt idx="88">
                  <c:v>0.44468270616287442</c:v>
                </c:pt>
                <c:pt idx="89">
                  <c:v>0.44178491465570358</c:v>
                </c:pt>
                <c:pt idx="90">
                  <c:v>0.43891276097890231</c:v>
                </c:pt>
                <c:pt idx="91">
                  <c:v>0.43606587413054454</c:v>
                </c:pt>
                <c:pt idx="92">
                  <c:v>0.43324389210412884</c:v>
                </c:pt>
                <c:pt idx="93">
                  <c:v>0.43044646156822108</c:v>
                </c:pt>
                <c:pt idx="94">
                  <c:v>0.42767323756100639</c:v>
                </c:pt>
                <c:pt idx="95">
                  <c:v>0.42492388319889884</c:v>
                </c:pt>
                <c:pt idx="96">
                  <c:v>0.42219806939842419</c:v>
                </c:pt>
                <c:pt idx="97">
                  <c:v>0.4194954746106303</c:v>
                </c:pt>
                <c:pt idx="98">
                  <c:v>0.4168157845673357</c:v>
                </c:pt>
                <c:pt idx="99">
                  <c:v>0.4141586920385707</c:v>
                </c:pt>
                <c:pt idx="100">
                  <c:v>0.41152389660060829</c:v>
                </c:pt>
                <c:pt idx="101">
                  <c:v>0.40891110441401501</c:v>
                </c:pt>
                <c:pt idx="102">
                  <c:v>0.40632002801119338</c:v>
                </c:pt>
                <c:pt idx="103">
                  <c:v>0.4037503860929188</c:v>
                </c:pt>
                <c:pt idx="104">
                  <c:v>0.40120190333340444</c:v>
                </c:pt>
                <c:pt idx="105">
                  <c:v>0.39867431019345201</c:v>
                </c:pt>
                <c:pt idx="106">
                  <c:v>0.39616734274128418</c:v>
                </c:pt>
                <c:pt idx="107">
                  <c:v>0.39368074248066387</c:v>
                </c:pt>
                <c:pt idx="108">
                  <c:v>0.39121425618594152</c:v>
                </c:pt>
                <c:pt idx="109">
                  <c:v>0.38876763574368733</c:v>
                </c:pt>
                <c:pt idx="110">
                  <c:v>0.38634063800058005</c:v>
                </c:pt>
                <c:pt idx="111">
                  <c:v>0.38393302461725987</c:v>
                </c:pt>
                <c:pt idx="112">
                  <c:v>0.38154456192784636</c:v>
                </c:pt>
                <c:pt idx="113">
                  <c:v>0.37917502080485987</c:v>
                </c:pt>
                <c:pt idx="114">
                  <c:v>0.37682417652928679</c:v>
                </c:pt>
                <c:pt idx="115">
                  <c:v>0.37449180866555043</c:v>
                </c:pt>
                <c:pt idx="116">
                  <c:v>0.37217770094115754</c:v>
                </c:pt>
                <c:pt idx="117">
                  <c:v>0.36988164113080757</c:v>
                </c:pt>
                <c:pt idx="118">
                  <c:v>0.3676034209447594</c:v>
                </c:pt>
                <c:pt idx="119">
                  <c:v>0.36534283592126537</c:v>
                </c:pt>
                <c:pt idx="120">
                  <c:v>0.3630996853228865</c:v>
                </c:pt>
                <c:pt idx="121">
                  <c:v>0.36087377203652027</c:v>
                </c:pt>
                <c:pt idx="122">
                  <c:v>0.35866490247697713</c:v>
                </c:pt>
                <c:pt idx="123">
                  <c:v>0.35647288649394637</c:v>
                </c:pt>
                <c:pt idx="124">
                  <c:v>0.35429753728220925</c:v>
                </c:pt>
                <c:pt idx="125">
                  <c:v>0.35213867129496013</c:v>
                </c:pt>
                <c:pt idx="126">
                  <c:v>0.34999610816009641</c:v>
                </c:pt>
                <c:pt idx="127">
                  <c:v>0.34786967059936025</c:v>
                </c:pt>
                <c:pt idx="128">
                  <c:v>0.34575918435020814</c:v>
                </c:pt>
                <c:pt idx="129">
                  <c:v>0.34366447809029288</c:v>
                </c:pt>
                <c:pt idx="130">
                  <c:v>0.34158538336445599</c:v>
                </c:pt>
                <c:pt idx="131">
                  <c:v>0.33952173451412193</c:v>
                </c:pt>
                <c:pt idx="132">
                  <c:v>0.33747336860899935</c:v>
                </c:pt>
                <c:pt idx="133">
                  <c:v>0.33544012538099699</c:v>
                </c:pt>
                <c:pt idx="134">
                  <c:v>0.33342184716026346</c:v>
                </c:pt>
                <c:pt idx="135">
                  <c:v>0.33141837881326719</c:v>
                </c:pt>
                <c:pt idx="136">
                  <c:v>0.32942956768283804</c:v>
                </c:pt>
                <c:pt idx="137">
                  <c:v>0.32745526353009224</c:v>
                </c:pt>
                <c:pt idx="138">
                  <c:v>0.32549531847816537</c:v>
                </c:pt>
                <c:pt idx="139">
                  <c:v>0.32354958695768965</c:v>
                </c:pt>
                <c:pt idx="140">
                  <c:v>0.32161792565394209</c:v>
                </c:pt>
                <c:pt idx="141">
                  <c:v>0.31970019345560541</c:v>
                </c:pt>
                <c:pt idx="142">
                  <c:v>0.31779625140507795</c:v>
                </c:pt>
                <c:pt idx="143">
                  <c:v>0.31590596265027437</c:v>
                </c:pt>
                <c:pt idx="144">
                  <c:v>0.31402919239786398</c:v>
                </c:pt>
                <c:pt idx="145">
                  <c:v>0.31216580786789305</c:v>
                </c:pt>
                <c:pt idx="146">
                  <c:v>0.3103156782497376</c:v>
                </c:pt>
                <c:pt idx="147">
                  <c:v>0.30847867465934287</c:v>
                </c:pt>
                <c:pt idx="148">
                  <c:v>0.30665467009769865</c:v>
                </c:pt>
                <c:pt idx="149">
                  <c:v>0.30484353941051023</c:v>
                </c:pt>
                <c:pt idx="150">
                  <c:v>0.30304515924901798</c:v>
                </c:pt>
                <c:pt idx="151">
                  <c:v>0.30125940803192885</c:v>
                </c:pt>
                <c:pt idx="152">
                  <c:v>0.29948616590841848</c:v>
                </c:pt>
                <c:pt idx="153">
                  <c:v>0.29772531472216723</c:v>
                </c:pt>
                <c:pt idx="154">
                  <c:v>0.29597673797639401</c:v>
                </c:pt>
                <c:pt idx="155">
                  <c:v>0.29424032079985518</c:v>
                </c:pt>
                <c:pt idx="156">
                  <c:v>0.29251594991377095</c:v>
                </c:pt>
                <c:pt idx="157">
                  <c:v>0.29080351359965517</c:v>
                </c:pt>
                <c:pt idx="158">
                  <c:v>0.28910290166800934</c:v>
                </c:pt>
                <c:pt idx="159">
                  <c:v>0.28741400542786122</c:v>
                </c:pt>
                <c:pt idx="160">
                  <c:v>0.28573671765710951</c:v>
                </c:pt>
                <c:pt idx="161">
                  <c:v>0.28407093257365756</c:v>
                </c:pt>
                <c:pt idx="162">
                  <c:v>0.28241654580730524</c:v>
                </c:pt>
                <c:pt idx="163">
                  <c:v>0.280773454372372</c:v>
                </c:pt>
                <c:pt idx="164">
                  <c:v>0.27914155664103535</c:v>
                </c:pt>
                <c:pt idx="165">
                  <c:v>0.27752075231735196</c:v>
                </c:pt>
                <c:pt idx="166">
                  <c:v>0.27591094241194625</c:v>
                </c:pt>
                <c:pt idx="167">
                  <c:v>0.27431202921734421</c:v>
                </c:pt>
                <c:pt idx="168">
                  <c:v>0.27272391628392834</c:v>
                </c:pt>
                <c:pt idx="169">
                  <c:v>0.27114650839649812</c:v>
                </c:pt>
                <c:pt idx="170">
                  <c:v>0.26957971155141669</c:v>
                </c:pt>
                <c:pt idx="171">
                  <c:v>0.26802343293432229</c:v>
                </c:pt>
                <c:pt idx="172">
                  <c:v>0.26647758089839191</c:v>
                </c:pt>
                <c:pt idx="173">
                  <c:v>0.26494206494313288</c:v>
                </c:pt>
                <c:pt idx="174">
                  <c:v>0.26341679569369814</c:v>
                </c:pt>
                <c:pt idx="175">
                  <c:v>0.26190168488069498</c:v>
                </c:pt>
                <c:pt idx="176">
                  <c:v>0.26039664532048357</c:v>
                </c:pt>
                <c:pt idx="177">
                  <c:v>0.25890159089594467</c:v>
                </c:pt>
                <c:pt idx="178">
                  <c:v>0.25741643653770518</c:v>
                </c:pt>
                <c:pt idx="179">
                  <c:v>0.25594109820580779</c:v>
                </c:pt>
                <c:pt idx="180">
                  <c:v>0.25447549287180848</c:v>
                </c:pt>
                <c:pt idx="181">
                  <c:v>0.25301953850129388</c:v>
                </c:pt>
                <c:pt idx="182">
                  <c:v>0.25157315403680447</c:v>
                </c:pt>
                <c:pt idx="183">
                  <c:v>0.25013625938114936</c:v>
                </c:pt>
                <c:pt idx="184">
                  <c:v>0.24870877538110647</c:v>
                </c:pt>
                <c:pt idx="185">
                  <c:v>0.24729062381149125</c:v>
                </c:pt>
                <c:pt idx="186">
                  <c:v>0.24588172735958791</c:v>
                </c:pt>
                <c:pt idx="187">
                  <c:v>0.24448200960993338</c:v>
                </c:pt>
                <c:pt idx="188">
                  <c:v>0.24309139502943666</c:v>
                </c:pt>
                <c:pt idx="189">
                  <c:v>0.24170980895283556</c:v>
                </c:pt>
                <c:pt idx="190">
                  <c:v>0.24033717756847128</c:v>
                </c:pt>
                <c:pt idx="191">
                  <c:v>0.2389734279043777</c:v>
                </c:pt>
                <c:pt idx="192">
                  <c:v>0.23761848781467587</c:v>
                </c:pt>
                <c:pt idx="193">
                  <c:v>0.23627228596626326</c:v>
                </c:pt>
                <c:pt idx="194">
                  <c:v>0.23493475182579138</c:v>
                </c:pt>
                <c:pt idx="195">
                  <c:v>0.23360581564692484</c:v>
                </c:pt>
                <c:pt idx="196">
                  <c:v>0.23228540845787227</c:v>
                </c:pt>
                <c:pt idx="197">
                  <c:v>0.2309734620491819</c:v>
                </c:pt>
                <c:pt idx="198">
                  <c:v>0.22966990896179795</c:v>
                </c:pt>
                <c:pt idx="199">
                  <c:v>0.22837468247536519</c:v>
                </c:pt>
                <c:pt idx="200">
                  <c:v>0.22708771659678129</c:v>
                </c:pt>
                <c:pt idx="201">
                  <c:v>0.22580894604898616</c:v>
                </c:pt>
                <c:pt idx="202">
                  <c:v>0.2245383062599835</c:v>
                </c:pt>
                <c:pt idx="203">
                  <c:v>0.22327573335208939</c:v>
                </c:pt>
                <c:pt idx="204">
                  <c:v>0.22202116413139872</c:v>
                </c:pt>
                <c:pt idx="205">
                  <c:v>0.22077453607747111</c:v>
                </c:pt>
                <c:pt idx="206">
                  <c:v>0.2195357873332211</c:v>
                </c:pt>
                <c:pt idx="207">
                  <c:v>0.21830485669501432</c:v>
                </c:pt>
                <c:pt idx="208">
                  <c:v>0.21708168360296232</c:v>
                </c:pt>
                <c:pt idx="209">
                  <c:v>0.21586620813141133</c:v>
                </c:pt>
                <c:pt idx="210">
                  <c:v>0.21465837097961882</c:v>
                </c:pt>
                <c:pt idx="211">
                  <c:v>0.21345811346261512</c:v>
                </c:pt>
                <c:pt idx="212">
                  <c:v>0.21226537750224472</c:v>
                </c:pt>
                <c:pt idx="213">
                  <c:v>0.21108010561838109</c:v>
                </c:pt>
                <c:pt idx="214">
                  <c:v>0.20990224092031484</c:v>
                </c:pt>
                <c:pt idx="215">
                  <c:v>0.20873172709830567</c:v>
                </c:pt>
                <c:pt idx="216">
                  <c:v>0.20756850841529961</c:v>
                </c:pt>
                <c:pt idx="217">
                  <c:v>0.20641252969880353</c:v>
                </c:pt>
                <c:pt idx="218">
                  <c:v>0.20526373633291384</c:v>
                </c:pt>
                <c:pt idx="219">
                  <c:v>0.20412207425049722</c:v>
                </c:pt>
                <c:pt idx="220">
                  <c:v>0.20298748992551974</c:v>
                </c:pt>
                <c:pt idx="221">
                  <c:v>0.20185993036551797</c:v>
                </c:pt>
                <c:pt idx="222">
                  <c:v>0.20073934310421193</c:v>
                </c:pt>
                <c:pt idx="223">
                  <c:v>0.19962567619425498</c:v>
                </c:pt>
                <c:pt idx="224">
                  <c:v>0.19851887820011849</c:v>
                </c:pt>
                <c:pt idx="225">
                  <c:v>0.19741889819110603</c:v>
                </c:pt>
                <c:pt idx="226">
                  <c:v>0.19632568573449705</c:v>
                </c:pt>
                <c:pt idx="227">
                  <c:v>0.19523919088881436</c:v>
                </c:pt>
                <c:pt idx="228">
                  <c:v>0.19415936419721458</c:v>
                </c:pt>
                <c:pt idx="229">
                  <c:v>0.19308615668099705</c:v>
                </c:pt>
                <c:pt idx="230">
                  <c:v>0.19201951983323007</c:v>
                </c:pt>
                <c:pt idx="231">
                  <c:v>0.19095940561249036</c:v>
                </c:pt>
                <c:pt idx="232">
                  <c:v>0.18990576643671508</c:v>
                </c:pt>
                <c:pt idx="233">
                  <c:v>0.18885855517716132</c:v>
                </c:pt>
                <c:pt idx="234">
                  <c:v>0.1878177251524733</c:v>
                </c:pt>
                <c:pt idx="235">
                  <c:v>0.18678323012285269</c:v>
                </c:pt>
                <c:pt idx="236">
                  <c:v>0.18575502428433099</c:v>
                </c:pt>
                <c:pt idx="237">
                  <c:v>0.18473306226314135</c:v>
                </c:pt>
                <c:pt idx="238">
                  <c:v>0.18371729911018919</c:v>
                </c:pt>
                <c:pt idx="239">
                  <c:v>0.18270769029561551</c:v>
                </c:pt>
                <c:pt idx="240">
                  <c:v>0.18170419170345453</c:v>
                </c:pt>
                <c:pt idx="241">
                  <c:v>0.18070675962638383</c:v>
                </c:pt>
                <c:pt idx="242">
                  <c:v>0.17971535076056111</c:v>
                </c:pt>
                <c:pt idx="243">
                  <c:v>0.17872992220055073</c:v>
                </c:pt>
                <c:pt idx="244">
                  <c:v>0.17775043143433367</c:v>
                </c:pt>
                <c:pt idx="245">
                  <c:v>0.17677683633840124</c:v>
                </c:pt>
                <c:pt idx="246">
                  <c:v>0.17580909517293319</c:v>
                </c:pt>
                <c:pt idx="247">
                  <c:v>0.1748471665770519</c:v>
                </c:pt>
                <c:pt idx="248">
                  <c:v>0.17389100956415759</c:v>
                </c:pt>
                <c:pt idx="249">
                  <c:v>0.17294058351734121</c:v>
                </c:pt>
                <c:pt idx="250">
                  <c:v>0.17199584818486813</c:v>
                </c:pt>
                <c:pt idx="251">
                  <c:v>0.17105676367574096</c:v>
                </c:pt>
                <c:pt idx="252">
                  <c:v>0.17012329045533048</c:v>
                </c:pt>
                <c:pt idx="253">
                  <c:v>0.16919538934107925</c:v>
                </c:pt>
                <c:pt idx="254">
                  <c:v>0.16827302149827295</c:v>
                </c:pt>
                <c:pt idx="255">
                  <c:v>0.1673561484358802</c:v>
                </c:pt>
                <c:pt idx="256">
                  <c:v>0.16644473200245979</c:v>
                </c:pt>
                <c:pt idx="257">
                  <c:v>0.1655387343821304</c:v>
                </c:pt>
                <c:pt idx="258">
                  <c:v>0.16463811809060747</c:v>
                </c:pt>
                <c:pt idx="259">
                  <c:v>0.16374284597129873</c:v>
                </c:pt>
                <c:pt idx="260">
                  <c:v>0.16285288119146424</c:v>
                </c:pt>
                <c:pt idx="261">
                  <c:v>0.16196818723843465</c:v>
                </c:pt>
                <c:pt idx="262">
                  <c:v>0.16108872791588791</c:v>
                </c:pt>
                <c:pt idx="263">
                  <c:v>0.16021446734018552</c:v>
                </c:pt>
                <c:pt idx="264">
                  <c:v>0.15934536993676462</c:v>
                </c:pt>
                <c:pt idx="265">
                  <c:v>0.15848140043658243</c:v>
                </c:pt>
                <c:pt idx="266">
                  <c:v>0.15762252387261999</c:v>
                </c:pt>
                <c:pt idx="267">
                  <c:v>0.15676870557643752</c:v>
                </c:pt>
                <c:pt idx="268">
                  <c:v>0.1559199111747791</c:v>
                </c:pt>
                <c:pt idx="269">
                  <c:v>0.15507610658623194</c:v>
                </c:pt>
                <c:pt idx="270">
                  <c:v>0.15423725801793486</c:v>
                </c:pt>
                <c:pt idx="271">
                  <c:v>0.15340333196233635</c:v>
                </c:pt>
                <c:pt idx="272">
                  <c:v>0.15257429519400023</c:v>
                </c:pt>
                <c:pt idx="273">
                  <c:v>0.15175011476646005</c:v>
                </c:pt>
                <c:pt idx="274">
                  <c:v>0.1509307580091177</c:v>
                </c:pt>
                <c:pt idx="275">
                  <c:v>0.15011619252419117</c:v>
                </c:pt>
                <c:pt idx="276">
                  <c:v>0.14930638618370473</c:v>
                </c:pt>
                <c:pt idx="277">
                  <c:v>0.14850130712652188</c:v>
                </c:pt>
                <c:pt idx="278">
                  <c:v>0.14770092375542732</c:v>
                </c:pt>
                <c:pt idx="279">
                  <c:v>0.14690520473424229</c:v>
                </c:pt>
                <c:pt idx="280">
                  <c:v>0.14611411898499083</c:v>
                </c:pt>
                <c:pt idx="281">
                  <c:v>0.14532763568509965</c:v>
                </c:pt>
                <c:pt idx="282">
                  <c:v>0.14454572426464218</c:v>
                </c:pt>
                <c:pt idx="283">
                  <c:v>0.14376835440362123</c:v>
                </c:pt>
                <c:pt idx="284">
                  <c:v>0.14299549602928885</c:v>
                </c:pt>
                <c:pt idx="285">
                  <c:v>0.14222711931350629</c:v>
                </c:pt>
                <c:pt idx="286">
                  <c:v>0.14146319467013879</c:v>
                </c:pt>
                <c:pt idx="287">
                  <c:v>0.14070369275248984</c:v>
                </c:pt>
                <c:pt idx="288">
                  <c:v>0.13994858445076874</c:v>
                </c:pt>
                <c:pt idx="289">
                  <c:v>0.13919784088959575</c:v>
                </c:pt>
                <c:pt idx="290">
                  <c:v>0.13845143342553956</c:v>
                </c:pt>
                <c:pt idx="291">
                  <c:v>0.13770933364469073</c:v>
                </c:pt>
                <c:pt idx="292">
                  <c:v>0.13697151336026914</c:v>
                </c:pt>
                <c:pt idx="293">
                  <c:v>0.13623794461025984</c:v>
                </c:pt>
                <c:pt idx="294">
                  <c:v>0.1355085996550891</c:v>
                </c:pt>
                <c:pt idx="295">
                  <c:v>0.13478345097532318</c:v>
                </c:pt>
                <c:pt idx="296">
                  <c:v>0.13406247126940762</c:v>
                </c:pt>
                <c:pt idx="297">
                  <c:v>0.13334563345142636</c:v>
                </c:pt>
                <c:pt idx="298">
                  <c:v>0.13263291064890337</c:v>
                </c:pt>
                <c:pt idx="299">
                  <c:v>0.1319242762006233</c:v>
                </c:pt>
                <c:pt idx="300">
                  <c:v>0.13121970365448743</c:v>
                </c:pt>
                <c:pt idx="301">
                  <c:v>0.13051916676539499</c:v>
                </c:pt>
                <c:pt idx="302">
                  <c:v>0.12982263949315576</c:v>
                </c:pt>
                <c:pt idx="303">
                  <c:v>0.1291300960004268</c:v>
                </c:pt>
                <c:pt idx="304">
                  <c:v>0.1284415106506791</c:v>
                </c:pt>
                <c:pt idx="305">
                  <c:v>0.12775685800619119</c:v>
                </c:pt>
                <c:pt idx="306">
                  <c:v>0.12707611282606424</c:v>
                </c:pt>
                <c:pt idx="307">
                  <c:v>0.12639925006427044</c:v>
                </c:pt>
                <c:pt idx="308">
                  <c:v>0.12572624486772188</c:v>
                </c:pt>
                <c:pt idx="309">
                  <c:v>0.12505707257436494</c:v>
                </c:pt>
                <c:pt idx="310">
                  <c:v>0.12439170871129956</c:v>
                </c:pt>
                <c:pt idx="311">
                  <c:v>0.12373012899292546</c:v>
                </c:pt>
                <c:pt idx="312">
                  <c:v>0.12307230931910629</c:v>
                </c:pt>
                <c:pt idx="313">
                  <c:v>0.12241822577336503</c:v>
                </c:pt>
                <c:pt idx="314">
                  <c:v>0.12176785462109385</c:v>
                </c:pt>
                <c:pt idx="315">
                  <c:v>0.12112117230779296</c:v>
                </c:pt>
                <c:pt idx="316">
                  <c:v>0.12047815545733032</c:v>
                </c:pt>
                <c:pt idx="317">
                  <c:v>0.11983878087022182</c:v>
                </c:pt>
                <c:pt idx="318">
                  <c:v>0.11920302552193318</c:v>
                </c:pt>
                <c:pt idx="319">
                  <c:v>0.11857086656120519</c:v>
                </c:pt>
                <c:pt idx="320">
                  <c:v>0.11794228130839746</c:v>
                </c:pt>
                <c:pt idx="321">
                  <c:v>0.11731724725385428</c:v>
                </c:pt>
                <c:pt idx="322">
                  <c:v>0.11669574205629063</c:v>
                </c:pt>
                <c:pt idx="323">
                  <c:v>0.11607774354119638</c:v>
                </c:pt>
                <c:pt idx="324">
                  <c:v>0.11546322969926281</c:v>
                </c:pt>
                <c:pt idx="325">
                  <c:v>0.114852178684826</c:v>
                </c:pt>
                <c:pt idx="326">
                  <c:v>0.11424456881433154</c:v>
                </c:pt>
                <c:pt idx="327">
                  <c:v>0.11364037856481579</c:v>
                </c:pt>
                <c:pt idx="328">
                  <c:v>0.1130395865724062</c:v>
                </c:pt>
                <c:pt idx="329">
                  <c:v>0.11244217163084136</c:v>
                </c:pt>
                <c:pt idx="330">
                  <c:v>0.11184811269000683</c:v>
                </c:pt>
                <c:pt idx="331">
                  <c:v>0.1112573888544891</c:v>
                </c:pt>
                <c:pt idx="332">
                  <c:v>0.11066997938214818</c:v>
                </c:pt>
                <c:pt idx="333">
                  <c:v>0.1100858636827049</c:v>
                </c:pt>
                <c:pt idx="334">
                  <c:v>0.10950502131634776</c:v>
                </c:pt>
                <c:pt idx="335">
                  <c:v>0.10892743199235422</c:v>
                </c:pt>
                <c:pt idx="336">
                  <c:v>0.10835307556772822</c:v>
                </c:pt>
                <c:pt idx="337">
                  <c:v>0.1077819320458564</c:v>
                </c:pt>
                <c:pt idx="338">
                  <c:v>0.10721398157517603</c:v>
                </c:pt>
                <c:pt idx="339">
                  <c:v>0.10664920444786341</c:v>
                </c:pt>
                <c:pt idx="340">
                  <c:v>0.10608758109853178</c:v>
                </c:pt>
                <c:pt idx="341">
                  <c:v>0.10552909210295058</c:v>
                </c:pt>
                <c:pt idx="342">
                  <c:v>0.10497371817677492</c:v>
                </c:pt>
                <c:pt idx="343">
                  <c:v>0.10442144017429067</c:v>
                </c:pt>
                <c:pt idx="344">
                  <c:v>0.10387223908717691</c:v>
                </c:pt>
                <c:pt idx="345">
                  <c:v>0.10332609604327925</c:v>
                </c:pt>
                <c:pt idx="346">
                  <c:v>0.10278299230539767</c:v>
                </c:pt>
                <c:pt idx="347">
                  <c:v>0.10224290927009083</c:v>
                </c:pt>
                <c:pt idx="348">
                  <c:v>0.10170582846648935</c:v>
                </c:pt>
                <c:pt idx="349">
                  <c:v>0.10117173155512837</c:v>
                </c:pt>
                <c:pt idx="350">
                  <c:v>0.10064060032678845</c:v>
                </c:pt>
                <c:pt idx="351">
                  <c:v>0.10011241670135129</c:v>
                </c:pt>
                <c:pt idx="352">
                  <c:v>9.9587162726669343E-2</c:v>
                </c:pt>
                <c:pt idx="353">
                  <c:v>9.9064820577446699E-2</c:v>
                </c:pt>
                <c:pt idx="354">
                  <c:v>9.8545372554132871E-2</c:v>
                </c:pt>
                <c:pt idx="355">
                  <c:v>9.8028801081829764E-2</c:v>
                </c:pt>
                <c:pt idx="356">
                  <c:v>9.751508870920822E-2</c:v>
                </c:pt>
                <c:pt idx="357">
                  <c:v>9.700421810744142E-2</c:v>
                </c:pt>
                <c:pt idx="358">
                  <c:v>9.6496172069143515E-2</c:v>
                </c:pt>
                <c:pt idx="359">
                  <c:v>9.5990933507325682E-2</c:v>
                </c:pt>
                <c:pt idx="360">
                  <c:v>9.5488485454362282E-2</c:v>
                </c:pt>
                <c:pt idx="361">
                  <c:v>9.4988811060964462E-2</c:v>
                </c:pt>
                <c:pt idx="362">
                  <c:v>9.4491893595171073E-2</c:v>
                </c:pt>
                <c:pt idx="363">
                  <c:v>9.3997716441346024E-2</c:v>
                </c:pt>
                <c:pt idx="364">
                  <c:v>9.3506263099187747E-2</c:v>
                </c:pt>
                <c:pt idx="365">
                  <c:v>9.3017517182750642E-2</c:v>
                </c:pt>
                <c:pt idx="366">
                  <c:v>9.2531462419475963E-2</c:v>
                </c:pt>
                <c:pt idx="367">
                  <c:v>9.2048082649232366E-2</c:v>
                </c:pt>
                <c:pt idx="368">
                  <c:v>9.1567361823368554E-2</c:v>
                </c:pt>
                <c:pt idx="369">
                  <c:v>9.1089284003775139E-2</c:v>
                </c:pt>
                <c:pt idx="370">
                  <c:v>9.0613833361956497E-2</c:v>
                </c:pt>
                <c:pt idx="371">
                  <c:v>9.0140994178111611E-2</c:v>
                </c:pt>
                <c:pt idx="372">
                  <c:v>8.9670750840227464E-2</c:v>
                </c:pt>
                <c:pt idx="373">
                  <c:v>8.9203087843178097E-2</c:v>
                </c:pt>
                <c:pt idx="374">
                  <c:v>8.8737989787837868E-2</c:v>
                </c:pt>
                <c:pt idx="375">
                  <c:v>8.827544138019805E-2</c:v>
                </c:pt>
                <c:pt idx="376">
                  <c:v>8.7815427430499526E-2</c:v>
                </c:pt>
                <c:pt idx="377">
                  <c:v>8.7357932852368592E-2</c:v>
                </c:pt>
                <c:pt idx="378">
                  <c:v>8.690294266196541E-2</c:v>
                </c:pt>
                <c:pt idx="379">
                  <c:v>8.6450441977140358E-2</c:v>
                </c:pt>
                <c:pt idx="380">
                  <c:v>8.6000416016598247E-2</c:v>
                </c:pt>
                <c:pt idx="381">
                  <c:v>8.5552850099073208E-2</c:v>
                </c:pt>
                <c:pt idx="382">
                  <c:v>8.5107729642508678E-2</c:v>
                </c:pt>
                <c:pt idx="383">
                  <c:v>8.4665040163251382E-2</c:v>
                </c:pt>
                <c:pt idx="384">
                  <c:v>8.4224767275245971E-2</c:v>
                </c:pt>
                <c:pt idx="385">
                  <c:v>8.378689668924566E-2</c:v>
                </c:pt>
                <c:pt idx="386">
                  <c:v>8.3351414212025743E-2</c:v>
                </c:pt>
                <c:pt idx="387">
                  <c:v>8.2918305745606657E-2</c:v>
                </c:pt>
                <c:pt idx="388">
                  <c:v>8.2487557286486046E-2</c:v>
                </c:pt>
                <c:pt idx="389">
                  <c:v>8.2059154924877031E-2</c:v>
                </c:pt>
                <c:pt idx="390">
                  <c:v>8.1633084843953707E-2</c:v>
                </c:pt>
                <c:pt idx="391">
                  <c:v>8.1209333319107513E-2</c:v>
                </c:pt>
                <c:pt idx="392">
                  <c:v>8.0787886717206936E-2</c:v>
                </c:pt>
                <c:pt idx="393">
                  <c:v>8.0368731495867984E-2</c:v>
                </c:pt>
                <c:pt idx="394">
                  <c:v>7.9951854202729322E-2</c:v>
                </c:pt>
                <c:pt idx="395">
                  <c:v>7.9537241474735954E-2</c:v>
                </c:pt>
                <c:pt idx="396">
                  <c:v>7.9124880037431344E-2</c:v>
                </c:pt>
                <c:pt idx="397">
                  <c:v>7.8714756704252986E-2</c:v>
                </c:pt>
                <c:pt idx="398">
                  <c:v>7.8306858375838839E-2</c:v>
                </c:pt>
                <c:pt idx="399">
                  <c:v>7.790117203933844E-2</c:v>
                </c:pt>
                <c:pt idx="400">
                  <c:v>7.7497684767730002E-2</c:v>
                </c:pt>
                <c:pt idx="401">
                  <c:v>7.7096383719147177E-2</c:v>
                </c:pt>
                <c:pt idx="402">
                  <c:v>7.6697256136209924E-2</c:v>
                </c:pt>
                <c:pt idx="403">
                  <c:v>7.6300289345362371E-2</c:v>
                </c:pt>
                <c:pt idx="404">
                  <c:v>7.5905470756217341E-2</c:v>
                </c:pt>
                <c:pt idx="405">
                  <c:v>7.551278786090887E-2</c:v>
                </c:pt>
                <c:pt idx="406">
                  <c:v>7.5122228233446942E-2</c:v>
                </c:pt>
                <c:pt idx="407">
                  <c:v>7.4733779529083333E-2</c:v>
                </c:pt>
                <c:pt idx="408">
                  <c:v>7.434742948367945E-2</c:v>
                </c:pt>
                <c:pt idx="409">
                  <c:v>7.3963165913083162E-2</c:v>
                </c:pt>
                <c:pt idx="410">
                  <c:v>7.3580976712510626E-2</c:v>
                </c:pt>
                <c:pt idx="411">
                  <c:v>7.320084985593267E-2</c:v>
                </c:pt>
                <c:pt idx="412">
                  <c:v>7.2822773395469498E-2</c:v>
                </c:pt>
                <c:pt idx="413">
                  <c:v>7.2446735460788947E-2</c:v>
                </c:pt>
                <c:pt idx="414">
                  <c:v>7.2072724258513077E-2</c:v>
                </c:pt>
                <c:pt idx="415">
                  <c:v>7.1700728071626418E-2</c:v>
                </c:pt>
                <c:pt idx="416">
                  <c:v>7.1330735258893885E-2</c:v>
                </c:pt>
                <c:pt idx="417">
                  <c:v>7.096273425428179E-2</c:v>
                </c:pt>
                <c:pt idx="418">
                  <c:v>7.0596713566386304E-2</c:v>
                </c:pt>
                <c:pt idx="419">
                  <c:v>7.023266177786347E-2</c:v>
                </c:pt>
                <c:pt idx="420">
                  <c:v>6.9870567544868978E-2</c:v>
                </c:pt>
                <c:pt idx="421">
                  <c:v>6.9510419596501505E-2</c:v>
                </c:pt>
                <c:pt idx="422">
                  <c:v>6.9152206734249044E-2</c:v>
                </c:pt>
                <c:pt idx="423">
                  <c:v>6.8795917831444786E-2</c:v>
                </c:pt>
                <c:pt idx="424">
                  <c:v>6.8441541832723329E-2</c:v>
                </c:pt>
                <c:pt idx="425">
                  <c:v>6.8089067753486221E-2</c:v>
                </c:pt>
                <c:pt idx="426">
                  <c:v>6.7738484679369049E-2</c:v>
                </c:pt>
                <c:pt idx="427">
                  <c:v>6.7389781765715751E-2</c:v>
                </c:pt>
                <c:pt idx="428">
                  <c:v>6.7042948237056255E-2</c:v>
                </c:pt>
                <c:pt idx="429">
                  <c:v>6.6697973386589449E-2</c:v>
                </c:pt>
                <c:pt idx="430">
                  <c:v>6.63548465756717E-2</c:v>
                </c:pt>
                <c:pt idx="431">
                  <c:v>6.6013557233308706E-2</c:v>
                </c:pt>
                <c:pt idx="432">
                  <c:v>6.567409485565201E-2</c:v>
                </c:pt>
                <c:pt idx="433">
                  <c:v>6.5336449005502839E-2</c:v>
                </c:pt>
                <c:pt idx="434">
                  <c:v>6.500060931181495E-2</c:v>
                </c:pt>
                <c:pt idx="435">
                  <c:v>6.4666565469208903E-2</c:v>
                </c:pt>
                <c:pt idx="436">
                  <c:v>6.4334307237483679E-2</c:v>
                </c:pt>
                <c:pt idx="437">
                  <c:v>6.4003824441139057E-2</c:v>
                </c:pt>
                <c:pt idx="438">
                  <c:v>6.3675106968897666E-2</c:v>
                </c:pt>
                <c:pt idx="439">
                  <c:v>6.3348144773233472E-2</c:v>
                </c:pt>
                <c:pt idx="440">
                  <c:v>6.3022927869904044E-2</c:v>
                </c:pt>
                <c:pt idx="441">
                  <c:v>6.269944633748703E-2</c:v>
                </c:pt>
                <c:pt idx="442">
                  <c:v>6.2377690316921086E-2</c:v>
                </c:pt>
                <c:pt idx="443">
                  <c:v>6.2057650011049792E-2</c:v>
                </c:pt>
                <c:pt idx="444">
                  <c:v>6.1739315684171014E-2</c:v>
                </c:pt>
                <c:pt idx="445">
                  <c:v>6.1422677661589598E-2</c:v>
                </c:pt>
                <c:pt idx="446">
                  <c:v>6.1107726329173495E-2</c:v>
                </c:pt>
                <c:pt idx="447">
                  <c:v>6.0794452132915122E-2</c:v>
                </c:pt>
                <c:pt idx="448">
                  <c:v>6.048284557849537E-2</c:v>
                </c:pt>
                <c:pt idx="449">
                  <c:v>6.017289723085173E-2</c:v>
                </c:pt>
                <c:pt idx="450">
                  <c:v>5.9864597713750634E-2</c:v>
                </c:pt>
                <c:pt idx="451">
                  <c:v>5.9557937709363684E-2</c:v>
                </c:pt>
                <c:pt idx="452">
                  <c:v>5.9252907957845991E-2</c:v>
                </c:pt>
                <c:pt idx="453">
                  <c:v>5.8949499256921056E-2</c:v>
                </c:pt>
                <c:pt idx="454">
                  <c:v>5.8647702461465334E-2</c:v>
                </c:pt>
                <c:pt idx="455">
                  <c:v>5.834750848310144E-2</c:v>
                </c:pt>
                <c:pt idx="456">
                  <c:v>5.8048908289789036E-2</c:v>
                </c:pt>
                <c:pt idx="457">
                  <c:v>5.7751892905424929E-2</c:v>
                </c:pt>
                <c:pt idx="458">
                  <c:v>5.7456453409442387E-2</c:v>
                </c:pt>
                <c:pt idx="459">
                  <c:v>5.7162580936416241E-2</c:v>
                </c:pt>
                <c:pt idx="460">
                  <c:v>5.6870266675669967E-2</c:v>
                </c:pt>
                <c:pt idx="461">
                  <c:v>5.6579501870887894E-2</c:v>
                </c:pt>
                <c:pt idx="462">
                  <c:v>5.6290277819728174E-2</c:v>
                </c:pt>
                <c:pt idx="463">
                  <c:v>5.6002585873441979E-2</c:v>
                </c:pt>
                <c:pt idx="464">
                  <c:v>5.5716417436493471E-2</c:v>
                </c:pt>
                <c:pt idx="465">
                  <c:v>5.5431763966184655E-2</c:v>
                </c:pt>
                <c:pt idx="466">
                  <c:v>5.5148616972282238E-2</c:v>
                </c:pt>
                <c:pt idx="467">
                  <c:v>5.4866968016648698E-2</c:v>
                </c:pt>
                <c:pt idx="468">
                  <c:v>5.4586808712875579E-2</c:v>
                </c:pt>
                <c:pt idx="469">
                  <c:v>5.4308130725920778E-2</c:v>
                </c:pt>
                <c:pt idx="470">
                  <c:v>5.4030925771747285E-2</c:v>
                </c:pt>
                <c:pt idx="471">
                  <c:v>5.3755185616967793E-2</c:v>
                </c:pt>
                <c:pt idx="472">
                  <c:v>5.3480902078488768E-2</c:v>
                </c:pt>
                <c:pt idx="473">
                  <c:v>5.3208067023160277E-2</c:v>
                </c:pt>
                <c:pt idx="474">
                  <c:v>5.2936672367427606E-2</c:v>
                </c:pt>
                <c:pt idx="475">
                  <c:v>5.2666710076985979E-2</c:v>
                </c:pt>
                <c:pt idx="476">
                  <c:v>5.2398172166437385E-2</c:v>
                </c:pt>
                <c:pt idx="477">
                  <c:v>5.2131050698952186E-2</c:v>
                </c:pt>
                <c:pt idx="478">
                  <c:v>5.1865337785931276E-2</c:v>
                </c:pt>
                <c:pt idx="479">
                  <c:v>5.1601025586672566E-2</c:v>
                </c:pt>
                <c:pt idx="480">
                  <c:v>5.1338106308039255E-2</c:v>
                </c:pt>
              </c:numCache>
            </c:numRef>
          </c:val>
          <c:smooth val="0"/>
          <c:extLst>
            <c:ext xmlns:c16="http://schemas.microsoft.com/office/drawing/2014/chart" uri="{C3380CC4-5D6E-409C-BE32-E72D297353CC}">
              <c16:uniqueId val="{00000006-6155-4274-A35C-424ECAB274DC}"/>
            </c:ext>
          </c:extLst>
        </c:ser>
        <c:dLbls>
          <c:showLegendKey val="0"/>
          <c:showVal val="0"/>
          <c:showCatName val="0"/>
          <c:showSerName val="0"/>
          <c:showPercent val="0"/>
          <c:showBubbleSize val="0"/>
        </c:dLbls>
        <c:smooth val="0"/>
        <c:axId val="755064112"/>
        <c:axId val="755070016"/>
      </c:lineChart>
      <c:catAx>
        <c:axId val="7550641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Time (months)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5070016"/>
        <c:crosses val="autoZero"/>
        <c:auto val="1"/>
        <c:lblAlgn val="ctr"/>
        <c:lblOffset val="100"/>
        <c:noMultiLvlLbl val="0"/>
      </c:catAx>
      <c:valAx>
        <c:axId val="75507001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Probabaility of Survival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506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22226</Words>
  <Characters>126693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2024-06-24T05:43:00Z</dcterms:created>
  <dcterms:modified xsi:type="dcterms:W3CDTF">2024-06-24T05:43:00Z</dcterms:modified>
  <cp:category/>
</cp:coreProperties>
</file>